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April 28, 2026</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33020</wp:posOffset>
            </wp:positionV>
            <wp:extent cx="1306830" cy="675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6830" cy="675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8"/>
          <w:szCs w:val="38"/>
          <w:b w:val="1"/>
          <w:bCs w:val="1"/>
          <w:color w:val="auto"/>
        </w:rPr>
        <w:t>American Assets Trust, Inc.</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36"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214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001-35030</w:t>
            </w:r>
          </w:p>
        </w:tc>
        <w:tc>
          <w:tcPr>
            <w:tcW w:w="176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27-3338708</w:t>
            </w:r>
          </w:p>
        </w:tc>
      </w:tr>
      <w:tr>
        <w:trPr>
          <w:trHeight w:val="147"/>
        </w:trPr>
        <w:tc>
          <w:tcPr>
            <w:tcW w:w="2140" w:type="dxa"/>
            <w:vAlign w:val="bottom"/>
          </w:tcPr>
          <w:p>
            <w:pPr>
              <w:jc w:val="center"/>
              <w:ind w:right="44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68"/>
              <w:spacing w:after="0" w:line="14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2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14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6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0"/>
        </w:trPr>
        <w:tc>
          <w:tcPr>
            <w:tcW w:w="2140" w:type="dxa"/>
            <w:vAlign w:val="bottom"/>
          </w:tcPr>
          <w:p>
            <w:pPr>
              <w:spacing w:after="0"/>
              <w:rPr>
                <w:sz w:val="24"/>
                <w:szCs w:val="24"/>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3420 Carmel Mountain Road, Suite 100</w:t>
            </w:r>
          </w:p>
        </w:tc>
        <w:tc>
          <w:tcPr>
            <w:tcW w:w="1760" w:type="dxa"/>
            <w:vAlign w:val="bottom"/>
          </w:tcPr>
          <w:p>
            <w:pPr>
              <w:spacing w:after="0"/>
              <w:rPr>
                <w:sz w:val="24"/>
                <w:szCs w:val="24"/>
                <w:color w:val="auto"/>
              </w:rPr>
            </w:pPr>
          </w:p>
        </w:tc>
      </w:tr>
      <w:tr>
        <w:trPr>
          <w:trHeight w:val="166"/>
        </w:trPr>
        <w:tc>
          <w:tcPr>
            <w:tcW w:w="2140" w:type="dxa"/>
            <w:vAlign w:val="bottom"/>
          </w:tcPr>
          <w:p>
            <w:pPr>
              <w:spacing w:after="0"/>
              <w:rPr>
                <w:sz w:val="14"/>
                <w:szCs w:val="14"/>
                <w:color w:val="auto"/>
              </w:rPr>
            </w:pP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San Diego, California 92121</w:t>
            </w:r>
          </w:p>
        </w:tc>
        <w:tc>
          <w:tcPr>
            <w:tcW w:w="1760" w:type="dxa"/>
            <w:vAlign w:val="bottom"/>
          </w:tcPr>
          <w:p>
            <w:pPr>
              <w:spacing w:after="0"/>
              <w:rPr>
                <w:sz w:val="14"/>
                <w:szCs w:val="1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60" w:type="dxa"/>
            <w:vAlign w:val="bottom"/>
          </w:tcPr>
          <w:p>
            <w:pPr>
              <w:spacing w:after="0"/>
              <w:rPr>
                <w:sz w:val="16"/>
                <w:szCs w:val="16"/>
                <w:color w:val="auto"/>
              </w:rPr>
            </w:pPr>
          </w:p>
        </w:tc>
      </w:tr>
      <w:tr>
        <w:trPr>
          <w:trHeight w:val="393"/>
        </w:trPr>
        <w:tc>
          <w:tcPr>
            <w:tcW w:w="2140" w:type="dxa"/>
            <w:vAlign w:val="bottom"/>
          </w:tcPr>
          <w:p>
            <w:pPr>
              <w:spacing w:after="0"/>
              <w:rPr>
                <w:sz w:val="24"/>
                <w:szCs w:val="24"/>
                <w:color w:val="auto"/>
              </w:rPr>
            </w:pPr>
          </w:p>
        </w:tc>
        <w:tc>
          <w:tcPr>
            <w:tcW w:w="4980" w:type="dxa"/>
            <w:vAlign w:val="bottom"/>
          </w:tcPr>
          <w:p>
            <w:pPr>
              <w:jc w:val="right"/>
              <w:ind w:right="1988"/>
              <w:spacing w:after="0"/>
              <w:rPr>
                <w:sz w:val="20"/>
                <w:szCs w:val="20"/>
                <w:color w:val="auto"/>
              </w:rPr>
            </w:pPr>
            <w:r>
              <w:rPr>
                <w:rFonts w:ascii="Times New Roman" w:cs="Times New Roman" w:eastAsia="Times New Roman" w:hAnsi="Times New Roman"/>
                <w:sz w:val="16"/>
                <w:szCs w:val="16"/>
                <w:b w:val="1"/>
                <w:bCs w:val="1"/>
                <w:color w:val="auto"/>
              </w:rPr>
              <w:t>(858) 350-2600</w:t>
            </w:r>
          </w:p>
        </w:tc>
        <w:tc>
          <w:tcPr>
            <w:tcW w:w="176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358"/>
        </w:trPr>
        <w:tc>
          <w:tcPr>
            <w:tcW w:w="2140" w:type="dxa"/>
            <w:vAlign w:val="bottom"/>
          </w:tcPr>
          <w:p>
            <w:pPr>
              <w:spacing w:after="0"/>
              <w:rPr>
                <w:sz w:val="24"/>
                <w:szCs w:val="24"/>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76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r>
        <w:trPr>
          <w:trHeight w:val="408"/>
        </w:trPr>
        <w:tc>
          <w:tcPr>
            <w:tcW w:w="2140" w:type="dxa"/>
            <w:vAlign w:val="bottom"/>
          </w:tcPr>
          <w:p>
            <w:pPr>
              <w:spacing w:after="0"/>
              <w:rPr>
                <w:sz w:val="24"/>
                <w:szCs w:val="24"/>
                <w:color w:val="auto"/>
              </w:rPr>
            </w:pPr>
          </w:p>
        </w:tc>
        <w:tc>
          <w:tcPr>
            <w:tcW w:w="4980" w:type="dxa"/>
            <w:vAlign w:val="bottom"/>
          </w:tcPr>
          <w:p>
            <w:pPr>
              <w:jc w:val="right"/>
              <w:ind w:right="1508"/>
              <w:spacing w:after="0"/>
              <w:rPr>
                <w:sz w:val="20"/>
                <w:szCs w:val="20"/>
                <w:color w:val="auto"/>
              </w:rPr>
            </w:pPr>
            <w:r>
              <w:rPr>
                <w:rFonts w:ascii="Times New Roman" w:cs="Times New Roman" w:eastAsia="Times New Roman" w:hAnsi="Times New Roman"/>
                <w:sz w:val="16"/>
                <w:szCs w:val="16"/>
                <w:b w:val="1"/>
                <w:bCs w:val="1"/>
                <w:color w:val="auto"/>
              </w:rPr>
              <w:t>_________________________</w:t>
            </w:r>
          </w:p>
        </w:tc>
        <w:tc>
          <w:tcPr>
            <w:tcW w:w="1760" w:type="dxa"/>
            <w:vAlign w:val="bottom"/>
          </w:tcPr>
          <w:p>
            <w:pPr>
              <w:spacing w:after="0"/>
              <w:rPr>
                <w:sz w:val="24"/>
                <w:szCs w:val="24"/>
                <w:color w:val="auto"/>
              </w:rPr>
            </w:pP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6"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8"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8"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7" w:lineRule="exact"/>
        <w:rPr>
          <w:sz w:val="24"/>
          <w:szCs w:val="24"/>
          <w:color w:val="auto"/>
        </w:rPr>
      </w:pPr>
    </w:p>
    <w:tbl>
      <w:tblPr>
        <w:tblLayout w:type="fixed"/>
        <w:tblInd w:w="54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Registrant</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2"/>
          </w:tcPr>
          <w:p>
            <w:pPr>
              <w:jc w:val="center"/>
              <w:ind w:right="158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7"/>
              </w:rPr>
              <w:t>Trading Symbol</w:t>
            </w:r>
          </w:p>
        </w:tc>
        <w:tc>
          <w:tcPr>
            <w:tcW w:w="3080" w:type="dxa"/>
            <w:vAlign w:val="bottom"/>
            <w:gridSpan w:val="2"/>
          </w:tcPr>
          <w:p>
            <w:pPr>
              <w:jc w:val="center"/>
              <w:ind w:left="20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
        </w:trPr>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17"/>
        </w:trPr>
        <w:tc>
          <w:tcPr>
            <w:tcW w:w="22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color w:val="auto"/>
                <w:w w:val="98"/>
              </w:rPr>
              <w:t>American Assets Trust, Inc.</w:t>
            </w:r>
          </w:p>
        </w:tc>
        <w:tc>
          <w:tcPr>
            <w:tcW w:w="39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1"/>
              </w:rPr>
              <w:t>AAT</w:t>
            </w:r>
          </w:p>
        </w:tc>
        <w:tc>
          <w:tcPr>
            <w:tcW w:w="28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338"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988695</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1335" w:right="479" w:bottom="1440" w:gutter="0" w:footer="0" w:header="0"/>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 xml:space="preserve">On April 28, 2026, American Assets Trust, Inc. (the “Company”) issued a press release regarding its financial results for the quarter ending March 31, 2026. Also on April 28, 2026, the Company made available on the “Investors” page of its website at </w:t>
      </w:r>
      <w:r>
        <w:rPr>
          <w:rFonts w:ascii="Times New Roman" w:cs="Times New Roman" w:eastAsia="Times New Roman" w:hAnsi="Times New Roman"/>
          <w:sz w:val="15"/>
          <w:szCs w:val="15"/>
          <w:u w:val="single" w:color="auto"/>
          <w:color w:val="0000FF"/>
        </w:rPr>
        <w:t>www.americanassetstrust.com</w:t>
      </w:r>
      <w:r>
        <w:rPr>
          <w:rFonts w:ascii="Times New Roman" w:cs="Times New Roman" w:eastAsia="Times New Roman" w:hAnsi="Times New Roman"/>
          <w:sz w:val="15"/>
          <w:szCs w:val="15"/>
          <w:color w:val="auto"/>
        </w:rPr>
        <w:t xml:space="preserve"> certain supplemental information concerning the Company’s financial results and operations for the quarter ending March 31, 2026. Copies of the press release and supplemental information are attached hereto as Exhibits 99.1 and 99.2, respectively.</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Exhibits 99.1 and 99.2, are being furnished pursuant to Item 2.02 and shall not be deemed “filed” for any purpose, including for the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7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20"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As discussed in Item 2.02 above, the Company issued a press release regarding its financial results for the quarter ending March 31, 2026 and made available on its website certain supplemental information relating thereto.</w:t>
      </w:r>
    </w:p>
    <w:p>
      <w:pPr>
        <w:spacing w:after="0" w:line="1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The information being furnished pursuant to Item 7.01 and shall not be deemed “filed” for any purpose, including for the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4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5"/>
          <w:szCs w:val="15"/>
          <w:color w:val="auto"/>
        </w:rPr>
        <w:t>Exhibits: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exhibits are filed herewith:</w:t>
      </w:r>
    </w:p>
    <w:p>
      <w:pPr>
        <w:spacing w:after="0" w:line="35" w:lineRule="exact"/>
        <w:rPr>
          <w:sz w:val="20"/>
          <w:szCs w:val="20"/>
          <w:color w:val="auto"/>
        </w:rPr>
      </w:pPr>
    </w:p>
    <w:p>
      <w:pPr>
        <w:ind w:left="580"/>
        <w:spacing w:after="0"/>
        <w:tabs>
          <w:tab w:leader="none" w:pos="1660" w:val="left"/>
        </w:tabs>
        <w:rPr>
          <w:sz w:val="20"/>
          <w:szCs w:val="20"/>
          <w:color w:val="auto"/>
        </w:rPr>
      </w:pPr>
      <w:r>
        <w:rPr>
          <w:rFonts w:ascii="Times New Roman" w:cs="Times New Roman" w:eastAsia="Times New Roman" w:hAnsi="Times New Roman"/>
          <w:sz w:val="13"/>
          <w:szCs w:val="13"/>
          <w:b w:val="1"/>
          <w:bCs w:val="1"/>
          <w:u w:val="single" w:color="auto"/>
          <w:color w:val="auto"/>
        </w:rPr>
        <w:t>Exhibit Number</w:t>
      </w:r>
      <w:r>
        <w:rPr>
          <w:sz w:val="20"/>
          <w:szCs w:val="20"/>
          <w:color w:val="auto"/>
        </w:rPr>
        <w:tab/>
      </w:r>
      <w:r>
        <w:rPr>
          <w:rFonts w:ascii="Times New Roman" w:cs="Times New Roman" w:eastAsia="Times New Roman" w:hAnsi="Times New Roman"/>
          <w:sz w:val="12"/>
          <w:szCs w:val="12"/>
          <w:b w:val="1"/>
          <w:bCs w:val="1"/>
          <w:u w:val="single" w:color="auto"/>
          <w:color w:val="auto"/>
        </w:rPr>
        <w:t>Exhibit Description</w:t>
      </w:r>
    </w:p>
    <w:p>
      <w:pPr>
        <w:sectPr>
          <w:pgSz w:w="11900" w:h="16838" w:orient="portrait"/>
          <w:cols w:equalWidth="0" w:num="1">
            <w:col w:w="11240"/>
          </w:cols>
          <w:pgMar w:left="320" w:top="1256" w:right="339" w:bottom="1440" w:gutter="0" w:footer="0" w:header="0"/>
        </w:sectPr>
      </w:pP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99.1**</w:t>
      </w:r>
    </w:p>
    <w:p>
      <w:pPr>
        <w:spacing w:after="0" w:line="183"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99.2**</w:t>
      </w:r>
    </w:p>
    <w:p>
      <w:pPr>
        <w:spacing w:after="0" w:line="22"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Press release issued by American Assets Trust, Inc. on April 28,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American Assets Trust, Inc. Supplemental Information for the quarter ended March 31,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Cover Page Interactive Data File (the cover page XBRL tags are embedded within the Inline XBRL document).</w:t>
      </w:r>
    </w:p>
    <w:p>
      <w:pPr>
        <w:spacing w:after="0" w:line="92" w:lineRule="exact"/>
        <w:rPr>
          <w:sz w:val="20"/>
          <w:szCs w:val="20"/>
          <w:color w:val="auto"/>
        </w:rPr>
      </w:pPr>
    </w:p>
    <w:p>
      <w:pPr>
        <w:sectPr>
          <w:pgSz w:w="11900" w:h="16838" w:orient="portrait"/>
          <w:cols w:equalWidth="0" w:num="2">
            <w:col w:w="1240" w:space="420"/>
            <w:col w:w="9580"/>
          </w:cols>
          <w:pgMar w:left="320" w:top="1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American Assets Trust, Inc.</w:t>
      </w:r>
    </w:p>
    <w:p>
      <w:pPr>
        <w:spacing w:after="0" w:line="206" w:lineRule="exact"/>
        <w:rPr>
          <w:sz w:val="20"/>
          <w:szCs w:val="20"/>
          <w:color w:val="auto"/>
        </w:rPr>
      </w:pPr>
    </w:p>
    <w:p>
      <w:pPr>
        <w:ind w:left="5200"/>
        <w:spacing w:after="0"/>
        <w:tabs>
          <w:tab w:leader="none" w:pos="56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Robert F. Barton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-113030</wp:posOffset>
            </wp:positionV>
            <wp:extent cx="31769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6905" cy="7620"/>
                    </a:xfrm>
                    <a:prstGeom prst="rect">
                      <a:avLst/>
                    </a:prstGeom>
                    <a:noFill/>
                  </pic:spPr>
                </pic:pic>
              </a:graphicData>
            </a:graphic>
          </wp:anchor>
        </w:drawing>
      </w:r>
    </w:p>
    <w:p>
      <w:pPr>
        <w:spacing w:after="0" w:line="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Executive Vice President, CFO</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20"/>
          </w:cols>
          <w:pgMar w:left="320" w:top="1256"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516890</wp:posOffset>
            </wp:positionV>
            <wp:extent cx="1118870" cy="585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18870" cy="5854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Assets Trust, Inc. Reports First Quarter 2026 Financial Results</w:t>
      </w:r>
    </w:p>
    <w:p>
      <w:pPr>
        <w:spacing w:after="0" w:line="271" w:lineRule="exact"/>
        <w:rPr>
          <w:sz w:val="20"/>
          <w:szCs w:val="20"/>
          <w:color w:val="auto"/>
        </w:rPr>
      </w:pPr>
    </w:p>
    <w:p>
      <w:pPr>
        <w:ind w:right="600"/>
        <w:spacing w:after="0" w:line="279" w:lineRule="auto"/>
        <w:rPr>
          <w:sz w:val="20"/>
          <w:szCs w:val="20"/>
          <w:color w:val="auto"/>
        </w:rPr>
      </w:pPr>
      <w:r>
        <w:rPr>
          <w:rFonts w:ascii="Arial" w:cs="Arial" w:eastAsia="Arial" w:hAnsi="Arial"/>
          <w:sz w:val="16"/>
          <w:szCs w:val="16"/>
          <w:b w:val="1"/>
          <w:bCs w:val="1"/>
          <w:color w:val="auto"/>
        </w:rPr>
        <w:t xml:space="preserve">SAN DIEGO, California - 4/28/2026 </w:t>
      </w:r>
      <w:r>
        <w:rPr>
          <w:rFonts w:ascii="Arial" w:cs="Arial" w:eastAsia="Arial" w:hAnsi="Arial"/>
          <w:sz w:val="16"/>
          <w:szCs w:val="16"/>
          <w:color w:val="auto"/>
        </w:rPr>
        <w:t>- American Assets Trust, Inc. (NYSE: AAT) (the “company”) today reported financial results for its first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2026.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Quarter Highlights</w:t>
      </w:r>
    </w:p>
    <w:p>
      <w:pPr>
        <w:spacing w:after="0" w:line="53" w:lineRule="exact"/>
        <w:rPr>
          <w:sz w:val="20"/>
          <w:szCs w:val="20"/>
          <w:color w:val="auto"/>
        </w:rPr>
      </w:pPr>
    </w:p>
    <w:p>
      <w:pPr>
        <w:ind w:left="560" w:hanging="282"/>
        <w:spacing w:after="0"/>
        <w:tabs>
          <w:tab w:leader="none" w:pos="5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available to common stockholders of $5.1 million for the first quarter, or $0.08 per diluted share.</w:t>
      </w:r>
    </w:p>
    <w:p>
      <w:pPr>
        <w:spacing w:after="0" w:line="52" w:lineRule="exact"/>
        <w:rPr>
          <w:rFonts w:ascii="Arial" w:cs="Arial" w:eastAsia="Arial" w:hAnsi="Arial"/>
          <w:sz w:val="16"/>
          <w:szCs w:val="16"/>
          <w:b w:val="1"/>
          <w:bCs w:val="1"/>
          <w:color w:val="auto"/>
        </w:rPr>
      </w:pPr>
    </w:p>
    <w:p>
      <w:pPr>
        <w:ind w:left="560" w:hanging="282"/>
        <w:spacing w:after="0"/>
        <w:tabs>
          <w:tab w:leader="none" w:pos="5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FFO of $0.51 per diluted share for the first quarter, compared to $0.52 per diluted share for the same period in 2025.</w:t>
      </w:r>
    </w:p>
    <w:p>
      <w:pPr>
        <w:spacing w:after="0" w:line="52" w:lineRule="exact"/>
        <w:rPr>
          <w:rFonts w:ascii="Arial" w:cs="Arial" w:eastAsia="Arial" w:hAnsi="Arial"/>
          <w:sz w:val="16"/>
          <w:szCs w:val="16"/>
          <w:b w:val="1"/>
          <w:bCs w:val="1"/>
          <w:color w:val="auto"/>
        </w:rPr>
      </w:pPr>
    </w:p>
    <w:p>
      <w:pPr>
        <w:ind w:left="560" w:hanging="282"/>
        <w:spacing w:after="0"/>
        <w:tabs>
          <w:tab w:leader="none" w:pos="5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Same-store cash Net Operating Income (</w:t>
      </w:r>
      <w:r>
        <w:rPr>
          <w:rFonts w:ascii="Arial" w:cs="Arial" w:eastAsia="Arial" w:hAnsi="Arial"/>
          <w:sz w:val="16"/>
          <w:szCs w:val="16"/>
          <w:color w:val="auto"/>
        </w:rPr>
        <w:t>“</w:t>
      </w:r>
      <w:r>
        <w:rPr>
          <w:rFonts w:ascii="Arial" w:cs="Arial" w:eastAsia="Arial" w:hAnsi="Arial"/>
          <w:sz w:val="16"/>
          <w:szCs w:val="16"/>
          <w:b w:val="1"/>
          <w:bCs w:val="1"/>
          <w:color w:val="auto"/>
        </w:rPr>
        <w:t>NOI</w:t>
      </w:r>
      <w:r>
        <w:rPr>
          <w:rFonts w:ascii="Arial" w:cs="Arial" w:eastAsia="Arial" w:hAnsi="Arial"/>
          <w:sz w:val="16"/>
          <w:szCs w:val="16"/>
          <w:color w:val="auto"/>
        </w:rPr>
        <w:t>”</w:t>
      </w:r>
      <w:r>
        <w:rPr>
          <w:rFonts w:ascii="Arial" w:cs="Arial" w:eastAsia="Arial" w:hAnsi="Arial"/>
          <w:sz w:val="16"/>
          <w:szCs w:val="16"/>
          <w:b w:val="1"/>
          <w:bCs w:val="1"/>
          <w:color w:val="auto"/>
        </w:rPr>
        <w:t>) remained flat for the first quarter, compared to the same period in 2025.</w:t>
      </w:r>
    </w:p>
    <w:p>
      <w:pPr>
        <w:spacing w:after="0" w:line="52" w:lineRule="exact"/>
        <w:rPr>
          <w:rFonts w:ascii="Arial" w:cs="Arial" w:eastAsia="Arial" w:hAnsi="Arial"/>
          <w:sz w:val="16"/>
          <w:szCs w:val="16"/>
          <w:b w:val="1"/>
          <w:bCs w:val="1"/>
          <w:color w:val="auto"/>
        </w:rPr>
      </w:pPr>
    </w:p>
    <w:p>
      <w:pPr>
        <w:ind w:left="560" w:right="820" w:hanging="282"/>
        <w:spacing w:after="0" w:line="277" w:lineRule="auto"/>
        <w:tabs>
          <w:tab w:leader="none" w:pos="55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Leased 237,000 of office square feet, of which approximately 108,000 is comparable at an average straight-line basis and cash-basis contractual rent increase of 10.6% and 4.8%, respectively, during the first quarter.</w:t>
      </w:r>
    </w:p>
    <w:p>
      <w:pPr>
        <w:spacing w:after="0" w:line="1" w:lineRule="exact"/>
        <w:rPr>
          <w:rFonts w:ascii="Arial" w:cs="Arial" w:eastAsia="Arial" w:hAnsi="Arial"/>
          <w:sz w:val="16"/>
          <w:szCs w:val="16"/>
          <w:b w:val="1"/>
          <w:bCs w:val="1"/>
          <w:color w:val="auto"/>
        </w:rPr>
      </w:pPr>
    </w:p>
    <w:p>
      <w:pPr>
        <w:ind w:left="560" w:right="160" w:hanging="282"/>
        <w:spacing w:after="0" w:line="289" w:lineRule="auto"/>
        <w:tabs>
          <w:tab w:leader="none" w:pos="55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Leased 39,000 of retail square feet, of which approximately 38,000 is comparable at an average straight-line basis increase of 1.3% and cash-basis contractual rent decrease of 2.0%, respectively, during the first quarter.</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Amended and Restated Credit Facility</w:t>
      </w:r>
    </w:p>
    <w:p>
      <w:pPr>
        <w:spacing w:after="0" w:line="53" w:lineRule="exact"/>
        <w:rPr>
          <w:sz w:val="20"/>
          <w:szCs w:val="20"/>
          <w:color w:val="auto"/>
        </w:rPr>
      </w:pPr>
    </w:p>
    <w:p>
      <w:pPr>
        <w:ind w:left="560" w:right="740" w:hanging="282"/>
        <w:spacing w:after="0" w:line="324" w:lineRule="auto"/>
        <w:tabs>
          <w:tab w:leader="none" w:pos="50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On April 1, 2026, the credit facility was amended and restated to, among other things, increase the borrowing capacity to $600 million, consisting of a $500 million revolving line of credit and a $100 million term loan, and extend the maturity date to April 1, 2030.</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Results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(Unaudited, amounts in thousands, except per share data)</w:t>
            </w:r>
          </w:p>
        </w:tc>
        <w:tc>
          <w:tcPr>
            <w:tcW w:w="298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4"/>
                <w:szCs w:val="14"/>
                <w:b w:val="1"/>
                <w:bCs w:val="1"/>
                <w:color w:val="auto"/>
              </w:rPr>
              <w:t>Three Months Ended March 31,</w:t>
            </w:r>
          </w:p>
        </w:tc>
      </w:tr>
      <w:tr>
        <w:trPr>
          <w:trHeight w:val="181"/>
        </w:trPr>
        <w:tc>
          <w:tcPr>
            <w:tcW w:w="8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19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54,107</w:t>
            </w:r>
          </w:p>
        </w:tc>
      </w:tr>
      <w:tr>
        <w:trPr>
          <w:trHeight w:val="201"/>
        </w:trPr>
        <w:tc>
          <w:tcPr>
            <w:tcW w:w="8280" w:type="dxa"/>
            <w:vAlign w:val="bottom"/>
          </w:tcPr>
          <w:p>
            <w:pPr>
              <w:ind w:left="20"/>
              <w:spacing w:after="0"/>
              <w:rPr>
                <w:sz w:val="20"/>
                <w:szCs w:val="20"/>
                <w:color w:val="auto"/>
              </w:rPr>
            </w:pPr>
            <w:r>
              <w:rPr>
                <w:rFonts w:ascii="Arial" w:cs="Arial" w:eastAsia="Arial" w:hAnsi="Arial"/>
                <w:sz w:val="16"/>
                <w:szCs w:val="16"/>
                <w:color w:val="auto"/>
              </w:rPr>
              <w:t>Basic and diluted income attributable to common stockholders per share</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0.08</w:t>
            </w:r>
          </w:p>
        </w:tc>
        <w:tc>
          <w:tcPr>
            <w:tcW w:w="8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0.70</w:t>
            </w:r>
          </w:p>
        </w:tc>
      </w:tr>
      <w:tr>
        <w:trPr>
          <w:trHeight w:val="20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 and common units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38,834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39,945</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FFO per diluted share and unit</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0.52</w:t>
            </w:r>
          </w:p>
        </w:tc>
      </w:tr>
    </w:tbl>
    <w:p>
      <w:pPr>
        <w:spacing w:after="0" w:line="200" w:lineRule="exact"/>
        <w:rPr>
          <w:sz w:val="20"/>
          <w:szCs w:val="20"/>
          <w:color w:val="auto"/>
        </w:rPr>
      </w:pPr>
    </w:p>
    <w:p>
      <w:pPr>
        <w:spacing w:after="0" w:line="300"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Net income attributable to common stockholders decreased $47.4 million for the three months ended March 31, 2026 compared to the same period in 2025, primarily driven by the gain on sale of Del Monte Center recognized in 2025, higher interest expense as we stopped capitalizing interest related to La Jolla Commons III being placed into service, decrease in occupancy at First &amp; Main and overall increase in rental expenses across all segments.</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FFO decreased $1.1 million for the three months ended March 31, 2026 compared to the same period in 2025, primarily due to the items described above. Gain on sale of Del Monte Center is excluded from FFO computations.</w:t>
      </w:r>
    </w:p>
    <w:p>
      <w:pPr>
        <w:spacing w:after="0" w:line="168"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FFO is a non-GAAP supplemental earnings measure which the company considers meaningful in measuring its operating performance. A reconciliation of net income to FFO is attached to this press release.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440" w:right="319" w:bottom="1440" w:gutter="0" w:footer="0" w:header="0"/>
        </w:sectPr>
      </w:pPr>
    </w:p>
    <w:bookmarkStart w:id="4" w:name="page5"/>
    <w:bookmarkEnd w:id="4"/>
    <w:tbl>
      <w:tblPr>
        <w:tblLayout w:type="fixed"/>
        <w:tblInd w:w="5" w:type="dxa"/>
        <w:tblCellMar>
          <w:top w:w="0" w:type="dxa"/>
          <w:left w:w="0" w:type="dxa"/>
          <w:bottom w:w="0" w:type="dxa"/>
          <w:right w:w="0" w:type="dxa"/>
        </w:tblCellMar>
      </w:tblPr>
      <w:tr>
        <w:trPr>
          <w:trHeight w:val="184"/>
        </w:trPr>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Leasing</w:t>
            </w:r>
          </w:p>
        </w:tc>
        <w:tc>
          <w:tcPr>
            <w:tcW w:w="2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55"/>
        </w:trPr>
        <w:tc>
          <w:tcPr>
            <w:tcW w:w="5940" w:type="dxa"/>
            <w:vAlign w:val="bottom"/>
            <w:gridSpan w:val="3"/>
          </w:tcPr>
          <w:p>
            <w:pPr>
              <w:spacing w:after="0"/>
              <w:rPr>
                <w:sz w:val="20"/>
                <w:szCs w:val="20"/>
                <w:color w:val="auto"/>
              </w:rPr>
            </w:pPr>
            <w:r>
              <w:rPr>
                <w:rFonts w:ascii="Arial" w:cs="Arial" w:eastAsia="Arial" w:hAnsi="Arial"/>
                <w:sz w:val="16"/>
                <w:szCs w:val="16"/>
                <w:color w:val="auto"/>
              </w:rPr>
              <w:t>The portfolio leased status as of the end of the indicated quarter was as follows:</w:t>
            </w:r>
          </w:p>
        </w:tc>
        <w:tc>
          <w:tcPr>
            <w:tcW w:w="258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69"/>
        </w:trPr>
        <w:tc>
          <w:tcPr>
            <w:tcW w:w="600" w:type="dxa"/>
            <w:vAlign w:val="bottom"/>
            <w:tcBorders>
              <w:bottom w:val="single" w:sz="8" w:color="CCEEFF"/>
            </w:tcBorders>
          </w:tcPr>
          <w:p>
            <w:pPr>
              <w:spacing w:after="0"/>
              <w:rPr>
                <w:sz w:val="23"/>
                <w:szCs w:val="23"/>
                <w:color w:val="auto"/>
              </w:rPr>
            </w:pPr>
          </w:p>
        </w:tc>
        <w:tc>
          <w:tcPr>
            <w:tcW w:w="2200" w:type="dxa"/>
            <w:vAlign w:val="bottom"/>
            <w:tcBorders>
              <w:bottom w:val="single" w:sz="8" w:color="CCEEFF"/>
            </w:tcBorders>
          </w:tcPr>
          <w:p>
            <w:pPr>
              <w:spacing w:after="0"/>
              <w:rPr>
                <w:sz w:val="23"/>
                <w:szCs w:val="23"/>
                <w:color w:val="auto"/>
              </w:rPr>
            </w:pPr>
          </w:p>
        </w:tc>
        <w:tc>
          <w:tcPr>
            <w:tcW w:w="314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98"/>
              </w:rPr>
              <w:t>March 31, 2026</w:t>
            </w:r>
          </w:p>
        </w:tc>
        <w:tc>
          <w:tcPr>
            <w:tcW w:w="2580" w:type="dxa"/>
            <w:vAlign w:val="bottom"/>
            <w:tcBorders>
              <w:bottom w:val="single" w:sz="8" w:color="auto"/>
            </w:tcBorders>
          </w:tcPr>
          <w:p>
            <w:pPr>
              <w:jc w:val="center"/>
              <w:ind w:right="321"/>
              <w:spacing w:after="0"/>
              <w:rPr>
                <w:sz w:val="20"/>
                <w:szCs w:val="20"/>
                <w:color w:val="auto"/>
              </w:rPr>
            </w:pPr>
            <w:r>
              <w:rPr>
                <w:rFonts w:ascii="Arial" w:cs="Arial" w:eastAsia="Arial" w:hAnsi="Arial"/>
                <w:sz w:val="16"/>
                <w:szCs w:val="16"/>
                <w:b w:val="1"/>
                <w:bCs w:val="1"/>
                <w:color w:val="auto"/>
                <w:w w:val="98"/>
              </w:rPr>
              <w:t>December 31, 2025</w:t>
            </w:r>
          </w:p>
        </w:tc>
        <w:tc>
          <w:tcPr>
            <w:tcW w:w="274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8"/>
              </w:rPr>
              <w:t>March 31, 2025</w:t>
            </w:r>
          </w:p>
        </w:tc>
      </w:tr>
      <w:tr>
        <w:trPr>
          <w:trHeight w:val="181"/>
        </w:trPr>
        <w:tc>
          <w:tcPr>
            <w:tcW w:w="2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Total Portfolio</w:t>
            </w:r>
          </w:p>
        </w:tc>
        <w:tc>
          <w:tcPr>
            <w:tcW w:w="3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201"/>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Office</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84.5%</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83.1%</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85.5%</w:t>
            </w:r>
          </w:p>
        </w:tc>
      </w:tr>
      <w:tr>
        <w:trPr>
          <w:trHeight w:val="20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3140" w:type="dxa"/>
            <w:vAlign w:val="bottom"/>
            <w:shd w:val="clear" w:color="auto" w:fill="CCEEFF"/>
          </w:tcPr>
          <w:p>
            <w:pPr>
              <w:jc w:val="center"/>
              <w:ind w:right="221"/>
              <w:spacing w:after="0"/>
              <w:rPr>
                <w:sz w:val="20"/>
                <w:szCs w:val="20"/>
                <w:color w:val="auto"/>
              </w:rPr>
            </w:pPr>
            <w:r>
              <w:rPr>
                <w:rFonts w:ascii="Arial" w:cs="Arial" w:eastAsia="Arial" w:hAnsi="Arial"/>
                <w:sz w:val="16"/>
                <w:szCs w:val="16"/>
                <w:color w:val="auto"/>
                <w:w w:val="96"/>
              </w:rPr>
              <w:t>97.7%</w:t>
            </w:r>
          </w:p>
        </w:tc>
        <w:tc>
          <w:tcPr>
            <w:tcW w:w="2580" w:type="dxa"/>
            <w:vAlign w:val="bottom"/>
            <w:shd w:val="clear" w:color="auto" w:fill="CCEEFF"/>
          </w:tcPr>
          <w:p>
            <w:pPr>
              <w:jc w:val="center"/>
              <w:ind w:right="321"/>
              <w:spacing w:after="0"/>
              <w:rPr>
                <w:sz w:val="20"/>
                <w:szCs w:val="20"/>
                <w:color w:val="auto"/>
              </w:rPr>
            </w:pPr>
            <w:r>
              <w:rPr>
                <w:rFonts w:ascii="Arial" w:cs="Arial" w:eastAsia="Arial" w:hAnsi="Arial"/>
                <w:sz w:val="16"/>
                <w:szCs w:val="16"/>
                <w:color w:val="auto"/>
              </w:rPr>
              <w:t>97.7%</w:t>
            </w:r>
          </w:p>
        </w:tc>
        <w:tc>
          <w:tcPr>
            <w:tcW w:w="27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97.4%</w:t>
            </w:r>
          </w:p>
        </w:tc>
      </w:tr>
      <w:tr>
        <w:trPr>
          <w:trHeight w:val="201"/>
        </w:trPr>
        <w:tc>
          <w:tcPr>
            <w:tcW w:w="2800" w:type="dxa"/>
            <w:vAlign w:val="bottom"/>
            <w:gridSpan w:val="2"/>
          </w:tcPr>
          <w:p>
            <w:pPr>
              <w:ind w:left="20"/>
              <w:spacing w:after="0" w:line="201" w:lineRule="exact"/>
              <w:rPr>
                <w:sz w:val="20"/>
                <w:szCs w:val="20"/>
                <w:color w:val="auto"/>
              </w:rPr>
            </w:pPr>
            <w:r>
              <w:rPr>
                <w:rFonts w:ascii="Arial" w:cs="Arial" w:eastAsia="Arial" w:hAnsi="Arial"/>
                <w:sz w:val="16"/>
                <w:szCs w:val="16"/>
                <w:color w:val="auto"/>
              </w:rPr>
              <w:t xml:space="preserve">Multifamily </w:t>
            </w:r>
            <w:r>
              <w:rPr>
                <w:rFonts w:ascii="Arial" w:cs="Arial" w:eastAsia="Arial" w:hAnsi="Arial"/>
                <w:sz w:val="20"/>
                <w:szCs w:val="20"/>
                <w:color w:val="auto"/>
                <w:vertAlign w:val="superscript"/>
              </w:rPr>
              <w:t>(1) (2)</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94.7%</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93.7%</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91.4%</w:t>
            </w:r>
          </w:p>
        </w:tc>
      </w:tr>
      <w:tr>
        <w:trPr>
          <w:trHeight w:val="20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31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201"/>
        </w:trPr>
        <w:tc>
          <w:tcPr>
            <w:tcW w:w="2800" w:type="dxa"/>
            <w:vAlign w:val="bottom"/>
            <w:gridSpan w:val="2"/>
          </w:tcPr>
          <w:p>
            <w:pPr>
              <w:ind w:left="160"/>
              <w:spacing w:after="0"/>
              <w:rPr>
                <w:sz w:val="20"/>
                <w:szCs w:val="20"/>
                <w:color w:val="auto"/>
              </w:rPr>
            </w:pPr>
            <w:r>
              <w:rPr>
                <w:rFonts w:ascii="Arial" w:cs="Arial" w:eastAsia="Arial" w:hAnsi="Arial"/>
                <w:sz w:val="16"/>
                <w:szCs w:val="16"/>
                <w:color w:val="auto"/>
              </w:rPr>
              <w:t>Retail</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96.2%</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96.2%</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89.3%</w:t>
            </w:r>
          </w:p>
        </w:tc>
      </w:tr>
      <w:tr>
        <w:trPr>
          <w:trHeight w:val="201"/>
        </w:trPr>
        <w:tc>
          <w:tcPr>
            <w:tcW w:w="2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Hotel</w:t>
            </w:r>
          </w:p>
        </w:tc>
        <w:tc>
          <w:tcPr>
            <w:tcW w:w="3140" w:type="dxa"/>
            <w:vAlign w:val="bottom"/>
            <w:shd w:val="clear" w:color="auto" w:fill="CCEEFF"/>
          </w:tcPr>
          <w:p>
            <w:pPr>
              <w:jc w:val="center"/>
              <w:ind w:right="221"/>
              <w:spacing w:after="0"/>
              <w:rPr>
                <w:sz w:val="20"/>
                <w:szCs w:val="20"/>
                <w:color w:val="auto"/>
              </w:rPr>
            </w:pPr>
            <w:r>
              <w:rPr>
                <w:rFonts w:ascii="Arial" w:cs="Arial" w:eastAsia="Arial" w:hAnsi="Arial"/>
                <w:sz w:val="16"/>
                <w:szCs w:val="16"/>
                <w:color w:val="auto"/>
                <w:w w:val="96"/>
              </w:rPr>
              <w:t>91.9%</w:t>
            </w:r>
          </w:p>
        </w:tc>
        <w:tc>
          <w:tcPr>
            <w:tcW w:w="2580" w:type="dxa"/>
            <w:vAlign w:val="bottom"/>
            <w:shd w:val="clear" w:color="auto" w:fill="CCEEFF"/>
          </w:tcPr>
          <w:p>
            <w:pPr>
              <w:jc w:val="center"/>
              <w:ind w:right="321"/>
              <w:spacing w:after="0"/>
              <w:rPr>
                <w:sz w:val="20"/>
                <w:szCs w:val="20"/>
                <w:color w:val="auto"/>
              </w:rPr>
            </w:pPr>
            <w:r>
              <w:rPr>
                <w:rFonts w:ascii="Arial" w:cs="Arial" w:eastAsia="Arial" w:hAnsi="Arial"/>
                <w:sz w:val="16"/>
                <w:szCs w:val="16"/>
                <w:color w:val="auto"/>
              </w:rPr>
              <w:t>82.3%</w:t>
            </w:r>
          </w:p>
        </w:tc>
        <w:tc>
          <w:tcPr>
            <w:tcW w:w="27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84.6%</w:t>
            </w:r>
          </w:p>
        </w:tc>
      </w:tr>
      <w:tr>
        <w:trPr>
          <w:trHeight w:val="189"/>
        </w:trPr>
        <w:tc>
          <w:tcPr>
            <w:tcW w:w="2800" w:type="dxa"/>
            <w:vAlign w:val="bottom"/>
            <w:gridSpan w:val="2"/>
          </w:tcPr>
          <w:p>
            <w:pPr>
              <w:spacing w:after="0"/>
              <w:rPr>
                <w:sz w:val="16"/>
                <w:szCs w:val="16"/>
                <w:color w:val="auto"/>
              </w:rPr>
            </w:pPr>
          </w:p>
        </w:tc>
        <w:tc>
          <w:tcPr>
            <w:tcW w:w="3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1"/>
        </w:trPr>
        <w:tc>
          <w:tcPr>
            <w:tcW w:w="2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6"/>
                <w:szCs w:val="16"/>
                <w:b w:val="1"/>
                <w:bCs w:val="1"/>
                <w:color w:val="auto"/>
              </w:rPr>
              <w:t xml:space="preserve">Same-Store Portfolio </w:t>
            </w:r>
            <w:r>
              <w:rPr>
                <w:rFonts w:ascii="Arial" w:cs="Arial" w:eastAsia="Arial" w:hAnsi="Arial"/>
                <w:sz w:val="20"/>
                <w:szCs w:val="20"/>
                <w:color w:val="auto"/>
                <w:vertAlign w:val="superscript"/>
              </w:rPr>
              <w:t>(3)</w:t>
            </w:r>
          </w:p>
        </w:tc>
        <w:tc>
          <w:tcPr>
            <w:tcW w:w="31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201"/>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Office</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86.3%</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85.6%</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85.5%</w:t>
            </w:r>
          </w:p>
        </w:tc>
      </w:tr>
      <w:tr>
        <w:trPr>
          <w:trHeight w:val="20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3140" w:type="dxa"/>
            <w:vAlign w:val="bottom"/>
            <w:shd w:val="clear" w:color="auto" w:fill="CCEEFF"/>
          </w:tcPr>
          <w:p>
            <w:pPr>
              <w:jc w:val="center"/>
              <w:ind w:right="221"/>
              <w:spacing w:after="0"/>
              <w:rPr>
                <w:sz w:val="20"/>
                <w:szCs w:val="20"/>
                <w:color w:val="auto"/>
              </w:rPr>
            </w:pPr>
            <w:r>
              <w:rPr>
                <w:rFonts w:ascii="Arial" w:cs="Arial" w:eastAsia="Arial" w:hAnsi="Arial"/>
                <w:sz w:val="16"/>
                <w:szCs w:val="16"/>
                <w:color w:val="auto"/>
                <w:w w:val="96"/>
              </w:rPr>
              <w:t>97.7%</w:t>
            </w:r>
          </w:p>
        </w:tc>
        <w:tc>
          <w:tcPr>
            <w:tcW w:w="2580" w:type="dxa"/>
            <w:vAlign w:val="bottom"/>
            <w:shd w:val="clear" w:color="auto" w:fill="CCEEFF"/>
          </w:tcPr>
          <w:p>
            <w:pPr>
              <w:jc w:val="center"/>
              <w:ind w:right="321"/>
              <w:spacing w:after="0"/>
              <w:rPr>
                <w:sz w:val="20"/>
                <w:szCs w:val="20"/>
                <w:color w:val="auto"/>
              </w:rPr>
            </w:pPr>
            <w:r>
              <w:rPr>
                <w:rFonts w:ascii="Arial" w:cs="Arial" w:eastAsia="Arial" w:hAnsi="Arial"/>
                <w:sz w:val="16"/>
                <w:szCs w:val="16"/>
                <w:color w:val="auto"/>
              </w:rPr>
              <w:t>97.7%</w:t>
            </w:r>
          </w:p>
        </w:tc>
        <w:tc>
          <w:tcPr>
            <w:tcW w:w="27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97.4%</w:t>
            </w:r>
          </w:p>
        </w:tc>
      </w:tr>
      <w:tr>
        <w:trPr>
          <w:trHeight w:val="201"/>
        </w:trPr>
        <w:tc>
          <w:tcPr>
            <w:tcW w:w="2800" w:type="dxa"/>
            <w:vAlign w:val="bottom"/>
            <w:gridSpan w:val="2"/>
          </w:tcPr>
          <w:p>
            <w:pPr>
              <w:ind w:left="20"/>
              <w:spacing w:after="0" w:line="201" w:lineRule="exact"/>
              <w:rPr>
                <w:sz w:val="20"/>
                <w:szCs w:val="20"/>
                <w:color w:val="auto"/>
              </w:rPr>
            </w:pPr>
            <w:r>
              <w:rPr>
                <w:rFonts w:ascii="Arial" w:cs="Arial" w:eastAsia="Arial" w:hAnsi="Arial"/>
                <w:sz w:val="16"/>
                <w:szCs w:val="16"/>
                <w:color w:val="auto"/>
              </w:rPr>
              <w:t xml:space="preserve">Multifamily </w:t>
            </w:r>
            <w:r>
              <w:rPr>
                <w:rFonts w:ascii="Arial" w:cs="Arial" w:eastAsia="Arial" w:hAnsi="Arial"/>
                <w:sz w:val="20"/>
                <w:szCs w:val="20"/>
                <w:color w:val="auto"/>
                <w:vertAlign w:val="superscript"/>
              </w:rPr>
              <w:t>(1) (2)</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94.3%</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93.4%</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91.3%</w:t>
            </w:r>
          </w:p>
        </w:tc>
      </w:tr>
      <w:tr>
        <w:trPr>
          <w:trHeight w:val="20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31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201"/>
        </w:trPr>
        <w:tc>
          <w:tcPr>
            <w:tcW w:w="2800" w:type="dxa"/>
            <w:vAlign w:val="bottom"/>
            <w:gridSpan w:val="2"/>
          </w:tcPr>
          <w:p>
            <w:pPr>
              <w:ind w:left="120"/>
              <w:spacing w:after="0"/>
              <w:rPr>
                <w:sz w:val="20"/>
                <w:szCs w:val="20"/>
                <w:color w:val="auto"/>
              </w:rPr>
            </w:pPr>
            <w:r>
              <w:rPr>
                <w:rFonts w:ascii="Arial" w:cs="Arial" w:eastAsia="Arial" w:hAnsi="Arial"/>
                <w:sz w:val="16"/>
                <w:szCs w:val="16"/>
                <w:color w:val="auto"/>
              </w:rPr>
              <w:t>Retail</w:t>
            </w:r>
          </w:p>
        </w:tc>
        <w:tc>
          <w:tcPr>
            <w:tcW w:w="3140" w:type="dxa"/>
            <w:vAlign w:val="bottom"/>
          </w:tcPr>
          <w:p>
            <w:pPr>
              <w:jc w:val="center"/>
              <w:ind w:right="221"/>
              <w:spacing w:after="0"/>
              <w:rPr>
                <w:sz w:val="20"/>
                <w:szCs w:val="20"/>
                <w:color w:val="auto"/>
              </w:rPr>
            </w:pPr>
            <w:r>
              <w:rPr>
                <w:rFonts w:ascii="Arial" w:cs="Arial" w:eastAsia="Arial" w:hAnsi="Arial"/>
                <w:sz w:val="16"/>
                <w:szCs w:val="16"/>
                <w:color w:val="auto"/>
                <w:w w:val="96"/>
              </w:rPr>
              <w:t>96.2%</w:t>
            </w:r>
          </w:p>
        </w:tc>
        <w:tc>
          <w:tcPr>
            <w:tcW w:w="2580" w:type="dxa"/>
            <w:vAlign w:val="bottom"/>
          </w:tcPr>
          <w:p>
            <w:pPr>
              <w:jc w:val="center"/>
              <w:ind w:right="321"/>
              <w:spacing w:after="0"/>
              <w:rPr>
                <w:sz w:val="20"/>
                <w:szCs w:val="20"/>
                <w:color w:val="auto"/>
              </w:rPr>
            </w:pPr>
            <w:r>
              <w:rPr>
                <w:rFonts w:ascii="Arial" w:cs="Arial" w:eastAsia="Arial" w:hAnsi="Arial"/>
                <w:sz w:val="16"/>
                <w:szCs w:val="16"/>
                <w:color w:val="auto"/>
              </w:rPr>
              <w:t>96.2%</w:t>
            </w:r>
          </w:p>
        </w:tc>
        <w:tc>
          <w:tcPr>
            <w:tcW w:w="2740" w:type="dxa"/>
            <w:vAlign w:val="bottom"/>
          </w:tcPr>
          <w:p>
            <w:pPr>
              <w:jc w:val="center"/>
              <w:ind w:right="21"/>
              <w:spacing w:after="0"/>
              <w:rPr>
                <w:sz w:val="20"/>
                <w:szCs w:val="20"/>
                <w:color w:val="auto"/>
              </w:rPr>
            </w:pPr>
            <w:r>
              <w:rPr>
                <w:rFonts w:ascii="Arial" w:cs="Arial" w:eastAsia="Arial" w:hAnsi="Arial"/>
                <w:sz w:val="16"/>
                <w:szCs w:val="16"/>
                <w:color w:val="auto"/>
                <w:w w:val="96"/>
              </w:rPr>
              <w:t>89.3%</w:t>
            </w:r>
          </w:p>
        </w:tc>
      </w:tr>
      <w:tr>
        <w:trPr>
          <w:trHeight w:val="201"/>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Hotel</w:t>
            </w:r>
          </w:p>
        </w:tc>
        <w:tc>
          <w:tcPr>
            <w:tcW w:w="3140" w:type="dxa"/>
            <w:vAlign w:val="bottom"/>
            <w:shd w:val="clear" w:color="auto" w:fill="CCEEFF"/>
          </w:tcPr>
          <w:p>
            <w:pPr>
              <w:jc w:val="center"/>
              <w:ind w:right="221"/>
              <w:spacing w:after="0"/>
              <w:rPr>
                <w:sz w:val="20"/>
                <w:szCs w:val="20"/>
                <w:color w:val="auto"/>
              </w:rPr>
            </w:pPr>
            <w:r>
              <w:rPr>
                <w:rFonts w:ascii="Arial" w:cs="Arial" w:eastAsia="Arial" w:hAnsi="Arial"/>
                <w:sz w:val="16"/>
                <w:szCs w:val="16"/>
                <w:color w:val="auto"/>
                <w:w w:val="96"/>
              </w:rPr>
              <w:t>91.9%</w:t>
            </w:r>
          </w:p>
        </w:tc>
        <w:tc>
          <w:tcPr>
            <w:tcW w:w="2580" w:type="dxa"/>
            <w:vAlign w:val="bottom"/>
            <w:shd w:val="clear" w:color="auto" w:fill="CCEEFF"/>
          </w:tcPr>
          <w:p>
            <w:pPr>
              <w:jc w:val="center"/>
              <w:ind w:right="321"/>
              <w:spacing w:after="0"/>
              <w:rPr>
                <w:sz w:val="20"/>
                <w:szCs w:val="20"/>
                <w:color w:val="auto"/>
              </w:rPr>
            </w:pPr>
            <w:r>
              <w:rPr>
                <w:rFonts w:ascii="Arial" w:cs="Arial" w:eastAsia="Arial" w:hAnsi="Arial"/>
                <w:sz w:val="16"/>
                <w:szCs w:val="16"/>
                <w:color w:val="auto"/>
              </w:rPr>
              <w:t>82.3%</w:t>
            </w:r>
          </w:p>
        </w:tc>
        <w:tc>
          <w:tcPr>
            <w:tcW w:w="27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84.6%</w:t>
            </w:r>
          </w:p>
        </w:tc>
      </w:tr>
    </w:tbl>
    <w:p>
      <w:pPr>
        <w:spacing w:after="0" w:line="115" w:lineRule="exact"/>
        <w:rPr>
          <w:sz w:val="20"/>
          <w:szCs w:val="20"/>
          <w:color w:val="auto"/>
        </w:rPr>
      </w:pPr>
    </w:p>
    <w:p>
      <w:pPr>
        <w:ind w:left="285" w:hanging="285"/>
        <w:spacing w:after="0"/>
        <w:tabs>
          <w:tab w:leader="none" w:pos="285" w:val="left"/>
        </w:tabs>
        <w:numPr>
          <w:ilvl w:val="0"/>
          <w:numId w:val="4"/>
        </w:numPr>
        <w:rPr>
          <w:rFonts w:ascii="Arial" w:cs="Arial" w:eastAsia="Arial" w:hAnsi="Arial"/>
          <w:sz w:val="11"/>
          <w:szCs w:val="11"/>
          <w:color w:val="auto"/>
        </w:rPr>
      </w:pPr>
      <w:r>
        <w:rPr>
          <w:rFonts w:ascii="Arial" w:cs="Arial" w:eastAsia="Arial" w:hAnsi="Arial"/>
          <w:sz w:val="11"/>
          <w:szCs w:val="11"/>
          <w:color w:val="auto"/>
        </w:rPr>
        <w:t>Percentage leased for our multifamily properties includes total units rented and occupied as of each of the applicable dates.</w:t>
      </w:r>
    </w:p>
    <w:p>
      <w:pPr>
        <w:spacing w:after="0" w:line="17" w:lineRule="exact"/>
        <w:rPr>
          <w:rFonts w:ascii="Arial" w:cs="Arial" w:eastAsia="Arial" w:hAnsi="Arial"/>
          <w:sz w:val="11"/>
          <w:szCs w:val="11"/>
          <w:color w:val="auto"/>
        </w:rPr>
      </w:pPr>
    </w:p>
    <w:p>
      <w:pPr>
        <w:ind w:left="285" w:right="120" w:hanging="285"/>
        <w:spacing w:after="0" w:line="261" w:lineRule="auto"/>
        <w:tabs>
          <w:tab w:leader="none" w:pos="259" w:val="left"/>
        </w:tabs>
        <w:numPr>
          <w:ilvl w:val="0"/>
          <w:numId w:val="4"/>
        </w:numPr>
        <w:rPr>
          <w:rFonts w:ascii="Arial" w:cs="Arial" w:eastAsia="Arial" w:hAnsi="Arial"/>
          <w:sz w:val="11"/>
          <w:szCs w:val="11"/>
          <w:color w:val="auto"/>
        </w:rPr>
      </w:pPr>
      <w:r>
        <w:rPr>
          <w:rFonts w:ascii="Arial" w:cs="Arial" w:eastAsia="Arial" w:hAnsi="Arial"/>
          <w:sz w:val="11"/>
          <w:szCs w:val="11"/>
          <w:color w:val="auto"/>
        </w:rPr>
        <w:t>Santa Fe Park RV Resort is excluded from the multifamily presentation above to reflect traditional multifamily performance. Including Santa Fe Park RV Resort, multifamily occupancy would be 92.1%, 91.1% and 90.0% as of March 31, 2026, December 31, 2025 and March 31, 2025, respectively. Including Santa Fe Park RV Resort, multifamily same-store occupancy would be 91.5%, 90.6% and 89.7% as of March 31, 2026, December 31, 2025 and March 31, 2025, respectively.</w:t>
      </w:r>
    </w:p>
    <w:p>
      <w:pPr>
        <w:spacing w:after="0" w:line="1" w:lineRule="exact"/>
        <w:rPr>
          <w:rFonts w:ascii="Arial" w:cs="Arial" w:eastAsia="Arial" w:hAnsi="Arial"/>
          <w:sz w:val="11"/>
          <w:szCs w:val="11"/>
          <w:color w:val="auto"/>
        </w:rPr>
      </w:pPr>
    </w:p>
    <w:p>
      <w:pPr>
        <w:ind w:left="285" w:right="40" w:hanging="285"/>
        <w:spacing w:after="0" w:line="276" w:lineRule="auto"/>
        <w:tabs>
          <w:tab w:leader="none" w:pos="259" w:val="left"/>
        </w:tabs>
        <w:numPr>
          <w:ilvl w:val="0"/>
          <w:numId w:val="4"/>
        </w:numPr>
        <w:rPr>
          <w:rFonts w:ascii="Arial" w:cs="Arial" w:eastAsia="Arial" w:hAnsi="Arial"/>
          <w:sz w:val="11"/>
          <w:szCs w:val="11"/>
          <w:color w:val="auto"/>
        </w:rPr>
      </w:pPr>
      <w:r>
        <w:rPr>
          <w:rFonts w:ascii="Arial" w:cs="Arial" w:eastAsia="Arial" w:hAnsi="Arial"/>
          <w:sz w:val="11"/>
          <w:szCs w:val="11"/>
          <w:color w:val="auto"/>
        </w:rPr>
        <w:t>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spacing w:after="0" w:line="252" w:lineRule="exact"/>
        <w:rPr>
          <w:sz w:val="20"/>
          <w:szCs w:val="20"/>
          <w:color w:val="auto"/>
        </w:rPr>
      </w:pPr>
    </w:p>
    <w:p>
      <w:pPr>
        <w:ind w:left="5" w:right="580"/>
        <w:spacing w:after="0" w:line="310" w:lineRule="auto"/>
        <w:rPr>
          <w:sz w:val="20"/>
          <w:szCs w:val="20"/>
          <w:color w:val="auto"/>
        </w:rPr>
      </w:pPr>
      <w:r>
        <w:rPr>
          <w:rFonts w:ascii="Arial" w:cs="Arial" w:eastAsia="Arial" w:hAnsi="Arial"/>
          <w:sz w:val="15"/>
          <w:szCs w:val="15"/>
          <w:color w:val="auto"/>
        </w:rPr>
        <w:t>During the first quarter of 2026, the company signed 43 leases for approximately 275,300 square feet of office and retail space, as well as 337 multifamily apartment leases. Renewals accounted for 73% of the comparable office leases, 92% of the comparable retail leases, and 52% of the residential leases.</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6"/>
              </w:rPr>
              <w:t>Office and Retail</w:t>
            </w:r>
          </w:p>
        </w:tc>
        <w:tc>
          <w:tcPr>
            <w:tcW w:w="4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5"/>
        </w:trPr>
        <w:tc>
          <w:tcPr>
            <w:tcW w:w="8400" w:type="dxa"/>
            <w:vAlign w:val="bottom"/>
            <w:gridSpan w:val="5"/>
          </w:tcPr>
          <w:p>
            <w:pPr>
              <w:spacing w:after="0"/>
              <w:rPr>
                <w:sz w:val="20"/>
                <w:szCs w:val="20"/>
                <w:color w:val="auto"/>
              </w:rPr>
            </w:pPr>
            <w:r>
              <w:rPr>
                <w:rFonts w:ascii="Arial" w:cs="Arial" w:eastAsia="Arial" w:hAnsi="Arial"/>
                <w:sz w:val="16"/>
                <w:szCs w:val="16"/>
                <w:color w:val="auto"/>
              </w:rPr>
              <w:t>The annualized base rent per leased square foot as of the end of the indicated quarter was as follows:</w:t>
            </w: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2"/>
        </w:trPr>
        <w:tc>
          <w:tcPr>
            <w:tcW w:w="6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2nd Quarter 2025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3rd Quarter 2025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4th Quarter 2025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1st Quarter 2026</w:t>
            </w:r>
          </w:p>
        </w:tc>
      </w:tr>
      <w:tr>
        <w:trPr>
          <w:trHeight w:val="193"/>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Office</w:t>
            </w:r>
          </w:p>
        </w:tc>
        <w:tc>
          <w:tcPr>
            <w:tcW w:w="4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Weighted Average Portfolio</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$56.36</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$56.59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$56.69</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$56.64</w:t>
            </w:r>
          </w:p>
        </w:tc>
      </w:tr>
      <w:tr>
        <w:trPr>
          <w:trHeight w:val="217"/>
        </w:trPr>
        <w:tc>
          <w:tcPr>
            <w:tcW w:w="620" w:type="dxa"/>
            <w:vAlign w:val="bottom"/>
          </w:tcPr>
          <w:p>
            <w:pPr>
              <w:ind w:left="20"/>
              <w:spacing w:after="0"/>
              <w:rPr>
                <w:sz w:val="20"/>
                <w:szCs w:val="20"/>
                <w:color w:val="auto"/>
              </w:rPr>
            </w:pPr>
            <w:r>
              <w:rPr>
                <w:rFonts w:ascii="Arial" w:cs="Arial" w:eastAsia="Arial" w:hAnsi="Arial"/>
                <w:sz w:val="16"/>
                <w:szCs w:val="16"/>
                <w:b w:val="1"/>
                <w:bCs w:val="1"/>
                <w:color w:val="auto"/>
              </w:rPr>
              <w:t>Retail</w:t>
            </w:r>
          </w:p>
        </w:tc>
        <w:tc>
          <w:tcPr>
            <w:tcW w:w="4900" w:type="dxa"/>
            <w:vAlign w:val="bottom"/>
            <w:gridSpan w:val="2"/>
          </w:tcPr>
          <w:p>
            <w:pPr>
              <w:ind w:left="180"/>
              <w:spacing w:after="0"/>
              <w:rPr>
                <w:sz w:val="20"/>
                <w:szCs w:val="20"/>
                <w:color w:val="auto"/>
              </w:rPr>
            </w:pPr>
            <w:r>
              <w:rPr>
                <w:rFonts w:ascii="Arial" w:cs="Arial" w:eastAsia="Arial" w:hAnsi="Arial"/>
                <w:sz w:val="16"/>
                <w:szCs w:val="16"/>
                <w:color w:val="auto"/>
              </w:rPr>
              <w:t>Weighted Average Portfolio</w:t>
            </w: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$29.57</w:t>
            </w: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$29.57</w:t>
            </w: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$29.72</w:t>
            </w: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$30.04</w:t>
            </w:r>
          </w:p>
        </w:tc>
      </w:tr>
    </w:tbl>
    <w:p>
      <w:pPr>
        <w:spacing w:after="0" w:line="253" w:lineRule="exact"/>
        <w:rPr>
          <w:sz w:val="20"/>
          <w:szCs w:val="20"/>
          <w:color w:val="auto"/>
        </w:rPr>
      </w:pPr>
    </w:p>
    <w:p>
      <w:pPr>
        <w:ind w:left="5" w:right="60"/>
        <w:spacing w:after="0" w:line="268" w:lineRule="auto"/>
        <w:rPr>
          <w:sz w:val="20"/>
          <w:szCs w:val="20"/>
          <w:color w:val="auto"/>
        </w:rPr>
      </w:pPr>
      <w:r>
        <w:rPr>
          <w:rFonts w:ascii="Arial" w:cs="Arial" w:eastAsia="Arial" w:hAnsi="Arial"/>
          <w:sz w:val="16"/>
          <w:szCs w:val="16"/>
          <w:color w:val="auto"/>
        </w:rPr>
        <w:t>On a comparable basis (i.e., leases for which there was a former tenant in the past six-months) our office and retail leasing spreads as of the end of the indicated quarter are shown below:</w:t>
      </w:r>
    </w:p>
    <w:p>
      <w:pPr>
        <w:spacing w:after="0" w:line="1" w:lineRule="exact"/>
        <w:rPr>
          <w:sz w:val="20"/>
          <w:szCs w:val="20"/>
          <w:color w:val="auto"/>
        </w:rPr>
      </w:pPr>
    </w:p>
    <w:tbl>
      <w:tblPr>
        <w:tblLayout w:type="fixed"/>
        <w:tblInd w:w="165"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2nd Quarter 2025</w:t>
            </w: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3rd Quarter 2025</w:t>
            </w: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4th Quarter 2025</w:t>
            </w: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1st Quarter 2026</w:t>
            </w:r>
          </w:p>
        </w:tc>
        <w:tc>
          <w:tcPr>
            <w:tcW w:w="0" w:type="dxa"/>
            <w:vAlign w:val="bottom"/>
          </w:tcPr>
          <w:p>
            <w:pPr>
              <w:spacing w:after="0"/>
              <w:rPr>
                <w:sz w:val="1"/>
                <w:szCs w:val="1"/>
                <w:color w:val="auto"/>
              </w:rPr>
            </w:pPr>
          </w:p>
        </w:tc>
      </w:tr>
      <w:tr>
        <w:trPr>
          <w:trHeight w:val="217"/>
        </w:trPr>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rPr>
              <w:t>Office</w:t>
            </w:r>
          </w:p>
        </w:tc>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Basis % Change Over Prior Rent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(2.0)%</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0" w:type="dxa"/>
            <w:vAlign w:val="bottom"/>
          </w:tcPr>
          <w:p>
            <w:pPr>
              <w:spacing w:after="0"/>
              <w:rPr>
                <w:sz w:val="1"/>
                <w:szCs w:val="1"/>
                <w:color w:val="auto"/>
              </w:rPr>
            </w:pPr>
          </w:p>
        </w:tc>
      </w:tr>
      <w:tr>
        <w:trPr>
          <w:trHeight w:val="105"/>
        </w:trPr>
        <w:tc>
          <w:tcPr>
            <w:tcW w:w="620" w:type="dxa"/>
            <w:vAlign w:val="bottom"/>
            <w:vMerge w:val="continue"/>
          </w:tcPr>
          <w:p>
            <w:pPr>
              <w:spacing w:after="0"/>
              <w:rPr>
                <w:sz w:val="9"/>
                <w:szCs w:val="9"/>
                <w:color w:val="auto"/>
              </w:rPr>
            </w:pPr>
          </w:p>
        </w:tc>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Straight-Line Basis % Change Over Prior Rent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8"/>
              </w:rPr>
              <w:t>9.6%</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18.6%</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11.5%</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47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Retail</w:t>
            </w:r>
          </w:p>
        </w:tc>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Basis % Change Over Prior Rent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7.4%</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05"/>
        </w:trPr>
        <w:tc>
          <w:tcPr>
            <w:tcW w:w="620" w:type="dxa"/>
            <w:vAlign w:val="bottom"/>
            <w:vMerge w:val="continue"/>
          </w:tcPr>
          <w:p>
            <w:pPr>
              <w:spacing w:after="0"/>
              <w:rPr>
                <w:sz w:val="9"/>
                <w:szCs w:val="9"/>
                <w:color w:val="auto"/>
              </w:rPr>
            </w:pPr>
          </w:p>
        </w:tc>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Straight-Line Basis % Change Over Prior Rent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21.9%</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21.0%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24.3%</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47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5"/>
          </w:cols>
          <w:pgMar w:left="315" w:top="783" w:right="319" w:bottom="1440" w:gutter="0" w:footer="0" w:header="0"/>
        </w:sectPr>
      </w:pPr>
    </w:p>
    <w:bookmarkStart w:id="5" w:name="page6"/>
    <w:bookmarkEnd w:id="5"/>
    <w:p>
      <w:pPr>
        <w:ind w:left="5" w:right="520"/>
        <w:spacing w:after="0" w:line="268" w:lineRule="auto"/>
        <w:rPr>
          <w:sz w:val="20"/>
          <w:szCs w:val="20"/>
          <w:color w:val="auto"/>
        </w:rPr>
      </w:pPr>
      <w:r>
        <w:rPr>
          <w:rFonts w:ascii="Arial" w:cs="Arial" w:eastAsia="Arial" w:hAnsi="Arial"/>
          <w:sz w:val="16"/>
          <w:szCs w:val="16"/>
          <w:color w:val="auto"/>
        </w:rPr>
        <w:t>On a comparable basis (i.e., leases for which there was a former tenant in the past six-months) during the first quarter of 2026, our office and retail leasing spreads are shown below:</w:t>
      </w:r>
    </w:p>
    <w:tbl>
      <w:tblPr>
        <w:tblLayout w:type="fixed"/>
        <w:tblInd w:w="5" w:type="dxa"/>
        <w:tblCellMar>
          <w:top w:w="0" w:type="dxa"/>
          <w:left w:w="0" w:type="dxa"/>
          <w:bottom w:w="0" w:type="dxa"/>
          <w:right w:w="0" w:type="dxa"/>
        </w:tblCellMar>
      </w:tblPr>
      <w:tr>
        <w:trPr>
          <w:trHeight w:val="160"/>
        </w:trPr>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Comparable Leased</w:t>
            </w:r>
          </w:p>
        </w:tc>
        <w:tc>
          <w:tcPr>
            <w:tcW w:w="19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98"/>
              </w:rPr>
              <w:t>Average Cash Basis %</w:t>
            </w:r>
          </w:p>
        </w:tc>
        <w:tc>
          <w:tcPr>
            <w:tcW w:w="20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Average Cash</w:t>
            </w:r>
          </w:p>
        </w:tc>
        <w:tc>
          <w:tcPr>
            <w:tcW w:w="1960" w:type="dxa"/>
            <w:vAlign w:val="bottom"/>
            <w:gridSpan w:val="3"/>
            <w:vMerge w:val="restart"/>
          </w:tcPr>
          <w:p>
            <w:pPr>
              <w:jc w:val="right"/>
              <w:ind w:right="101"/>
              <w:spacing w:after="0"/>
              <w:rPr>
                <w:sz w:val="20"/>
                <w:szCs w:val="20"/>
                <w:color w:val="auto"/>
              </w:rPr>
            </w:pPr>
            <w:r>
              <w:rPr>
                <w:rFonts w:ascii="Arial" w:cs="Arial" w:eastAsia="Arial" w:hAnsi="Arial"/>
                <w:sz w:val="16"/>
                <w:szCs w:val="16"/>
                <w:b w:val="1"/>
                <w:bCs w:val="1"/>
                <w:color w:val="auto"/>
              </w:rPr>
              <w:t>Straight-Line Basis %</w:t>
            </w:r>
          </w:p>
        </w:tc>
        <w:tc>
          <w:tcPr>
            <w:tcW w:w="0" w:type="dxa"/>
            <w:vAlign w:val="bottom"/>
          </w:tcPr>
          <w:p>
            <w:pPr>
              <w:spacing w:after="0"/>
              <w:rPr>
                <w:sz w:val="1"/>
                <w:szCs w:val="1"/>
                <w:color w:val="auto"/>
              </w:rPr>
            </w:pPr>
          </w:p>
        </w:tc>
      </w:tr>
      <w:tr>
        <w:trPr>
          <w:trHeight w:val="154"/>
        </w:trPr>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940" w:type="dxa"/>
            <w:vAlign w:val="bottom"/>
            <w:gridSpan w:val="4"/>
            <w:vMerge w:val="continue"/>
          </w:tcPr>
          <w:p>
            <w:pPr>
              <w:spacing w:after="0"/>
              <w:rPr>
                <w:sz w:val="13"/>
                <w:szCs w:val="13"/>
                <w:color w:val="auto"/>
              </w:rPr>
            </w:pPr>
          </w:p>
        </w:tc>
        <w:tc>
          <w:tcPr>
            <w:tcW w:w="2000" w:type="dxa"/>
            <w:vAlign w:val="bottom"/>
            <w:gridSpan w:val="2"/>
          </w:tcPr>
          <w:p>
            <w:pPr>
              <w:jc w:val="center"/>
              <w:spacing w:after="0" w:line="154" w:lineRule="exact"/>
              <w:rPr>
                <w:sz w:val="20"/>
                <w:szCs w:val="20"/>
                <w:color w:val="auto"/>
              </w:rPr>
            </w:pPr>
            <w:r>
              <w:rPr>
                <w:rFonts w:ascii="Arial" w:cs="Arial" w:eastAsia="Arial" w:hAnsi="Arial"/>
                <w:sz w:val="16"/>
                <w:szCs w:val="16"/>
                <w:b w:val="1"/>
                <w:bCs w:val="1"/>
                <w:color w:val="auto"/>
                <w:w w:val="98"/>
              </w:rPr>
              <w:t>Contractual Rent Per Sq.</w:t>
            </w:r>
          </w:p>
        </w:tc>
        <w:tc>
          <w:tcPr>
            <w:tcW w:w="1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Office</w:t>
            </w:r>
          </w:p>
        </w:tc>
        <w:tc>
          <w:tcPr>
            <w:tcW w:w="16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Leases Signed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Sq. Ft.</w:t>
            </w: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Change Over Prior Rent</w:t>
            </w:r>
          </w:p>
        </w:tc>
        <w:tc>
          <w:tcPr>
            <w:tcW w:w="1100" w:type="dxa"/>
            <w:vAlign w:val="bottom"/>
            <w:tcBorders>
              <w:bottom w:val="single" w:sz="8" w:color="auto"/>
            </w:tcBorders>
          </w:tcPr>
          <w:p>
            <w:pPr>
              <w:jc w:val="center"/>
              <w:ind w:left="801"/>
              <w:spacing w:after="0"/>
              <w:rPr>
                <w:sz w:val="20"/>
                <w:szCs w:val="20"/>
                <w:color w:val="auto"/>
              </w:rPr>
            </w:pPr>
            <w:r>
              <w:rPr>
                <w:rFonts w:ascii="Arial" w:cs="Arial" w:eastAsia="Arial" w:hAnsi="Arial"/>
                <w:sz w:val="16"/>
                <w:szCs w:val="16"/>
                <w:b w:val="1"/>
                <w:bCs w:val="1"/>
                <w:color w:val="auto"/>
                <w:w w:val="91"/>
              </w:rPr>
              <w:t>Ft.</w:t>
            </w:r>
          </w:p>
        </w:tc>
        <w:tc>
          <w:tcPr>
            <w:tcW w:w="9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Change Over Prior Rent</w:t>
            </w:r>
          </w:p>
        </w:tc>
        <w:tc>
          <w:tcPr>
            <w:tcW w:w="0" w:type="dxa"/>
            <w:vAlign w:val="bottom"/>
          </w:tcPr>
          <w:p>
            <w:pPr>
              <w:spacing w:after="0"/>
              <w:rPr>
                <w:sz w:val="1"/>
                <w:szCs w:val="1"/>
                <w:color w:val="auto"/>
              </w:rPr>
            </w:pPr>
          </w:p>
        </w:tc>
      </w:tr>
      <w:tr>
        <w:trPr>
          <w:trHeight w:val="217"/>
        </w:trPr>
        <w:tc>
          <w:tcPr>
            <w:tcW w:w="760" w:type="dxa"/>
            <w:vAlign w:val="bottom"/>
            <w:gridSpan w:val="2"/>
            <w:vMerge w:val="continue"/>
          </w:tcPr>
          <w:p>
            <w:pPr>
              <w:spacing w:after="0"/>
              <w:rPr>
                <w:sz w:val="18"/>
                <w:szCs w:val="18"/>
                <w:color w:val="auto"/>
              </w:rPr>
            </w:pPr>
          </w:p>
        </w:tc>
        <w:tc>
          <w:tcPr>
            <w:tcW w:w="16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Q1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68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108,000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4.8%</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$58.66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30"/>
        </w:trPr>
        <w:tc>
          <w:tcPr>
            <w:tcW w:w="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Retail</w:t>
            </w:r>
          </w:p>
        </w:tc>
        <w:tc>
          <w:tcPr>
            <w:tcW w:w="1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60" w:type="dxa"/>
            <w:vAlign w:val="bottom"/>
            <w:gridSpan w:val="2"/>
            <w:vMerge w:val="continue"/>
          </w:tcPr>
          <w:p>
            <w:pPr>
              <w:spacing w:after="0"/>
              <w:rPr>
                <w:sz w:val="20"/>
                <w:szCs w:val="20"/>
                <w:color w:val="auto"/>
              </w:rPr>
            </w:pPr>
          </w:p>
        </w:tc>
        <w:tc>
          <w:tcPr>
            <w:tcW w:w="16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Q1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68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38,000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$45.70</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97"/>
        </w:trPr>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Multifamily</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00" w:type="dxa"/>
            <w:vAlign w:val="bottom"/>
            <w:gridSpan w:val="9"/>
          </w:tcPr>
          <w:p>
            <w:pPr>
              <w:spacing w:after="0"/>
              <w:rPr>
                <w:sz w:val="20"/>
                <w:szCs w:val="20"/>
                <w:color w:val="auto"/>
              </w:rPr>
            </w:pPr>
            <w:r>
              <w:rPr>
                <w:rFonts w:ascii="Arial" w:cs="Arial" w:eastAsia="Arial" w:hAnsi="Arial"/>
                <w:sz w:val="16"/>
                <w:szCs w:val="16"/>
                <w:color w:val="auto"/>
              </w:rPr>
              <w:t>The average monthly base rent per occupied unit as of the end of the indicated quarter was as follows:</w:t>
            </w: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8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6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2nd Quarter 2025</w:t>
            </w:r>
          </w:p>
        </w:tc>
        <w:tc>
          <w:tcPr>
            <w:tcW w:w="14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3rd Quarter 2025</w:t>
            </w:r>
          </w:p>
        </w:tc>
        <w:tc>
          <w:tcPr>
            <w:tcW w:w="14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4th Quarter 2025</w:t>
            </w:r>
          </w:p>
        </w:tc>
        <w:tc>
          <w:tcPr>
            <w:tcW w:w="14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1st Quarter 2026</w:t>
            </w:r>
          </w:p>
        </w:tc>
        <w:tc>
          <w:tcPr>
            <w:tcW w:w="0" w:type="dxa"/>
            <w:vAlign w:val="bottom"/>
          </w:tcPr>
          <w:p>
            <w:pPr>
              <w:spacing w:after="0"/>
              <w:rPr>
                <w:sz w:val="1"/>
                <w:szCs w:val="1"/>
                <w:color w:val="auto"/>
              </w:rPr>
            </w:pPr>
          </w:p>
        </w:tc>
      </w:tr>
      <w:tr>
        <w:trPr>
          <w:trHeight w:val="193"/>
        </w:trPr>
        <w:tc>
          <w:tcPr>
            <w:tcW w:w="368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Average Monthly Base Rent per Occupied Unit</w:t>
            </w: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Same-Store Cash Net Operating Income</w:t>
      </w:r>
    </w:p>
    <w:p>
      <w:pPr>
        <w:spacing w:after="0" w:line="55" w:lineRule="exact"/>
        <w:rPr>
          <w:sz w:val="20"/>
          <w:szCs w:val="20"/>
          <w:color w:val="auto"/>
        </w:rPr>
      </w:pPr>
    </w:p>
    <w:p>
      <w:pPr>
        <w:ind w:left="5"/>
        <w:spacing w:after="0"/>
        <w:rPr>
          <w:sz w:val="20"/>
          <w:szCs w:val="20"/>
          <w:color w:val="auto"/>
        </w:rPr>
      </w:pPr>
      <w:r>
        <w:rPr>
          <w:rFonts w:ascii="Arial" w:cs="Arial" w:eastAsia="Arial" w:hAnsi="Arial"/>
          <w:sz w:val="16"/>
          <w:szCs w:val="16"/>
          <w:color w:val="auto"/>
        </w:rPr>
        <w:t>For the three months ended March 31, 2026, same-store cash NOI remained flat, compared to the three months ended March 31, 2025. The same-store cash</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6"/>
          <w:szCs w:val="16"/>
          <w:color w:val="auto"/>
        </w:rPr>
        <w:t>NOI by segment was as follows (in thousands):</w:t>
      </w:r>
    </w:p>
    <w:p>
      <w:pPr>
        <w:spacing w:after="0" w:line="303"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6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5"/>
          </w:tcPr>
          <w:p>
            <w:pPr>
              <w:ind w:left="240"/>
              <w:spacing w:after="0"/>
              <w:rPr>
                <w:sz w:val="20"/>
                <w:szCs w:val="20"/>
                <w:color w:val="auto"/>
              </w:rPr>
            </w:pPr>
            <w:r>
              <w:rPr>
                <w:rFonts w:ascii="Arial" w:cs="Arial" w:eastAsia="Arial" w:hAnsi="Arial"/>
                <w:sz w:val="16"/>
                <w:szCs w:val="16"/>
                <w:b w:val="1"/>
                <w:bCs w:val="1"/>
                <w:color w:val="auto"/>
              </w:rPr>
              <w:t xml:space="preserve">Three Months Ended </w:t>
            </w:r>
            <w:r>
              <w:rPr>
                <w:rFonts w:ascii="Arial" w:cs="Arial" w:eastAsia="Arial" w:hAnsi="Arial"/>
                <w:sz w:val="20"/>
                <w:szCs w:val="20"/>
                <w:b w:val="1"/>
                <w:bCs w:val="1"/>
                <w:color w:val="auto"/>
                <w:vertAlign w:val="superscript"/>
              </w:rPr>
              <w:t>(1)</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restart"/>
          </w:tcPr>
          <w:p>
            <w:pPr>
              <w:jc w:val="right"/>
              <w:ind w:right="34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3"/>
        </w:trPr>
        <w:tc>
          <w:tcPr>
            <w:tcW w:w="6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9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Cash Basis: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6"/>
                <w:szCs w:val="16"/>
                <w:color w:val="auto"/>
              </w:rPr>
              <w:t>Office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35,035</w:t>
            </w:r>
          </w:p>
        </w:tc>
        <w:tc>
          <w:tcPr>
            <w:tcW w:w="120" w:type="dxa"/>
            <w:vAlign w:val="bottom"/>
          </w:tcPr>
          <w:p>
            <w:pPr>
              <w:spacing w:after="0"/>
              <w:rPr>
                <w:sz w:val="17"/>
                <w:szCs w:val="17"/>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35,074</w:t>
            </w:r>
          </w:p>
        </w:tc>
        <w:tc>
          <w:tcPr>
            <w:tcW w:w="140" w:type="dxa"/>
            <w:vAlign w:val="bottom"/>
          </w:tcPr>
          <w:p>
            <w:pPr>
              <w:spacing w:after="0"/>
              <w:rPr>
                <w:sz w:val="17"/>
                <w:szCs w:val="17"/>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6"/>
                <w:szCs w:val="16"/>
                <w:color w:val="auto"/>
              </w:rPr>
              <w:t>Multifamily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9,848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9,562</w:t>
            </w: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tcPr>
          <w:p>
            <w:pPr>
              <w:ind w:left="20"/>
              <w:spacing w:after="0" w:line="193" w:lineRule="exact"/>
              <w:rPr>
                <w:sz w:val="20"/>
                <w:szCs w:val="20"/>
                <w:color w:val="auto"/>
              </w:rPr>
            </w:pPr>
            <w:r>
              <w:rPr>
                <w:rFonts w:ascii="Arial" w:cs="Arial" w:eastAsia="Arial" w:hAnsi="Arial"/>
                <w:sz w:val="16"/>
                <w:szCs w:val="16"/>
                <w:color w:val="auto"/>
              </w:rPr>
              <w:t xml:space="preserve">Same-store Cash NOI </w:t>
            </w:r>
            <w:r>
              <w:rPr>
                <w:rFonts w:ascii="Arial" w:cs="Arial" w:eastAsia="Arial" w:hAnsi="Arial"/>
                <w:sz w:val="20"/>
                <w:szCs w:val="20"/>
                <w:color w:val="auto"/>
                <w:vertAlign w:val="superscript"/>
              </w:rPr>
              <w:t>(2)</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66,371</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66,382</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85" w:right="40" w:hanging="285"/>
        <w:spacing w:after="0" w:line="259" w:lineRule="auto"/>
        <w:tabs>
          <w:tab w:leader="none" w:pos="259" w:val="left"/>
        </w:tabs>
        <w:numPr>
          <w:ilvl w:val="0"/>
          <w:numId w:val="5"/>
        </w:numPr>
        <w:rPr>
          <w:rFonts w:ascii="Arial" w:cs="Arial" w:eastAsia="Arial" w:hAnsi="Arial"/>
          <w:sz w:val="11"/>
          <w:szCs w:val="11"/>
          <w:color w:val="auto"/>
        </w:rPr>
      </w:pPr>
      <w:r>
        <w:rPr>
          <w:rFonts w:ascii="Arial" w:cs="Arial" w:eastAsia="Arial" w:hAnsi="Arial"/>
          <w:sz w:val="11"/>
          <w:szCs w:val="11"/>
          <w:color w:val="auto"/>
        </w:rPr>
        <w:t>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5"/>
        </w:numPr>
        <w:rPr>
          <w:rFonts w:ascii="Arial" w:cs="Arial" w:eastAsia="Arial" w:hAnsi="Arial"/>
          <w:sz w:val="11"/>
          <w:szCs w:val="11"/>
          <w:color w:val="auto"/>
        </w:rPr>
      </w:pPr>
      <w:r>
        <w:rPr>
          <w:rFonts w:ascii="Arial" w:cs="Arial" w:eastAsia="Arial" w:hAnsi="Arial"/>
          <w:sz w:val="11"/>
          <w:szCs w:val="11"/>
          <w:color w:val="auto"/>
        </w:rPr>
        <w:t>Lease termination fees and tenant improvement reimbursements are excluded from same-store cash NOI to provide a more accurate measure of operating performance.</w:t>
      </w:r>
    </w:p>
    <w:p>
      <w:pPr>
        <w:spacing w:after="0" w:line="239" w:lineRule="exact"/>
        <w:rPr>
          <w:sz w:val="20"/>
          <w:szCs w:val="20"/>
          <w:color w:val="auto"/>
        </w:rPr>
      </w:pPr>
    </w:p>
    <w:p>
      <w:pPr>
        <w:ind w:left="5" w:right="480"/>
        <w:spacing w:after="0" w:line="276" w:lineRule="auto"/>
        <w:rPr>
          <w:sz w:val="20"/>
          <w:szCs w:val="20"/>
          <w:color w:val="auto"/>
        </w:rPr>
      </w:pPr>
      <w:r>
        <w:rPr>
          <w:rFonts w:ascii="Arial" w:cs="Arial" w:eastAsia="Arial" w:hAnsi="Arial"/>
          <w:sz w:val="16"/>
          <w:szCs w:val="16"/>
          <w:color w:val="auto"/>
        </w:rPr>
        <w:t>Same-store cash NOI is a non-GAAP supplemental earnings measure which the company considers meaningful in measuring its operating performance. A reconciliation of same-store cash NOI to net income is attached to this press release.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Credit Facility</w:t>
      </w:r>
    </w:p>
    <w:p>
      <w:pPr>
        <w:spacing w:after="0" w:line="55" w:lineRule="exact"/>
        <w:rPr>
          <w:sz w:val="20"/>
          <w:szCs w:val="20"/>
          <w:color w:val="auto"/>
        </w:rPr>
      </w:pPr>
    </w:p>
    <w:p>
      <w:pPr>
        <w:ind w:left="5" w:right="40"/>
        <w:spacing w:after="0" w:line="261" w:lineRule="auto"/>
        <w:rPr>
          <w:sz w:val="20"/>
          <w:szCs w:val="20"/>
          <w:color w:val="auto"/>
        </w:rPr>
      </w:pPr>
      <w:r>
        <w:rPr>
          <w:rFonts w:ascii="Arial" w:cs="Arial" w:eastAsia="Arial" w:hAnsi="Arial"/>
          <w:sz w:val="16"/>
          <w:szCs w:val="16"/>
          <w:color w:val="auto"/>
        </w:rPr>
        <w:t>On April 1, 2026, our credit facility was amended and restated to, among other things, increase the revolving line of credit from $400 million to $500 million, extend the maturity date of the restated $500 million revolving line of credit to April 1, 2030 (with two, six-month extension options), and extend the maturity of the $100 million term loan included within the credit facility to April 1, 2030 (with one, twelve-month extension option).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5"/>
          </w:cols>
          <w:pgMar w:left="315" w:top="799"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Balance Sheet and Liquidity</w:t>
      </w:r>
    </w:p>
    <w:p>
      <w:pPr>
        <w:spacing w:after="0" w:line="55"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At March 31, 2026, the company had gross real estate assets of $3.8 billion and liquidity of $518.3 million, comprised of cash and cash equivalents of $118.3 million and $400.0 million of availability on its line of credit. At March 31, 2026, the company had only 1 out of 31 assets encumbered by a mortgage.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company declared dividends on its shares of common stock of $0.340 per share for the first quarter of 2026. The dividends were paid on March 19, 2026.</w:t>
      </w:r>
    </w:p>
    <w:p>
      <w:pPr>
        <w:spacing w:after="0" w:line="218"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In addition, the company has declared a dividend on its common stock of $0.340 per share for the second quarter of 2026. The dividend will be paid in cash on June 18, 2026 to stockholders of record as of June 4, 2026.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Guidance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company affirms its guidance range for full year 2026 FFO per diluted share of $1.96 to $2.10 per share, with a midpoint of $2.03.</w:t>
      </w:r>
    </w:p>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company's guidance excludes any impact from future acquisitions, dispositions, equity issuances or repurchases, debt financing or repayments. The foregoing estimates are forward-looking and reflect management's view of current and future market conditions, including certain assumptions with respect to leasing activity, rental rates, occupancy levels, interest rates, credit spreads and the amount and timing of acquisition and development activities. The company's actual results may differ materially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55"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The company will hold a conference call to discuss the results for the first quarter of 2026 on Wednesday, April 29, 2026 at 8:00 a.m. Pacific Time (“PT”). To participate in the event by telephone, please dial 1-833-816-1162 and ask to join the American Assets Trust, Inc. conference call. A live on-demand audio webcast of the conference call will be available on the company's website at www.americanassetstrust.com. A replay of the call will also be available on the company's website.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Supplemental Information</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Supplemental financial information regarding the company's first quarter 2026 results may be found on the "Financial Reporting" tab of the “Investors” page of the company's website at </w:t>
      </w:r>
      <w:r>
        <w:rPr>
          <w:rFonts w:ascii="Arial" w:cs="Arial" w:eastAsia="Arial" w:hAnsi="Arial"/>
          <w:sz w:val="16"/>
          <w:szCs w:val="16"/>
          <w:u w:val="single" w:color="auto"/>
          <w:color w:val="0000FF"/>
        </w:rPr>
        <w:t>www.americanassetstrust.com</w:t>
      </w:r>
      <w:r>
        <w:rPr>
          <w:rFonts w:ascii="Arial" w:cs="Arial" w:eastAsia="Arial" w:hAnsi="Arial"/>
          <w:sz w:val="16"/>
          <w:szCs w:val="16"/>
          <w:color w:val="auto"/>
        </w:rPr>
        <w:t>. This supplemental information provides additional detail on items such as property occupancy, financial performance by property and debt maturity schedules.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797"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American Assets Trust,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208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17"/>
                <w:szCs w:val="17"/>
                <w:color w:val="auto"/>
              </w:rPr>
            </w:pPr>
          </w:p>
        </w:tc>
        <w:tc>
          <w:tcPr>
            <w:tcW w:w="1920" w:type="dxa"/>
            <w:vAlign w:val="bottom"/>
          </w:tcPr>
          <w:p>
            <w:pPr>
              <w:jc w:val="right"/>
              <w:ind w:right="281"/>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3"/>
        </w:trPr>
        <w:tc>
          <w:tcPr>
            <w:tcW w:w="68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i w:val="1"/>
                <w:iCs w:val="1"/>
                <w:color w:val="auto"/>
              </w:rPr>
              <w:t>(unaudited)</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 at cost</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40" w:type="dxa"/>
            <w:vAlign w:val="bottom"/>
          </w:tcPr>
          <w:p>
            <w:pPr>
              <w:ind w:left="400"/>
              <w:spacing w:after="0"/>
              <w:rPr>
                <w:sz w:val="20"/>
                <w:szCs w:val="20"/>
                <w:color w:val="auto"/>
              </w:rPr>
            </w:pPr>
            <w:r>
              <w:rPr>
                <w:rFonts w:ascii="Arial" w:cs="Arial" w:eastAsia="Arial" w:hAnsi="Arial"/>
                <w:sz w:val="16"/>
                <w:szCs w:val="16"/>
                <w:color w:val="auto"/>
              </w:rPr>
              <w:t>Operating real estate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3,703,308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3,694,203</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Construction in progress</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68,937</w:t>
            </w:r>
          </w:p>
        </w:tc>
        <w:tc>
          <w:tcPr>
            <w:tcW w:w="0" w:type="dxa"/>
            <w:vAlign w:val="bottom"/>
          </w:tcPr>
          <w:p>
            <w:pPr>
              <w:spacing w:after="0"/>
              <w:rPr>
                <w:sz w:val="1"/>
                <w:szCs w:val="1"/>
                <w:color w:val="auto"/>
              </w:rPr>
            </w:pPr>
          </w:p>
        </w:tc>
      </w:tr>
      <w:tr>
        <w:trPr>
          <w:trHeight w:val="201"/>
        </w:trPr>
        <w:tc>
          <w:tcPr>
            <w:tcW w:w="68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Held for development</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93"/>
        </w:trPr>
        <w:tc>
          <w:tcPr>
            <w:tcW w:w="6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3,779,021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3,763,627</w:t>
            </w:r>
          </w:p>
        </w:tc>
        <w:tc>
          <w:tcPr>
            <w:tcW w:w="0" w:type="dxa"/>
            <w:vAlign w:val="bottom"/>
          </w:tcPr>
          <w:p>
            <w:pPr>
              <w:spacing w:after="0"/>
              <w:rPr>
                <w:sz w:val="1"/>
                <w:szCs w:val="1"/>
                <w:color w:val="auto"/>
              </w:rPr>
            </w:pPr>
          </w:p>
        </w:tc>
      </w:tr>
      <w:tr>
        <w:trPr>
          <w:trHeight w:val="201"/>
        </w:trPr>
        <w:tc>
          <w:tcPr>
            <w:tcW w:w="68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(1,144,259)</w:t>
            </w:r>
          </w:p>
        </w:tc>
        <w:tc>
          <w:tcPr>
            <w:tcW w:w="0" w:type="dxa"/>
            <w:vAlign w:val="bottom"/>
          </w:tcPr>
          <w:p>
            <w:pPr>
              <w:spacing w:after="0"/>
              <w:rPr>
                <w:sz w:val="1"/>
                <w:szCs w:val="1"/>
                <w:color w:val="auto"/>
              </w:rPr>
            </w:pPr>
          </w:p>
        </w:tc>
      </w:tr>
      <w:tr>
        <w:trPr>
          <w:trHeight w:val="19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 estate</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2,611,396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2,619,368</w:t>
            </w:r>
          </w:p>
        </w:tc>
        <w:tc>
          <w:tcPr>
            <w:tcW w:w="0" w:type="dxa"/>
            <w:vAlign w:val="bottom"/>
          </w:tcPr>
          <w:p>
            <w:pPr>
              <w:spacing w:after="0"/>
              <w:rPr>
                <w:sz w:val="1"/>
                <w:szCs w:val="1"/>
                <w:color w:val="auto"/>
              </w:rPr>
            </w:pPr>
          </w:p>
        </w:tc>
      </w:tr>
      <w:tr>
        <w:trPr>
          <w:trHeight w:val="201"/>
        </w:trPr>
        <w:tc>
          <w:tcPr>
            <w:tcW w:w="68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118,340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129,362</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01"/>
        </w:trPr>
        <w:tc>
          <w:tcPr>
            <w:tcW w:w="6840" w:type="dxa"/>
            <w:vAlign w:val="bottom"/>
          </w:tcPr>
          <w:p>
            <w:pPr>
              <w:ind w:left="180"/>
              <w:spacing w:after="0"/>
              <w:rPr>
                <w:sz w:val="20"/>
                <w:szCs w:val="20"/>
                <w:color w:val="auto"/>
              </w:rPr>
            </w:pPr>
            <w:r>
              <w:rPr>
                <w:rFonts w:ascii="Arial" w:cs="Arial" w:eastAsia="Arial" w:hAnsi="Arial"/>
                <w:sz w:val="16"/>
                <w:szCs w:val="16"/>
                <w:color w:val="auto"/>
              </w:rPr>
              <w:t>Deferred rent receivables, net</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84,333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84,642</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80,497</w:t>
            </w:r>
          </w:p>
        </w:tc>
        <w:tc>
          <w:tcPr>
            <w:tcW w:w="0" w:type="dxa"/>
            <w:vAlign w:val="bottom"/>
          </w:tcPr>
          <w:p>
            <w:pPr>
              <w:spacing w:after="0"/>
              <w:rPr>
                <w:sz w:val="1"/>
                <w:szCs w:val="1"/>
                <w:color w:val="auto"/>
              </w:rPr>
            </w:pPr>
          </w:p>
        </w:tc>
      </w:tr>
      <w:tr>
        <w:trPr>
          <w:trHeight w:val="193"/>
        </w:trPr>
        <w:tc>
          <w:tcPr>
            <w:tcW w:w="6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2,900,567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2,921,276</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Secured notes payable, net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74,849</w:t>
            </w:r>
          </w:p>
        </w:tc>
        <w:tc>
          <w:tcPr>
            <w:tcW w:w="0" w:type="dxa"/>
            <w:vAlign w:val="bottom"/>
          </w:tcPr>
          <w:p>
            <w:pPr>
              <w:spacing w:after="0"/>
              <w:rPr>
                <w:sz w:val="1"/>
                <w:szCs w:val="1"/>
                <w:color w:val="auto"/>
              </w:rPr>
            </w:pPr>
          </w:p>
        </w:tc>
      </w:tr>
      <w:tr>
        <w:trPr>
          <w:trHeight w:val="201"/>
        </w:trPr>
        <w:tc>
          <w:tcPr>
            <w:tcW w:w="6840" w:type="dxa"/>
            <w:vAlign w:val="bottom"/>
          </w:tcPr>
          <w:p>
            <w:pPr>
              <w:ind w:left="400"/>
              <w:spacing w:after="0"/>
              <w:rPr>
                <w:sz w:val="20"/>
                <w:szCs w:val="20"/>
                <w:color w:val="auto"/>
              </w:rPr>
            </w:pPr>
            <w:r>
              <w:rPr>
                <w:rFonts w:ascii="Arial" w:cs="Arial" w:eastAsia="Arial" w:hAnsi="Arial"/>
                <w:sz w:val="16"/>
                <w:szCs w:val="16"/>
                <w:color w:val="auto"/>
              </w:rPr>
              <w:t>Unsecured notes payable, net</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1,613,295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1,612,761</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71,094</w:t>
            </w:r>
          </w:p>
        </w:tc>
        <w:tc>
          <w:tcPr>
            <w:tcW w:w="0" w:type="dxa"/>
            <w:vAlign w:val="bottom"/>
          </w:tcPr>
          <w:p>
            <w:pPr>
              <w:spacing w:after="0"/>
              <w:rPr>
                <w:sz w:val="1"/>
                <w:szCs w:val="1"/>
                <w:color w:val="auto"/>
              </w:rPr>
            </w:pPr>
          </w:p>
        </w:tc>
      </w:tr>
      <w:tr>
        <w:trPr>
          <w:trHeight w:val="201"/>
        </w:trPr>
        <w:tc>
          <w:tcPr>
            <w:tcW w:w="6840" w:type="dxa"/>
            <w:vAlign w:val="bottom"/>
          </w:tcPr>
          <w:p>
            <w:pPr>
              <w:ind w:left="400"/>
              <w:spacing w:after="0"/>
              <w:rPr>
                <w:sz w:val="20"/>
                <w:szCs w:val="20"/>
                <w:color w:val="auto"/>
              </w:rPr>
            </w:pPr>
            <w:r>
              <w:rPr>
                <w:rFonts w:ascii="Arial" w:cs="Arial" w:eastAsia="Arial" w:hAnsi="Arial"/>
                <w:sz w:val="16"/>
                <w:szCs w:val="16"/>
                <w:color w:val="auto"/>
              </w:rPr>
              <w:t>Security deposits payable</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10,063</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liabilities and deferred credits, net</w:t>
            </w: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61,304</w:t>
            </w:r>
          </w:p>
        </w:tc>
        <w:tc>
          <w:tcPr>
            <w:tcW w:w="0" w:type="dxa"/>
            <w:vAlign w:val="bottom"/>
          </w:tcPr>
          <w:p>
            <w:pPr>
              <w:spacing w:after="0"/>
              <w:rPr>
                <w:sz w:val="1"/>
                <w:szCs w:val="1"/>
                <w:color w:val="auto"/>
              </w:rPr>
            </w:pPr>
          </w:p>
        </w:tc>
      </w:tr>
      <w:tr>
        <w:trPr>
          <w:trHeight w:val="19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1,827,850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1,830,071</w:t>
            </w:r>
          </w:p>
        </w:tc>
        <w:tc>
          <w:tcPr>
            <w:tcW w:w="0" w:type="dxa"/>
            <w:vAlign w:val="bottom"/>
          </w:tcPr>
          <w:p>
            <w:pPr>
              <w:spacing w:after="0"/>
              <w:rPr>
                <w:sz w:val="1"/>
                <w:szCs w:val="1"/>
                <w:color w:val="auto"/>
              </w:rPr>
            </w:pPr>
          </w:p>
        </w:tc>
      </w:tr>
      <w:tr>
        <w:trPr>
          <w:trHeight w:val="19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40" w:type="dxa"/>
            <w:vAlign w:val="bottom"/>
          </w:tcPr>
          <w:p>
            <w:pPr>
              <w:ind w:left="18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American Assets Trust, Inc. stockholders' equity</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620"/>
              <w:spacing w:after="0" w:line="154" w:lineRule="exact"/>
              <w:rPr>
                <w:sz w:val="20"/>
                <w:szCs w:val="20"/>
                <w:color w:val="auto"/>
              </w:rPr>
            </w:pPr>
            <w:r>
              <w:rPr>
                <w:rFonts w:ascii="Arial" w:cs="Arial" w:eastAsia="Arial" w:hAnsi="Arial"/>
                <w:sz w:val="16"/>
                <w:szCs w:val="16"/>
                <w:color w:val="auto"/>
              </w:rPr>
              <w:t>Common stock, $0.01 par value, 490,000,000 shares authorized, 61,390,936 and</w:t>
            </w: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40" w:type="dxa"/>
            <w:vAlign w:val="bottom"/>
          </w:tcPr>
          <w:p>
            <w:pPr>
              <w:ind w:left="620"/>
              <w:spacing w:after="0" w:line="163" w:lineRule="exact"/>
              <w:rPr>
                <w:sz w:val="20"/>
                <w:szCs w:val="20"/>
                <w:color w:val="auto"/>
              </w:rPr>
            </w:pPr>
            <w:r>
              <w:rPr>
                <w:rFonts w:ascii="Arial" w:cs="Arial" w:eastAsia="Arial" w:hAnsi="Arial"/>
                <w:sz w:val="16"/>
                <w:szCs w:val="16"/>
                <w:color w:val="auto"/>
              </w:rPr>
              <w:t>61,390,936 shares issued and outstanding at March 31, 2026 and December 31, 2025,</w:t>
            </w: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62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1,481,552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1,479,870</w:t>
            </w:r>
          </w:p>
        </w:tc>
        <w:tc>
          <w:tcPr>
            <w:tcW w:w="0" w:type="dxa"/>
            <w:vAlign w:val="bottom"/>
          </w:tcPr>
          <w:p>
            <w:pPr>
              <w:spacing w:after="0"/>
              <w:rPr>
                <w:sz w:val="1"/>
                <w:szCs w:val="1"/>
                <w:color w:val="auto"/>
              </w:rPr>
            </w:pPr>
          </w:p>
        </w:tc>
      </w:tr>
      <w:tr>
        <w:trPr>
          <w:trHeight w:val="201"/>
        </w:trPr>
        <w:tc>
          <w:tcPr>
            <w:tcW w:w="6840" w:type="dxa"/>
            <w:vAlign w:val="bottom"/>
          </w:tcPr>
          <w:p>
            <w:pPr>
              <w:ind w:left="480"/>
              <w:spacing w:after="0"/>
              <w:rPr>
                <w:sz w:val="20"/>
                <w:szCs w:val="20"/>
                <w:color w:val="auto"/>
              </w:rPr>
            </w:pPr>
            <w:r>
              <w:rPr>
                <w:rFonts w:ascii="Arial" w:cs="Arial" w:eastAsia="Arial" w:hAnsi="Arial"/>
                <w:sz w:val="16"/>
                <w:szCs w:val="16"/>
                <w:color w:val="auto"/>
              </w:rPr>
              <w:t>Accumulated dividends in excess of net income</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(346,589)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(331,086)</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193"/>
        </w:trPr>
        <w:tc>
          <w:tcPr>
            <w:tcW w:w="6840" w:type="dxa"/>
            <w:vAlign w:val="bottom"/>
          </w:tcPr>
          <w:p>
            <w:pPr>
              <w:ind w:left="400"/>
              <w:spacing w:after="0"/>
              <w:rPr>
                <w:sz w:val="20"/>
                <w:szCs w:val="20"/>
                <w:color w:val="auto"/>
              </w:rPr>
            </w:pPr>
            <w:r>
              <w:rPr>
                <w:rFonts w:ascii="Arial" w:cs="Arial" w:eastAsia="Arial" w:hAnsi="Arial"/>
                <w:sz w:val="16"/>
                <w:szCs w:val="16"/>
                <w:color w:val="auto"/>
              </w:rPr>
              <w:t>Total American Assets Trust, Inc. stockholders' equity</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1,136,575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1,150,817</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(59,612)</w:t>
            </w:r>
          </w:p>
        </w:tc>
        <w:tc>
          <w:tcPr>
            <w:tcW w:w="0" w:type="dxa"/>
            <w:vAlign w:val="bottom"/>
          </w:tcPr>
          <w:p>
            <w:pPr>
              <w:spacing w:after="0"/>
              <w:rPr>
                <w:sz w:val="1"/>
                <w:szCs w:val="1"/>
                <w:color w:val="auto"/>
              </w:rPr>
            </w:pPr>
          </w:p>
        </w:tc>
      </w:tr>
      <w:tr>
        <w:trPr>
          <w:trHeight w:val="19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1,072,717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1,091,205</w:t>
            </w:r>
          </w:p>
        </w:tc>
        <w:tc>
          <w:tcPr>
            <w:tcW w:w="0" w:type="dxa"/>
            <w:vAlign w:val="bottom"/>
          </w:tcPr>
          <w:p>
            <w:pPr>
              <w:spacing w:after="0"/>
              <w:rPr>
                <w:sz w:val="1"/>
                <w:szCs w:val="1"/>
                <w:color w:val="auto"/>
              </w:rPr>
            </w:pPr>
          </w:p>
        </w:tc>
      </w:tr>
      <w:tr>
        <w:trPr>
          <w:trHeight w:val="21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2,900,567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2,921,276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6"/>
                <w:szCs w:val="16"/>
                <w:color w:val="auto"/>
              </w:rPr>
              <w:t>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0"/>
        </w:trPr>
        <w:tc>
          <w:tcPr>
            <w:tcW w:w="6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7"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American Assets Trust,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Shares and Per Share Data)</w:t>
      </w:r>
    </w:p>
    <w:p>
      <w:pPr>
        <w:spacing w:after="0" w:line="25"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Revenue:</w:t>
            </w:r>
          </w:p>
        </w:tc>
        <w:tc>
          <w:tcPr>
            <w:tcW w:w="2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rPr>
                <w:sz w:val="20"/>
                <w:szCs w:val="20"/>
                <w:color w:val="auto"/>
              </w:rPr>
            </w:pPr>
            <w:r>
              <w:rPr>
                <w:rFonts w:ascii="Arial" w:cs="Arial" w:eastAsia="Arial" w:hAnsi="Arial"/>
                <w:sz w:val="16"/>
                <w:szCs w:val="16"/>
                <w:color w:val="auto"/>
              </w:rPr>
              <w:t>Rental income</w:t>
            </w:r>
          </w:p>
        </w:tc>
        <w:tc>
          <w:tcPr>
            <w:tcW w:w="326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104,422</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102,951</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property income</w:t>
            </w:r>
          </w:p>
        </w:tc>
        <w:tc>
          <w:tcPr>
            <w:tcW w:w="29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6,170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193"/>
        </w:trPr>
        <w:tc>
          <w:tcPr>
            <w:tcW w:w="53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110,592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108,607</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rPr>
                <w:sz w:val="20"/>
                <w:szCs w:val="20"/>
                <w:color w:val="auto"/>
              </w:rPr>
            </w:pPr>
            <w:r>
              <w:rPr>
                <w:rFonts w:ascii="Arial" w:cs="Arial" w:eastAsia="Arial" w:hAnsi="Arial"/>
                <w:sz w:val="16"/>
                <w:szCs w:val="16"/>
                <w:color w:val="auto"/>
              </w:rPr>
              <w:t>Rental expenses</w:t>
            </w: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31,720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30,300</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 taxes</w:t>
            </w: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11,005</w:t>
            </w: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8,783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9,312</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9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32,311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193"/>
        </w:trPr>
        <w:tc>
          <w:tcPr>
            <w:tcW w:w="534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84,760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81,111</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real estate</w:t>
            </w: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44,476</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9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25,832</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71,972</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01"/>
        </w:trPr>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 net</w:t>
            </w:r>
          </w:p>
        </w:tc>
        <w:tc>
          <w:tcPr>
            <w:tcW w:w="29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19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54,107</w:t>
            </w: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rPr>
                <w:sz w:val="20"/>
                <w:szCs w:val="20"/>
                <w:color w:val="auto"/>
              </w:rPr>
            </w:pPr>
            <w:r>
              <w:rPr>
                <w:rFonts w:ascii="Arial" w:cs="Arial" w:eastAsia="Arial" w:hAnsi="Arial"/>
                <w:sz w:val="16"/>
                <w:szCs w:val="16"/>
                <w:color w:val="auto"/>
              </w:rPr>
              <w:t>Net income attributable to restricted shares</w:t>
            </w: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unitholders in the Operating Partnership</w:t>
            </w:r>
          </w:p>
        </w:tc>
        <w:tc>
          <w:tcPr>
            <w:tcW w:w="29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American Assets Trust, Inc. stockholders</w:t>
            </w:r>
          </w:p>
        </w:tc>
        <w:tc>
          <w:tcPr>
            <w:tcW w:w="292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5,134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42,535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income attributable to common stockholders per share</w:t>
            </w:r>
          </w:p>
        </w:tc>
        <w:tc>
          <w:tcPr>
            <w:tcW w:w="32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Arial" w:cs="Arial" w:eastAsia="Arial" w:hAnsi="Arial"/>
                <w:sz w:val="16"/>
                <w:szCs w:val="16"/>
                <w:color w:val="auto"/>
              </w:rPr>
              <w:t>Weighted average shares of common stock outstanding - basic</w:t>
            </w:r>
          </w:p>
        </w:tc>
        <w:tc>
          <w:tcPr>
            <w:tcW w:w="2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60,697,679</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60,537,300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rPr>
                <w:sz w:val="20"/>
                <w:szCs w:val="20"/>
                <w:color w:val="auto"/>
              </w:rPr>
            </w:pPr>
            <w:r>
              <w:rPr>
                <w:rFonts w:ascii="Arial" w:cs="Arial" w:eastAsia="Arial" w:hAnsi="Arial"/>
                <w:sz w:val="16"/>
                <w:szCs w:val="16"/>
                <w:color w:val="auto"/>
              </w:rPr>
              <w:t>Diluted income attributable to common stockholders per share</w:t>
            </w:r>
          </w:p>
        </w:tc>
        <w:tc>
          <w:tcPr>
            <w:tcW w:w="326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shares of common stock outstanding - diluted</w:t>
            </w:r>
          </w:p>
        </w:tc>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76,879,216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76,718,837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32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0.340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2521"/>
              <w:spacing w:after="0"/>
              <w:rPr>
                <w:sz w:val="20"/>
                <w:szCs w:val="20"/>
                <w:color w:val="auto"/>
              </w:rPr>
            </w:pPr>
            <w:r>
              <w:rPr>
                <w:rFonts w:ascii="Arial" w:cs="Arial" w:eastAsia="Arial" w:hAnsi="Arial"/>
                <w:sz w:val="16"/>
                <w:szCs w:val="16"/>
                <w:color w:val="auto"/>
              </w:rPr>
              <w:t>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53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7" w:right="319" w:bottom="1440" w:gutter="0" w:footer="0" w:header="0"/>
        </w:sectPr>
      </w:pPr>
    </w:p>
    <w:bookmarkStart w:id="9" w:name="page10"/>
    <w:bookmarkEnd w:id="9"/>
    <w:p>
      <w:pPr>
        <w:ind w:left="5"/>
        <w:spacing w:after="0"/>
        <w:rPr>
          <w:sz w:val="20"/>
          <w:szCs w:val="20"/>
          <w:color w:val="auto"/>
        </w:rPr>
      </w:pPr>
      <w:r>
        <w:rPr>
          <w:rFonts w:ascii="Arial" w:cs="Arial" w:eastAsia="Arial" w:hAnsi="Arial"/>
          <w:sz w:val="16"/>
          <w:szCs w:val="16"/>
          <w:b w:val="1"/>
          <w:bCs w:val="1"/>
          <w:color w:val="auto"/>
        </w:rPr>
        <w:t>Reconciliation of Net Income to Funds From Operations</w:t>
      </w:r>
    </w:p>
    <w:p>
      <w:pPr>
        <w:spacing w:after="0" w:line="21" w:lineRule="exact"/>
        <w:rPr>
          <w:sz w:val="20"/>
          <w:szCs w:val="20"/>
          <w:color w:val="auto"/>
        </w:rPr>
      </w:pPr>
    </w:p>
    <w:p>
      <w:pPr>
        <w:ind w:left="5" w:right="460"/>
        <w:spacing w:after="0" w:line="258" w:lineRule="auto"/>
        <w:rPr>
          <w:sz w:val="20"/>
          <w:szCs w:val="20"/>
          <w:color w:val="auto"/>
        </w:rPr>
      </w:pPr>
      <w:r>
        <w:rPr>
          <w:rFonts w:ascii="Arial" w:cs="Arial" w:eastAsia="Arial" w:hAnsi="Arial"/>
          <w:sz w:val="16"/>
          <w:szCs w:val="16"/>
          <w:color w:val="auto"/>
        </w:rPr>
        <w:t>The company's FFO attributable to common stockholders and operating partnership unitholders and reconciliation to net income is as follows (in thousands except shares and per share data, unaudited):</w:t>
      </w:r>
    </w:p>
    <w:p>
      <w:pPr>
        <w:spacing w:after="0" w:line="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8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4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6"/>
        </w:trPr>
        <w:tc>
          <w:tcPr>
            <w:tcW w:w="85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Funds From Operations (FFO)</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7"/>
                <w:szCs w:val="17"/>
                <w:color w:val="auto"/>
              </w:rPr>
            </w:pPr>
          </w:p>
        </w:tc>
        <w:tc>
          <w:tcPr>
            <w:tcW w:w="9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6,739</w:t>
            </w: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of real estate assets</w:t>
            </w:r>
          </w:p>
        </w:tc>
        <w:tc>
          <w:tcPr>
            <w:tcW w:w="4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32,311</w:t>
            </w:r>
          </w:p>
        </w:tc>
        <w:tc>
          <w:tcPr>
            <w:tcW w:w="0" w:type="dxa"/>
            <w:vAlign w:val="bottom"/>
          </w:tcPr>
          <w:p>
            <w:pPr>
              <w:spacing w:after="0"/>
              <w:rPr>
                <w:sz w:val="1"/>
                <w:szCs w:val="1"/>
                <w:color w:val="auto"/>
              </w:rPr>
            </w:pPr>
          </w:p>
        </w:tc>
      </w:tr>
      <w:tr>
        <w:trPr>
          <w:trHeight w:val="193"/>
        </w:trPr>
        <w:tc>
          <w:tcPr>
            <w:tcW w:w="8500" w:type="dxa"/>
            <w:vAlign w:val="bottom"/>
          </w:tcPr>
          <w:p>
            <w:pPr>
              <w:ind w:left="20"/>
              <w:spacing w:after="0"/>
              <w:rPr>
                <w:sz w:val="20"/>
                <w:szCs w:val="20"/>
                <w:color w:val="auto"/>
              </w:rPr>
            </w:pPr>
            <w:r>
              <w:rPr>
                <w:rFonts w:ascii="Arial" w:cs="Arial" w:eastAsia="Arial" w:hAnsi="Arial"/>
                <w:sz w:val="16"/>
                <w:szCs w:val="16"/>
                <w:color w:val="auto"/>
              </w:rPr>
              <w:t>FFO, as defined by NAREIT</w:t>
            </w:r>
          </w:p>
        </w:tc>
        <w:tc>
          <w:tcPr>
            <w:tcW w:w="420" w:type="dxa"/>
            <w:vAlign w:val="bottom"/>
          </w:tcPr>
          <w:p>
            <w:pPr>
              <w:spacing w:after="0"/>
              <w:rPr>
                <w:sz w:val="16"/>
                <w:szCs w:val="16"/>
                <w:color w:val="auto"/>
              </w:rPr>
            </w:pPr>
          </w:p>
        </w:tc>
        <w:tc>
          <w:tcPr>
            <w:tcW w:w="9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39,050</w:t>
            </w: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Nonforfeitable dividends on restricted stock awards</w:t>
            </w:r>
          </w:p>
        </w:tc>
        <w:tc>
          <w:tcPr>
            <w:tcW w:w="4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3"/>
        </w:trPr>
        <w:tc>
          <w:tcPr>
            <w:tcW w:w="8500" w:type="dxa"/>
            <w:vAlign w:val="bottom"/>
          </w:tcPr>
          <w:p>
            <w:pPr>
              <w:ind w:left="20"/>
              <w:spacing w:after="0"/>
              <w:rPr>
                <w:sz w:val="20"/>
                <w:szCs w:val="20"/>
                <w:color w:val="auto"/>
              </w:rPr>
            </w:pPr>
            <w:r>
              <w:rPr>
                <w:rFonts w:ascii="Arial" w:cs="Arial" w:eastAsia="Arial" w:hAnsi="Arial"/>
                <w:sz w:val="16"/>
                <w:szCs w:val="16"/>
                <w:color w:val="auto"/>
              </w:rPr>
              <w:t>FFO attributable to common stock and units</w:t>
            </w:r>
          </w:p>
        </w:tc>
        <w:tc>
          <w:tcPr>
            <w:tcW w:w="420" w:type="dxa"/>
            <w:vAlign w:val="bottom"/>
          </w:tcPr>
          <w:p>
            <w:pPr>
              <w:spacing w:after="0"/>
              <w:rPr>
                <w:sz w:val="16"/>
                <w:szCs w:val="16"/>
                <w:color w:val="auto"/>
              </w:rPr>
            </w:pPr>
          </w:p>
        </w:tc>
        <w:tc>
          <w:tcPr>
            <w:tcW w:w="9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38,834</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FFO per diluted share/unit</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500" w:type="dxa"/>
            <w:vAlign w:val="bottom"/>
          </w:tcPr>
          <w:p>
            <w:pPr>
              <w:ind w:left="20"/>
              <w:spacing w:after="0" w:line="168" w:lineRule="exact"/>
              <w:rPr>
                <w:sz w:val="20"/>
                <w:szCs w:val="20"/>
                <w:color w:val="auto"/>
              </w:rPr>
            </w:pPr>
            <w:r>
              <w:rPr>
                <w:rFonts w:ascii="Arial" w:cs="Arial" w:eastAsia="Arial" w:hAnsi="Arial"/>
                <w:sz w:val="16"/>
                <w:szCs w:val="16"/>
                <w:color w:val="auto"/>
              </w:rPr>
              <w:t>Weighted average number of common shares and units, diluted</w:t>
            </w:r>
          </w:p>
        </w:tc>
        <w:tc>
          <w:tcPr>
            <w:tcW w:w="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
              <w:spacing w:after="0" w:line="168" w:lineRule="exact"/>
              <w:rPr>
                <w:sz w:val="20"/>
                <w:szCs w:val="20"/>
                <w:color w:val="auto"/>
              </w:rPr>
            </w:pPr>
            <w:r>
              <w:rPr>
                <w:rFonts w:ascii="Arial" w:cs="Arial" w:eastAsia="Arial" w:hAnsi="Arial"/>
                <w:sz w:val="16"/>
                <w:szCs w:val="16"/>
                <w:color w:val="auto"/>
              </w:rPr>
              <w:t>76,893,750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Same-Store Cash NOI to Net Income</w:t>
            </w: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8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00" w:type="dxa"/>
            <w:vAlign w:val="bottom"/>
          </w:tcPr>
          <w:p>
            <w:pPr>
              <w:spacing w:after="0"/>
              <w:rPr>
                <w:sz w:val="20"/>
                <w:szCs w:val="20"/>
                <w:color w:val="auto"/>
              </w:rPr>
            </w:pPr>
            <w:r>
              <w:rPr>
                <w:rFonts w:ascii="Arial" w:cs="Arial" w:eastAsia="Arial" w:hAnsi="Arial"/>
                <w:sz w:val="16"/>
                <w:szCs w:val="16"/>
                <w:color w:val="auto"/>
              </w:rPr>
              <w:t>The company's reconciliation of Same-Store Cash NOI to Net Income is as follows (in thousands, unaudited):</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gridSpan w:val="4"/>
          </w:tcPr>
          <w:p>
            <w:pPr>
              <w:jc w:val="right"/>
              <w:ind w:right="441"/>
              <w:spacing w:after="0" w:line="217" w:lineRule="exact"/>
              <w:rPr>
                <w:sz w:val="20"/>
                <w:szCs w:val="20"/>
                <w:color w:val="auto"/>
              </w:rPr>
            </w:pPr>
            <w:r>
              <w:rPr>
                <w:rFonts w:ascii="Arial" w:cs="Arial" w:eastAsia="Arial" w:hAnsi="Arial"/>
                <w:sz w:val="16"/>
                <w:szCs w:val="16"/>
                <w:b w:val="1"/>
                <w:bCs w:val="1"/>
                <w:color w:val="auto"/>
              </w:rPr>
              <w:t xml:space="preserve">Three Months Ended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6"/>
        </w:trPr>
        <w:tc>
          <w:tcPr>
            <w:tcW w:w="8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Same-store cash NOI</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66,371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66,382</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Non-same-store cash NOI</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NOI</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66,086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66,962</w:t>
            </w:r>
          </w:p>
        </w:tc>
        <w:tc>
          <w:tcPr>
            <w:tcW w:w="0" w:type="dxa"/>
            <w:vAlign w:val="bottom"/>
          </w:tcPr>
          <w:p>
            <w:pPr>
              <w:spacing w:after="0"/>
              <w:rPr>
                <w:sz w:val="1"/>
                <w:szCs w:val="1"/>
                <w:color w:val="auto"/>
              </w:rPr>
            </w:pPr>
          </w:p>
        </w:tc>
      </w:tr>
      <w:tr>
        <w:trPr>
          <w:trHeight w:val="201"/>
        </w:trPr>
        <w:tc>
          <w:tcPr>
            <w:tcW w:w="8500" w:type="dxa"/>
            <w:vAlign w:val="bottom"/>
          </w:tcPr>
          <w:p>
            <w:pPr>
              <w:ind w:left="180"/>
              <w:spacing w:after="0" w:line="201" w:lineRule="exact"/>
              <w:rPr>
                <w:sz w:val="20"/>
                <w:szCs w:val="20"/>
                <w:color w:val="auto"/>
              </w:rPr>
            </w:pPr>
            <w:r>
              <w:rPr>
                <w:rFonts w:ascii="Arial" w:cs="Arial" w:eastAsia="Arial" w:hAnsi="Arial"/>
                <w:sz w:val="16"/>
                <w:szCs w:val="16"/>
                <w:color w:val="auto"/>
              </w:rPr>
              <w:t xml:space="preserve">Lease termination fees and tenant improvement reimbursements </w:t>
            </w:r>
            <w:r>
              <w:rPr>
                <w:rFonts w:ascii="Arial" w:cs="Arial" w:eastAsia="Arial" w:hAnsi="Arial"/>
                <w:sz w:val="20"/>
                <w:szCs w:val="20"/>
                <w:color w:val="auto"/>
                <w:vertAlign w:val="superscript"/>
              </w:rPr>
              <w:t>(2)</w:t>
            </w:r>
          </w:p>
        </w:tc>
        <w:tc>
          <w:tcPr>
            <w:tcW w:w="42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180"/>
              <w:spacing w:after="0" w:line="201" w:lineRule="exact"/>
              <w:rPr>
                <w:sz w:val="20"/>
                <w:szCs w:val="20"/>
                <w:color w:val="auto"/>
              </w:rPr>
            </w:pPr>
            <w:r>
              <w:rPr>
                <w:rFonts w:ascii="Arial" w:cs="Arial" w:eastAsia="Arial" w:hAnsi="Arial"/>
                <w:sz w:val="16"/>
                <w:szCs w:val="16"/>
                <w:color w:val="auto"/>
              </w:rPr>
              <w:t xml:space="preserve">Non-cash revenue and other operating expenses </w:t>
            </w:r>
            <w:r>
              <w:rPr>
                <w:rFonts w:ascii="Arial" w:cs="Arial" w:eastAsia="Arial" w:hAnsi="Arial"/>
                <w:sz w:val="20"/>
                <w:szCs w:val="20"/>
                <w:color w:val="auto"/>
                <w:vertAlign w:val="superscript"/>
              </w:rPr>
              <w:t>(3)</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1"/>
        </w:trPr>
        <w:tc>
          <w:tcPr>
            <w:tcW w:w="85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(8,783)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(9,312)</w:t>
            </w: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201"/>
        </w:trPr>
        <w:tc>
          <w:tcPr>
            <w:tcW w:w="850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real estate</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44,476</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6,739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54,107</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properties included in same-store analysis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85" w:right="40" w:hanging="285"/>
        <w:spacing w:after="0" w:line="271" w:lineRule="auto"/>
        <w:tabs>
          <w:tab w:leader="none" w:pos="259" w:val="left"/>
        </w:tabs>
        <w:numPr>
          <w:ilvl w:val="0"/>
          <w:numId w:val="6"/>
        </w:numPr>
        <w:rPr>
          <w:rFonts w:ascii="Arial" w:cs="Arial" w:eastAsia="Arial" w:hAnsi="Arial"/>
          <w:sz w:val="11"/>
          <w:szCs w:val="11"/>
          <w:color w:val="auto"/>
        </w:rPr>
      </w:pPr>
      <w:r>
        <w:rPr>
          <w:rFonts w:ascii="Arial" w:cs="Arial" w:eastAsia="Arial" w:hAnsi="Arial"/>
          <w:sz w:val="11"/>
          <w:szCs w:val="11"/>
          <w:color w:val="auto"/>
        </w:rPr>
        <w:t>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6"/>
        </w:numPr>
        <w:rPr>
          <w:rFonts w:ascii="Arial" w:cs="Arial" w:eastAsia="Arial" w:hAnsi="Arial"/>
          <w:sz w:val="11"/>
          <w:szCs w:val="11"/>
          <w:color w:val="auto"/>
        </w:rPr>
      </w:pPr>
      <w:r>
        <w:rPr>
          <w:rFonts w:ascii="Arial" w:cs="Arial" w:eastAsia="Arial" w:hAnsi="Arial"/>
          <w:sz w:val="11"/>
          <w:szCs w:val="11"/>
          <w:color w:val="auto"/>
        </w:rPr>
        <w:t>Lease termination fees and tenant improvement reimbursements are excluded from same-store cash NOI to provide a more accurate measure of operating performance.</w:t>
      </w:r>
    </w:p>
    <w:p>
      <w:pPr>
        <w:spacing w:after="0" w:line="25" w:lineRule="exact"/>
        <w:rPr>
          <w:rFonts w:ascii="Arial" w:cs="Arial" w:eastAsia="Arial" w:hAnsi="Arial"/>
          <w:sz w:val="11"/>
          <w:szCs w:val="11"/>
          <w:color w:val="auto"/>
        </w:rPr>
      </w:pPr>
    </w:p>
    <w:p>
      <w:pPr>
        <w:ind w:left="285" w:right="220" w:hanging="285"/>
        <w:spacing w:after="0" w:line="263" w:lineRule="auto"/>
        <w:tabs>
          <w:tab w:leader="none" w:pos="25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 of the Annex at The Landmark at One Market.</w:t>
      </w:r>
    </w:p>
    <w:p>
      <w:pPr>
        <w:spacing w:after="0" w:line="200" w:lineRule="exact"/>
        <w:rPr>
          <w:sz w:val="20"/>
          <w:szCs w:val="20"/>
          <w:color w:val="auto"/>
        </w:rPr>
      </w:pPr>
    </w:p>
    <w:p>
      <w:pPr>
        <w:spacing w:after="0" w:line="213" w:lineRule="exact"/>
        <w:rPr>
          <w:sz w:val="20"/>
          <w:szCs w:val="20"/>
          <w:color w:val="auto"/>
        </w:rPr>
      </w:pPr>
    </w:p>
    <w:p>
      <w:pPr>
        <w:ind w:left="5" w:right="240"/>
        <w:spacing w:after="0" w:line="276" w:lineRule="auto"/>
        <w:rPr>
          <w:sz w:val="20"/>
          <w:szCs w:val="20"/>
          <w:color w:val="auto"/>
        </w:rPr>
      </w:pPr>
      <w:r>
        <w:rPr>
          <w:rFonts w:ascii="Arial" w:cs="Arial" w:eastAsia="Arial" w:hAnsi="Arial"/>
          <w:sz w:val="16"/>
          <w:szCs w:val="16"/>
          <w:color w:val="auto"/>
        </w:rPr>
        <w:t>Reported results are preliminary and not final until the filing of the company's Form 10-Q with the Securities and Exchange Commission and, therefore, remain subject to adjustment.</w:t>
      </w:r>
    </w:p>
    <w:p>
      <w:pPr>
        <w:spacing w:after="0" w:line="200" w:lineRule="exact"/>
        <w:rPr>
          <w:sz w:val="20"/>
          <w:szCs w:val="20"/>
          <w:color w:val="auto"/>
        </w:rPr>
      </w:pPr>
    </w:p>
    <w:p>
      <w:pPr>
        <w:spacing w:after="0" w:line="24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5"/>
          </w:cols>
          <w:pgMar w:left="315" w:top="797"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Use of Non-GAAP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Funds from Operations</w:t>
      </w:r>
    </w:p>
    <w:p>
      <w:pPr>
        <w:spacing w:after="0" w:line="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company calculates FFO in accordance with the standards established by the National Association of Real Estate Investment Trusts ("NAREIT"). FFO represents net income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FFO is a supplemental non-GAAP financial measure. Management uses FFO as a supplemental performance measure because it believes that FFO is beneficial to investors as a starting point in measuring the company's operational performance. Specifically, in excluding real estate related depreciation and amortization and gains and losses from property dispositions, which do not relate to or are not indicative of operating performance, FFO provides a performance measure that, when compared year-over-year, captures trends in occupancy rates, rental rates and operating costs. The company also believes that, as a widely recognized measure of the performance of REITs, FFO will be used by investors as a basis to compare the company's operating performance with that of other REITs. However, because FFO excludes depreciation and amortization and captures neither the changes in the value of the company's properties that result from use or market conditions nor the level of capital expenditures and leasing commissions necessary to maintain the operating performance of the company's properties, all of which have real economic effects and could materially impact the company's results from operations, the utility of FFO as a measure of the company's performance is limited. In addition, other equity REITs may not calculate FFO in accordance with the NAREIT definition as the company does, and, accordingly, the company's FFO may not be comparable to such other REITs' FFO. Accordingly, FFO should be considered only as a supplement to net income as a measure of the company's performance. FFO should not be used as a measure of the company's liquidity, nor is it indicative of funds available to fund the company's cash needs, including the company's ability to pay dividends or service indebtedness. FFO also should not be used as a supplement to or substitute for cash flow from operating activities computed in accordance with GAAP.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Net Operating Income</w:t>
      </w:r>
    </w:p>
    <w:p>
      <w:pPr>
        <w:spacing w:after="0" w:line="1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 uses NOI internally to evaluate and compare the operating performance of the company's properties. The company believes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The company believes the exclusion of these items from net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Cash NOI is a non-GAAP financial measure of performance. The company defines cash NOI as operating revenues (rental income, tenant reimbursements (other than tenant improvement reimbursements), ground lease rental income and other property income) less property and 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the company's cash NOI may not be comparable to the cash NOIs of other REITs.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797"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About American Assets Trust, Inc.</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American Assets Trust, Inc. is a full service, vertically integrated and self-administered real estate investment trust ("REIT"), headquartered in San Diego, California. The company has over 55 years of experience in acquiring, improving, developing and managing premier office, retail, and residential properties throughout the United States in some of the nation’s most dynamic, high-barrier-to-entry markets primarily in Southern California, Northern California, Washington, Oregon, Texas and Hawaii. The company's office portfolio comprises approximately 4.3 million rentable square feet, and its retail portfolio comprises approximately 2.4 million rentable square feet. In addition, the company owns one mixed-use property (including approximately 94,000 rentable square feet of retail space and a 369-room all-suite hotel) and 2,302 multifamily units. In 2011, the company was formed to succeed to the real estate business of American Assets, Inc., a privately held corporation founded in 1967 and, as such, has significant experience, long-standing relationships and extensive knowledge of its core markets, submarkets and asset classes. For additional information, please visit www.americanassetstrust.com.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press release may contain forward-looking statements within the meaning of the federal securities laws, which are based on current expectations, forecasts and assumptions that involve risks and uncertainties that could cause actual outcomes and results to differ materially.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 While forward-looking statements reflect the company's good faith beliefs, assumptions and expectations, they are not guarantees of future performance. For a further discussion of these and other factors that could cause the company's future results to differ materially from any forward-looking statements, see the section entitled “Risk Factors” in the company's most recent annual report on Form 10-K, and other risks described in documents subsequently filed by the company from time to time with the Securities and Exchange Commission. The company disclaims any obligation to publicly update or revise any forward-looking statement to reflect changes in underlying assumptions or factors, of new information, data or methods, future events or other changes.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 American Assets Trust, Inc.</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and 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American Assets Trust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F. Barton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858-350-2607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97" w:right="339" w:bottom="1440" w:gutter="0" w:footer="0" w:header="0"/>
        </w:sectPr>
      </w:pPr>
    </w:p>
    <w:bookmarkStart w:id="12" w:name="page13"/>
    <w:bookmarkEnd w:id="12"/>
    <w:p>
      <w:pPr>
        <w:ind w:left="360"/>
        <w:spacing w:after="0"/>
        <w:rPr>
          <w:sz w:val="20"/>
          <w:szCs w:val="20"/>
          <w:color w:val="auto"/>
        </w:rPr>
      </w:pPr>
      <w:r>
        <w:rPr>
          <w:rFonts w:ascii="Times New Roman" w:cs="Times New Roman" w:eastAsia="Times New Roman" w:hAnsi="Times New Roman"/>
          <w:sz w:val="44"/>
          <w:szCs w:val="44"/>
          <w:b w:val="1"/>
          <w:bCs w:val="1"/>
          <w:color w:val="003399"/>
        </w:rPr>
        <w:drawing>
          <wp:anchor simplePos="0" relativeHeight="251657728" behindDoc="1" locked="0" layoutInCell="0" allowOverlap="1">
            <wp:simplePos x="0" y="0"/>
            <wp:positionH relativeFrom="page">
              <wp:posOffset>200025</wp:posOffset>
            </wp:positionH>
            <wp:positionV relativeFrom="page">
              <wp:posOffset>779780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t>FIRST QUARTER 2026</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5"/>
          <w:szCs w:val="35"/>
          <w:b w:val="1"/>
          <w:bCs w:val="1"/>
          <w:color w:val="00339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135890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608965</wp:posOffset>
            </wp:positionV>
            <wp:extent cx="7204075" cy="2147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214757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3132455</wp:posOffset>
            </wp:positionV>
            <wp:extent cx="1411605" cy="735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1605" cy="73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Investor and 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American Assets Trust,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Robert F. Barton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Executive Vice President and Chief Financial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858-350-2607</w:t>
      </w:r>
    </w:p>
    <w:p>
      <w:pPr>
        <w:sectPr>
          <w:pgSz w:w="11900" w:h="16838" w:orient="portrait"/>
          <w:cols w:equalWidth="0" w:num="1">
            <w:col w:w="10119"/>
          </w:cols>
          <w:pgMar w:left="340" w:top="1415" w:right="1440" w:bottom="1440" w:gutter="0" w:footer="0" w:header="0"/>
        </w:sectPr>
      </w:pPr>
    </w:p>
    <w:bookmarkStart w:id="13" w:name="page14"/>
    <w:bookmarkEnd w:id="13"/>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307975"/>
                    </a:xfrm>
                    <a:prstGeom prst="rect">
                      <a:avLst/>
                    </a:prstGeom>
                    <a:noFill/>
                  </pic:spPr>
                </pic:pic>
              </a:graphicData>
            </a:graphic>
          </wp:anchor>
        </w:drawing>
        <w:t>American Assets Trust, Inc.'s Portfolio is concentrated in high-barrier-to-entry markets</w:t>
      </w:r>
    </w:p>
    <w:p>
      <w:pPr>
        <w:spacing w:after="0" w:line="42"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9"/>
          <w:szCs w:val="19"/>
          <w:b w:val="1"/>
          <w:bCs w:val="1"/>
          <w:color w:val="auto"/>
        </w:rPr>
        <w:t>with favorable supply/demand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980180" cy="289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0180" cy="289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300" w:type="dxa"/>
        <w:tblCellMar>
          <w:top w:w="0" w:type="dxa"/>
          <w:left w:w="0" w:type="dxa"/>
          <w:bottom w:w="0" w:type="dxa"/>
          <w:right w:w="0" w:type="dxa"/>
        </w:tblCellMar>
      </w:tblPr>
      <w:tr>
        <w:trPr>
          <w:trHeight w:val="284"/>
        </w:trPr>
        <w:tc>
          <w:tcPr>
            <w:tcW w:w="1040" w:type="dxa"/>
            <w:vAlign w:val="bottom"/>
            <w:tcBorders>
              <w:top w:val="single" w:sz="8" w:color="auto"/>
              <w:left w:val="single" w:sz="8" w:color="auto"/>
              <w:right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Office</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1000" w:type="dxa"/>
            <w:vAlign w:val="bottom"/>
            <w:tcBorders>
              <w:top w:val="single" w:sz="8" w:color="auto"/>
              <w:bottom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Multifamily</w:t>
            </w:r>
          </w:p>
        </w:tc>
        <w:tc>
          <w:tcPr>
            <w:tcW w:w="1260" w:type="dxa"/>
            <w:vAlign w:val="bottom"/>
            <w:tcBorders>
              <w:top w:val="single" w:sz="8" w:color="auto"/>
              <w:bottom w:val="single" w:sz="8" w:color="auto"/>
              <w:right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6"/>
                <w:szCs w:val="16"/>
                <w:color w:val="auto"/>
              </w:rPr>
              <w:t>Mixed-Use</w:t>
            </w:r>
          </w:p>
        </w:tc>
        <w:tc>
          <w:tcPr>
            <w:tcW w:w="0" w:type="dxa"/>
            <w:vAlign w:val="bottom"/>
          </w:tcPr>
          <w:p>
            <w:pPr>
              <w:spacing w:after="0"/>
              <w:rPr>
                <w:sz w:val="1"/>
                <w:szCs w:val="1"/>
                <w:color w:val="auto"/>
              </w:rPr>
            </w:pPr>
          </w:p>
        </w:tc>
      </w:tr>
      <w:tr>
        <w:trPr>
          <w:trHeight w:val="15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Market</w:t>
            </w:r>
          </w:p>
        </w:tc>
        <w:tc>
          <w:tcPr>
            <w:tcW w:w="840" w:type="dxa"/>
            <w:vAlign w:val="bottom"/>
            <w:tcBorders>
              <w:right w:val="single" w:sz="8" w:color="auto"/>
            </w:tcBorders>
          </w:tcPr>
          <w:p>
            <w:pPr>
              <w:jc w:val="center"/>
              <w:ind w:left="1"/>
              <w:spacing w:after="0" w:line="153" w:lineRule="exact"/>
              <w:rPr>
                <w:sz w:val="20"/>
                <w:szCs w:val="20"/>
                <w:color w:val="auto"/>
              </w:rPr>
            </w:pPr>
            <w:r>
              <w:rPr>
                <w:rFonts w:ascii="Times New Roman" w:cs="Times New Roman" w:eastAsia="Times New Roman" w:hAnsi="Times New Roman"/>
                <w:sz w:val="16"/>
                <w:szCs w:val="16"/>
                <w:color w:val="auto"/>
                <w:w w:val="98"/>
              </w:rPr>
              <w:t>Square</w:t>
            </w:r>
          </w:p>
        </w:tc>
        <w:tc>
          <w:tcPr>
            <w:tcW w:w="840" w:type="dxa"/>
            <w:vAlign w:val="bottom"/>
            <w:tcBorders>
              <w:right w:val="single" w:sz="8" w:color="auto"/>
            </w:tcBorders>
          </w:tcPr>
          <w:p>
            <w:pPr>
              <w:jc w:val="center"/>
              <w:ind w:left="1"/>
              <w:spacing w:after="0" w:line="153" w:lineRule="exact"/>
              <w:rPr>
                <w:sz w:val="20"/>
                <w:szCs w:val="20"/>
                <w:color w:val="auto"/>
              </w:rPr>
            </w:pPr>
            <w:r>
              <w:rPr>
                <w:rFonts w:ascii="Times New Roman" w:cs="Times New Roman" w:eastAsia="Times New Roman" w:hAnsi="Times New Roman"/>
                <w:sz w:val="16"/>
                <w:szCs w:val="16"/>
                <w:color w:val="auto"/>
                <w:w w:val="98"/>
              </w:rPr>
              <w:t>Square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Units</w:t>
            </w:r>
          </w:p>
        </w:tc>
        <w:tc>
          <w:tcPr>
            <w:tcW w:w="2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right"/>
              <w:ind w:right="41"/>
              <w:spacing w:after="0" w:line="153" w:lineRule="exact"/>
              <w:rPr>
                <w:sz w:val="20"/>
                <w:szCs w:val="20"/>
                <w:color w:val="auto"/>
              </w:rPr>
            </w:pPr>
            <w:r>
              <w:rPr>
                <w:rFonts w:ascii="Times New Roman" w:cs="Times New Roman" w:eastAsia="Times New Roman" w:hAnsi="Times New Roman"/>
                <w:sz w:val="16"/>
                <w:szCs w:val="16"/>
                <w:color w:val="auto"/>
              </w:rPr>
              <w:t>Square</w:t>
            </w:r>
          </w:p>
        </w:tc>
        <w:tc>
          <w:tcPr>
            <w:tcW w:w="600" w:type="dxa"/>
            <w:vAlign w:val="bottom"/>
            <w:tcBorders>
              <w:right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Suites</w:t>
            </w:r>
          </w:p>
        </w:tc>
        <w:tc>
          <w:tcPr>
            <w:tcW w:w="0" w:type="dxa"/>
            <w:vAlign w:val="bottom"/>
          </w:tcPr>
          <w:p>
            <w:pPr>
              <w:spacing w:after="0"/>
              <w:rPr>
                <w:sz w:val="1"/>
                <w:szCs w:val="1"/>
                <w:color w:val="auto"/>
              </w:rPr>
            </w:pPr>
          </w:p>
        </w:tc>
      </w:tr>
      <w:tr>
        <w:trPr>
          <w:trHeight w:val="124"/>
        </w:trPr>
        <w:tc>
          <w:tcPr>
            <w:tcW w:w="1040" w:type="dxa"/>
            <w:vAlign w:val="bottom"/>
            <w:tcBorders>
              <w:left w:val="single" w:sz="8" w:color="auto"/>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Feet</w:t>
            </w:r>
          </w:p>
        </w:tc>
        <w:tc>
          <w:tcPr>
            <w:tcW w:w="72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Feet</w:t>
            </w:r>
          </w:p>
        </w:tc>
        <w:tc>
          <w:tcPr>
            <w:tcW w:w="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San Diego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1,802,809</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1,322,200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8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(1)</w:t>
            </w: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rPr>
              <w:t>Bellevue</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1,028,470</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Portland</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930,903</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44,236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San Antonio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588,148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7"/>
                <w:shd w:val="clear" w:color="auto" w:fill="0A2299"/>
              </w:rPr>
              <w:t>San Francisco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511,493</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35,097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Oahu</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430,288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Total</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4,273,675</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2,419,969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6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-1238250</wp:posOffset>
            </wp:positionV>
            <wp:extent cx="222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-1238250</wp:posOffset>
            </wp:positionV>
            <wp:extent cx="222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-1238250</wp:posOffset>
            </wp:positionV>
            <wp:extent cx="222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-1238250</wp:posOffset>
            </wp:positionV>
            <wp:extent cx="222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ectPr>
          <w:pgSz w:w="11900" w:h="16838" w:orient="portrait"/>
          <w:cols w:equalWidth="0" w:num="1">
            <w:col w:w="11250"/>
          </w:cols>
          <w:pgMar w:left="330" w:top="11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
        <w:spacing w:after="0" w:line="236" w:lineRule="auto"/>
        <w:rPr>
          <w:sz w:val="20"/>
          <w:szCs w:val="20"/>
          <w:color w:val="auto"/>
        </w:rPr>
      </w:pPr>
      <w:r>
        <w:rPr>
          <w:rFonts w:ascii="Times New Roman" w:cs="Times New Roman" w:eastAsia="Times New Roman" w:hAnsi="Times New Roman"/>
          <w:sz w:val="13"/>
          <w:szCs w:val="13"/>
          <w:color w:val="auto"/>
        </w:rPr>
        <w:t>Note: Circled areas represent all markets in which American Assets Trust, Inc. currently owns and operates its real estate properties. Net rentable square footage may be adjusted from the prior periods to reflect re-measurement of leased space at the properties.</w:t>
      </w: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Data is as of March 31, 2026.</w:t>
      </w:r>
    </w:p>
    <w:p>
      <w:pPr>
        <w:spacing w:after="0" w:line="28" w:lineRule="exact"/>
        <w:rPr>
          <w:sz w:val="20"/>
          <w:szCs w:val="20"/>
          <w:color w:val="auto"/>
        </w:rPr>
      </w:pPr>
    </w:p>
    <w:p>
      <w:pPr>
        <w:ind w:left="170" w:hanging="170"/>
        <w:spacing w:after="0"/>
        <w:tabs>
          <w:tab w:leader="none" w:pos="17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120 RV spaces.</w:t>
      </w:r>
    </w:p>
    <w:p>
      <w:pPr>
        <w:spacing w:after="0" w:line="27" w:lineRule="exact"/>
        <w:rPr>
          <w:rFonts w:ascii="Times New Roman" w:cs="Times New Roman" w:eastAsia="Times New Roman" w:hAnsi="Times New Roman"/>
          <w:sz w:val="13"/>
          <w:szCs w:val="13"/>
          <w:color w:val="auto"/>
        </w:rPr>
      </w:pPr>
    </w:p>
    <w:p>
      <w:pPr>
        <w:ind w:left="210" w:hanging="210"/>
        <w:spacing w:after="0" w:line="220" w:lineRule="auto"/>
        <w:tabs>
          <w:tab w:leader="none" w:pos="17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of Net Operating Income (NOI) calculated for the three months ended March 31, 2026. NOI is a non-GAAP supplemental earnings measure which we consider meaningful in measuring our operating performance. Reconciliations of NOI to net income are included in the Glossary of Terms.</w:t>
      </w:r>
    </w:p>
    <w:p>
      <w:pPr>
        <w:spacing w:after="0" w:line="14" w:lineRule="exact"/>
        <w:rPr>
          <w:rFonts w:ascii="Times New Roman" w:cs="Times New Roman" w:eastAsia="Times New Roman" w:hAnsi="Times New Roman"/>
          <w:sz w:val="13"/>
          <w:szCs w:val="13"/>
          <w:color w:val="auto"/>
        </w:rPr>
      </w:pPr>
    </w:p>
    <w:p>
      <w:pPr>
        <w:ind w:left="170" w:hanging="170"/>
        <w:spacing w:after="0"/>
        <w:tabs>
          <w:tab w:leader="none" w:pos="17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include mixed-use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360680</wp:posOffset>
            </wp:positionV>
            <wp:extent cx="71494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shd w:val="clear" w:color="auto" w:fill="999999"/>
          </w:tcPr>
          <w:p>
            <w:pPr>
              <w:spacing w:after="0"/>
              <w:rPr>
                <w:sz w:val="19"/>
                <w:szCs w:val="19"/>
                <w:color w:val="auto"/>
              </w:rPr>
            </w:pPr>
          </w:p>
        </w:tc>
        <w:tc>
          <w:tcPr>
            <w:tcW w:w="980" w:type="dxa"/>
            <w:vAlign w:val="bottom"/>
            <w:gridSpan w:val="2"/>
            <w:shd w:val="clear" w:color="auto" w:fill="999999"/>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Square Feet</w:t>
            </w:r>
          </w:p>
        </w:tc>
        <w:tc>
          <w:tcPr>
            <w:tcW w:w="740" w:type="dxa"/>
            <w:vAlign w:val="bottom"/>
            <w:shd w:val="clear" w:color="auto" w:fill="99999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999999"/>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NOI % </w:t>
            </w:r>
            <w:r>
              <w:rPr>
                <w:rFonts w:ascii="Times New Roman" w:cs="Times New Roman" w:eastAsia="Times New Roman" w:hAnsi="Times New Roman"/>
                <w:sz w:val="20"/>
                <w:szCs w:val="20"/>
                <w:b w:val="1"/>
                <w:bCs w:val="1"/>
                <w:color w:val="auto"/>
                <w:w w:val="94"/>
                <w:vertAlign w:val="superscript"/>
              </w:rPr>
              <w:t>(2)</w:t>
            </w:r>
          </w:p>
        </w:tc>
      </w:tr>
      <w:tr>
        <w:trPr>
          <w:trHeight w:val="216"/>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64%</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53%</w:t>
            </w:r>
          </w:p>
        </w:tc>
      </w:tr>
      <w:tr>
        <w:trPr>
          <w:trHeight w:val="210"/>
        </w:trPr>
        <w:tc>
          <w:tcPr>
            <w:tcW w:w="700" w:type="dxa"/>
            <w:vAlign w:val="bottom"/>
            <w:tcBorders>
              <w:bottom w:val="single" w:sz="8" w:color="auto"/>
            </w:tcBorders>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0"/>
                <w:szCs w:val="20"/>
                <w:b w:val="1"/>
                <w:bCs w:val="1"/>
                <w:color w:val="auto"/>
                <w:vertAlign w:val="superscript"/>
              </w:rPr>
              <w:t>(3)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36%</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24%</w:t>
            </w:r>
          </w:p>
        </w:tc>
      </w:tr>
      <w:tr>
        <w:trPr>
          <w:trHeight w:val="200"/>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937" w:lineRule="exact"/>
        <w:rPr>
          <w:sz w:val="20"/>
          <w:szCs w:val="20"/>
          <w:color w:val="auto"/>
        </w:rPr>
      </w:pPr>
    </w:p>
    <w:p>
      <w:pPr>
        <w:sectPr>
          <w:pgSz w:w="11900" w:h="16838" w:orient="portrait"/>
          <w:cols w:equalWidth="0" w:num="2">
            <w:col w:w="7670" w:space="40"/>
            <w:col w:w="3540"/>
          </w:cols>
          <w:pgMar w:left="330" w:top="1189" w:right="319" w:bottom="1440" w:gutter="0" w:footer="0" w:header="0"/>
          <w:type w:val="continuous"/>
        </w:sectPr>
      </w:pPr>
    </w:p>
    <w:p>
      <w:pPr>
        <w:spacing w:after="0" w:line="375" w:lineRule="exact"/>
        <w:rPr>
          <w:sz w:val="20"/>
          <w:szCs w:val="20"/>
          <w:color w:val="auto"/>
        </w:rPr>
      </w:pPr>
    </w:p>
    <w:p>
      <w:pPr>
        <w:ind w:left="10"/>
        <w:spacing w:after="0"/>
        <w:tabs>
          <w:tab w:leader="none" w:pos="10789"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w:t>
      </w:r>
    </w:p>
    <w:p>
      <w:pPr>
        <w:sectPr>
          <w:pgSz w:w="11900" w:h="16838" w:orient="portrait"/>
          <w:cols w:equalWidth="0" w:num="1">
            <w:col w:w="11250"/>
          </w:cols>
          <w:pgMar w:left="330" w:top="1189" w:right="31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26605" cy="307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307975"/>
                    </a:xfrm>
                    <a:prstGeom prst="rect">
                      <a:avLst/>
                    </a:prstGeom>
                    <a:noFill/>
                  </pic:spPr>
                </pic:pic>
              </a:graphicData>
            </a:graphic>
          </wp:anchor>
        </w:drawing>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266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152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FIRST QUARTER 2026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081520" cy="112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1520" cy="112395"/>
                    </a:xfrm>
                    <a:prstGeom prst="rect">
                      <a:avLst/>
                    </a:prstGeom>
                    <a:noFill/>
                  </pic:spPr>
                </pic:pic>
              </a:graphicData>
            </a:graphic>
          </wp:anchor>
        </w:drawing>
      </w:r>
    </w:p>
    <w:p>
      <w:pPr>
        <w:spacing w:after="0" w:line="8" w:lineRule="exact"/>
        <w:rPr>
          <w:sz w:val="20"/>
          <w:szCs w:val="20"/>
          <w:color w:val="auto"/>
        </w:rPr>
      </w:pPr>
    </w:p>
    <w:p>
      <w:pPr>
        <w:ind w:left="320" w:hanging="310"/>
        <w:spacing w:after="0"/>
        <w:tabs>
          <w:tab w:leader="none" w:pos="32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HIGHLIGHTS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Consolidated Balance Sheets</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5</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Consolidated Statements of Operations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6</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Funds From Operations (FFO), FFO As Adjusted &amp; Funds Available for Distribution</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7</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Same-Store Net Operating Income (NOI)</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9</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Same-Store Cash NOI Comparison</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10</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NOI By Region</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11</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NOI Breakdown</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12</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Revenue and Operating Expenses</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13</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Segment Capital Expenditures</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16</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Summary of Outstanding Debt</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17</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Market Capitalization</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18</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Summary of Development Opportunities</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19</w:t>
            </w:r>
          </w:p>
        </w:tc>
      </w:tr>
      <w:tr>
        <w:trPr>
          <w:trHeight w:val="183"/>
        </w:trPr>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81"/>
              </w:rPr>
              <w:t>2.</w:t>
            </w: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PORTFOLIO DATA</w:t>
            </w:r>
          </w:p>
        </w:tc>
        <w:tc>
          <w:tcPr>
            <w:tcW w:w="3320" w:type="dxa"/>
            <w:vAlign w:val="bottom"/>
            <w:shd w:val="clear" w:color="auto" w:fill="CCEEFF"/>
          </w:tcPr>
          <w:p>
            <w:pPr>
              <w:spacing w:after="0"/>
              <w:rPr>
                <w:sz w:val="15"/>
                <w:szCs w:val="15"/>
                <w:color w:val="auto"/>
              </w:rPr>
            </w:pP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Report</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21</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Office and Retail Leasing Summary</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24</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 Leasing Summary</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25</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Mixed-Use Leasing Summary</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27</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Expirations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28</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Portfolio Leased Statistics</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30</w:t>
            </w:r>
          </w:p>
        </w:tc>
      </w:tr>
      <w:tr>
        <w:trPr>
          <w:trHeight w:val="172"/>
        </w:trPr>
        <w:tc>
          <w:tcPr>
            <w:tcW w:w="220" w:type="dxa"/>
            <w:vAlign w:val="bottom"/>
          </w:tcPr>
          <w:p>
            <w:pPr>
              <w:spacing w:after="0"/>
              <w:rPr>
                <w:sz w:val="14"/>
                <w:szCs w:val="14"/>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Top Tenants - Office</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31</w:t>
            </w:r>
          </w:p>
        </w:tc>
      </w:tr>
      <w:tr>
        <w:trPr>
          <w:trHeight w:val="183"/>
        </w:trPr>
        <w:tc>
          <w:tcPr>
            <w:tcW w:w="220" w:type="dxa"/>
            <w:vAlign w:val="bottom"/>
            <w:shd w:val="clear" w:color="auto" w:fill="CCEEFF"/>
          </w:tcPr>
          <w:p>
            <w:pPr>
              <w:spacing w:after="0"/>
              <w:rPr>
                <w:sz w:val="15"/>
                <w:szCs w:val="15"/>
                <w:color w:val="auto"/>
              </w:rPr>
            </w:pPr>
          </w:p>
        </w:tc>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Top Tenants - Retail</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32</w:t>
            </w:r>
          </w:p>
        </w:tc>
      </w:tr>
    </w:tbl>
    <w:p>
      <w:pPr>
        <w:ind w:left="320" w:hanging="310"/>
        <w:spacing w:after="0"/>
        <w:tabs>
          <w:tab w:leader="none" w:pos="32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APPENDIX</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Glossary of Terms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34</w:t>
            </w:r>
          </w:p>
        </w:tc>
      </w:tr>
    </w:tbl>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This Supplemental Information contains forward-looking statements within the meaning of the Private Securities Litigation Reform Act of 1995 (set forth in Section 27A of the Securities Act of 1933, as amended, or the Securities Act, and Section 21E of the Securities Exchange Act of 1934, as amended, or the Exchange Act). 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w:t>
      </w:r>
    </w:p>
    <w:p>
      <w:pPr>
        <w:spacing w:after="0" w:line="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refer to our most recent Annual Report on Form 10-K and other risks described in documents subsequently filed by us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418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74" w:lineRule="exact"/>
        <w:rPr>
          <w:sz w:val="20"/>
          <w:szCs w:val="20"/>
          <w:color w:val="auto"/>
        </w:rPr>
      </w:pPr>
    </w:p>
    <w:p>
      <w:pPr>
        <w:ind w:left="20"/>
        <w:spacing w:after="0"/>
        <w:tabs>
          <w:tab w:leader="none" w:pos="1078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w:t>
      </w:r>
    </w:p>
    <w:p>
      <w:pPr>
        <w:sectPr>
          <w:pgSz w:w="11900" w:h="16838" w:orient="portrait"/>
          <w:cols w:equalWidth="0" w:num="1">
            <w:col w:w="11240"/>
          </w:cols>
          <w:pgMar w:left="320" w:top="40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845" cy="3079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723900</wp:posOffset>
            </wp:positionV>
            <wp:extent cx="71418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076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4</w:t>
      </w:r>
    </w:p>
    <w:p>
      <w:pPr>
        <w:sectPr>
          <w:pgSz w:w="11900" w:h="16838" w:orient="portrait"/>
          <w:cols w:equalWidth="0" w:num="1">
            <w:col w:w="11200"/>
          </w:cols>
          <w:pgMar w:left="340" w:top="1440" w:right="35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285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85115"/>
                    </a:xfrm>
                    <a:prstGeom prst="rect">
                      <a:avLst/>
                    </a:prstGeom>
                    <a:noFill/>
                  </pic:spPr>
                </pic:pic>
              </a:graphicData>
            </a:graphic>
          </wp:anchor>
        </w:drawing>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shares and per share data)</w:t>
            </w:r>
          </w:p>
        </w:tc>
        <w:tc>
          <w:tcPr>
            <w:tcW w:w="360" w:type="dxa"/>
            <w:vAlign w:val="bottom"/>
          </w:tcPr>
          <w:p>
            <w:pPr>
              <w:spacing w:after="0"/>
              <w:rPr>
                <w:sz w:val="16"/>
                <w:szCs w:val="16"/>
                <w:color w:val="auto"/>
              </w:rPr>
            </w:pP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003366"/>
                <w:w w:val="99"/>
              </w:rPr>
              <w:t>March 31, 2026</w:t>
            </w:r>
          </w:p>
        </w:tc>
        <w:tc>
          <w:tcPr>
            <w:tcW w:w="18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003366"/>
              </w:rPr>
              <w:t>December 31, 2025</w:t>
            </w:r>
          </w:p>
        </w:tc>
        <w:tc>
          <w:tcPr>
            <w:tcW w:w="0" w:type="dxa"/>
            <w:vAlign w:val="bottom"/>
          </w:tcPr>
          <w:p>
            <w:pPr>
              <w:spacing w:after="0"/>
              <w:rPr>
                <w:sz w:val="1"/>
                <w:szCs w:val="1"/>
                <w:color w:val="auto"/>
              </w:rPr>
            </w:pPr>
          </w:p>
        </w:tc>
      </w:tr>
      <w:tr>
        <w:trPr>
          <w:trHeight w:val="110"/>
        </w:trPr>
        <w:tc>
          <w:tcPr>
            <w:tcW w:w="7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Borders>
              <w:top w:val="single" w:sz="8" w:color="003366"/>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Borders>
              <w:top w:val="single" w:sz="8" w:color="003366"/>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b w:val="1"/>
                <w:bCs w:val="1"/>
                <w:color w:val="003366"/>
                <w:w w:val="97"/>
              </w:rPr>
              <w:t>(unaudited)</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at cost</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real estate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3,703,308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3,694,203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75,226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Held for development</w:t>
            </w:r>
          </w:p>
        </w:tc>
        <w:tc>
          <w:tcPr>
            <w:tcW w:w="3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3,779,021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3,763,627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(1,167,625)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(1,144,259)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 estate</w:t>
            </w:r>
          </w:p>
        </w:tc>
        <w:tc>
          <w:tcPr>
            <w:tcW w:w="36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2,611,396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2,619,368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118,340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129,362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rent receivable, net</w:t>
            </w: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84,333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84,642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 net</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79,770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80,497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2,900,567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2,921,276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Secured notes payable, net</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74,872</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Unsecured notes payable, net</w:t>
            </w: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1,613,295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1,612,761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68,901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71,094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Security deposits payable</w:t>
            </w: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10,063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liabilities and deferred credits, net</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60,279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61,304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1,827,850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1,830,071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2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American Assets Trust, Inc. stockholders' equity</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CEEFF"/>
          </w:tcPr>
          <w:p>
            <w:pPr>
              <w:ind w:left="760"/>
              <w:spacing w:after="0" w:line="154" w:lineRule="exact"/>
              <w:rPr>
                <w:sz w:val="20"/>
                <w:szCs w:val="20"/>
                <w:color w:val="auto"/>
              </w:rPr>
            </w:pPr>
            <w:r>
              <w:rPr>
                <w:rFonts w:ascii="Times New Roman" w:cs="Times New Roman" w:eastAsia="Times New Roman" w:hAnsi="Times New Roman"/>
                <w:sz w:val="16"/>
                <w:szCs w:val="16"/>
                <w:color w:val="auto"/>
              </w:rPr>
              <w:t>Common stock, $0.01 par value, 490,000,000 shares authorized, 61,390,936 and 61,390,936 shares issued</w:t>
            </w: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and outstanding at March 31, 2026 and December 31, 2025, respectively</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3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1,481,552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1,479,870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Accumulated dividends in excess of net income</w:t>
            </w:r>
          </w:p>
        </w:tc>
        <w:tc>
          <w:tcPr>
            <w:tcW w:w="3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(346,589)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(331,086)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American Assets Trust, Inc. stockholders' equity</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1,136,575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1,150,817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(63,858)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(59,612)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equity</w:t>
            </w:r>
          </w:p>
        </w:tc>
        <w:tc>
          <w:tcPr>
            <w:tcW w:w="3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1,072,717</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1,091,205</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2,900,567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2,921,276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620" w:type="dxa"/>
            <w:vAlign w:val="bottom"/>
            <w:tcBorders>
              <w:top w:val="single" w:sz="8" w:color="003366"/>
            </w:tcBorders>
          </w:tcPr>
          <w:p>
            <w:pPr>
              <w:ind w:left="20"/>
              <w:spacing w:after="0"/>
              <w:rPr>
                <w:sz w:val="20"/>
                <w:szCs w:val="20"/>
                <w:color w:val="auto"/>
              </w:rPr>
            </w:pPr>
            <w:r>
              <w:rPr>
                <w:rFonts w:ascii="Times New Roman" w:cs="Times New Roman" w:eastAsia="Times New Roman" w:hAnsi="Times New Roman"/>
                <w:sz w:val="16"/>
                <w:szCs w:val="16"/>
                <w:color w:val="003366"/>
              </w:rPr>
              <w:t>First Quarter 2026 Supplemental Information</w:t>
            </w:r>
          </w:p>
        </w:tc>
        <w:tc>
          <w:tcPr>
            <w:tcW w:w="360" w:type="dxa"/>
            <w:vAlign w:val="bottom"/>
            <w:tcBorders>
              <w:top w:val="single" w:sz="8" w:color="003366"/>
            </w:tcBorders>
          </w:tcPr>
          <w:p>
            <w:pPr>
              <w:spacing w:after="0"/>
              <w:rPr>
                <w:sz w:val="17"/>
                <w:szCs w:val="17"/>
                <w:color w:val="auto"/>
              </w:rPr>
            </w:pPr>
          </w:p>
        </w:tc>
        <w:tc>
          <w:tcPr>
            <w:tcW w:w="1060" w:type="dxa"/>
            <w:vAlign w:val="bottom"/>
            <w:tcBorders>
              <w:top w:val="single" w:sz="8" w:color="003366"/>
            </w:tcBorders>
          </w:tcPr>
          <w:p>
            <w:pPr>
              <w:spacing w:after="0"/>
              <w:rPr>
                <w:sz w:val="17"/>
                <w:szCs w:val="17"/>
                <w:color w:val="auto"/>
              </w:rPr>
            </w:pPr>
          </w:p>
        </w:tc>
        <w:tc>
          <w:tcPr>
            <w:tcW w:w="36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80" w:type="dxa"/>
            <w:vAlign w:val="bottom"/>
            <w:tcBorders>
              <w:top w:val="single" w:sz="8" w:color="003366"/>
            </w:tcBorders>
          </w:tcPr>
          <w:p>
            <w:pPr>
              <w:spacing w:after="0"/>
              <w:rPr>
                <w:sz w:val="17"/>
                <w:szCs w:val="17"/>
                <w:color w:val="auto"/>
              </w:rPr>
            </w:pPr>
          </w:p>
        </w:tc>
        <w:tc>
          <w:tcPr>
            <w:tcW w:w="60" w:type="dxa"/>
            <w:vAlign w:val="bottom"/>
            <w:tcBorders>
              <w:top w:val="single" w:sz="8" w:color="003366"/>
            </w:tcBorders>
          </w:tcPr>
          <w:p>
            <w:pPr>
              <w:spacing w:after="0"/>
              <w:rPr>
                <w:sz w:val="17"/>
                <w:szCs w:val="17"/>
                <w:color w:val="auto"/>
              </w:rPr>
            </w:pPr>
          </w:p>
        </w:tc>
        <w:tc>
          <w:tcPr>
            <w:tcW w:w="1520" w:type="dxa"/>
            <w:vAlign w:val="bottom"/>
            <w:tcBorders>
              <w:top w:val="single" w:sz="8" w:color="003366"/>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003366"/>
              </w:rPr>
              <w:t>Page 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66" w:right="31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00" w:type="dxa"/>
            <w:vAlign w:val="bottom"/>
          </w:tcPr>
          <w:p>
            <w:pPr>
              <w:spacing w:after="0"/>
              <w:rPr>
                <w:sz w:val="17"/>
                <w:szCs w:val="17"/>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003366"/>
              </w:rPr>
              <w:t>Three Months Ended</w:t>
            </w:r>
          </w:p>
        </w:tc>
      </w:tr>
      <w:tr>
        <w:trPr>
          <w:trHeight w:val="208"/>
        </w:trPr>
        <w:tc>
          <w:tcPr>
            <w:tcW w:w="9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March 31,</w:t>
            </w: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3"/>
        </w:trPr>
        <w:tc>
          <w:tcPr>
            <w:tcW w:w="9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003366"/>
              </w:rPr>
              <w:t>2025</w:t>
            </w:r>
          </w:p>
        </w:tc>
        <w:tc>
          <w:tcPr>
            <w:tcW w:w="20" w:type="dxa"/>
            <w:vAlign w:val="bottom"/>
            <w:tcBorders>
              <w:bottom w:val="single" w:sz="8" w:color="auto"/>
            </w:tcBorders>
          </w:tcPr>
          <w:p>
            <w:pPr>
              <w:spacing w:after="0"/>
              <w:rPr>
                <w:sz w:val="16"/>
                <w:szCs w:val="16"/>
                <w:color w:val="auto"/>
              </w:rPr>
            </w:pPr>
          </w:p>
        </w:tc>
      </w:tr>
      <w:tr>
        <w:trPr>
          <w:trHeight w:val="181"/>
        </w:trPr>
        <w:tc>
          <w:tcPr>
            <w:tcW w:w="9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1"/>
        </w:trPr>
        <w:tc>
          <w:tcPr>
            <w:tcW w:w="9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 income</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104,422</w:t>
            </w:r>
          </w:p>
        </w:tc>
        <w:tc>
          <w:tcPr>
            <w:tcW w:w="8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102,951</w:t>
            </w:r>
          </w:p>
        </w:tc>
        <w:tc>
          <w:tcPr>
            <w:tcW w:w="20" w:type="dxa"/>
            <w:vAlign w:val="bottom"/>
          </w:tcPr>
          <w:p>
            <w:pPr>
              <w:spacing w:after="0"/>
              <w:rPr>
                <w:sz w:val="17"/>
                <w:szCs w:val="17"/>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property income</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3"/>
        </w:trPr>
        <w:tc>
          <w:tcPr>
            <w:tcW w:w="9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108,607</w:t>
            </w:r>
          </w:p>
        </w:tc>
        <w:tc>
          <w:tcPr>
            <w:tcW w:w="20" w:type="dxa"/>
            <w:vAlign w:val="bottom"/>
          </w:tcPr>
          <w:p>
            <w:pPr>
              <w:spacing w:after="0"/>
              <w:rPr>
                <w:sz w:val="16"/>
                <w:szCs w:val="16"/>
                <w:color w:val="auto"/>
              </w:rPr>
            </w:pPr>
          </w:p>
        </w:tc>
      </w:tr>
      <w:tr>
        <w:trPr>
          <w:trHeight w:val="201"/>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1"/>
        </w:trPr>
        <w:tc>
          <w:tcPr>
            <w:tcW w:w="9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 expenses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20" w:type="dxa"/>
            <w:vAlign w:val="bottom"/>
          </w:tcPr>
          <w:p>
            <w:pPr>
              <w:spacing w:after="0"/>
              <w:rPr>
                <w:sz w:val="17"/>
                <w:szCs w:val="17"/>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taxes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11,005</w:t>
            </w:r>
          </w:p>
        </w:tc>
        <w:tc>
          <w:tcPr>
            <w:tcW w:w="20" w:type="dxa"/>
            <w:vAlign w:val="bottom"/>
            <w:shd w:val="clear" w:color="auto" w:fill="CCEEFF"/>
          </w:tcPr>
          <w:p>
            <w:pPr>
              <w:spacing w:after="0"/>
              <w:rPr>
                <w:sz w:val="17"/>
                <w:szCs w:val="17"/>
                <w:color w:val="auto"/>
              </w:rPr>
            </w:pPr>
          </w:p>
        </w:tc>
      </w:tr>
      <w:tr>
        <w:trPr>
          <w:trHeight w:val="201"/>
        </w:trPr>
        <w:tc>
          <w:tcPr>
            <w:tcW w:w="9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20" w:type="dxa"/>
            <w:vAlign w:val="bottom"/>
          </w:tcPr>
          <w:p>
            <w:pPr>
              <w:spacing w:after="0"/>
              <w:rPr>
                <w:sz w:val="17"/>
                <w:szCs w:val="17"/>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3"/>
        </w:trPr>
        <w:tc>
          <w:tcPr>
            <w:tcW w:w="9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84,760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20" w:type="dxa"/>
            <w:vAlign w:val="bottom"/>
          </w:tcPr>
          <w:p>
            <w:pPr>
              <w:spacing w:after="0"/>
              <w:rPr>
                <w:sz w:val="16"/>
                <w:szCs w:val="16"/>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20" w:type="dxa"/>
            <w:vAlign w:val="bottom"/>
            <w:shd w:val="clear" w:color="auto" w:fill="CCEEFF"/>
          </w:tcPr>
          <w:p>
            <w:pPr>
              <w:spacing w:after="0"/>
              <w:rPr>
                <w:sz w:val="17"/>
                <w:szCs w:val="17"/>
                <w:color w:val="auto"/>
              </w:rPr>
            </w:pPr>
          </w:p>
        </w:tc>
      </w:tr>
      <w:tr>
        <w:trPr>
          <w:trHeight w:val="193"/>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25,832</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0" w:type="dxa"/>
            <w:vAlign w:val="bottom"/>
            <w:tcBorders>
              <w:top w:val="single" w:sz="8" w:color="auto"/>
            </w:tcBorders>
          </w:tcPr>
          <w:p>
            <w:pPr>
              <w:spacing w:after="0"/>
              <w:rPr>
                <w:sz w:val="16"/>
                <w:szCs w:val="16"/>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20" w:type="dxa"/>
            <w:vAlign w:val="bottom"/>
            <w:shd w:val="clear" w:color="auto" w:fill="CCEEFF"/>
          </w:tcPr>
          <w:p>
            <w:pPr>
              <w:spacing w:after="0"/>
              <w:rPr>
                <w:sz w:val="17"/>
                <w:szCs w:val="17"/>
                <w:color w:val="auto"/>
              </w:rPr>
            </w:pPr>
          </w:p>
        </w:tc>
      </w:tr>
      <w:tr>
        <w:trPr>
          <w:trHeight w:val="201"/>
        </w:trPr>
        <w:tc>
          <w:tcPr>
            <w:tcW w:w="9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20" w:type="dxa"/>
            <w:vAlign w:val="bottom"/>
            <w:tcBorders>
              <w:bottom w:val="single" w:sz="8" w:color="auto"/>
            </w:tcBorders>
          </w:tcPr>
          <w:p>
            <w:pPr>
              <w:spacing w:after="0"/>
              <w:rPr>
                <w:sz w:val="17"/>
                <w:szCs w:val="17"/>
                <w:color w:val="auto"/>
              </w:rPr>
            </w:pPr>
          </w:p>
        </w:tc>
      </w:tr>
      <w:tr>
        <w:trPr>
          <w:trHeight w:val="19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20" w:type="dxa"/>
            <w:vAlign w:val="bottom"/>
            <w:shd w:val="clear" w:color="auto" w:fill="CCEEFF"/>
          </w:tcPr>
          <w:p>
            <w:pPr>
              <w:spacing w:after="0"/>
              <w:rPr>
                <w:sz w:val="16"/>
                <w:szCs w:val="16"/>
                <w:color w:val="auto"/>
              </w:rPr>
            </w:pPr>
          </w:p>
        </w:tc>
      </w:tr>
      <w:tr>
        <w:trPr>
          <w:trHeight w:val="201"/>
        </w:trPr>
        <w:tc>
          <w:tcPr>
            <w:tcW w:w="9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restricted shares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17"/>
                <w:szCs w:val="17"/>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unitholders in the Operating Partnership</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3"/>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AMERICAN ASSETS TRUST, INC. STOCKHOLDERS</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42,535</w:t>
            </w:r>
          </w:p>
        </w:tc>
        <w:tc>
          <w:tcPr>
            <w:tcW w:w="20" w:type="dxa"/>
            <w:vAlign w:val="bottom"/>
            <w:tcBorders>
              <w:bottom w:val="single" w:sz="8" w:color="auto"/>
            </w:tcBorders>
          </w:tcPr>
          <w:p>
            <w:pPr>
              <w:spacing w:after="0"/>
              <w:rPr>
                <w:sz w:val="16"/>
                <w:szCs w:val="16"/>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6"/>
        </w:trPr>
        <w:tc>
          <w:tcPr>
            <w:tcW w:w="9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201"/>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income from operations attributable to common stockholders per share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0" w:type="dxa"/>
            <w:vAlign w:val="bottom"/>
            <w:shd w:val="clear" w:color="auto" w:fill="CCEEFF"/>
          </w:tcPr>
          <w:p>
            <w:pPr>
              <w:spacing w:after="0"/>
              <w:rPr>
                <w:sz w:val="17"/>
                <w:szCs w:val="17"/>
                <w:color w:val="auto"/>
              </w:rPr>
            </w:pPr>
          </w:p>
        </w:tc>
      </w:tr>
      <w:tr>
        <w:trPr>
          <w:trHeight w:val="201"/>
        </w:trPr>
        <w:tc>
          <w:tcPr>
            <w:tcW w:w="9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of common stock outstanding - basic</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60,697,679</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60,537,300</w:t>
            </w:r>
          </w:p>
        </w:tc>
        <w:tc>
          <w:tcPr>
            <w:tcW w:w="20" w:type="dxa"/>
            <w:vAlign w:val="bottom"/>
            <w:tcBorders>
              <w:bottom w:val="single" w:sz="8" w:color="auto"/>
            </w:tcBorders>
          </w:tcPr>
          <w:p>
            <w:pPr>
              <w:spacing w:after="0"/>
              <w:rPr>
                <w:sz w:val="17"/>
                <w:szCs w:val="17"/>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3"/>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income from continuing operations attributable to common stockholders per share</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900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color w:val="auto"/>
              </w:rPr>
              <w:t>Weighted average shares of common stock outstanding - diluted</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76,879,216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97"/>
              </w:rPr>
              <w:t>76,718,837</w:t>
            </w:r>
          </w:p>
        </w:tc>
        <w:tc>
          <w:tcPr>
            <w:tcW w:w="20" w:type="dxa"/>
            <w:vAlign w:val="bottom"/>
            <w:tcBorders>
              <w:bottom w:val="single" w:sz="8" w:color="auto"/>
            </w:tcBorders>
          </w:tcPr>
          <w:p>
            <w:pPr>
              <w:spacing w:after="0"/>
              <w:rPr>
                <w:sz w:val="14"/>
                <w:szCs w:val="14"/>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0"/>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r>
      <w:tr>
        <w:trPr>
          <w:trHeight w:val="198"/>
        </w:trPr>
        <w:tc>
          <w:tcPr>
            <w:tcW w:w="9000" w:type="dxa"/>
            <w:vAlign w:val="bottom"/>
            <w:tcBorders>
              <w:top w:val="single" w:sz="8" w:color="003366"/>
            </w:tcBorders>
          </w:tcPr>
          <w:p>
            <w:pPr>
              <w:ind w:left="20"/>
              <w:spacing w:after="0"/>
              <w:rPr>
                <w:sz w:val="20"/>
                <w:szCs w:val="20"/>
                <w:color w:val="auto"/>
              </w:rPr>
            </w:pPr>
            <w:r>
              <w:rPr>
                <w:rFonts w:ascii="Times New Roman" w:cs="Times New Roman" w:eastAsia="Times New Roman" w:hAnsi="Times New Roman"/>
                <w:sz w:val="16"/>
                <w:szCs w:val="16"/>
                <w:color w:val="003366"/>
              </w:rPr>
              <w:t>First Quarter 2026 Supplemental Information</w:t>
            </w:r>
          </w:p>
        </w:tc>
        <w:tc>
          <w:tcPr>
            <w:tcW w:w="200" w:type="dxa"/>
            <w:vAlign w:val="bottom"/>
            <w:tcBorders>
              <w:top w:val="single" w:sz="8" w:color="003366"/>
            </w:tcBorders>
          </w:tcPr>
          <w:p>
            <w:pPr>
              <w:spacing w:after="0"/>
              <w:rPr>
                <w:sz w:val="17"/>
                <w:szCs w:val="17"/>
                <w:color w:val="auto"/>
              </w:rPr>
            </w:pPr>
          </w:p>
        </w:tc>
        <w:tc>
          <w:tcPr>
            <w:tcW w:w="88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320" w:type="dxa"/>
            <w:vAlign w:val="bottom"/>
            <w:tcBorders>
              <w:top w:val="single" w:sz="8" w:color="003366"/>
            </w:tcBorders>
          </w:tcPr>
          <w:p>
            <w:pPr>
              <w:spacing w:after="0"/>
              <w:rPr>
                <w:sz w:val="17"/>
                <w:szCs w:val="17"/>
                <w:color w:val="auto"/>
              </w:rPr>
            </w:pPr>
          </w:p>
        </w:tc>
        <w:tc>
          <w:tcPr>
            <w:tcW w:w="760" w:type="dxa"/>
            <w:vAlign w:val="bottom"/>
            <w:tcBorders>
              <w:top w:val="single" w:sz="8" w:color="003366"/>
            </w:tcBorders>
          </w:tcPr>
          <w:p>
            <w:pPr>
              <w:jc w:val="right"/>
              <w:spacing w:after="0"/>
              <w:rPr>
                <w:sz w:val="20"/>
                <w:szCs w:val="20"/>
                <w:color w:val="auto"/>
              </w:rPr>
            </w:pPr>
            <w:r>
              <w:rPr>
                <w:rFonts w:ascii="Times New Roman" w:cs="Times New Roman" w:eastAsia="Times New Roman" w:hAnsi="Times New Roman"/>
                <w:sz w:val="16"/>
                <w:szCs w:val="16"/>
                <w:color w:val="003366"/>
              </w:rPr>
              <w:t>Page 6</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401" w:right="319" w:bottom="1440" w:gutter="0" w:footer="0" w:header="0"/>
        </w:sectPr>
      </w:pPr>
    </w:p>
    <w:bookmarkStart w:id="18" w:name="page19"/>
    <w:bookmarkEnd w:id="18"/>
    <w:p>
      <w:pPr>
        <w:ind w:left="20" w:right="2180"/>
        <w:spacing w:after="0" w:line="246" w:lineRule="auto"/>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7620"/>
                    </a:xfrm>
                    <a:prstGeom prst="rect">
                      <a:avLst/>
                    </a:prstGeom>
                    <a:noFill/>
                  </pic:spPr>
                </pic:pic>
              </a:graphicData>
            </a:graphic>
          </wp:anchor>
        </w:drawing>
        <w:t>FUNDS FROM OPERATIONS, FFO AS ADJUSTED &amp; FUNDS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4184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-329565</wp:posOffset>
            </wp:positionV>
            <wp:extent cx="533400" cy="278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400" cy="2781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80" w:type="dxa"/>
            <w:vAlign w:val="bottom"/>
          </w:tcPr>
          <w:p>
            <w:pPr>
              <w:spacing w:after="0"/>
              <w:rPr>
                <w:sz w:val="17"/>
                <w:szCs w:val="17"/>
                <w:color w:val="auto"/>
              </w:rPr>
            </w:pPr>
          </w:p>
        </w:tc>
        <w:tc>
          <w:tcPr>
            <w:tcW w:w="2320" w:type="dxa"/>
            <w:vAlign w:val="bottom"/>
            <w:gridSpan w:val="4"/>
          </w:tcPr>
          <w:p>
            <w:pPr>
              <w:jc w:val="right"/>
              <w:ind w:right="501"/>
              <w:spacing w:after="0"/>
              <w:rPr>
                <w:sz w:val="20"/>
                <w:szCs w:val="20"/>
                <w:color w:val="auto"/>
              </w:rPr>
            </w:pPr>
            <w:r>
              <w:rPr>
                <w:rFonts w:ascii="Times New Roman" w:cs="Times New Roman" w:eastAsia="Times New Roman" w:hAnsi="Times New Roman"/>
                <w:sz w:val="16"/>
                <w:szCs w:val="16"/>
                <w:b w:val="1"/>
                <w:bCs w:val="1"/>
                <w:color w:val="003366"/>
              </w:rPr>
              <w:t>Three Months Ended</w:t>
            </w:r>
          </w:p>
        </w:tc>
      </w:tr>
      <w:tr>
        <w:trPr>
          <w:trHeight w:val="20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003366"/>
              </w:rPr>
              <w:t>March 31,</w:t>
            </w:r>
          </w:p>
        </w:tc>
        <w:tc>
          <w:tcPr>
            <w:tcW w:w="880" w:type="dxa"/>
            <w:vAlign w:val="bottom"/>
            <w:tcBorders>
              <w:bottom w:val="single" w:sz="8" w:color="auto"/>
            </w:tcBorders>
          </w:tcPr>
          <w:p>
            <w:pPr>
              <w:spacing w:after="0"/>
              <w:rPr>
                <w:sz w:val="18"/>
                <w:szCs w:val="18"/>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2025</w:t>
            </w:r>
          </w:p>
        </w:tc>
      </w:tr>
      <w:tr>
        <w:trPr>
          <w:trHeight w:val="161"/>
        </w:trPr>
        <w:tc>
          <w:tcPr>
            <w:tcW w:w="20" w:type="dxa"/>
            <w:vAlign w:val="bottom"/>
            <w:shd w:val="clear" w:color="auto" w:fill="CCEEFF"/>
          </w:tcPr>
          <w:p>
            <w:pPr>
              <w:spacing w:after="0"/>
              <w:rPr>
                <w:sz w:val="14"/>
                <w:szCs w:val="14"/>
                <w:color w:val="auto"/>
              </w:rPr>
            </w:pPr>
          </w:p>
        </w:tc>
        <w:tc>
          <w:tcPr>
            <w:tcW w:w="8640" w:type="dxa"/>
            <w:vAlign w:val="bottom"/>
            <w:gridSpan w:val="4"/>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 xml:space="preserve">Funds from Operations (FFO) </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1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6760" w:type="dxa"/>
            <w:vAlign w:val="bottom"/>
            <w:tcBorders>
              <w:top w:val="single" w:sz="8" w:color="CCEEFF"/>
            </w:tcBorders>
            <w:gridSpan w:val="2"/>
          </w:tcPr>
          <w:p>
            <w:pPr>
              <w:spacing w:after="0"/>
              <w:rPr>
                <w:sz w:val="17"/>
                <w:szCs w:val="17"/>
                <w:color w:val="auto"/>
              </w:rPr>
            </w:pPr>
          </w:p>
        </w:tc>
        <w:tc>
          <w:tcPr>
            <w:tcW w:w="28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54,107</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of real estate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30,494</w:t>
            </w:r>
          </w:p>
        </w:tc>
      </w:tr>
      <w:tr>
        <w:trPr>
          <w:trHeight w:val="201"/>
        </w:trPr>
        <w:tc>
          <w:tcPr>
            <w:tcW w:w="20" w:type="dxa"/>
            <w:vAlign w:val="bottom"/>
          </w:tcPr>
          <w:p>
            <w:pPr>
              <w:spacing w:after="0"/>
              <w:rPr>
                <w:sz w:val="17"/>
                <w:szCs w:val="17"/>
                <w:color w:val="auto"/>
              </w:rPr>
            </w:pPr>
          </w:p>
        </w:tc>
        <w:tc>
          <w:tcPr>
            <w:tcW w:w="86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2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(44,476)</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864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as defined by NAREIT</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39,050</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w:t>
            </w:r>
          </w:p>
        </w:tc>
      </w:tr>
      <w:tr>
        <w:trPr>
          <w:trHeight w:val="201"/>
        </w:trPr>
        <w:tc>
          <w:tcPr>
            <w:tcW w:w="20" w:type="dxa"/>
            <w:vAlign w:val="bottom"/>
            <w:tcBorders>
              <w:bottom w:val="single" w:sz="8" w:color="CCEEFF"/>
            </w:tcBorders>
          </w:tcPr>
          <w:p>
            <w:pPr>
              <w:spacing w:after="0"/>
              <w:rPr>
                <w:sz w:val="17"/>
                <w:szCs w:val="17"/>
                <w:color w:val="auto"/>
              </w:rPr>
            </w:pPr>
          </w:p>
        </w:tc>
        <w:tc>
          <w:tcPr>
            <w:tcW w:w="8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6"/>
                <w:szCs w:val="16"/>
                <w:color w:val="auto"/>
              </w:rPr>
              <w:t>Less: Nonforfeitable dividends on restricted stock awards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attributable to common stock and common units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64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per diluted share/unit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640" w:type="dxa"/>
            <w:vAlign w:val="bottom"/>
            <w:tcBorders>
              <w:bottom w:val="single" w:sz="8" w:color="CCEEFF"/>
            </w:tcBorders>
            <w:gridSpan w:val="4"/>
            <w:shd w:val="clear" w:color="auto" w:fill="CCEEFF"/>
          </w:tcPr>
          <w:p>
            <w:pPr>
              <w:ind w:left="100"/>
              <w:spacing w:after="0" w:line="201" w:lineRule="exact"/>
              <w:rPr>
                <w:sz w:val="20"/>
                <w:szCs w:val="20"/>
                <w:color w:val="auto"/>
              </w:rPr>
            </w:pPr>
            <w:r>
              <w:rPr>
                <w:rFonts w:ascii="Times New Roman" w:cs="Times New Roman" w:eastAsia="Times New Roman" w:hAnsi="Times New Roman"/>
                <w:sz w:val="16"/>
                <w:szCs w:val="16"/>
                <w:color w:val="auto"/>
              </w:rPr>
              <w:t xml:space="preserve">Weighted average number of common shares and common units, diluted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76,893,750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76,719,191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 xml:space="preserve">Funds Available for Distribution (FAD)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w w:val="94"/>
              </w:rPr>
              <w:t>Dividends</w:t>
            </w:r>
          </w:p>
        </w:tc>
        <w:tc>
          <w:tcPr>
            <w:tcW w:w="8000" w:type="dxa"/>
            <w:vAlign w:val="bottom"/>
            <w:tcBorders>
              <w:bottom w:val="single" w:sz="8" w:color="CCEEFF"/>
            </w:tcBorders>
            <w:gridSpan w:val="3"/>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86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Dividends declared and paid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26,375</w:t>
            </w:r>
          </w:p>
        </w:tc>
        <w:tc>
          <w:tcPr>
            <w:tcW w:w="8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26,288</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declared and paid per share/unit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0.340</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FFO and FAD are non-GAAP supplemental earnings measures which we consider meaningful in measuring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418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99" w:lineRule="exact"/>
        <w:rPr>
          <w:sz w:val="20"/>
          <w:szCs w:val="20"/>
          <w:color w:val="auto"/>
        </w:rPr>
      </w:pPr>
    </w:p>
    <w:p>
      <w:pPr>
        <w:ind w:left="20"/>
        <w:spacing w:after="0"/>
        <w:tabs>
          <w:tab w:leader="none" w:pos="1078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7</w:t>
      </w:r>
    </w:p>
    <w:p>
      <w:pPr>
        <w:sectPr>
          <w:pgSz w:w="11900" w:h="16838" w:orient="portrait"/>
          <w:cols w:equalWidth="0" w:num="1">
            <w:col w:w="11260"/>
          </w:cols>
          <w:pgMar w:left="320" w:top="176" w:right="319" w:bottom="1440" w:gutter="0" w:footer="0" w:header="0"/>
        </w:sectPr>
      </w:pPr>
    </w:p>
    <w:bookmarkStart w:id="19" w:name="page20"/>
    <w:bookmarkEnd w:id="19"/>
    <w:p>
      <w:pPr>
        <w:ind w:left="25" w:right="2180"/>
        <w:spacing w:after="0" w:line="246" w:lineRule="auto"/>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7620"/>
                    </a:xfrm>
                    <a:prstGeom prst="rect">
                      <a:avLst/>
                    </a:prstGeom>
                    <a:noFill/>
                  </pic:spPr>
                </pic:pic>
              </a:graphicData>
            </a:graphic>
          </wp:anchor>
        </w:drawing>
        <w:t>FUNDS FROM OPERATIONS, FFO AS ADJUSTED &amp; FUNDS AVAILABLE FOR DISTRIBUTION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-329565</wp:posOffset>
            </wp:positionV>
            <wp:extent cx="533400" cy="278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400" cy="2781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80" w:type="dxa"/>
            <w:vAlign w:val="bottom"/>
          </w:tcPr>
          <w:p>
            <w:pPr>
              <w:spacing w:after="0"/>
              <w:rPr>
                <w:sz w:val="17"/>
                <w:szCs w:val="17"/>
                <w:color w:val="auto"/>
              </w:rPr>
            </w:pPr>
          </w:p>
        </w:tc>
        <w:tc>
          <w:tcPr>
            <w:tcW w:w="2320" w:type="dxa"/>
            <w:vAlign w:val="bottom"/>
            <w:gridSpan w:val="4"/>
          </w:tcPr>
          <w:p>
            <w:pPr>
              <w:jc w:val="right"/>
              <w:ind w:right="501"/>
              <w:spacing w:after="0"/>
              <w:rPr>
                <w:sz w:val="20"/>
                <w:szCs w:val="20"/>
                <w:color w:val="auto"/>
              </w:rPr>
            </w:pPr>
            <w:r>
              <w:rPr>
                <w:rFonts w:ascii="Times New Roman" w:cs="Times New Roman" w:eastAsia="Times New Roman" w:hAnsi="Times New Roman"/>
                <w:sz w:val="16"/>
                <w:szCs w:val="16"/>
                <w:b w:val="1"/>
                <w:bCs w:val="1"/>
                <w:color w:val="003366"/>
              </w:rPr>
              <w:t>Three Months Ended</w:t>
            </w:r>
          </w:p>
        </w:tc>
      </w:tr>
      <w:tr>
        <w:trPr>
          <w:trHeight w:val="208"/>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003366"/>
              </w:rPr>
              <w:t>March 31,</w:t>
            </w:r>
          </w:p>
        </w:tc>
        <w:tc>
          <w:tcPr>
            <w:tcW w:w="880" w:type="dxa"/>
            <w:vAlign w:val="bottom"/>
            <w:tcBorders>
              <w:bottom w:val="single" w:sz="8" w:color="auto"/>
            </w:tcBorders>
          </w:tcPr>
          <w:p>
            <w:pPr>
              <w:spacing w:after="0"/>
              <w:rPr>
                <w:sz w:val="18"/>
                <w:szCs w:val="18"/>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2025</w:t>
            </w:r>
          </w:p>
        </w:tc>
      </w:tr>
      <w:tr>
        <w:trPr>
          <w:trHeight w:val="161"/>
        </w:trPr>
        <w:tc>
          <w:tcPr>
            <w:tcW w:w="20" w:type="dxa"/>
            <w:vAlign w:val="bottom"/>
            <w:shd w:val="clear" w:color="auto" w:fill="CCEEFF"/>
          </w:tcPr>
          <w:p>
            <w:pPr>
              <w:spacing w:after="0"/>
              <w:rPr>
                <w:sz w:val="14"/>
                <w:szCs w:val="14"/>
                <w:color w:val="auto"/>
              </w:rPr>
            </w:pPr>
          </w:p>
        </w:tc>
        <w:tc>
          <w:tcPr>
            <w:tcW w:w="86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 xml:space="preserve">Funds Available for Distribution (FAD) </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FFO</w:t>
            </w:r>
          </w:p>
        </w:tc>
        <w:tc>
          <w:tcPr>
            <w:tcW w:w="6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39,050</w:t>
            </w: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40,125</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Tenant improvements, leasing commissions and capital expenditures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(12,872)</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6"/>
                <w:szCs w:val="16"/>
                <w:color w:val="auto"/>
              </w:rPr>
              <w:t xml:space="preserve">Net effect of straight-line rents </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1"/>
        </w:trPr>
        <w:tc>
          <w:tcPr>
            <w:tcW w:w="20" w:type="dxa"/>
            <w:vAlign w:val="bottom"/>
          </w:tcPr>
          <w:p>
            <w:pPr>
              <w:spacing w:after="0"/>
              <w:rPr>
                <w:sz w:val="17"/>
                <w:szCs w:val="17"/>
                <w:color w:val="auto"/>
              </w:rPr>
            </w:pPr>
          </w:p>
        </w:tc>
        <w:tc>
          <w:tcPr>
            <w:tcW w:w="8640" w:type="dxa"/>
            <w:vAlign w:val="bottom"/>
            <w:gridSpan w:val="3"/>
          </w:tcPr>
          <w:p>
            <w:pPr>
              <w:ind w:left="160"/>
              <w:spacing w:after="0" w:line="201" w:lineRule="exact"/>
              <w:rPr>
                <w:sz w:val="20"/>
                <w:szCs w:val="20"/>
                <w:color w:val="auto"/>
              </w:rPr>
            </w:pPr>
            <w:r>
              <w:rPr>
                <w:rFonts w:ascii="Times New Roman" w:cs="Times New Roman" w:eastAsia="Times New Roman" w:hAnsi="Times New Roman"/>
                <w:sz w:val="16"/>
                <w:szCs w:val="16"/>
                <w:color w:val="auto"/>
              </w:rPr>
              <w:t xml:space="preserve">Amortization of net above (below) market rents </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6"/>
                <w:szCs w:val="16"/>
                <w:color w:val="auto"/>
              </w:rPr>
              <w:t xml:space="preserve">Net effect of other lease assets </w:t>
            </w:r>
            <w:r>
              <w:rPr>
                <w:rFonts w:ascii="Times New Roman" w:cs="Times New Roman" w:eastAsia="Times New Roman" w:hAnsi="Times New Roman"/>
                <w:sz w:val="20"/>
                <w:szCs w:val="20"/>
                <w:color w:val="auto"/>
                <w:vertAlign w:val="superscript"/>
              </w:rPr>
              <w:t>(5)</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1"/>
        </w:trPr>
        <w:tc>
          <w:tcPr>
            <w:tcW w:w="20" w:type="dxa"/>
            <w:vAlign w:val="bottom"/>
          </w:tcPr>
          <w:p>
            <w:pPr>
              <w:spacing w:after="0"/>
              <w:rPr>
                <w:sz w:val="17"/>
                <w:szCs w:val="17"/>
                <w:color w:val="auto"/>
              </w:rPr>
            </w:pPr>
          </w:p>
        </w:tc>
        <w:tc>
          <w:tcPr>
            <w:tcW w:w="8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 and debt fair value adjustment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01"/>
        </w:trPr>
        <w:tc>
          <w:tcPr>
            <w:tcW w:w="20" w:type="dxa"/>
            <w:vAlign w:val="bottom"/>
            <w:tcBorders>
              <w:bottom w:val="single" w:sz="8" w:color="CCEEFF"/>
            </w:tcBorders>
          </w:tcPr>
          <w:p>
            <w:pPr>
              <w:spacing w:after="0"/>
              <w:rPr>
                <w:sz w:val="17"/>
                <w:szCs w:val="17"/>
                <w:color w:val="auto"/>
              </w:rPr>
            </w:pPr>
          </w:p>
        </w:tc>
        <w:tc>
          <w:tcPr>
            <w:tcW w:w="86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Nonforfeitable dividends on restricted stock awards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w w:val="97"/>
              </w:rPr>
              <w:t>Summary of Capital Expenditures</w:t>
            </w:r>
          </w:p>
        </w:tc>
        <w:tc>
          <w:tcPr>
            <w:tcW w:w="650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86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Tenant improvements and leasing commissions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8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r>
      <w:tr>
        <w:trPr>
          <w:trHeight w:val="201"/>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r>
      <w:tr>
        <w:trPr>
          <w:trHeight w:val="193"/>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12,872</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jc w:val="both"/>
        <w:ind w:left="285" w:right="140" w:hanging="285"/>
        <w:spacing w:after="0" w:line="246" w:lineRule="auto"/>
        <w:tabs>
          <w:tab w:leader="none" w:pos="27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2026 and 2025, the weighted average common shares and common units used to compute FFO per diluted share/unit included operating partnership common units and unvested restricted stock awards that are subject to time vesting. The shares/units used to compute FFO per diluted share/unit include additional shares/units which were excluded from the computation of diluted EPS, as they were anti-dilutive for the periods presented.</w:t>
      </w:r>
    </w:p>
    <w:p>
      <w:pPr>
        <w:spacing w:after="0" w:line="1"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straight-line rent income recognized during the period offset by cash received during the period and the provision for bad debts recorded for deferred rent receivable balances.</w:t>
      </w:r>
    </w:p>
    <w:p>
      <w:pPr>
        <w:ind w:left="265" w:hanging="265"/>
        <w:spacing w:after="0"/>
        <w:tabs>
          <w:tab w:leader="none" w:pos="26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related to the acquisition of buildings with above (below) market rents.</w:t>
      </w:r>
    </w:p>
    <w:p>
      <w:pPr>
        <w:ind w:left="265" w:hanging="265"/>
        <w:spacing w:after="0"/>
        <w:tabs>
          <w:tab w:leader="none" w:pos="26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amortization of lease incentives paid to tenants, amortization of lease intangibles, and straight-line rent expense for our leases at the Annex at The Landmark at One Market.</w:t>
      </w:r>
    </w:p>
    <w:p>
      <w:pPr>
        <w:spacing w:after="0" w:line="21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FFO and FAD are non-GAAP supplemental earnings measures which we consider meaningful in measuring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412115</wp:posOffset>
            </wp:positionV>
            <wp:extent cx="71418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
        <w:spacing w:after="0"/>
        <w:tabs>
          <w:tab w:leader="none" w:pos="1078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8</w:t>
      </w:r>
    </w:p>
    <w:p>
      <w:pPr>
        <w:sectPr>
          <w:pgSz w:w="11900" w:h="16838" w:orient="portrait"/>
          <w:cols w:equalWidth="0" w:num="1">
            <w:col w:w="11265"/>
          </w:cols>
          <w:pgMar w:left="315" w:top="176" w:right="319" w:bottom="1440" w:gutter="0" w:footer="0" w:header="0"/>
        </w:sectPr>
      </w:pPr>
    </w:p>
    <w:bookmarkStart w:id="20" w:name="page21"/>
    <w:bookmarkEnd w:id="2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SAME-STORE NET OPERATING INCOME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003366"/>
                <w:w w:val="97"/>
              </w:rPr>
              <w:t xml:space="preserve">Three Months Ended March 31, 2026 </w:t>
            </w:r>
            <w:r>
              <w:rPr>
                <w:rFonts w:ascii="Times New Roman" w:cs="Times New Roman" w:eastAsia="Times New Roman" w:hAnsi="Times New Roman"/>
                <w:sz w:val="20"/>
                <w:szCs w:val="20"/>
                <w:b w:val="1"/>
                <w:bCs w:val="1"/>
                <w:color w:val="003366"/>
                <w:w w:val="97"/>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93"/>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003366"/>
              </w:rPr>
              <w:t>Office</w:t>
            </w:r>
          </w:p>
        </w:tc>
        <w:tc>
          <w:tcPr>
            <w:tcW w:w="2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Retail</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7"/>
              </w:rPr>
              <w:t>Multifamily</w:t>
            </w: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003366"/>
              </w:rPr>
              <w:t>Mixed-Use</w:t>
            </w:r>
          </w:p>
        </w:tc>
        <w:tc>
          <w:tcPr>
            <w:tcW w:w="26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003366"/>
              </w:rPr>
              <w:t>Total</w:t>
            </w:r>
          </w:p>
        </w:tc>
      </w:tr>
      <w:tr>
        <w:trPr>
          <w:trHeight w:val="181"/>
        </w:trPr>
        <w:tc>
          <w:tcPr>
            <w:tcW w:w="530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Real estate rental revenue</w:t>
            </w: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0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51,516</w:t>
            </w:r>
          </w:p>
        </w:tc>
        <w:tc>
          <w:tcPr>
            <w:tcW w:w="10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16,695</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108,457</w:t>
            </w:r>
          </w:p>
        </w:tc>
      </w:tr>
      <w:tr>
        <w:trPr>
          <w:trHeight w:val="201"/>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 store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19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52,357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16,695</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110,592</w:t>
            </w:r>
          </w:p>
        </w:tc>
      </w:tr>
      <w:tr>
        <w:trPr>
          <w:trHeight w:val="20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41,685</w:t>
            </w:r>
          </w:p>
        </w:tc>
      </w:tr>
      <w:tr>
        <w:trPr>
          <w:trHeight w:val="201"/>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 store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r>
      <w:tr>
        <w:trPr>
          <w:trHeight w:val="19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43,666</w:t>
            </w:r>
          </w:p>
        </w:tc>
      </w:tr>
      <w:tr>
        <w:trPr>
          <w:trHeight w:val="20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(NOI)</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66,772</w:t>
            </w:r>
          </w:p>
        </w:tc>
      </w:tr>
      <w:tr>
        <w:trPr>
          <w:trHeight w:val="201"/>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 store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19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66,926</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Same-store NOI</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66,772</w:t>
            </w:r>
          </w:p>
        </w:tc>
      </w:tr>
      <w:tr>
        <w:trPr>
          <w:trHeight w:val="201"/>
        </w:trPr>
        <w:tc>
          <w:tcPr>
            <w:tcW w:w="530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Net effect of straight-line rents </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1"/>
        </w:trPr>
        <w:tc>
          <w:tcPr>
            <w:tcW w:w="53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Amortization of net above (below) market rents </w:t>
            </w:r>
            <w:r>
              <w:rPr>
                <w:rFonts w:ascii="Times New Roman" w:cs="Times New Roman" w:eastAsia="Times New Roman" w:hAnsi="Times New Roman"/>
                <w:sz w:val="20"/>
                <w:szCs w:val="20"/>
                <w:color w:val="auto"/>
                <w:vertAlign w:val="superscript"/>
              </w:rPr>
              <w:t>(3)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01"/>
        </w:trPr>
        <w:tc>
          <w:tcPr>
            <w:tcW w:w="530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Net effect of other lease assets </w:t>
            </w:r>
            <w:r>
              <w:rPr>
                <w:rFonts w:ascii="Times New Roman" w:cs="Times New Roman" w:eastAsia="Times New Roman" w:hAnsi="Times New Roman"/>
                <w:sz w:val="20"/>
                <w:szCs w:val="20"/>
                <w:color w:val="auto"/>
                <w:vertAlign w:val="superscript"/>
              </w:rPr>
              <w:t>(4)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1"/>
        </w:trPr>
        <w:tc>
          <w:tcPr>
            <w:tcW w:w="53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Lease termination fees and tenant improvement reimbursements </w:t>
            </w:r>
            <w:r>
              <w:rPr>
                <w:rFonts w:ascii="Times New Roman" w:cs="Times New Roman" w:eastAsia="Times New Roman" w:hAnsi="Times New Roman"/>
                <w:sz w:val="20"/>
                <w:szCs w:val="20"/>
                <w:color w:val="auto"/>
                <w:vertAlign w:val="superscript"/>
              </w:rPr>
              <w:t>(5)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193"/>
        </w:trPr>
        <w:tc>
          <w:tcPr>
            <w:tcW w:w="5300" w:type="dxa"/>
            <w:vAlign w:val="bottom"/>
          </w:tcPr>
          <w:p>
            <w:pPr>
              <w:ind w:left="20"/>
              <w:spacing w:after="0" w:line="193" w:lineRule="exact"/>
              <w:rPr>
                <w:sz w:val="20"/>
                <w:szCs w:val="20"/>
                <w:color w:val="auto"/>
              </w:rPr>
            </w:pPr>
            <w:r>
              <w:rPr>
                <w:rFonts w:ascii="Times New Roman" w:cs="Times New Roman" w:eastAsia="Times New Roman" w:hAnsi="Times New Roman"/>
                <w:sz w:val="16"/>
                <w:szCs w:val="16"/>
                <w:color w:val="auto"/>
              </w:rPr>
              <w:t xml:space="preserve">Same-store cash NOI </w:t>
            </w:r>
            <w:r>
              <w:rPr>
                <w:rFonts w:ascii="Times New Roman" w:cs="Times New Roman" w:eastAsia="Times New Roman" w:hAnsi="Times New Roman"/>
                <w:sz w:val="20"/>
                <w:szCs w:val="20"/>
                <w:color w:val="auto"/>
                <w:vertAlign w:val="superscript"/>
              </w:rPr>
              <w:t>(5)</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66,371</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Same-store and non-same store classifications are determined based on properties held on March 31, 2026 and 2025. See Glossary of Terms.</w:t>
      </w: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straight-line rent income recognized during the period offset by cash received during the period and the provision for bad debts recorded for deferred rent receivable balances.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related to the acquisition of buildings with above (below) market rents.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amortization of lease incentives paid to tenants, amortization of lease intangibles and straight-line rent expense for our leases at the Annex at The Landmark at One Market.</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spacing w:after="0" w:line="198" w:lineRule="exact"/>
        <w:rPr>
          <w:sz w:val="20"/>
          <w:szCs w:val="20"/>
          <w:color w:val="auto"/>
        </w:rPr>
      </w:pPr>
    </w:p>
    <w:p>
      <w:pPr>
        <w:ind w:left="5" w:right="180"/>
        <w:spacing w:after="0" w:line="276" w:lineRule="auto"/>
        <w:rPr>
          <w:sz w:val="20"/>
          <w:szCs w:val="20"/>
          <w:color w:val="auto"/>
        </w:rPr>
      </w:pPr>
      <w:r>
        <w:rPr>
          <w:rFonts w:ascii="Times New Roman" w:cs="Times New Roman" w:eastAsia="Times New Roman" w:hAnsi="Times New Roman"/>
          <w:sz w:val="16"/>
          <w:szCs w:val="16"/>
          <w:color w:val="auto"/>
        </w:rPr>
        <w:t>NOI and same-store cash NOI are non-GAAP supplemental earnings measures which we consider meaningful in measuring our operating performance. Reconciliations of NOI and same-store cash NOI to net income are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4184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85" w:lineRule="exact"/>
        <w:rPr>
          <w:sz w:val="20"/>
          <w:szCs w:val="20"/>
          <w:color w:val="auto"/>
        </w:rPr>
      </w:pPr>
    </w:p>
    <w:p>
      <w:pPr>
        <w:ind w:left="25"/>
        <w:spacing w:after="0"/>
        <w:tabs>
          <w:tab w:leader="none" w:pos="1078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9</w:t>
      </w:r>
    </w:p>
    <w:p>
      <w:pPr>
        <w:sectPr>
          <w:pgSz w:w="11900" w:h="16838" w:orient="portrait"/>
          <w:cols w:equalWidth="0" w:num="1">
            <w:col w:w="11265"/>
          </w:cols>
          <w:pgMar w:left="315" w:top="401" w:right="319" w:bottom="1440" w:gutter="0" w:footer="0" w:header="0"/>
        </w:sectPr>
      </w:pPr>
    </w:p>
    <w:bookmarkStart w:id="21" w:name="page22"/>
    <w:bookmarkEnd w:id="21"/>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SAME-STORE CASH NOI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003366"/>
              </w:rPr>
              <w:t>Three Months Ended</w:t>
            </w:r>
          </w:p>
        </w:tc>
        <w:tc>
          <w:tcPr>
            <w:tcW w:w="1080" w:type="dxa"/>
            <w:vAlign w:val="bottom"/>
          </w:tcPr>
          <w:p>
            <w:pPr>
              <w:spacing w:after="0"/>
              <w:rPr>
                <w:sz w:val="17"/>
                <w:szCs w:val="17"/>
                <w:color w:val="auto"/>
              </w:rPr>
            </w:pPr>
          </w:p>
        </w:tc>
      </w:tr>
      <w:tr>
        <w:trPr>
          <w:trHeight w:val="208"/>
        </w:trPr>
        <w:tc>
          <w:tcPr>
            <w:tcW w:w="7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003366"/>
              </w:rPr>
              <w:t>March 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3"/>
        </w:trPr>
        <w:tc>
          <w:tcPr>
            <w:tcW w:w="7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2025</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003366"/>
              </w:rPr>
              <w:t>Change</w:t>
            </w:r>
          </w:p>
        </w:tc>
      </w:tr>
      <w:tr>
        <w:trPr>
          <w:trHeight w:val="181"/>
        </w:trPr>
        <w:tc>
          <w:tcPr>
            <w:tcW w:w="75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Cash Basis: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35,035</w:t>
            </w:r>
          </w:p>
        </w:tc>
        <w:tc>
          <w:tcPr>
            <w:tcW w:w="8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r>
      <w:tr>
        <w:trPr>
          <w:trHeight w:val="20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8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r>
      <w:tr>
        <w:trPr>
          <w:trHeight w:val="20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Mixed-Use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w:t>
            </w:r>
          </w:p>
        </w:tc>
      </w:tr>
      <w:tr>
        <w:trPr>
          <w:trHeight w:val="193"/>
        </w:trPr>
        <w:tc>
          <w:tcPr>
            <w:tcW w:w="7540" w:type="dxa"/>
            <w:vAlign w:val="bottom"/>
          </w:tcPr>
          <w:p>
            <w:pPr>
              <w:ind w:left="20"/>
              <w:spacing w:after="0" w:line="193" w:lineRule="exact"/>
              <w:rPr>
                <w:sz w:val="20"/>
                <w:szCs w:val="20"/>
                <w:color w:val="auto"/>
              </w:rPr>
            </w:pPr>
            <w:r>
              <w:rPr>
                <w:rFonts w:ascii="Times New Roman" w:cs="Times New Roman" w:eastAsia="Times New Roman" w:hAnsi="Times New Roman"/>
                <w:sz w:val="16"/>
                <w:szCs w:val="16"/>
                <w:color w:val="auto"/>
              </w:rPr>
              <w:t xml:space="preserve">Same-store Cash NOI </w:t>
            </w:r>
            <w:r>
              <w:rPr>
                <w:rFonts w:ascii="Times New Roman" w:cs="Times New Roman" w:eastAsia="Times New Roman" w:hAnsi="Times New Roman"/>
                <w:sz w:val="20"/>
                <w:szCs w:val="20"/>
                <w:color w:val="auto"/>
                <w:vertAlign w:val="superscript"/>
              </w:rPr>
              <w:t>(1)(2)</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66,371</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66,382</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200" w:lineRule="exact"/>
        <w:rPr>
          <w:sz w:val="20"/>
          <w:szCs w:val="20"/>
          <w:color w:val="auto"/>
        </w:rPr>
      </w:pPr>
    </w:p>
    <w:p>
      <w:pPr>
        <w:spacing w:after="0" w:line="223"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Same-store cash NOI is a non-GAAP supplemental earnings measure which we consider meaningful in measuring our operating performance. A reconciliation of same-store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184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60"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10</w:t>
      </w:r>
    </w:p>
    <w:p>
      <w:pPr>
        <w:sectPr>
          <w:pgSz w:w="11900" w:h="16838" w:orient="portrait"/>
          <w:cols w:equalWidth="0" w:num="1">
            <w:col w:w="11265"/>
          </w:cols>
          <w:pgMar w:left="315" w:top="401" w:right="31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CASH NOI BY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003366"/>
                <w:w w:val="98"/>
              </w:rPr>
              <w:t>Three Months Ended March 31, 2026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3"/>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Office</w:t>
            </w: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Retail</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7"/>
              </w:rPr>
              <w:t>Multifamily</w:t>
            </w:r>
          </w:p>
        </w:tc>
        <w:tc>
          <w:tcPr>
            <w:tcW w:w="1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003366"/>
              </w:rPr>
              <w:t>Mixed-Use</w:t>
            </w:r>
          </w:p>
        </w:tc>
        <w:tc>
          <w:tcPr>
            <w:tcW w:w="24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003366"/>
              </w:rPr>
              <w:t>Total</w:t>
            </w:r>
          </w:p>
        </w:tc>
      </w:tr>
      <w:tr>
        <w:trPr>
          <w:trHeight w:val="181"/>
        </w:trPr>
        <w:tc>
          <w:tcPr>
            <w:tcW w:w="520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Cash Basis:</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California</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14,379</w:t>
            </w:r>
          </w:p>
        </w:tc>
        <w:tc>
          <w:tcPr>
            <w:tcW w:w="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8,947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32,198</w:t>
            </w:r>
          </w:p>
        </w:tc>
      </w:tr>
      <w:tr>
        <w:trPr>
          <w:trHeight w:val="20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Northern California</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r>
      <w:tr>
        <w:trPr>
          <w:trHeight w:val="20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0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r>
      <w:tr>
        <w:trPr>
          <w:trHeight w:val="19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NOI</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16,267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66,086</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Cash NOI is a non-GAAP supplemental earnings measure which we consider meaningful in measuring our operating performance. A reconciliation of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380365</wp:posOffset>
            </wp:positionV>
            <wp:extent cx="714184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11</w:t>
      </w:r>
    </w:p>
    <w:p>
      <w:pPr>
        <w:sectPr>
          <w:pgSz w:w="11900" w:h="16838" w:orient="portrait"/>
          <w:cols w:equalWidth="0" w:num="1">
            <w:col w:w="11260"/>
          </w:cols>
          <w:pgMar w:left="320" w:top="401" w:right="31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CASH NOI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003366"/>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120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0" cy="762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Cash NOI Breakdown</w:t>
      </w:r>
    </w:p>
    <w:p>
      <w:pPr>
        <w:spacing w:after="0" w:line="135" w:lineRule="exact"/>
        <w:rPr>
          <w:sz w:val="20"/>
          <w:szCs w:val="20"/>
          <w:color w:val="auto"/>
        </w:rPr>
      </w:pPr>
    </w:p>
    <w:p>
      <w:pPr>
        <w:ind w:left="1060"/>
        <w:spacing w:after="0"/>
        <w:tabs>
          <w:tab w:leader="none" w:pos="7160" w:val="left"/>
        </w:tabs>
        <w:rPr>
          <w:sz w:val="20"/>
          <w:szCs w:val="20"/>
          <w:color w:val="auto"/>
        </w:rPr>
      </w:pPr>
      <w:r>
        <w:rPr>
          <w:rFonts w:ascii="Times New Roman" w:cs="Times New Roman" w:eastAsia="Times New Roman" w:hAnsi="Times New Roman"/>
          <w:sz w:val="16"/>
          <w:szCs w:val="16"/>
          <w:b w:val="1"/>
          <w:bCs w:val="1"/>
          <w:color w:val="003366"/>
        </w:rPr>
        <w:t>Portfolio Diversification by Geographic Region</w:t>
      </w:r>
      <w:r>
        <w:rPr>
          <w:sz w:val="20"/>
          <w:szCs w:val="20"/>
          <w:color w:val="auto"/>
        </w:rPr>
        <w:tab/>
      </w:r>
      <w:r>
        <w:rPr>
          <w:rFonts w:ascii="Times New Roman" w:cs="Times New Roman" w:eastAsia="Times New Roman" w:hAnsi="Times New Roman"/>
          <w:sz w:val="15"/>
          <w:szCs w:val="15"/>
          <w:b w:val="1"/>
          <w:bCs w:val="1"/>
          <w:color w:val="003366"/>
        </w:rPr>
        <w:t>Portfolio Diversification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292735</wp:posOffset>
            </wp:positionV>
            <wp:extent cx="6984365" cy="1922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4365"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Cash NOI is a non-GAAP supplemental earnings measure which we consider meaningful in measuring our operating performance. A reconciliation of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14184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60"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12</w:t>
      </w:r>
    </w:p>
    <w:p>
      <w:pPr>
        <w:sectPr>
          <w:pgSz w:w="11900" w:h="16838" w:orient="portrait"/>
          <w:cols w:equalWidth="0" w:num="1">
            <w:col w:w="11220"/>
          </w:cols>
          <w:pgMar w:left="320" w:top="401" w:right="35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003366"/>
              </w:rPr>
              <w:t>Three Months Ended March 31, 2026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3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8"/>
              </w:rPr>
              <w:t>Additional</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199"/>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7"/>
              </w:rPr>
              <w:t>Property</w:t>
            </w: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Billed Expense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003366"/>
              </w:rPr>
              <w:t>Operating</w:t>
            </w:r>
          </w:p>
        </w:tc>
        <w:tc>
          <w:tcPr>
            <w:tcW w:w="12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003366"/>
              </w:rPr>
              <w:t>Rental</w:t>
            </w:r>
          </w:p>
        </w:tc>
        <w:tc>
          <w:tcPr>
            <w:tcW w:w="2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003366"/>
              </w:rPr>
              <w:t>Cash</w:t>
            </w:r>
          </w:p>
        </w:tc>
      </w:tr>
      <w:tr>
        <w:trPr>
          <w:trHeight w:val="210"/>
        </w:trPr>
        <w:tc>
          <w:tcPr>
            <w:tcW w:w="3400" w:type="dxa"/>
            <w:vAlign w:val="bottom"/>
            <w:gridSpan w:val="2"/>
          </w:tcPr>
          <w:p>
            <w:pPr>
              <w:ind w:left="136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140" w:type="dxa"/>
            <w:vAlign w:val="bottom"/>
          </w:tcPr>
          <w:p>
            <w:pPr>
              <w:spacing w:after="0"/>
              <w:rPr>
                <w:sz w:val="18"/>
                <w:szCs w:val="18"/>
                <w:color w:val="auto"/>
              </w:rPr>
            </w:pPr>
          </w:p>
        </w:tc>
        <w:tc>
          <w:tcPr>
            <w:tcW w:w="114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Base Rent </w:t>
            </w:r>
            <w:r>
              <w:rPr>
                <w:rFonts w:ascii="Times New Roman" w:cs="Times New Roman" w:eastAsia="Times New Roman" w:hAnsi="Times New Roman"/>
                <w:sz w:val="20"/>
                <w:szCs w:val="20"/>
                <w:b w:val="1"/>
                <w:bCs w:val="1"/>
                <w:color w:val="003366"/>
                <w:vertAlign w:val="superscript"/>
              </w:rPr>
              <w:t>(1)</w:t>
            </w:r>
          </w:p>
        </w:tc>
        <w:tc>
          <w:tcPr>
            <w:tcW w:w="180" w:type="dxa"/>
            <w:vAlign w:val="bottom"/>
          </w:tcPr>
          <w:p>
            <w:pPr>
              <w:spacing w:after="0"/>
              <w:rPr>
                <w:sz w:val="18"/>
                <w:szCs w:val="18"/>
                <w:color w:val="auto"/>
              </w:rPr>
            </w:pPr>
          </w:p>
        </w:tc>
        <w:tc>
          <w:tcPr>
            <w:tcW w:w="1120" w:type="dxa"/>
            <w:vAlign w:val="bottom"/>
            <w:gridSpan w:val="2"/>
          </w:tcPr>
          <w:p>
            <w:pPr>
              <w:ind w:left="16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Income </w:t>
            </w:r>
            <w:r>
              <w:rPr>
                <w:rFonts w:ascii="Times New Roman" w:cs="Times New Roman" w:eastAsia="Times New Roman" w:hAnsi="Times New Roman"/>
                <w:sz w:val="20"/>
                <w:szCs w:val="20"/>
                <w:b w:val="1"/>
                <w:bCs w:val="1"/>
                <w:color w:val="003366"/>
                <w:vertAlign w:val="superscript"/>
              </w:rPr>
              <w:t>(2)</w:t>
            </w:r>
          </w:p>
        </w:tc>
        <w:tc>
          <w:tcPr>
            <w:tcW w:w="1480" w:type="dxa"/>
            <w:vAlign w:val="bottom"/>
            <w:gridSpan w:val="3"/>
          </w:tcPr>
          <w:p>
            <w:pPr>
              <w:jc w:val="center"/>
              <w:ind w:right="60"/>
              <w:spacing w:after="0" w:line="209" w:lineRule="exact"/>
              <w:rPr>
                <w:sz w:val="20"/>
                <w:szCs w:val="20"/>
                <w:color w:val="auto"/>
              </w:rPr>
            </w:pPr>
            <w:r>
              <w:rPr>
                <w:rFonts w:ascii="Times New Roman" w:cs="Times New Roman" w:eastAsia="Times New Roman" w:hAnsi="Times New Roman"/>
                <w:sz w:val="16"/>
                <w:szCs w:val="16"/>
                <w:b w:val="1"/>
                <w:bCs w:val="1"/>
                <w:color w:val="003366"/>
                <w:w w:val="96"/>
              </w:rPr>
              <w:t xml:space="preserve">Reimbursements </w:t>
            </w:r>
            <w:r>
              <w:rPr>
                <w:rFonts w:ascii="Times New Roman" w:cs="Times New Roman" w:eastAsia="Times New Roman" w:hAnsi="Times New Roman"/>
                <w:sz w:val="20"/>
                <w:szCs w:val="20"/>
                <w:b w:val="1"/>
                <w:bCs w:val="1"/>
                <w:color w:val="003366"/>
                <w:w w:val="96"/>
                <w:vertAlign w:val="superscript"/>
              </w:rPr>
              <w:t>(3)</w:t>
            </w:r>
          </w:p>
        </w:tc>
        <w:tc>
          <w:tcPr>
            <w:tcW w:w="180" w:type="dxa"/>
            <w:vAlign w:val="bottom"/>
          </w:tcPr>
          <w:p>
            <w:pPr>
              <w:spacing w:after="0"/>
              <w:rPr>
                <w:sz w:val="18"/>
                <w:szCs w:val="18"/>
                <w:color w:val="auto"/>
              </w:rPr>
            </w:pPr>
          </w:p>
        </w:tc>
        <w:tc>
          <w:tcPr>
            <w:tcW w:w="112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Expenses </w:t>
            </w:r>
            <w:r>
              <w:rPr>
                <w:rFonts w:ascii="Times New Roman" w:cs="Times New Roman" w:eastAsia="Times New Roman" w:hAnsi="Times New Roman"/>
                <w:sz w:val="20"/>
                <w:szCs w:val="20"/>
                <w:b w:val="1"/>
                <w:bCs w:val="1"/>
                <w:color w:val="003366"/>
                <w:vertAlign w:val="superscript"/>
              </w:rPr>
              <w:t>(4)</w:t>
            </w:r>
          </w:p>
        </w:tc>
        <w:tc>
          <w:tcPr>
            <w:tcW w:w="120" w:type="dxa"/>
            <w:vAlign w:val="bottom"/>
          </w:tcPr>
          <w:p>
            <w:pPr>
              <w:spacing w:after="0"/>
              <w:rPr>
                <w:sz w:val="18"/>
                <w:szCs w:val="18"/>
                <w:color w:val="auto"/>
              </w:rPr>
            </w:pPr>
          </w:p>
        </w:tc>
        <w:tc>
          <w:tcPr>
            <w:tcW w:w="11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Adjustments </w:t>
            </w:r>
            <w:r>
              <w:rPr>
                <w:rFonts w:ascii="Times New Roman" w:cs="Times New Roman" w:eastAsia="Times New Roman" w:hAnsi="Times New Roman"/>
                <w:sz w:val="20"/>
                <w:szCs w:val="20"/>
                <w:b w:val="1"/>
                <w:bCs w:val="1"/>
                <w:color w:val="003366"/>
                <w:vertAlign w:val="superscript"/>
              </w:rPr>
              <w:t>(5)</w:t>
            </w:r>
          </w:p>
        </w:tc>
        <w:tc>
          <w:tcPr>
            <w:tcW w:w="260" w:type="dxa"/>
            <w:vAlign w:val="bottom"/>
          </w:tcPr>
          <w:p>
            <w:pPr>
              <w:spacing w:after="0"/>
              <w:rPr>
                <w:sz w:val="18"/>
                <w:szCs w:val="18"/>
                <w:color w:val="auto"/>
              </w:rPr>
            </w:pPr>
          </w:p>
        </w:tc>
        <w:tc>
          <w:tcPr>
            <w:tcW w:w="940" w:type="dxa"/>
            <w:vAlign w:val="bottom"/>
            <w:gridSpan w:val="2"/>
          </w:tcPr>
          <w:p>
            <w:pPr>
              <w:ind w:left="18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NOI </w:t>
            </w:r>
            <w:r>
              <w:rPr>
                <w:rFonts w:ascii="Times New Roman" w:cs="Times New Roman" w:eastAsia="Times New Roman" w:hAnsi="Times New Roman"/>
                <w:sz w:val="20"/>
                <w:szCs w:val="20"/>
                <w:b w:val="1"/>
                <w:bCs w:val="1"/>
                <w:color w:val="003366"/>
                <w:vertAlign w:val="superscript"/>
              </w:rPr>
              <w:t>(6)</w:t>
            </w:r>
          </w:p>
        </w:tc>
      </w:tr>
      <w:tr>
        <w:trPr>
          <w:trHeight w:val="19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Office Portfolio</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 Jolla Commons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Coastal Collection at Torrey Reserve </w:t>
            </w:r>
            <w:r>
              <w:rPr>
                <w:rFonts w:ascii="Times New Roman" w:cs="Times New Roman" w:eastAsia="Times New Roman" w:hAnsi="Times New Roman"/>
                <w:sz w:val="20"/>
                <w:szCs w:val="20"/>
                <w:color w:val="auto"/>
                <w:vertAlign w:val="superscript"/>
              </w:rPr>
              <w:t>(7)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Torrey Point </w:t>
            </w:r>
            <w:r>
              <w:rPr>
                <w:rFonts w:ascii="Times New Roman" w:cs="Times New Roman" w:eastAsia="Times New Roman" w:hAnsi="Times New Roman"/>
                <w:sz w:val="20"/>
                <w:szCs w:val="20"/>
                <w:color w:val="auto"/>
                <w:vertAlign w:val="superscript"/>
              </w:rPr>
              <w:t>(8)</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Solana Crossing</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Beach Street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First &amp; Main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Lloyd Portfolio </w:t>
            </w:r>
            <w:r>
              <w:rPr>
                <w:rFonts w:ascii="Times New Roman" w:cs="Times New Roman" w:eastAsia="Times New Roman" w:hAnsi="Times New Roman"/>
                <w:sz w:val="20"/>
                <w:szCs w:val="20"/>
                <w:color w:val="auto"/>
                <w:vertAlign w:val="superscript"/>
              </w:rPr>
              <w:t>(8)</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City Center Bellevue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14Acres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Timber Ridge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Timber Springs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 w:type="dxa"/>
            <w:vAlign w:val="bottom"/>
            <w:tcBorders>
              <w:bottom w:val="single" w:sz="8" w:color="auto"/>
            </w:tcBorders>
            <w:shd w:val="clear" w:color="auto" w:fill="CCEEFF"/>
          </w:tcPr>
          <w:p>
            <w:pPr>
              <w:spacing w:after="0"/>
              <w:rPr>
                <w:sz w:val="17"/>
                <w:szCs w:val="17"/>
                <w:color w:val="auto"/>
              </w:rPr>
            </w:pPr>
          </w:p>
        </w:tc>
      </w:tr>
      <w:tr>
        <w:trPr>
          <w:trHeight w:val="19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Office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46,769</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5,440</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(3,069)</w:t>
            </w:r>
          </w:p>
        </w:tc>
        <w:tc>
          <w:tcPr>
            <w:tcW w:w="80" w:type="dxa"/>
            <w:vAlign w:val="bottom"/>
          </w:tcPr>
          <w:p>
            <w:pPr>
              <w:spacing w:after="0"/>
              <w:rPr>
                <w:sz w:val="16"/>
                <w:szCs w:val="16"/>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34,379</w:t>
            </w:r>
          </w:p>
        </w:tc>
        <w:tc>
          <w:tcPr>
            <w:tcW w:w="20" w:type="dxa"/>
            <w:vAlign w:val="bottom"/>
          </w:tcPr>
          <w:p>
            <w:pPr>
              <w:spacing w:after="0"/>
              <w:rPr>
                <w:sz w:val="16"/>
                <w:szCs w:val="16"/>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Retail Portfolio</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Country Plaza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Carmel Mountain Plaza</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South Bay Marketplace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Gateway Marketplace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Lomas Santa Fe Plaza</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Solana Beach Towne Centre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Geary Marketplace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Shops at Kalakaua</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20" w:type="dxa"/>
            <w:vAlign w:val="bottom"/>
          </w:tcPr>
          <w:p>
            <w:pPr>
              <w:spacing w:after="0"/>
              <w:rPr>
                <w:sz w:val="17"/>
                <w:szCs w:val="17"/>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Alamo Quarry Market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20" w:type="dxa"/>
            <w:vAlign w:val="bottom"/>
            <w:shd w:val="clear" w:color="auto" w:fill="CCEEFF"/>
          </w:tcPr>
          <w:p>
            <w:pPr>
              <w:spacing w:after="0"/>
              <w:rPr>
                <w:sz w:val="17"/>
                <w:szCs w:val="17"/>
                <w:color w:val="auto"/>
              </w:rPr>
            </w:pPr>
          </w:p>
        </w:tc>
      </w:tr>
      <w:tr>
        <w:trPr>
          <w:trHeight w:val="201"/>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Hassalo on Eighth - Retail</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Borders>
              <w:bottom w:val="single" w:sz="8" w:color="auto"/>
            </w:tcBorders>
          </w:tcPr>
          <w:p>
            <w:pPr>
              <w:spacing w:after="0"/>
              <w:rPr>
                <w:sz w:val="17"/>
                <w:szCs w:val="17"/>
                <w:color w:val="auto"/>
              </w:rPr>
            </w:pPr>
          </w:p>
        </w:tc>
      </w:tr>
      <w:tr>
        <w:trPr>
          <w:trHeight w:val="19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Retail Portfolio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16,267</w:t>
            </w:r>
          </w:p>
        </w:tc>
        <w:tc>
          <w:tcPr>
            <w:tcW w:w="20" w:type="dxa"/>
            <w:vAlign w:val="bottom"/>
            <w:shd w:val="clear" w:color="auto" w:fill="CCEEFF"/>
          </w:tcPr>
          <w:p>
            <w:pPr>
              <w:spacing w:after="0"/>
              <w:rPr>
                <w:sz w:val="16"/>
                <w:szCs w:val="16"/>
                <w:color w:val="auto"/>
              </w:rPr>
            </w:pPr>
          </w:p>
        </w:tc>
      </w:tr>
      <w:tr>
        <w:trPr>
          <w:trHeight w:val="497"/>
        </w:trPr>
        <w:tc>
          <w:tcPr>
            <w:tcW w:w="34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r>
      <w:tr>
        <w:trPr>
          <w:trHeight w:val="198"/>
        </w:trPr>
        <w:tc>
          <w:tcPr>
            <w:tcW w:w="3400" w:type="dxa"/>
            <w:vAlign w:val="bottom"/>
            <w:tcBorders>
              <w:top w:val="single" w:sz="8" w:color="003366"/>
            </w:tcBorders>
            <w:gridSpan w:val="2"/>
          </w:tcPr>
          <w:p>
            <w:pPr>
              <w:ind w:left="20"/>
              <w:spacing w:after="0"/>
              <w:rPr>
                <w:sz w:val="20"/>
                <w:szCs w:val="20"/>
                <w:color w:val="auto"/>
              </w:rPr>
            </w:pPr>
            <w:r>
              <w:rPr>
                <w:rFonts w:ascii="Times New Roman" w:cs="Times New Roman" w:eastAsia="Times New Roman" w:hAnsi="Times New Roman"/>
                <w:sz w:val="16"/>
                <w:szCs w:val="16"/>
                <w:color w:val="003366"/>
              </w:rPr>
              <w:t>First Quarter 2026 Supplemental Information</w:t>
            </w:r>
          </w:p>
        </w:tc>
        <w:tc>
          <w:tcPr>
            <w:tcW w:w="140" w:type="dxa"/>
            <w:vAlign w:val="bottom"/>
            <w:tcBorders>
              <w:top w:val="single" w:sz="8" w:color="003366"/>
            </w:tcBorders>
          </w:tcPr>
          <w:p>
            <w:pPr>
              <w:spacing w:after="0"/>
              <w:rPr>
                <w:sz w:val="17"/>
                <w:szCs w:val="17"/>
                <w:color w:val="auto"/>
              </w:rPr>
            </w:pPr>
          </w:p>
        </w:tc>
        <w:tc>
          <w:tcPr>
            <w:tcW w:w="106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80" w:type="dxa"/>
            <w:vAlign w:val="bottom"/>
            <w:tcBorders>
              <w:top w:val="single" w:sz="8" w:color="003366"/>
            </w:tcBorders>
          </w:tcPr>
          <w:p>
            <w:pPr>
              <w:spacing w:after="0"/>
              <w:rPr>
                <w:sz w:val="17"/>
                <w:szCs w:val="17"/>
                <w:color w:val="auto"/>
              </w:rPr>
            </w:pPr>
          </w:p>
        </w:tc>
        <w:tc>
          <w:tcPr>
            <w:tcW w:w="104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40" w:type="dxa"/>
            <w:vAlign w:val="bottom"/>
            <w:tcBorders>
              <w:top w:val="single" w:sz="8" w:color="003366"/>
            </w:tcBorders>
          </w:tcPr>
          <w:p>
            <w:pPr>
              <w:spacing w:after="0"/>
              <w:rPr>
                <w:sz w:val="17"/>
                <w:szCs w:val="17"/>
                <w:color w:val="auto"/>
              </w:rPr>
            </w:pPr>
          </w:p>
        </w:tc>
        <w:tc>
          <w:tcPr>
            <w:tcW w:w="126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80" w:type="dxa"/>
            <w:vAlign w:val="bottom"/>
            <w:tcBorders>
              <w:top w:val="single" w:sz="8" w:color="003366"/>
            </w:tcBorders>
          </w:tcPr>
          <w:p>
            <w:pPr>
              <w:spacing w:after="0"/>
              <w:rPr>
                <w:sz w:val="17"/>
                <w:szCs w:val="17"/>
                <w:color w:val="auto"/>
              </w:rPr>
            </w:pPr>
          </w:p>
        </w:tc>
        <w:tc>
          <w:tcPr>
            <w:tcW w:w="104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20" w:type="dxa"/>
            <w:vAlign w:val="bottom"/>
            <w:tcBorders>
              <w:top w:val="single" w:sz="8" w:color="003366"/>
            </w:tcBorders>
          </w:tcPr>
          <w:p>
            <w:pPr>
              <w:spacing w:after="0"/>
              <w:rPr>
                <w:sz w:val="17"/>
                <w:szCs w:val="17"/>
                <w:color w:val="auto"/>
              </w:rPr>
            </w:pPr>
          </w:p>
        </w:tc>
        <w:tc>
          <w:tcPr>
            <w:tcW w:w="110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260" w:type="dxa"/>
            <w:vAlign w:val="bottom"/>
            <w:tcBorders>
              <w:top w:val="single" w:sz="8" w:color="003366"/>
            </w:tcBorders>
          </w:tcPr>
          <w:p>
            <w:pPr>
              <w:spacing w:after="0"/>
              <w:rPr>
                <w:sz w:val="17"/>
                <w:szCs w:val="17"/>
                <w:color w:val="auto"/>
              </w:rPr>
            </w:pPr>
          </w:p>
        </w:tc>
        <w:tc>
          <w:tcPr>
            <w:tcW w:w="920" w:type="dxa"/>
            <w:vAlign w:val="bottom"/>
            <w:tcBorders>
              <w:top w:val="single" w:sz="8" w:color="003366"/>
            </w:tcBorders>
          </w:tcPr>
          <w:p>
            <w:pPr>
              <w:jc w:val="right"/>
              <w:spacing w:after="0"/>
              <w:rPr>
                <w:sz w:val="20"/>
                <w:szCs w:val="20"/>
                <w:color w:val="auto"/>
              </w:rPr>
            </w:pPr>
            <w:r>
              <w:rPr>
                <w:rFonts w:ascii="Times New Roman" w:cs="Times New Roman" w:eastAsia="Times New Roman" w:hAnsi="Times New Roman"/>
                <w:sz w:val="16"/>
                <w:szCs w:val="16"/>
                <w:color w:val="003366"/>
              </w:rPr>
              <w:t>Page 13</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401" w:right="319" w:bottom="1440" w:gutter="0" w:footer="0" w:header="0"/>
        </w:sectPr>
      </w:pPr>
    </w:p>
    <w:bookmarkStart w:id="25" w:name="page26"/>
    <w:bookmarkEnd w:id="25"/>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003366"/>
              </w:rPr>
              <w:t>Three Months Ended March 31, 2026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6"/>
        </w:trPr>
        <w:tc>
          <w:tcPr>
            <w:tcW w:w="3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8"/>
              </w:rPr>
              <w:t>Additional</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199"/>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7"/>
              </w:rPr>
              <w:t>Property</w:t>
            </w:r>
          </w:p>
        </w:tc>
        <w:tc>
          <w:tcPr>
            <w:tcW w:w="8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7"/>
              </w:rPr>
              <w:t>Billed Expense</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Operating</w:t>
            </w:r>
          </w:p>
        </w:tc>
        <w:tc>
          <w:tcPr>
            <w:tcW w:w="10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003366"/>
              </w:rPr>
              <w:t>Rental</w:t>
            </w:r>
          </w:p>
        </w:tc>
        <w:tc>
          <w:tcPr>
            <w:tcW w:w="240" w:type="dxa"/>
            <w:vAlign w:val="bottom"/>
          </w:tcPr>
          <w:p>
            <w:pPr>
              <w:spacing w:after="0"/>
              <w:rPr>
                <w:sz w:val="17"/>
                <w:szCs w:val="17"/>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003366"/>
              </w:rPr>
              <w:t>Cash</w:t>
            </w:r>
          </w:p>
        </w:tc>
      </w:tr>
      <w:tr>
        <w:trPr>
          <w:trHeight w:val="210"/>
        </w:trPr>
        <w:tc>
          <w:tcPr>
            <w:tcW w:w="3480" w:type="dxa"/>
            <w:vAlign w:val="bottom"/>
            <w:gridSpan w:val="2"/>
          </w:tcPr>
          <w:p>
            <w:pPr>
              <w:ind w:left="140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140" w:type="dxa"/>
            <w:vAlign w:val="bottom"/>
          </w:tcPr>
          <w:p>
            <w:pPr>
              <w:spacing w:after="0"/>
              <w:rPr>
                <w:sz w:val="18"/>
                <w:szCs w:val="18"/>
                <w:color w:val="auto"/>
              </w:rPr>
            </w:pPr>
          </w:p>
        </w:tc>
        <w:tc>
          <w:tcPr>
            <w:tcW w:w="114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Base Rent </w:t>
            </w:r>
            <w:r>
              <w:rPr>
                <w:rFonts w:ascii="Times New Roman" w:cs="Times New Roman" w:eastAsia="Times New Roman" w:hAnsi="Times New Roman"/>
                <w:sz w:val="20"/>
                <w:szCs w:val="20"/>
                <w:b w:val="1"/>
                <w:bCs w:val="1"/>
                <w:color w:val="003366"/>
                <w:vertAlign w:val="superscript"/>
              </w:rPr>
              <w:t>(1)</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line="209" w:lineRule="exact"/>
              <w:rPr>
                <w:sz w:val="20"/>
                <w:szCs w:val="20"/>
                <w:color w:val="auto"/>
              </w:rPr>
            </w:pPr>
            <w:r>
              <w:rPr>
                <w:rFonts w:ascii="Times New Roman" w:cs="Times New Roman" w:eastAsia="Times New Roman" w:hAnsi="Times New Roman"/>
                <w:sz w:val="16"/>
                <w:szCs w:val="16"/>
                <w:b w:val="1"/>
                <w:bCs w:val="1"/>
                <w:color w:val="003366"/>
                <w:w w:val="93"/>
              </w:rPr>
              <w:t xml:space="preserve">Income </w:t>
            </w:r>
            <w:r>
              <w:rPr>
                <w:rFonts w:ascii="Times New Roman" w:cs="Times New Roman" w:eastAsia="Times New Roman" w:hAnsi="Times New Roman"/>
                <w:sz w:val="20"/>
                <w:szCs w:val="20"/>
                <w:b w:val="1"/>
                <w:bCs w:val="1"/>
                <w:color w:val="003366"/>
                <w:w w:val="93"/>
                <w:vertAlign w:val="superscript"/>
              </w:rPr>
              <w:t>(2)</w:t>
            </w:r>
          </w:p>
        </w:tc>
        <w:tc>
          <w:tcPr>
            <w:tcW w:w="1480" w:type="dxa"/>
            <w:vAlign w:val="bottom"/>
            <w:gridSpan w:val="3"/>
          </w:tcPr>
          <w:p>
            <w:pPr>
              <w:jc w:val="center"/>
              <w:ind w:right="100"/>
              <w:spacing w:after="0" w:line="209" w:lineRule="exact"/>
              <w:rPr>
                <w:sz w:val="20"/>
                <w:szCs w:val="20"/>
                <w:color w:val="auto"/>
              </w:rPr>
            </w:pPr>
            <w:r>
              <w:rPr>
                <w:rFonts w:ascii="Times New Roman" w:cs="Times New Roman" w:eastAsia="Times New Roman" w:hAnsi="Times New Roman"/>
                <w:sz w:val="16"/>
                <w:szCs w:val="16"/>
                <w:b w:val="1"/>
                <w:bCs w:val="1"/>
                <w:color w:val="003366"/>
                <w:w w:val="96"/>
              </w:rPr>
              <w:t xml:space="preserve">Reimbursements </w:t>
            </w:r>
            <w:r>
              <w:rPr>
                <w:rFonts w:ascii="Times New Roman" w:cs="Times New Roman" w:eastAsia="Times New Roman" w:hAnsi="Times New Roman"/>
                <w:sz w:val="20"/>
                <w:szCs w:val="20"/>
                <w:b w:val="1"/>
                <w:bCs w:val="1"/>
                <w:color w:val="003366"/>
                <w:w w:val="96"/>
                <w:vertAlign w:val="superscript"/>
              </w:rPr>
              <w:t>(3)</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003366"/>
                <w:w w:val="94"/>
              </w:rPr>
              <w:t xml:space="preserve">Expenses </w:t>
            </w:r>
            <w:r>
              <w:rPr>
                <w:rFonts w:ascii="Times New Roman" w:cs="Times New Roman" w:eastAsia="Times New Roman" w:hAnsi="Times New Roman"/>
                <w:sz w:val="20"/>
                <w:szCs w:val="20"/>
                <w:b w:val="1"/>
                <w:bCs w:val="1"/>
                <w:color w:val="003366"/>
                <w:w w:val="94"/>
                <w:vertAlign w:val="superscript"/>
              </w:rPr>
              <w:t>(4)</w:t>
            </w:r>
          </w:p>
        </w:tc>
        <w:tc>
          <w:tcPr>
            <w:tcW w:w="100" w:type="dxa"/>
            <w:vAlign w:val="bottom"/>
          </w:tcPr>
          <w:p>
            <w:pPr>
              <w:spacing w:after="0"/>
              <w:rPr>
                <w:sz w:val="18"/>
                <w:szCs w:val="18"/>
                <w:color w:val="auto"/>
              </w:rPr>
            </w:pPr>
          </w:p>
        </w:tc>
        <w:tc>
          <w:tcPr>
            <w:tcW w:w="120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Adjustments </w:t>
            </w:r>
            <w:r>
              <w:rPr>
                <w:rFonts w:ascii="Times New Roman" w:cs="Times New Roman" w:eastAsia="Times New Roman" w:hAnsi="Times New Roman"/>
                <w:sz w:val="20"/>
                <w:szCs w:val="20"/>
                <w:b w:val="1"/>
                <w:bCs w:val="1"/>
                <w:color w:val="003366"/>
                <w:vertAlign w:val="superscript"/>
              </w:rPr>
              <w:t>(5)</w:t>
            </w:r>
          </w:p>
        </w:tc>
        <w:tc>
          <w:tcPr>
            <w:tcW w:w="240" w:type="dxa"/>
            <w:vAlign w:val="bottom"/>
          </w:tcPr>
          <w:p>
            <w:pPr>
              <w:spacing w:after="0"/>
              <w:rPr>
                <w:sz w:val="18"/>
                <w:szCs w:val="18"/>
                <w:color w:val="auto"/>
              </w:rPr>
            </w:pPr>
          </w:p>
        </w:tc>
        <w:tc>
          <w:tcPr>
            <w:tcW w:w="960" w:type="dxa"/>
            <w:vAlign w:val="bottom"/>
          </w:tcPr>
          <w:p>
            <w:pPr>
              <w:jc w:val="right"/>
              <w:ind w:right="303"/>
              <w:spacing w:after="0" w:line="210" w:lineRule="exact"/>
              <w:rPr>
                <w:sz w:val="20"/>
                <w:szCs w:val="20"/>
                <w:color w:val="auto"/>
              </w:rPr>
            </w:pPr>
            <w:r>
              <w:rPr>
                <w:rFonts w:ascii="Times New Roman" w:cs="Times New Roman" w:eastAsia="Times New Roman" w:hAnsi="Times New Roman"/>
                <w:sz w:val="24"/>
                <w:szCs w:val="24"/>
                <w:b w:val="1"/>
                <w:bCs w:val="1"/>
                <w:color w:val="003366"/>
                <w:vertAlign w:val="subscript"/>
              </w:rPr>
              <w:t>NOI</w:t>
            </w:r>
            <w:r>
              <w:rPr>
                <w:rFonts w:ascii="Times New Roman" w:cs="Times New Roman" w:eastAsia="Times New Roman" w:hAnsi="Times New Roman"/>
                <w:sz w:val="9"/>
                <w:szCs w:val="9"/>
                <w:b w:val="1"/>
                <w:bCs w:val="1"/>
                <w:color w:val="003366"/>
              </w:rPr>
              <w:t xml:space="preserve"> (6)</w:t>
            </w:r>
          </w:p>
        </w:tc>
      </w:tr>
      <w:tr>
        <w:trPr>
          <w:trHeight w:val="19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Multifamily Portfolio</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Loma Palisades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r>
      <w:tr>
        <w:trPr>
          <w:trHeight w:val="201"/>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Imperial Beach Gardens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Mariner's Point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1"/>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Fe Park RV Resort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Pacific Ridge Apartments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r>
      <w:tr>
        <w:trPr>
          <w:trHeight w:val="201"/>
        </w:trPr>
        <w:tc>
          <w:tcPr>
            <w:tcW w:w="34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Genesee Park </w:t>
            </w:r>
            <w:r>
              <w:rPr>
                <w:rFonts w:ascii="Times New Roman" w:cs="Times New Roman" w:eastAsia="Times New Roman" w:hAnsi="Times New Roman"/>
                <w:sz w:val="20"/>
                <w:szCs w:val="20"/>
                <w:color w:val="auto"/>
                <w:vertAlign w:val="superscript"/>
              </w:rPr>
              <w:t>(9)</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Hassalo on Eighth - Multifamily</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193"/>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Multifamily Portfolio</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17,376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10,329</w:t>
            </w: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Mixed-Use Portfolio</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Waikiki Beach Walk -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0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Waikiki Beach Walk - Embassy Suites™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193"/>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Mixed-Use Portfolio</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12,547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3,208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(11,478)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r>
      <w:tr>
        <w:trPr>
          <w:trHeight w:val="19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Development Properties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r>
      <w:tr>
        <w:trPr>
          <w:trHeight w:val="218"/>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94,118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66,086</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left="5" w:right="20"/>
        <w:spacing w:after="0" w:line="253" w:lineRule="auto"/>
        <w:rPr>
          <w:sz w:val="20"/>
          <w:szCs w:val="20"/>
          <w:color w:val="auto"/>
        </w:rPr>
      </w:pPr>
      <w:r>
        <w:rPr>
          <w:rFonts w:ascii="Times New Roman" w:cs="Times New Roman" w:eastAsia="Times New Roman" w:hAnsi="Times New Roman"/>
          <w:sz w:val="16"/>
          <w:szCs w:val="16"/>
          <w:color w:val="auto"/>
        </w:rPr>
        <w:t>Cash NOI is a non-GAAP supplemental earnings measure which the company considers meaningful in measuring its operating performance. A reconciliation of total cash NOI to net income is included in the Glossary of Terms.</w:t>
      </w:r>
    </w:p>
    <w:p>
      <w:pPr>
        <w:ind w:left="5"/>
        <w:spacing w:after="0" w:line="229" w:lineRule="auto"/>
        <w:rPr>
          <w:sz w:val="20"/>
          <w:szCs w:val="20"/>
          <w:color w:val="auto"/>
        </w:rPr>
      </w:pPr>
      <w:r>
        <w:rPr>
          <w:rFonts w:ascii="Times New Roman" w:cs="Times New Roman" w:eastAsia="Times New Roman" w:hAnsi="Times New Roman"/>
          <w:sz w:val="13"/>
          <w:szCs w:val="13"/>
          <w:color w:val="auto"/>
        </w:rPr>
        <w:t>Notes:</w:t>
      </w:r>
    </w:p>
    <w:p>
      <w:pPr>
        <w:ind w:left="285" w:right="20" w:hanging="285"/>
        <w:spacing w:after="0" w:line="263" w:lineRule="auto"/>
        <w:tabs>
          <w:tab w:leader="none" w:pos="27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 rent for our office and retail portfolios and the retail portion of our mixed-use portfolio represents base rent for the three months ended March 31, 2026 (before deferrals, abatements, and tenant improvement reimbursements) and excludes the impact of straight-line rent and above (below) market rent adjustments. Total abatements for our office portfolio and retail portfolio were approximately $3.1 million and $0.1 million, respectively, for the three months ended March 31, 2026. Total abatements for our mixed-use portfolio were minimal for the three months ended March 31, 2026. In the case of triple net or modified gross leases, annualized base rent does not include tenant reimbursements for real estate taxes, insurance, common area or other operating expenses. Multifamily portfolio base rent represents base rent (including parking, before abatements) less vacancy allowance and employee rent credits and includes additional rents (which include insufficient notice penalties, month-to-month charges and pet rent). There were $0.2 million of abatements for our multifamily portfolio for the three months ended March 31, 2026. For Waikiki Beach Walk - Embassy Suites</w:t>
      </w:r>
      <w:r>
        <w:rPr>
          <w:rFonts w:ascii="Times New Roman" w:cs="Times New Roman" w:eastAsia="Times New Roman" w:hAnsi="Times New Roman"/>
          <w:sz w:val="7"/>
          <w:szCs w:val="7"/>
          <w:color w:val="auto"/>
        </w:rPr>
        <w:t>TM</w:t>
      </w:r>
      <w:r>
        <w:rPr>
          <w:rFonts w:ascii="Times New Roman" w:cs="Times New Roman" w:eastAsia="Times New Roman" w:hAnsi="Times New Roman"/>
          <w:sz w:val="12"/>
          <w:szCs w:val="12"/>
          <w:color w:val="auto"/>
        </w:rPr>
        <w:t>, base rent is equal to the actual room revenue for the three months ended March 31, 2026. Total tenant improvement reimbursements for our office portfolio, retail portfolio and the retail portion of our mixed-use portfolio were approximately $0.2 million in the aggregate for the three months ended March 31,</w:t>
      </w:r>
    </w:p>
    <w:p>
      <w:pPr>
        <w:spacing w:after="0" w:line="2" w:lineRule="exact"/>
        <w:rPr>
          <w:rFonts w:ascii="Times New Roman" w:cs="Times New Roman" w:eastAsia="Times New Roman" w:hAnsi="Times New Roman"/>
          <w:sz w:val="12"/>
          <w:szCs w:val="12"/>
          <w:color w:val="auto"/>
        </w:rPr>
      </w:pPr>
    </w:p>
    <w:p>
      <w:pPr>
        <w:ind w:left="285"/>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2026. A reconciliation of base rent to rental income is shown below:</w:t>
      </w:r>
    </w:p>
    <w:p>
      <w:pPr>
        <w:spacing w:after="0" w:line="85" w:lineRule="exact"/>
        <w:rPr>
          <w:sz w:val="20"/>
          <w:szCs w:val="20"/>
          <w:color w:val="auto"/>
        </w:rPr>
      </w:pPr>
    </w:p>
    <w:tbl>
      <w:tblPr>
        <w:tblLayout w:type="fixed"/>
        <w:tblInd w:w="565" w:type="dxa"/>
        <w:tblCellMar>
          <w:top w:w="0" w:type="dxa"/>
          <w:left w:w="0" w:type="dxa"/>
          <w:bottom w:w="0" w:type="dxa"/>
          <w:right w:w="0" w:type="dxa"/>
        </w:tblCellMar>
      </w:tblPr>
      <w:tr>
        <w:trPr>
          <w:trHeight w:val="177"/>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 Rent</w:t>
            </w: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94,118</w:t>
            </w:r>
          </w:p>
        </w:tc>
      </w:tr>
      <w:tr>
        <w:trPr>
          <w:trHeight w:val="171"/>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Billed Expense Reimbursement</w:t>
            </w:r>
          </w:p>
        </w:tc>
        <w:tc>
          <w:tcPr>
            <w:tcW w:w="8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11,648</w:t>
            </w:r>
          </w:p>
        </w:tc>
      </w:tr>
      <w:tr>
        <w:trPr>
          <w:trHeight w:val="184"/>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Percentage Rent</w:t>
            </w: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71"/>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Straight-line rent components</w:t>
            </w:r>
          </w:p>
        </w:tc>
        <w:tc>
          <w:tcPr>
            <w:tcW w:w="8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77"/>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Rental Income*</w:t>
            </w:r>
          </w:p>
        </w:tc>
        <w:tc>
          <w:tcPr>
            <w:tcW w:w="8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w:t>
            </w:r>
          </w:p>
        </w:tc>
      </w:tr>
      <w:tr>
        <w:trPr>
          <w:trHeight w:val="176"/>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Income</w:t>
            </w:r>
          </w:p>
        </w:tc>
        <w:tc>
          <w:tcPr>
            <w:tcW w:w="8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104,422</w:t>
            </w:r>
          </w:p>
        </w:tc>
      </w:tr>
      <w:tr>
        <w:trPr>
          <w:trHeight w:val="20"/>
        </w:trPr>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3"/>
          <w:szCs w:val="13"/>
          <w:color w:val="auto"/>
        </w:rPr>
        <w:t>* Other rental income includes rent abatement, rent deferral, above market rent, below market rent, lease incentives, tenant improvement reimbursement, storage rent and other miscellaneous rental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4184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14</w:t>
      </w:r>
    </w:p>
    <w:p>
      <w:pPr>
        <w:sectPr>
          <w:pgSz w:w="11900" w:h="16838" w:orient="portrait"/>
          <w:cols w:equalWidth="0" w:num="1">
            <w:col w:w="11265"/>
          </w:cols>
          <w:pgMar w:left="315" w:top="401" w:right="319" w:bottom="1440" w:gutter="0" w:footer="0" w:header="0"/>
        </w:sectPr>
      </w:pPr>
    </w:p>
    <w:bookmarkStart w:id="26" w:name="page27"/>
    <w:bookmarkEnd w:id="26"/>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5" w:right="380" w:hanging="285"/>
        <w:spacing w:after="0" w:line="255" w:lineRule="auto"/>
        <w:tabs>
          <w:tab w:leader="none" w:pos="27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additional property-related income for the three months ended March 31, 2026, which includes (i) percentage rent, (ii) other rent (such as storage rent, license fees and association fees) and (iii) other property income (such as late fees, default fees, parking revenue, the reimbursement of general excise taxes, laundry income and food and beverage sales), and excludes lease termination fees.</w:t>
      </w:r>
    </w:p>
    <w:p>
      <w:pPr>
        <w:ind w:left="265" w:hanging="265"/>
        <w:spacing w:after="0" w:line="233" w:lineRule="auto"/>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billed tenant expense reimbursements for the three months ended March 31, 2026.</w:t>
      </w: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property operating expenses for the three months ended March 31, 2026. Property operating expenses includes all rental expenses, except non cash rent expense.</w:t>
      </w: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rental adjustments related to base rent (deferrals and abatements).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Coastal Collection at Torrey Reserve was formerly known as Torrey Reserve Campus.</w:t>
      </w:r>
    </w:p>
    <w:p>
      <w:pPr>
        <w:spacing w:after="0" w:line="4" w:lineRule="exact"/>
        <w:rPr>
          <w:rFonts w:ascii="Times New Roman" w:cs="Times New Roman" w:eastAsia="Times New Roman" w:hAnsi="Times New Roman"/>
          <w:sz w:val="13"/>
          <w:szCs w:val="13"/>
          <w:color w:val="auto"/>
        </w:rPr>
      </w:pPr>
    </w:p>
    <w:p>
      <w:pPr>
        <w:ind w:left="285" w:right="180" w:hanging="285"/>
        <w:spacing w:after="0" w:line="237" w:lineRule="auto"/>
        <w:tabs>
          <w:tab w:leader="none" w:pos="27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rent shown includes amounts related to American Assets Trust, L.P.'s corporate leases at Torrey Point and Lloyd Portfolio. This intercompany rent is eliminated in the consolidated statement of operations. The base rent and abatement were both $0.4 million for the three months ended March 31, 2026.</w:t>
      </w: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Genesee Park was acquired on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14184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15</w:t>
      </w:r>
    </w:p>
    <w:p>
      <w:pPr>
        <w:sectPr>
          <w:pgSz w:w="11900" w:h="16838" w:orient="portrait"/>
          <w:cols w:equalWidth="0" w:num="1">
            <w:col w:w="11225"/>
          </w:cols>
          <w:pgMar w:left="315" w:top="401" w:right="359" w:bottom="1440" w:gutter="0" w:footer="0" w:header="0"/>
        </w:sectPr>
      </w:pPr>
    </w:p>
    <w:bookmarkStart w:id="27" w:name="page28"/>
    <w:bookmarkEnd w:id="27"/>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SEGMENT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Three Months Ended March 31, 2026</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6"/>
                <w:szCs w:val="16"/>
                <w:b w:val="1"/>
                <w:bCs w:val="1"/>
                <w:color w:val="003366"/>
                <w:w w:val="96"/>
              </w:rPr>
              <w:t>Total Tenant</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003366"/>
                <w:w w:val="98"/>
              </w:rPr>
              <w:t>Improvements,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b w:val="1"/>
                <w:bCs w:val="1"/>
                <w:color w:val="003366"/>
                <w:w w:val="97"/>
              </w:rPr>
              <w:t>Leasing</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003366"/>
              </w:rPr>
              <w:t>Redevelopment,</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003366"/>
                <w:w w:val="96"/>
              </w:rPr>
              <w:t>Improvements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8"/>
              </w:rPr>
              <w:t>Capital</w:t>
            </w:r>
          </w:p>
        </w:tc>
        <w:tc>
          <w:tcPr>
            <w:tcW w:w="130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003366"/>
                <w:w w:val="97"/>
              </w:rPr>
              <w:t>Commissions and</w:t>
            </w:r>
          </w:p>
        </w:tc>
        <w:tc>
          <w:tcPr>
            <w:tcW w:w="1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003366"/>
                <w:w w:val="99"/>
              </w:rPr>
              <w:t>New</w:t>
            </w:r>
          </w:p>
        </w:tc>
        <w:tc>
          <w:tcPr>
            <w:tcW w:w="140" w:type="dxa"/>
            <w:vAlign w:val="bottom"/>
          </w:tcPr>
          <w:p>
            <w:pPr>
              <w:spacing w:after="0"/>
              <w:rPr>
                <w:sz w:val="13"/>
                <w:szCs w:val="13"/>
                <w:color w:val="auto"/>
              </w:rPr>
            </w:pPr>
          </w:p>
        </w:tc>
        <w:tc>
          <w:tcPr>
            <w:tcW w:w="110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003366"/>
                <w:w w:val="98"/>
              </w:rPr>
              <w:t>Total Capital</w:t>
            </w:r>
          </w:p>
        </w:tc>
        <w:tc>
          <w:tcPr>
            <w:tcW w:w="0" w:type="dxa"/>
            <w:vAlign w:val="bottom"/>
          </w:tcPr>
          <w:p>
            <w:pPr>
              <w:spacing w:after="0"/>
              <w:rPr>
                <w:sz w:val="1"/>
                <w:szCs w:val="1"/>
                <w:color w:val="auto"/>
              </w:rPr>
            </w:pPr>
          </w:p>
        </w:tc>
      </w:tr>
      <w:tr>
        <w:trPr>
          <w:trHeight w:val="166"/>
        </w:trPr>
        <w:tc>
          <w:tcPr>
            <w:tcW w:w="330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003366"/>
              </w:rPr>
              <w:t>Segment</w:t>
            </w:r>
          </w:p>
        </w:tc>
        <w:tc>
          <w:tcPr>
            <w:tcW w:w="12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and Leasing</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Capital</w:t>
            </w:r>
          </w:p>
        </w:tc>
        <w:tc>
          <w:tcPr>
            <w:tcW w:w="132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003366"/>
              </w:rPr>
              <w:t>Expansions and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6"/>
              </w:rPr>
              <w:t>Commissions</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132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6"/>
                <w:szCs w:val="16"/>
                <w:b w:val="1"/>
                <w:bCs w:val="1"/>
                <w:color w:val="003366"/>
              </w:rPr>
              <w:t xml:space="preserve">Repositioning </w:t>
            </w:r>
            <w:r>
              <w:rPr>
                <w:rFonts w:ascii="Times New Roman" w:cs="Times New Roman" w:eastAsia="Times New Roman" w:hAnsi="Times New Roman"/>
                <w:sz w:val="20"/>
                <w:szCs w:val="20"/>
                <w:b w:val="1"/>
                <w:bCs w:val="1"/>
                <w:color w:val="003366"/>
                <w:vertAlign w:val="superscript"/>
              </w:rPr>
              <w:t>(1)</w:t>
            </w:r>
          </w:p>
        </w:tc>
        <w:tc>
          <w:tcPr>
            <w:tcW w:w="14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003366"/>
              </w:rPr>
              <w:t>Development</w:t>
            </w:r>
          </w:p>
        </w:tc>
        <w:tc>
          <w:tcPr>
            <w:tcW w:w="140" w:type="dxa"/>
            <w:vAlign w:val="bottom"/>
          </w:tcPr>
          <w:p>
            <w:pPr>
              <w:spacing w:after="0"/>
              <w:rPr>
                <w:sz w:val="17"/>
                <w:szCs w:val="17"/>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0" w:type="dxa"/>
            <w:vAlign w:val="bottom"/>
          </w:tcPr>
          <w:p>
            <w:pPr>
              <w:spacing w:after="0"/>
              <w:rPr>
                <w:sz w:val="1"/>
                <w:szCs w:val="1"/>
                <w:color w:val="auto"/>
              </w:rPr>
            </w:pPr>
          </w:p>
        </w:tc>
      </w:tr>
      <w:tr>
        <w:trPr>
          <w:trHeight w:val="19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Portfolio</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w:t>
            </w:r>
          </w:p>
        </w:tc>
        <w:tc>
          <w:tcPr>
            <w:tcW w:w="0" w:type="dxa"/>
            <w:vAlign w:val="bottom"/>
          </w:tcPr>
          <w:p>
            <w:pPr>
              <w:spacing w:after="0"/>
              <w:rPr>
                <w:sz w:val="1"/>
                <w:szCs w:val="1"/>
                <w:color w:val="auto"/>
              </w:rPr>
            </w:pPr>
          </w:p>
        </w:tc>
      </w:tr>
      <w:tr>
        <w:trPr>
          <w:trHeight w:val="20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Retail Portfolio</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0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Portfolio</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0" w:type="dxa"/>
            <w:vAlign w:val="bottom"/>
          </w:tcPr>
          <w:p>
            <w:pPr>
              <w:spacing w:after="0"/>
              <w:rPr>
                <w:sz w:val="1"/>
                <w:szCs w:val="1"/>
                <w:color w:val="auto"/>
              </w:rPr>
            </w:pPr>
          </w:p>
        </w:tc>
      </w:tr>
      <w:tr>
        <w:trPr>
          <w:trHeight w:val="20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Mixed-Use Portfolio</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23,240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85" w:right="20" w:hanging="285"/>
        <w:spacing w:after="0" w:line="251" w:lineRule="auto"/>
        <w:tabs>
          <w:tab w:leader="none" w:pos="27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with the three months ended June 30, 2025, this capital expenditures category includes spending related to repositioning initiatives at operating properties, as well as planned capital expenditures identified at the time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184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79"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16</w:t>
      </w:r>
    </w:p>
    <w:p>
      <w:pPr>
        <w:sectPr>
          <w:pgSz w:w="11900" w:h="16838" w:orient="portrait"/>
          <w:cols w:equalWidth="0" w:num="1">
            <w:col w:w="11265"/>
          </w:cols>
          <w:pgMar w:left="315" w:top="401" w:right="319" w:bottom="1440" w:gutter="0" w:footer="0" w:header="0"/>
        </w:sectPr>
      </w:pPr>
    </w:p>
    <w:bookmarkStart w:id="28" w:name="page29"/>
    <w:bookmarkEnd w:id="28"/>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SUMMARY OF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Amount</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9"/>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7"/>
              </w:rPr>
              <w:t>Outstanding at</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003366"/>
              </w:rPr>
              <w:t>Annual Debt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0"/>
        </w:trPr>
        <w:tc>
          <w:tcPr>
            <w:tcW w:w="5100" w:type="dxa"/>
            <w:vAlign w:val="bottom"/>
            <w:gridSpan w:val="2"/>
          </w:tcPr>
          <w:p>
            <w:pPr>
              <w:ind w:left="2340"/>
              <w:spacing w:after="0"/>
              <w:rPr>
                <w:sz w:val="20"/>
                <w:szCs w:val="20"/>
                <w:color w:val="auto"/>
              </w:rPr>
            </w:pPr>
            <w:r>
              <w:rPr>
                <w:rFonts w:ascii="Times New Roman" w:cs="Times New Roman" w:eastAsia="Times New Roman" w:hAnsi="Times New Roman"/>
                <w:sz w:val="16"/>
                <w:szCs w:val="16"/>
                <w:b w:val="1"/>
                <w:bCs w:val="1"/>
                <w:color w:val="003366"/>
              </w:rPr>
              <w:t>Debt</w:t>
            </w: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7"/>
              </w:rPr>
              <w:t>March 31, 2026</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003366"/>
              </w:rPr>
              <w:t>Interest Rate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16"/>
                <w:szCs w:val="16"/>
                <w:b w:val="1"/>
                <w:bCs w:val="1"/>
                <w:color w:val="003366"/>
              </w:rPr>
              <w:t xml:space="preserve">Service </w:t>
            </w:r>
            <w:r>
              <w:rPr>
                <w:rFonts w:ascii="Times New Roman" w:cs="Times New Roman" w:eastAsia="Times New Roman" w:hAnsi="Times New Roman"/>
                <w:sz w:val="20"/>
                <w:szCs w:val="20"/>
                <w:b w:val="1"/>
                <w:bCs w:val="1"/>
                <w:color w:val="003366"/>
                <w:vertAlign w:val="superscript"/>
              </w:rPr>
              <w:t>(1)</w:t>
            </w:r>
          </w:p>
        </w:tc>
        <w:tc>
          <w:tcPr>
            <w:tcW w:w="80" w:type="dxa"/>
            <w:vAlign w:val="bottom"/>
          </w:tcPr>
          <w:p>
            <w:pPr>
              <w:spacing w:after="0"/>
              <w:rPr>
                <w:sz w:val="18"/>
                <w:szCs w:val="18"/>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003366"/>
              </w:rPr>
              <w:t>Maturity Date</w:t>
            </w:r>
          </w:p>
        </w:tc>
      </w:tr>
      <w:tr>
        <w:trPr>
          <w:trHeight w:val="193"/>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City Center Bellevue</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2027</w:t>
            </w:r>
          </w:p>
        </w:tc>
        <w:tc>
          <w:tcPr>
            <w:tcW w:w="240" w:type="dxa"/>
            <w:vAlign w:val="bottom"/>
            <w:tcBorders>
              <w:top w:val="single" w:sz="8" w:color="CCEEFF"/>
            </w:tcBorders>
            <w:shd w:val="clear" w:color="auto" w:fill="CCEEFF"/>
          </w:tcPr>
          <w:p>
            <w:pPr>
              <w:spacing w:after="0"/>
              <w:rPr>
                <w:sz w:val="16"/>
                <w:szCs w:val="16"/>
                <w:color w:val="auto"/>
              </w:rPr>
            </w:pPr>
          </w:p>
        </w:tc>
      </w:tr>
      <w:tr>
        <w:trPr>
          <w:trHeight w:val="193"/>
        </w:trPr>
        <w:tc>
          <w:tcPr>
            <w:tcW w:w="510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 xml:space="preserve">Secured Notes Payable / Weighted Average </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75,000</w:t>
            </w: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5.08 %</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5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01"/>
        </w:trPr>
        <w:tc>
          <w:tcPr>
            <w:tcW w:w="51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Term Loan A </w:t>
            </w:r>
            <w:r>
              <w:rPr>
                <w:rFonts w:ascii="Times New Roman" w:cs="Times New Roman" w:eastAsia="Times New Roman" w:hAnsi="Times New Roman"/>
                <w:sz w:val="20"/>
                <w:szCs w:val="20"/>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102,293</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5,</w:t>
            </w:r>
          </w:p>
        </w:tc>
        <w:tc>
          <w:tcPr>
            <w:tcW w:w="5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2027 </w:t>
            </w:r>
            <w:r>
              <w:rPr>
                <w:rFonts w:ascii="Times New Roman" w:cs="Times New Roman" w:eastAsia="Times New Roman" w:hAnsi="Times New Roman"/>
                <w:sz w:val="20"/>
                <w:szCs w:val="20"/>
                <w:color w:val="auto"/>
                <w:vertAlign w:val="superscript"/>
              </w:rPr>
              <w:t>(4)</w:t>
            </w:r>
          </w:p>
        </w:tc>
      </w:tr>
      <w:tr>
        <w:trPr>
          <w:trHeight w:val="201"/>
        </w:trPr>
        <w:tc>
          <w:tcPr>
            <w:tcW w:w="51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Series D Notes </w:t>
            </w:r>
            <w:r>
              <w:rPr>
                <w:rFonts w:ascii="Times New Roman" w:cs="Times New Roman" w:eastAsia="Times New Roman" w:hAnsi="Times New Roman"/>
                <w:sz w:val="20"/>
                <w:szCs w:val="20"/>
                <w:color w:val="auto"/>
                <w:vertAlign w:val="superscript"/>
              </w:rPr>
              <w:t>(5)</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261,649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2027</w:t>
            </w:r>
          </w:p>
        </w:tc>
        <w:tc>
          <w:tcPr>
            <w:tcW w:w="240" w:type="dxa"/>
            <w:vAlign w:val="bottom"/>
            <w:shd w:val="clear" w:color="auto" w:fill="CCEEFF"/>
          </w:tcPr>
          <w:p>
            <w:pPr>
              <w:spacing w:after="0"/>
              <w:rPr>
                <w:sz w:val="17"/>
                <w:szCs w:val="17"/>
                <w:color w:val="auto"/>
              </w:rPr>
            </w:pPr>
          </w:p>
        </w:tc>
      </w:tr>
      <w:tr>
        <w:trPr>
          <w:trHeight w:val="201"/>
        </w:trPr>
        <w:tc>
          <w:tcPr>
            <w:tcW w:w="51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Series E Notes </w:t>
            </w:r>
            <w:r>
              <w:rPr>
                <w:rFonts w:ascii="Times New Roman" w:cs="Times New Roman" w:eastAsia="Times New Roman" w:hAnsi="Times New Roman"/>
                <w:sz w:val="20"/>
                <w:szCs w:val="20"/>
                <w:color w:val="auto"/>
                <w:vertAlign w:val="superscript"/>
              </w:rPr>
              <w:t>(6)</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23,</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3"/>
              </w:rPr>
              <w:t>2029</w:t>
            </w:r>
          </w:p>
        </w:tc>
        <w:tc>
          <w:tcPr>
            <w:tcW w:w="240" w:type="dxa"/>
            <w:vAlign w:val="bottom"/>
          </w:tcPr>
          <w:p>
            <w:pPr>
              <w:spacing w:after="0"/>
              <w:rPr>
                <w:sz w:val="17"/>
                <w:szCs w:val="17"/>
                <w:color w:val="auto"/>
              </w:rPr>
            </w:pPr>
          </w:p>
        </w:tc>
      </w:tr>
      <w:tr>
        <w:trPr>
          <w:trHeight w:val="201"/>
        </w:trPr>
        <w:tc>
          <w:tcPr>
            <w:tcW w:w="51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Series G Notes </w:t>
            </w:r>
            <w:r>
              <w:rPr>
                <w:rFonts w:ascii="Times New Roman" w:cs="Times New Roman" w:eastAsia="Times New Roman" w:hAnsi="Times New Roman"/>
                <w:sz w:val="20"/>
                <w:szCs w:val="20"/>
                <w:color w:val="auto"/>
                <w:vertAlign w:val="superscript"/>
              </w:rPr>
              <w:t>(7)</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30,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2030</w:t>
            </w:r>
          </w:p>
        </w:tc>
        <w:tc>
          <w:tcPr>
            <w:tcW w:w="240" w:type="dxa"/>
            <w:vAlign w:val="bottom"/>
            <w:shd w:val="clear" w:color="auto" w:fill="CCEEFF"/>
          </w:tcPr>
          <w:p>
            <w:pPr>
              <w:spacing w:after="0"/>
              <w:rPr>
                <w:sz w:val="17"/>
                <w:szCs w:val="17"/>
                <w:color w:val="auto"/>
              </w:rPr>
            </w:pPr>
          </w:p>
        </w:tc>
      </w:tr>
      <w:tr>
        <w:trPr>
          <w:trHeight w:val="201"/>
        </w:trPr>
        <w:tc>
          <w:tcPr>
            <w:tcW w:w="51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3.375% Senior Notes </w:t>
            </w:r>
            <w:r>
              <w:rPr>
                <w:rFonts w:ascii="Times New Roman" w:cs="Times New Roman" w:eastAsia="Times New Roman" w:hAnsi="Times New Roman"/>
                <w:sz w:val="20"/>
                <w:szCs w:val="20"/>
                <w:color w:val="auto"/>
                <w:vertAlign w:val="superscript"/>
              </w:rPr>
              <w:t>(8)</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1,</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3"/>
              </w:rPr>
              <w:t>2031</w:t>
            </w:r>
          </w:p>
        </w:tc>
        <w:tc>
          <w:tcPr>
            <w:tcW w:w="240" w:type="dxa"/>
            <w:vAlign w:val="bottom"/>
          </w:tcPr>
          <w:p>
            <w:pPr>
              <w:spacing w:after="0"/>
              <w:rPr>
                <w:sz w:val="17"/>
                <w:szCs w:val="17"/>
                <w:color w:val="auto"/>
              </w:rPr>
            </w:pPr>
          </w:p>
        </w:tc>
      </w:tr>
      <w:tr>
        <w:trPr>
          <w:trHeight w:val="201"/>
        </w:trPr>
        <w:tc>
          <w:tcPr>
            <w:tcW w:w="51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6.150% Senior Notes </w:t>
            </w:r>
            <w:r>
              <w:rPr>
                <w:rFonts w:ascii="Times New Roman" w:cs="Times New Roman" w:eastAsia="Times New Roman" w:hAnsi="Times New Roman"/>
                <w:sz w:val="20"/>
                <w:szCs w:val="20"/>
                <w:color w:val="auto"/>
                <w:vertAlign w:val="superscript"/>
              </w:rPr>
              <w:t>(9)</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2034</w:t>
            </w:r>
          </w:p>
        </w:tc>
        <w:tc>
          <w:tcPr>
            <w:tcW w:w="240" w:type="dxa"/>
            <w:vAlign w:val="bottom"/>
            <w:shd w:val="clear" w:color="auto" w:fill="CCEEFF"/>
          </w:tcPr>
          <w:p>
            <w:pPr>
              <w:spacing w:after="0"/>
              <w:rPr>
                <w:sz w:val="17"/>
                <w:szCs w:val="17"/>
                <w:color w:val="auto"/>
              </w:rPr>
            </w:pPr>
          </w:p>
        </w:tc>
      </w:tr>
      <w:tr>
        <w:trPr>
          <w:trHeight w:val="193"/>
        </w:trPr>
        <w:tc>
          <w:tcPr>
            <w:tcW w:w="510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 xml:space="preserve">Unsecured Notes Payable / Weighted Average </w:t>
            </w:r>
            <w:r>
              <w:rPr>
                <w:rFonts w:ascii="Times New Roman" w:cs="Times New Roman" w:eastAsia="Times New Roman" w:hAnsi="Times New Roman"/>
                <w:sz w:val="20"/>
                <w:szCs w:val="20"/>
                <w:b w:val="1"/>
                <w:bCs w:val="1"/>
                <w:color w:val="auto"/>
                <w:vertAlign w:val="superscript"/>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1,625,000</w:t>
            </w: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4.46 %</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423,210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5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7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Unsecured Line of Credit </w:t>
            </w:r>
            <w:r>
              <w:rPr>
                <w:rFonts w:ascii="Times New Roman" w:cs="Times New Roman" w:eastAsia="Times New Roman" w:hAnsi="Times New Roman"/>
                <w:sz w:val="20"/>
                <w:szCs w:val="20"/>
                <w:b w:val="1"/>
                <w:bCs w:val="1"/>
                <w:color w:val="auto"/>
                <w:vertAlign w:val="superscript"/>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3" w:lineRule="exact"/>
        <w:rPr>
          <w:sz w:val="20"/>
          <w:szCs w:val="20"/>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interest and principal payments due over the next twelve months.</w:t>
      </w:r>
    </w:p>
    <w:p>
      <w:pPr>
        <w:spacing w:after="0" w:line="27"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Secured Notes Payable total does not include debt issuance costs, net of $0.1 million.</w:t>
      </w:r>
    </w:p>
    <w:p>
      <w:pPr>
        <w:spacing w:after="0" w:line="21"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Loan A accrues interest at a variable rate, which we fixed as part of an interest rate swap for an effective interest rate of 2.70% through January 5, 2027, subject to adjustments based on our consolidated leverage ratio.</w:t>
      </w:r>
    </w:p>
    <w:p>
      <w:pPr>
        <w:spacing w:after="0" w:line="21"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1, 2026, the maturity date for Term Loan A was extended from January 5, 2027 to April 1, 2030, subject to one twelve-month extension option.</w:t>
      </w:r>
    </w:p>
    <w:p>
      <w:pPr>
        <w:spacing w:after="0" w:line="27" w:lineRule="exact"/>
        <w:rPr>
          <w:rFonts w:ascii="Times New Roman" w:cs="Times New Roman" w:eastAsia="Times New Roman" w:hAnsi="Times New Roman"/>
          <w:sz w:val="12"/>
          <w:szCs w:val="12"/>
          <w:color w:val="auto"/>
        </w:rPr>
      </w:pPr>
    </w:p>
    <w:p>
      <w:pPr>
        <w:ind w:left="285" w:right="200" w:hanging="285"/>
        <w:spacing w:after="0" w:line="284" w:lineRule="auto"/>
        <w:tabs>
          <w:tab w:leader="none" w:pos="2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$250 million of 4.29% Senior Guaranteed Notes, Series D, due March 1, 2027. Net of the settlement of the forward-starting interest rate swap, the effective interest rate for the Series D Notes is approximately 3.87% per annum, through maturity.</w:t>
      </w:r>
    </w:p>
    <w:p>
      <w:pPr>
        <w:spacing w:after="0" w:line="16"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million of 4.24% Senior Guaranteed Notes, Series E, due May 23, 2029. Net of the settlement of the treasury lock contract, the effective interest rate for the Series E Notes is approximately 4.18%, through maturity.</w:t>
      </w:r>
    </w:p>
    <w:p>
      <w:pPr>
        <w:spacing w:after="0" w:line="39"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$150 million of 3.91% Senior Guaranteed Notes, Series G, due July 30, 2030. Net of the settlement of the treasury lock contract, the effective interest rate for the Series G Notes is approximately 3.88% through maturity.</w:t>
      </w:r>
    </w:p>
    <w:p>
      <w:pPr>
        <w:spacing w:after="0" w:line="21"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 million of 3.375% Senior Notes due February 1, 2031. Net of the debt issuance discount, the effective interest rate for the 3.375% Notes is approximately 3.502% through maturity.</w:t>
      </w:r>
    </w:p>
    <w:p>
      <w:pPr>
        <w:spacing w:after="0" w:line="21" w:lineRule="exact"/>
        <w:rPr>
          <w:rFonts w:ascii="Times New Roman" w:cs="Times New Roman" w:eastAsia="Times New Roman" w:hAnsi="Times New Roman"/>
          <w:sz w:val="12"/>
          <w:szCs w:val="12"/>
          <w:color w:val="auto"/>
        </w:rPr>
      </w:pPr>
    </w:p>
    <w:p>
      <w:pPr>
        <w:ind w:left="285" w:right="160" w:hanging="285"/>
        <w:spacing w:after="0" w:line="272" w:lineRule="auto"/>
        <w:tabs>
          <w:tab w:leader="none" w:pos="2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$525 million of 6.150% Senior Notes due October 1, 2034. Net of the debt issuance discount and settlement of the treasury lock contracts, the effective interest rate for the 6.150% Notes is approximately 6.209% through maturity.</w:t>
      </w:r>
    </w:p>
    <w:p>
      <w:pPr>
        <w:ind w:left="325" w:hanging="325"/>
        <w:spacing w:after="0"/>
        <w:tabs>
          <w:tab w:leader="none" w:pos="32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Unsecured Notes Payable total does not include debt issuance costs and discounts, net of $11.7 million.</w:t>
      </w:r>
    </w:p>
    <w:p>
      <w:pPr>
        <w:spacing w:after="0" w:line="21" w:lineRule="exact"/>
        <w:rPr>
          <w:rFonts w:ascii="Times New Roman" w:cs="Times New Roman" w:eastAsia="Times New Roman" w:hAnsi="Times New Roman"/>
          <w:sz w:val="12"/>
          <w:szCs w:val="12"/>
          <w:color w:val="auto"/>
        </w:rPr>
      </w:pPr>
    </w:p>
    <w:p>
      <w:pPr>
        <w:ind w:left="285" w:right="100" w:hanging="285"/>
        <w:spacing w:after="0" w:line="273" w:lineRule="auto"/>
        <w:tabs>
          <w:tab w:leader="none" w:pos="32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Unsecured Line of Credit (the "Revolver Loan") has a capacity of $400 million plus an accordion feature that may allow us to increase the availability thereunder up to an additional $400 million, subject to meeting specified requirements and obtaining additional commitments from lenders. The Revolver Loan matures on July 5, 2026. The Revolver Loan currently accrues interest at SOFR, plus the applicable SOFR adjustment and a spread which ranges from 1.05%-1.50%, based on our consolidated leverage ratio. The Revolver Loan total does not include debt issuance costs, net of $0.1 million. On April 1, 2026, the Revolver Loan capacity was increased to $500 million, with a maturity date of April 1, 2030, subject to two, six-month extension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184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17</w:t>
      </w:r>
    </w:p>
    <w:p>
      <w:pPr>
        <w:sectPr>
          <w:pgSz w:w="11900" w:h="16838" w:orient="portrait"/>
          <w:cols w:equalWidth="0" w:num="1">
            <w:col w:w="11225"/>
          </w:cols>
          <w:pgMar w:left="315" w:top="401" w:right="35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24"/>
          <w:szCs w:val="24"/>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40" w:type="dxa"/>
            <w:vAlign w:val="bottom"/>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Market data</w:t>
            </w:r>
          </w:p>
        </w:tc>
        <w:tc>
          <w:tcPr>
            <w:tcW w:w="2220" w:type="dxa"/>
            <w:vAlign w:val="bottom"/>
            <w:gridSpan w:val="3"/>
          </w:tcPr>
          <w:p>
            <w:pPr>
              <w:jc w:val="right"/>
              <w:ind w:right="521"/>
              <w:spacing w:after="0"/>
              <w:rPr>
                <w:sz w:val="20"/>
                <w:szCs w:val="20"/>
                <w:color w:val="auto"/>
              </w:rPr>
            </w:pPr>
            <w:r>
              <w:rPr>
                <w:rFonts w:ascii="Times New Roman" w:cs="Times New Roman" w:eastAsia="Times New Roman" w:hAnsi="Times New Roman"/>
                <w:sz w:val="16"/>
                <w:szCs w:val="16"/>
                <w:b w:val="1"/>
                <w:bCs w:val="1"/>
                <w:color w:val="003366"/>
              </w:rPr>
              <w:t>March 31, 2026</w:t>
            </w:r>
          </w:p>
        </w:tc>
        <w:tc>
          <w:tcPr>
            <w:tcW w:w="0" w:type="dxa"/>
            <w:vAlign w:val="bottom"/>
          </w:tcPr>
          <w:p>
            <w:pPr>
              <w:spacing w:after="0"/>
              <w:rPr>
                <w:sz w:val="1"/>
                <w:szCs w:val="1"/>
                <w:color w:val="auto"/>
              </w:rPr>
            </w:pPr>
          </w:p>
        </w:tc>
      </w:tr>
      <w:tr>
        <w:trPr>
          <w:trHeight w:val="193"/>
        </w:trPr>
        <w:tc>
          <w:tcPr>
            <w:tcW w:w="30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61,391</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Common units outstanding</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16,182</w:t>
            </w:r>
          </w:p>
        </w:tc>
        <w:tc>
          <w:tcPr>
            <w:tcW w:w="0" w:type="dxa"/>
            <w:vAlign w:val="bottom"/>
          </w:tcPr>
          <w:p>
            <w:pPr>
              <w:spacing w:after="0"/>
              <w:rPr>
                <w:sz w:val="1"/>
                <w:szCs w:val="1"/>
                <w:color w:val="auto"/>
              </w:rPr>
            </w:pPr>
          </w:p>
        </w:tc>
      </w:tr>
      <w:tr>
        <w:trPr>
          <w:trHeight w:val="134"/>
        </w:trPr>
        <w:tc>
          <w:tcPr>
            <w:tcW w:w="3100" w:type="dxa"/>
            <w:vAlign w:val="bottom"/>
            <w:gridSpan w:val="2"/>
            <w:shd w:val="clear" w:color="auto" w:fill="CCEEFF"/>
          </w:tcPr>
          <w:p>
            <w:pPr>
              <w:ind w:left="180"/>
              <w:spacing w:after="0" w:line="134" w:lineRule="exact"/>
              <w:rPr>
                <w:sz w:val="20"/>
                <w:szCs w:val="20"/>
                <w:color w:val="auto"/>
              </w:rPr>
            </w:pPr>
            <w:r>
              <w:rPr>
                <w:rFonts w:ascii="Times New Roman" w:cs="Times New Roman" w:eastAsia="Times New Roman" w:hAnsi="Times New Roman"/>
                <w:sz w:val="15"/>
                <w:szCs w:val="15"/>
                <w:color w:val="auto"/>
              </w:rPr>
              <w:t>Common shares and common units</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77,573</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Market price per common share</w:t>
            </w: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193"/>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market capitalization</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1,428,119</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1,700,000</w:t>
            </w:r>
          </w:p>
        </w:tc>
        <w:tc>
          <w:tcPr>
            <w:tcW w:w="0" w:type="dxa"/>
            <w:vAlign w:val="bottom"/>
          </w:tcPr>
          <w:p>
            <w:pPr>
              <w:spacing w:after="0"/>
              <w:rPr>
                <w:sz w:val="1"/>
                <w:szCs w:val="1"/>
                <w:color w:val="auto"/>
              </w:rPr>
            </w:pPr>
          </w:p>
        </w:tc>
      </w:tr>
      <w:tr>
        <w:trPr>
          <w:trHeight w:val="193"/>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market capitalization</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3,128,119</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Cash on hand</w:t>
            </w: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(118,340)</w:t>
            </w:r>
          </w:p>
        </w:tc>
        <w:tc>
          <w:tcPr>
            <w:tcW w:w="0" w:type="dxa"/>
            <w:vAlign w:val="bottom"/>
          </w:tcPr>
          <w:p>
            <w:pPr>
              <w:spacing w:after="0"/>
              <w:rPr>
                <w:sz w:val="1"/>
                <w:szCs w:val="1"/>
                <w:color w:val="auto"/>
              </w:rPr>
            </w:pPr>
          </w:p>
        </w:tc>
      </w:tr>
      <w:tr>
        <w:trPr>
          <w:trHeight w:val="194"/>
        </w:trPr>
        <w:tc>
          <w:tcPr>
            <w:tcW w:w="31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Total enterprise value</w:t>
            </w:r>
          </w:p>
        </w:tc>
        <w:tc>
          <w:tcPr>
            <w:tcW w:w="960" w:type="dxa"/>
            <w:vAlign w:val="bottom"/>
            <w:tcBorders>
              <w:bottom w:val="single" w:sz="8" w:color="auto"/>
            </w:tcBorders>
            <w:shd w:val="clear" w:color="auto" w:fill="CCEEFF"/>
          </w:tcPr>
          <w:p>
            <w:pPr>
              <w:jc w:val="right"/>
              <w:ind w:right="80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1"/>
              <w:spacing w:after="0" w:line="169" w:lineRule="exact"/>
              <w:rPr>
                <w:sz w:val="20"/>
                <w:szCs w:val="20"/>
                <w:color w:val="auto"/>
              </w:rPr>
            </w:pPr>
            <w:r>
              <w:rPr>
                <w:rFonts w:ascii="Times New Roman" w:cs="Times New Roman" w:eastAsia="Times New Roman" w:hAnsi="Times New Roman"/>
                <w:sz w:val="16"/>
                <w:szCs w:val="16"/>
                <w:color w:val="auto"/>
              </w:rPr>
              <w:t>3,009,779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Total unencumbered assets, gross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gridSpan w:val="2"/>
            <w:vMerge w:val="continue"/>
          </w:tcPr>
          <w:p>
            <w:pPr>
              <w:spacing w:after="0"/>
              <w:rPr>
                <w:sz w:val="17"/>
                <w:szCs w:val="17"/>
                <w:color w:val="auto"/>
              </w:rPr>
            </w:pPr>
          </w:p>
        </w:tc>
        <w:tc>
          <w:tcPr>
            <w:tcW w:w="960" w:type="dxa"/>
            <w:vAlign w:val="bottom"/>
            <w:tcBorders>
              <w:bottom w:val="single" w:sz="8" w:color="CCEEFF"/>
            </w:tcBorders>
          </w:tcPr>
          <w:p>
            <w:pPr>
              <w:jc w:val="right"/>
              <w:ind w:right="801"/>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121"/>
              <w:spacing w:after="0" w:line="168" w:lineRule="exact"/>
              <w:rPr>
                <w:sz w:val="20"/>
                <w:szCs w:val="20"/>
                <w:color w:val="auto"/>
              </w:rPr>
            </w:pPr>
            <w:r>
              <w:rPr>
                <w:rFonts w:ascii="Times New Roman" w:cs="Times New Roman" w:eastAsia="Times New Roman" w:hAnsi="Times New Roman"/>
                <w:sz w:val="16"/>
                <w:szCs w:val="16"/>
                <w:color w:val="auto"/>
              </w:rPr>
              <w:t>3,778,029</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debt/Total capitalization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54.3 %</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debt/Total enterprise value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Net debt/Total enterprise value </w:t>
            </w:r>
            <w:r>
              <w:rPr>
                <w:rFonts w:ascii="Times New Roman" w:cs="Times New Roman" w:eastAsia="Times New Roman" w:hAnsi="Times New Roman"/>
                <w:sz w:val="20"/>
                <w:szCs w:val="20"/>
                <w:color w:val="auto"/>
                <w:vertAlign w:val="superscript"/>
              </w:rPr>
              <w:t>(1)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c>
          <w:tcPr>
            <w:tcW w:w="0" w:type="dxa"/>
            <w:vAlign w:val="bottom"/>
          </w:tcPr>
          <w:p>
            <w:pPr>
              <w:spacing w:after="0"/>
              <w:rPr>
                <w:sz w:val="1"/>
                <w:szCs w:val="1"/>
                <w:color w:val="auto"/>
              </w:rPr>
            </w:pPr>
          </w:p>
        </w:tc>
      </w:tr>
      <w:tr>
        <w:trPr>
          <w:trHeight w:val="154"/>
        </w:trPr>
        <w:tc>
          <w:tcPr>
            <w:tcW w:w="3100" w:type="dxa"/>
            <w:vAlign w:val="bottom"/>
            <w:gridSpan w:val="2"/>
            <w:shd w:val="clear" w:color="auto" w:fill="CCEEFF"/>
          </w:tcPr>
          <w:p>
            <w:pPr>
              <w:ind w:left="120"/>
              <w:spacing w:after="0" w:line="154" w:lineRule="exact"/>
              <w:rPr>
                <w:sz w:val="20"/>
                <w:szCs w:val="20"/>
                <w:color w:val="auto"/>
              </w:rPr>
            </w:pPr>
            <w:r>
              <w:rPr>
                <w:rFonts w:ascii="Times New Roman" w:cs="Times New Roman" w:eastAsia="Times New Roman" w:hAnsi="Times New Roman"/>
                <w:sz w:val="16"/>
                <w:szCs w:val="16"/>
                <w:color w:val="auto"/>
              </w:rPr>
              <w:t>Total unencumbered assets, gross/Unsecured</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40"/>
              <w:spacing w:after="0" w:line="154" w:lineRule="exact"/>
              <w:rPr>
                <w:sz w:val="20"/>
                <w:szCs w:val="20"/>
                <w:color w:val="auto"/>
              </w:rPr>
            </w:pPr>
            <w:r>
              <w:rPr>
                <w:rFonts w:ascii="Times New Roman" w:cs="Times New Roman" w:eastAsia="Times New Roman" w:hAnsi="Times New Roman"/>
                <w:sz w:val="16"/>
                <w:szCs w:val="16"/>
                <w:color w:val="auto"/>
              </w:rPr>
              <w:t>Quarter</w:t>
            </w:r>
          </w:p>
        </w:tc>
        <w:tc>
          <w:tcPr>
            <w:tcW w:w="1180" w:type="dxa"/>
            <w:vAlign w:val="bottom"/>
          </w:tcPr>
          <w:p>
            <w:pPr>
              <w:jc w:val="right"/>
              <w:ind w:right="161"/>
              <w:spacing w:after="0" w:line="154" w:lineRule="exact"/>
              <w:rPr>
                <w:sz w:val="20"/>
                <w:szCs w:val="20"/>
                <w:color w:val="auto"/>
              </w:rPr>
            </w:pPr>
            <w:r>
              <w:rPr>
                <w:rFonts w:ascii="Times New Roman" w:cs="Times New Roman" w:eastAsia="Times New Roman" w:hAnsi="Times New Roman"/>
                <w:sz w:val="16"/>
                <w:szCs w:val="16"/>
                <w:color w:val="auto"/>
              </w:rPr>
              <w:t>Trailing 12</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Annualized</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Months</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6"/>
                <w:szCs w:val="16"/>
                <w:color w:val="auto"/>
              </w:rPr>
              <w:t xml:space="preserve">Total debt/Adjusted EBITDA </w:t>
            </w:r>
            <w:r>
              <w:rPr>
                <w:rFonts w:ascii="Times New Roman" w:cs="Times New Roman" w:eastAsia="Times New Roman" w:hAnsi="Times New Roman"/>
                <w:sz w:val="20"/>
                <w:szCs w:val="20"/>
                <w:color w:val="auto"/>
                <w:vertAlign w:val="superscript"/>
              </w:rPr>
              <w:t>(2)(3)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x</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 x</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Net debt/Adjusted EBITDA </w:t>
            </w:r>
            <w:r>
              <w:rPr>
                <w:rFonts w:ascii="Times New Roman" w:cs="Times New Roman" w:eastAsia="Times New Roman" w:hAnsi="Times New Roman"/>
                <w:sz w:val="20"/>
                <w:szCs w:val="20"/>
                <w:color w:val="auto"/>
                <w:vertAlign w:val="superscript"/>
              </w:rPr>
              <w:t>(1)(2)(3)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 x</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 x</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Interest coverage ratio </w:t>
            </w:r>
            <w:r>
              <w:rPr>
                <w:rFonts w:ascii="Times New Roman" w:cs="Times New Roman" w:eastAsia="Times New Roman" w:hAnsi="Times New Roman"/>
                <w:sz w:val="20"/>
                <w:szCs w:val="20"/>
                <w:color w:val="auto"/>
                <w:vertAlign w:val="superscript"/>
              </w:rPr>
              <w:t>(4)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 x</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 x</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Fixed charge coverage ratio </w:t>
            </w:r>
            <w:r>
              <w:rPr>
                <w:rFonts w:ascii="Times New Roman" w:cs="Times New Roman" w:eastAsia="Times New Roman" w:hAnsi="Times New Roman"/>
                <w:sz w:val="20"/>
                <w:szCs w:val="20"/>
                <w:color w:val="auto"/>
                <w:vertAlign w:val="superscript"/>
              </w:rPr>
              <w:t>(4)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 x</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 x</w:t>
            </w:r>
          </w:p>
        </w:tc>
        <w:tc>
          <w:tcPr>
            <w:tcW w:w="0" w:type="dxa"/>
            <w:vAlign w:val="bottom"/>
          </w:tcPr>
          <w:p>
            <w:pPr>
              <w:spacing w:after="0"/>
              <w:rPr>
                <w:sz w:val="1"/>
                <w:szCs w:val="1"/>
                <w:color w:val="auto"/>
              </w:rPr>
            </w:pPr>
          </w:p>
        </w:tc>
      </w:tr>
      <w:tr>
        <w:trPr>
          <w:trHeight w:val="154"/>
        </w:trPr>
        <w:tc>
          <w:tcPr>
            <w:tcW w:w="310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Debt Covenants (3.375% Senior Notes &amp;</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6.150% Senior Notes) </w:t>
            </w:r>
            <w:r>
              <w:rPr>
                <w:rFonts w:ascii="Times New Roman" w:cs="Times New Roman" w:eastAsia="Times New Roman" w:hAnsi="Times New Roman"/>
                <w:sz w:val="20"/>
                <w:szCs w:val="20"/>
                <w:b w:val="1"/>
                <w:bCs w:val="1"/>
                <w:color w:val="auto"/>
                <w:vertAlign w:val="superscript"/>
              </w:rPr>
              <w:t>(5)</w:t>
            </w:r>
          </w:p>
        </w:tc>
        <w:tc>
          <w:tcPr>
            <w:tcW w:w="10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Covenant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193"/>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Debt Test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&lt; 60%</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Service Test</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&gt; 1.5x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3.1</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Secured Debt Test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&lt; 40%</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of Total Unencumbered Assets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&gt; 150%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3424555" cy="2531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4555" cy="2531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Credit Ratings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Rating Agency</w:t>
            </w: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w:t>
            </w: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Fitch</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BBB</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01"/>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Moody's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Baa3</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06"/>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Standard &amp; Poors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BBB-</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bl>
    <w:p>
      <w:pPr>
        <w:spacing w:after="0" w:line="5201" w:lineRule="exact"/>
        <w:rPr>
          <w:sz w:val="20"/>
          <w:szCs w:val="20"/>
          <w:color w:val="auto"/>
        </w:rPr>
      </w:pPr>
    </w:p>
    <w:p>
      <w:pPr>
        <w:sectPr>
          <w:pgSz w:w="11900" w:h="16838" w:orient="portrait"/>
          <w:cols w:equalWidth="0" w:num="2">
            <w:col w:w="5320" w:space="500"/>
            <w:col w:w="5400"/>
          </w:cols>
          <w:pgMar w:left="320" w:top="4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Weighted</w:t>
            </w:r>
          </w:p>
        </w:tc>
        <w:tc>
          <w:tcPr>
            <w:tcW w:w="5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2027</w:t>
            </w:r>
          </w:p>
        </w:tc>
        <w:tc>
          <w:tcPr>
            <w:tcW w:w="5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2029</w:t>
            </w:r>
          </w:p>
        </w:tc>
        <w:tc>
          <w:tcPr>
            <w:tcW w:w="5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2030</w:t>
            </w: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2031</w:t>
            </w:r>
          </w:p>
        </w:tc>
        <w:tc>
          <w:tcPr>
            <w:tcW w:w="4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2032</w:t>
            </w: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2033</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84"/>
        </w:trPr>
        <w:tc>
          <w:tcPr>
            <w:tcW w:w="860" w:type="dxa"/>
            <w:vAlign w:val="bottom"/>
            <w:vMerge w:val="restart"/>
          </w:tcPr>
          <w:p>
            <w:pPr>
              <w:spacing w:after="0" w:line="130" w:lineRule="exact"/>
              <w:rPr>
                <w:sz w:val="20"/>
                <w:szCs w:val="20"/>
                <w:color w:val="auto"/>
              </w:rPr>
            </w:pPr>
            <w:r>
              <w:rPr>
                <w:rFonts w:ascii="Times New Roman" w:cs="Times New Roman" w:eastAsia="Times New Roman" w:hAnsi="Times New Roman"/>
                <w:sz w:val="13"/>
                <w:szCs w:val="13"/>
                <w:i w:val="1"/>
                <w:iCs w:val="1"/>
                <w:color w:val="auto"/>
              </w:rPr>
              <w:t>Average Fixed</w:t>
            </w:r>
          </w:p>
        </w:tc>
        <w:tc>
          <w:tcPr>
            <w:tcW w:w="5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8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8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Interest Rate</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4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84"/>
        </w:trPr>
        <w:tc>
          <w:tcPr>
            <w:tcW w:w="24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Total Weighted Average Fixed Interest Rate:</w:t>
            </w:r>
          </w:p>
        </w:tc>
        <w:tc>
          <w:tcPr>
            <w:tcW w:w="40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4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w w:val="96"/>
              </w:rPr>
              <w:t>Weighted Average Term to Maturity (in years):</w:t>
            </w:r>
          </w:p>
        </w:tc>
        <w:tc>
          <w:tcPr>
            <w:tcW w:w="40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4.9</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Net debt is equal to total debt less cash on hand.</w:t>
      </w:r>
    </w:p>
    <w:p>
      <w:pPr>
        <w:spacing w:after="0" w:line="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2"/>
          <w:szCs w:val="12"/>
          <w:color w:val="auto"/>
        </w:rPr>
        <w:t>See Glossary of Terms for discussion of EBITDA and Adjusted EBITDA.</w:t>
      </w:r>
    </w:p>
    <w:p>
      <w:pPr>
        <w:spacing w:after="0" w:line="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(3)</w:t>
      </w:r>
      <w:r>
        <w:rPr>
          <w:sz w:val="20"/>
          <w:szCs w:val="20"/>
          <w:color w:val="auto"/>
        </w:rPr>
        <w:tab/>
      </w:r>
      <w:r>
        <w:rPr>
          <w:rFonts w:ascii="Times New Roman" w:cs="Times New Roman" w:eastAsia="Times New Roman" w:hAnsi="Times New Roman"/>
          <w:sz w:val="12"/>
          <w:szCs w:val="12"/>
          <w:color w:val="auto"/>
        </w:rPr>
        <w:t>As used here, Adjusted EBITDA represents the actual for the three months ended March 31, 2026, annualized.</w:t>
      </w: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(4)</w:t>
      </w:r>
      <w:r>
        <w:rPr>
          <w:sz w:val="20"/>
          <w:szCs w:val="20"/>
          <w:color w:val="auto"/>
        </w:rPr>
        <w:tab/>
      </w:r>
      <w:r>
        <w:rPr>
          <w:rFonts w:ascii="Times New Roman" w:cs="Times New Roman" w:eastAsia="Times New Roman" w:hAnsi="Times New Roman"/>
          <w:sz w:val="12"/>
          <w:szCs w:val="12"/>
          <w:color w:val="auto"/>
        </w:rPr>
        <w:t>Calculated as Adjusted EBITDA divided by interest on borrowed funds, including capitalized interest and excluding debt fair value adjustments and loan fee amortization.</w:t>
      </w: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(5)</w:t>
      </w:r>
      <w:r>
        <w:rPr>
          <w:sz w:val="20"/>
          <w:szCs w:val="20"/>
          <w:color w:val="auto"/>
        </w:rPr>
        <w:tab/>
      </w:r>
      <w:r>
        <w:rPr>
          <w:rFonts w:ascii="Times New Roman" w:cs="Times New Roman" w:eastAsia="Times New Roman" w:hAnsi="Times New Roman"/>
          <w:sz w:val="12"/>
          <w:szCs w:val="12"/>
          <w:color w:val="auto"/>
        </w:rPr>
        <w:t>The debt covenant headings set forth in this table are utilized, and the covenants themselves are detailed, in the documents governing the 3.375% Senior Notes and the 6.150% Senior Notes.</w:t>
      </w:r>
    </w:p>
    <w:p>
      <w:pPr>
        <w:spacing w:after="0" w:line="204" w:lineRule="auto"/>
        <w:tabs>
          <w:tab w:leader="none" w:pos="240" w:val="left"/>
        </w:tabs>
        <w:rPr>
          <w:sz w:val="20"/>
          <w:szCs w:val="20"/>
          <w:color w:val="auto"/>
        </w:rPr>
      </w:pPr>
      <w:r>
        <w:rPr>
          <w:rFonts w:ascii="Times New Roman" w:cs="Times New Roman" w:eastAsia="Times New Roman" w:hAnsi="Times New Roman"/>
          <w:sz w:val="6"/>
          <w:szCs w:val="6"/>
          <w:color w:val="auto"/>
        </w:rPr>
        <w:t>(6)</w:t>
      </w:r>
      <w:r>
        <w:rPr>
          <w:sz w:val="20"/>
          <w:szCs w:val="20"/>
          <w:color w:val="auto"/>
        </w:rPr>
        <w:tab/>
      </w:r>
      <w:r>
        <w:rPr>
          <w:rFonts w:ascii="Times New Roman" w:cs="Times New Roman" w:eastAsia="Times New Roman" w:hAnsi="Times New Roman"/>
          <w:sz w:val="6"/>
          <w:szCs w:val="6"/>
          <w:color w:val="auto"/>
        </w:rPr>
        <w:t>On April 1, 2026, the maturity date of Term Loan A was extended to April 1, 2030, subject to one twelve-month extension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184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jc w:val="both"/>
        <w:ind w:firstLine="16"/>
        <w:spacing w:after="0" w:line="194" w:lineRule="auto"/>
        <w:rPr>
          <w:sz w:val="20"/>
          <w:szCs w:val="20"/>
          <w:color w:val="auto"/>
        </w:rPr>
      </w:pPr>
      <w:r>
        <w:rPr>
          <w:rFonts w:ascii="Times New Roman" w:cs="Times New Roman" w:eastAsia="Times New Roman" w:hAnsi="Times New Roman"/>
          <w:sz w:val="16"/>
          <w:szCs w:val="16"/>
          <w:color w:val="003366"/>
        </w:rPr>
        <w:t xml:space="preserve">First Quarter 2026 Supplemental Information Page 18 </w:t>
      </w:r>
      <w:r>
        <w:rPr>
          <w:rFonts w:ascii="Times New Roman" w:cs="Times New Roman" w:eastAsia="Times New Roman" w:hAnsi="Times New Roman"/>
          <w:sz w:val="12"/>
          <w:szCs w:val="12"/>
          <w:color w:val="000000"/>
        </w:rPr>
        <w:t>Adjusted EBITDA is a non-GAAP supplemental earnings measure which we consider meaningful in measuring our operating performance. Reconciliations of Adjusted EBITDA to net income are in the Glossary of Terms.</w:t>
      </w:r>
    </w:p>
    <w:p>
      <w:pPr>
        <w:sectPr>
          <w:pgSz w:w="11900" w:h="16838" w:orient="portrait"/>
          <w:cols w:equalWidth="0" w:num="1">
            <w:col w:w="11220"/>
          </w:cols>
          <w:pgMar w:left="320" w:top="401" w:right="359"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SUMMARY OF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0" w:right="60"/>
        <w:spacing w:after="0" w:line="232" w:lineRule="auto"/>
        <w:rPr>
          <w:sz w:val="20"/>
          <w:szCs w:val="20"/>
          <w:color w:val="auto"/>
        </w:rPr>
      </w:pPr>
      <w:r>
        <w:rPr>
          <w:rFonts w:ascii="Times New Roman" w:cs="Times New Roman" w:eastAsia="Times New Roman" w:hAnsi="Times New Roman"/>
          <w:sz w:val="14"/>
          <w:szCs w:val="14"/>
          <w:color w:val="auto"/>
        </w:rPr>
        <w:t>Our portfolio has numerous potential opportunities to create future shareholder value. These opportunities could be subject to government approvals, lender consents, tenant consents, market conditions, availability of debt and/or equity financing, etc. Many of these opportunities are in their preliminary stages and may not ultimately come to fruition. This schedule will update as we modify various assumptions and markets conditions change. Square footages and units set forth below are estimates only and ultimately may differ materially from actual square footages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26605" cy="130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6605" cy="1306830"/>
                    </a:xfrm>
                    <a:prstGeom prst="rect">
                      <a:avLst/>
                    </a:prstGeom>
                    <a:noFill/>
                  </pic:spPr>
                </pic:pic>
              </a:graphicData>
            </a:graphic>
          </wp:anchor>
        </w:drawing>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Development/Redevelopment Pipeline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003366"/>
              </w:rPr>
              <w:t>Property</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003366"/>
              </w:rPr>
              <w:t>Property</w:t>
            </w: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003366"/>
              </w:rPr>
              <w:t>Location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3366"/>
              </w:rPr>
              <w:t>Estimated Rentable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3366"/>
              </w:rPr>
              <w:t>Multifamily</w:t>
            </w:r>
          </w:p>
        </w:tc>
        <w:tc>
          <w:tcPr>
            <w:tcW w:w="42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003366"/>
              </w:rPr>
              <w:t>Opportunity</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003366"/>
                <w:w w:val="98"/>
              </w:rPr>
              <w:t>Type</w:t>
            </w:r>
          </w:p>
        </w:tc>
        <w:tc>
          <w:tcPr>
            <w:tcW w:w="1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3366"/>
              </w:rPr>
              <w:t>Square Feet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3366"/>
              </w:rPr>
              <w:t>Units</w:t>
            </w:r>
          </w:p>
        </w:tc>
        <w:tc>
          <w:tcPr>
            <w:tcW w:w="4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Waikele Center</w:t>
            </w:r>
          </w:p>
        </w:tc>
        <w:tc>
          <w:tcPr>
            <w:tcW w:w="1100" w:type="dxa"/>
            <w:vAlign w:val="bottom"/>
          </w:tcPr>
          <w:p>
            <w:pPr>
              <w:jc w:val="center"/>
              <w:ind w:left="249"/>
              <w:spacing w:after="0" w:line="135" w:lineRule="exact"/>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Honolulu, HI</w:t>
            </w: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120,000</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120,000 square foot retail building (former KMart</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space)</w:t>
            </w:r>
          </w:p>
        </w:tc>
        <w:tc>
          <w:tcPr>
            <w:tcW w:w="0" w:type="dxa"/>
            <w:vAlign w:val="bottom"/>
          </w:tcPr>
          <w:p>
            <w:pPr>
              <w:spacing w:after="0"/>
              <w:rPr>
                <w:sz w:val="1"/>
                <w:szCs w:val="1"/>
                <w:color w:val="auto"/>
              </w:rPr>
            </w:pPr>
          </w:p>
        </w:tc>
      </w:tr>
      <w:tr>
        <w:trPr>
          <w:trHeight w:val="189"/>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Lomas Santa Fe Plaza</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CA</w:t>
            </w:r>
          </w:p>
        </w:tc>
        <w:tc>
          <w:tcPr>
            <w:tcW w:w="13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189"/>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Genesee Park</w:t>
            </w:r>
          </w:p>
        </w:tc>
        <w:tc>
          <w:tcPr>
            <w:tcW w:w="11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Multifamily</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 Diego, CA</w:t>
            </w:r>
          </w:p>
        </w:tc>
        <w:tc>
          <w:tcPr>
            <w:tcW w:w="13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189"/>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Towne Centre</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CA</w:t>
            </w:r>
          </w:p>
        </w:tc>
        <w:tc>
          <w:tcPr>
            <w:tcW w:w="13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18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Carmel Mountain Plaza</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 Diego, CA</w:t>
            </w:r>
          </w:p>
        </w:tc>
        <w:tc>
          <w:tcPr>
            <w:tcW w:w="13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198"/>
        </w:trPr>
        <w:tc>
          <w:tcPr>
            <w:tcW w:w="2420" w:type="dxa"/>
            <w:vAlign w:val="bottom"/>
          </w:tcPr>
          <w:p>
            <w:pPr>
              <w:ind w:left="40"/>
              <w:spacing w:after="0" w:line="198" w:lineRule="exact"/>
              <w:rPr>
                <w:sz w:val="20"/>
                <w:szCs w:val="20"/>
                <w:color w:val="auto"/>
              </w:rPr>
            </w:pPr>
            <w:r>
              <w:rPr>
                <w:rFonts w:ascii="Times New Roman" w:cs="Times New Roman" w:eastAsia="Times New Roman" w:hAnsi="Times New Roman"/>
                <w:sz w:val="14"/>
                <w:szCs w:val="14"/>
                <w:color w:val="auto"/>
              </w:rPr>
              <w:t xml:space="preserve">Lloyd Portfolio - multiple phases </w:t>
            </w:r>
            <w:r>
              <w:rPr>
                <w:rFonts w:ascii="Times New Roman" w:cs="Times New Roman" w:eastAsia="Times New Roman" w:hAnsi="Times New Roman"/>
                <w:sz w:val="18"/>
                <w:szCs w:val="18"/>
                <w:color w:val="auto"/>
                <w:vertAlign w:val="superscript"/>
              </w:rPr>
              <w:t>(1)</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Mixed Use</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Portland, OR</w:t>
            </w: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Phase 2B - Oregon Square</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high density, transit oriented, mixed-use urban village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300" w:right="100" w:hanging="285"/>
        <w:spacing w:after="0" w:line="249" w:lineRule="auto"/>
        <w:tabs>
          <w:tab w:leader="none" w:pos="287"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Lloyd Portfolio was acquired in 2011, consisting of approximately 600,000 rentable square feet on more than 16 acres located in the Lloyd District of Portland, Oregon. The portion of the property that has been designated for additional development is expected to include a high density, transit oriented, mixed-use urban village, with the potential to be in excess of approximately three million square feet. The zoning for such development opportunity allows a 12:1 Floor Area Ratio with a 250 foot height limit and provides for retail, office and/or multifamily development. Additional development plans are in the early stages and will continue to progress as demand and economic conditions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130175</wp:posOffset>
            </wp:positionV>
            <wp:extent cx="714184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92" w:lineRule="exact"/>
        <w:rPr>
          <w:sz w:val="20"/>
          <w:szCs w:val="20"/>
          <w:color w:val="auto"/>
        </w:rPr>
      </w:pPr>
    </w:p>
    <w:p>
      <w:pPr>
        <w:ind w:left="40"/>
        <w:spacing w:after="0"/>
        <w:tabs>
          <w:tab w:leader="none" w:pos="1072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19</w:t>
      </w:r>
    </w:p>
    <w:p>
      <w:pPr>
        <w:sectPr>
          <w:pgSz w:w="11900" w:h="16838" w:orient="portrait"/>
          <w:cols w:equalWidth="0" w:num="1">
            <w:col w:w="11240"/>
          </w:cols>
          <w:pgMar w:left="300" w:top="401" w:right="3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PORTFOLIO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701040</wp:posOffset>
            </wp:positionV>
            <wp:extent cx="714184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20</w:t>
      </w:r>
    </w:p>
    <w:p>
      <w:pPr>
        <w:sectPr>
          <w:pgSz w:w="11900" w:h="16838" w:orient="portrait"/>
          <w:cols w:equalWidth="0" w:num="1">
            <w:col w:w="11200"/>
          </w:cols>
          <w:pgMar w:left="340" w:top="1440" w:right="35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003366"/>
              </w:rPr>
              <w:t>As of March 31, 2026</w:t>
            </w: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3"/>
                <w:szCs w:val="13"/>
                <w:b w:val="1"/>
                <w:bCs w:val="1"/>
                <w:color w:val="003366"/>
                <w:w w:val="98"/>
              </w:rPr>
              <w:t>Office and Retail Portfolios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Net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Rentable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w w:val="99"/>
              </w:rPr>
              <w:t>Base Rent per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003366"/>
                <w:w w:val="99"/>
              </w:rPr>
              <w:t>Year Built/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Square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100" w:type="dxa"/>
            <w:vAlign w:val="bottom"/>
          </w:tcPr>
          <w:p>
            <w:pPr>
              <w:spacing w:after="0"/>
              <w:rPr>
                <w:sz w:val="13"/>
                <w:szCs w:val="13"/>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rPr>
              <w:t>Leased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003366"/>
                <w:w w:val="99"/>
              </w:rPr>
              <w:t>Retail</w:t>
            </w:r>
          </w:p>
        </w:tc>
        <w:tc>
          <w:tcPr>
            <w:tcW w:w="3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003366"/>
              </w:rPr>
              <w:t>Property</w:t>
            </w:r>
          </w:p>
        </w:tc>
        <w:tc>
          <w:tcPr>
            <w:tcW w:w="1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003366"/>
                <w:w w:val="98"/>
              </w:rPr>
              <w:t>Most Recent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88"/>
              </w:rPr>
              <w:t xml:space="preserve">Feet </w:t>
            </w:r>
            <w:r>
              <w:rPr>
                <w:rFonts w:ascii="Times New Roman" w:cs="Times New Roman" w:eastAsia="Times New Roman" w:hAnsi="Times New Roman"/>
                <w:sz w:val="14"/>
                <w:szCs w:val="14"/>
                <w:b w:val="1"/>
                <w:bCs w:val="1"/>
                <w:color w:val="003366"/>
                <w:w w:val="88"/>
                <w:vertAlign w:val="superscript"/>
              </w:rPr>
              <w:t>(1)</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003366"/>
                <w:w w:val="94"/>
              </w:rPr>
              <w:t xml:space="preserve">Leased </w:t>
            </w:r>
            <w:r>
              <w:rPr>
                <w:rFonts w:ascii="Times New Roman" w:cs="Times New Roman" w:eastAsia="Times New Roman" w:hAnsi="Times New Roman"/>
                <w:sz w:val="14"/>
                <w:szCs w:val="14"/>
                <w:b w:val="1"/>
                <w:bCs w:val="1"/>
                <w:color w:val="003366"/>
                <w:w w:val="94"/>
                <w:vertAlign w:val="superscript"/>
              </w:rPr>
              <w:t>(2)</w:t>
            </w:r>
          </w:p>
        </w:tc>
        <w:tc>
          <w:tcPr>
            <w:tcW w:w="100" w:type="dxa"/>
            <w:vAlign w:val="bottom"/>
          </w:tcPr>
          <w:p>
            <w:pPr>
              <w:spacing w:after="0"/>
              <w:rPr>
                <w:sz w:val="14"/>
                <w:szCs w:val="14"/>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003366"/>
                <w:w w:val="95"/>
              </w:rPr>
              <w:t xml:space="preserve">Base Rent </w:t>
            </w:r>
            <w:r>
              <w:rPr>
                <w:rFonts w:ascii="Times New Roman" w:cs="Times New Roman" w:eastAsia="Times New Roman" w:hAnsi="Times New Roman"/>
                <w:sz w:val="14"/>
                <w:szCs w:val="14"/>
                <w:b w:val="1"/>
                <w:bCs w:val="1"/>
                <w:color w:val="003366"/>
                <w:w w:val="95"/>
                <w:vertAlign w:val="superscript"/>
              </w:rPr>
              <w:t>(3)</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w w:val="97"/>
              </w:rPr>
              <w:t xml:space="preserve">Square Foot </w:t>
            </w:r>
            <w:r>
              <w:rPr>
                <w:rFonts w:ascii="Times New Roman" w:cs="Times New Roman" w:eastAsia="Times New Roman" w:hAnsi="Times New Roman"/>
                <w:sz w:val="14"/>
                <w:szCs w:val="14"/>
                <w:b w:val="1"/>
                <w:bCs w:val="1"/>
                <w:color w:val="003366"/>
                <w:w w:val="97"/>
                <w:vertAlign w:val="superscript"/>
              </w:rPr>
              <w:t>(4)</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8"/>
              </w:rPr>
              <w:t>Anchor Tenant(s)</w:t>
            </w:r>
          </w:p>
        </w:tc>
        <w:tc>
          <w:tcPr>
            <w:tcW w:w="3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003366"/>
              </w:rPr>
              <w:t xml:space="preserve">Other Principal Retail Tenants </w:t>
            </w:r>
            <w:r>
              <w:rPr>
                <w:rFonts w:ascii="Times New Roman" w:cs="Times New Roman" w:eastAsia="Times New Roman" w:hAnsi="Times New Roman"/>
                <w:sz w:val="14"/>
                <w:szCs w:val="14"/>
                <w:b w:val="1"/>
                <w:bCs w:val="1"/>
                <w:color w:val="003366"/>
                <w:vertAlign w:val="superscript"/>
              </w:rPr>
              <w:t>(6)</w:t>
            </w:r>
          </w:p>
        </w:tc>
        <w:tc>
          <w:tcPr>
            <w:tcW w:w="0" w:type="dxa"/>
            <w:vAlign w:val="bottom"/>
          </w:tcPr>
          <w:p>
            <w:pPr>
              <w:spacing w:after="0"/>
              <w:rPr>
                <w:sz w:val="1"/>
                <w:szCs w:val="1"/>
                <w:color w:val="auto"/>
              </w:rPr>
            </w:pPr>
          </w:p>
        </w:tc>
      </w:tr>
      <w:tr>
        <w:trPr>
          <w:trHeight w:val="118"/>
        </w:trPr>
        <w:tc>
          <w:tcPr>
            <w:tcW w:w="174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003366"/>
              </w:rPr>
              <w:t>Renovation</w:t>
            </w:r>
          </w:p>
        </w:tc>
        <w:tc>
          <w:tcPr>
            <w:tcW w:w="7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003366"/>
                <w:w w:val="97"/>
              </w:rPr>
              <w:t>(5)</w:t>
            </w:r>
          </w:p>
        </w:tc>
        <w:tc>
          <w:tcPr>
            <w:tcW w:w="10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Office Properties</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 Jolla Commons I &amp; II</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725,439</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96.7%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48,292,889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4"/>
              </w:rPr>
              <w:t>$68.84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Jolla Commons III</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206,231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3,557,590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35.06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Coastal Collection at Torrey</w:t>
            </w:r>
          </w:p>
        </w:tc>
        <w:tc>
          <w:tcPr>
            <w:tcW w:w="1200" w:type="dxa"/>
            <w:vAlign w:val="bottom"/>
            <w:gridSpan w:val="3"/>
          </w:tcPr>
          <w:p>
            <w:pPr>
              <w:spacing w:after="0" w:line="120" w:lineRule="exact"/>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1996/2022</w:t>
            </w:r>
          </w:p>
        </w:tc>
        <w:tc>
          <w:tcPr>
            <w:tcW w:w="8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552,276</w:t>
            </w:r>
          </w:p>
        </w:tc>
        <w:tc>
          <w:tcPr>
            <w:tcW w:w="80" w:type="dxa"/>
            <w:vAlign w:val="bottom"/>
          </w:tcPr>
          <w:p>
            <w:pPr>
              <w:spacing w:after="0"/>
              <w:rPr>
                <w:sz w:val="10"/>
                <w:szCs w:val="10"/>
                <w:color w:val="auto"/>
              </w:rPr>
            </w:pPr>
          </w:p>
        </w:tc>
        <w:tc>
          <w:tcPr>
            <w:tcW w:w="6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6"/>
              </w:rPr>
              <w:t>86.8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24,851,903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8"/>
              <w:spacing w:after="0" w:line="120" w:lineRule="exact"/>
              <w:rPr>
                <w:sz w:val="20"/>
                <w:szCs w:val="20"/>
                <w:color w:val="auto"/>
              </w:rPr>
            </w:pPr>
            <w:r>
              <w:rPr>
                <w:rFonts w:ascii="Times New Roman" w:cs="Times New Roman" w:eastAsia="Times New Roman" w:hAnsi="Times New Roman"/>
                <w:sz w:val="13"/>
                <w:szCs w:val="13"/>
                <w:color w:val="auto"/>
                <w:w w:val="95"/>
              </w:rPr>
              <w:t>51.84</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3"/>
                <w:szCs w:val="13"/>
                <w:color w:val="auto"/>
              </w:rPr>
              <w:t xml:space="preserve">Reserve </w:t>
            </w:r>
            <w:r>
              <w:rPr>
                <w:rFonts w:ascii="Times New Roman" w:cs="Times New Roman" w:eastAsia="Times New Roman" w:hAnsi="Times New Roman"/>
                <w:sz w:val="16"/>
                <w:szCs w:val="16"/>
                <w:color w:val="auto"/>
                <w:vertAlign w:val="superscript"/>
              </w:rPr>
              <w:t>(7)</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Torrey Point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94,854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6,219,751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65.84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Crossing</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Solana Beach, CA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1982/2022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224,009</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8,763,054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51.41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3"/>
                <w:szCs w:val="13"/>
                <w:color w:val="auto"/>
              </w:rPr>
              <w:t>The Landmark at One Market</w:t>
            </w:r>
          </w:p>
        </w:tc>
        <w:tc>
          <w:tcPr>
            <w:tcW w:w="120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San Francisco, CA</w:t>
            </w:r>
          </w:p>
        </w:tc>
        <w:tc>
          <w:tcPr>
            <w:tcW w:w="8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1917/2000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422,426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98.3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42,795,807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center"/>
              <w:ind w:right="18"/>
              <w:spacing w:after="0" w:line="125" w:lineRule="exact"/>
              <w:rPr>
                <w:sz w:val="20"/>
                <w:szCs w:val="20"/>
                <w:color w:val="auto"/>
              </w:rPr>
            </w:pPr>
            <w:r>
              <w:rPr>
                <w:rFonts w:ascii="Times New Roman" w:cs="Times New Roman" w:eastAsia="Times New Roman" w:hAnsi="Times New Roman"/>
                <w:sz w:val="13"/>
                <w:szCs w:val="13"/>
                <w:color w:val="auto"/>
                <w:w w:val="94"/>
              </w:rPr>
              <w:t>103.06</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One Beach Street</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San Francisco, CA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1924/2024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89,067</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&amp; Main</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Portland, OR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362,633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8,937,842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32.56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Lloyd Portfolio</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Portland, OR</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1940/2022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568,270</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81.4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15,615,947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33.76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Center Bellevue</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Bellevue, WA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1987/2023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28,706,269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60.54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14Acres</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Bellevue, WA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1985/2024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276,060</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6,554,516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36.58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Timber Ridge</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Bellevue, WA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160,509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7,506,698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47.97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Timber Springs</w:t>
            </w:r>
          </w:p>
        </w:tc>
        <w:tc>
          <w:tcPr>
            <w:tcW w:w="1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Bellevue, WA</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93,295</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75.2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2,747,148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center"/>
              <w:ind w:right="38"/>
              <w:spacing w:after="0"/>
              <w:rPr>
                <w:sz w:val="20"/>
                <w:szCs w:val="20"/>
                <w:color w:val="auto"/>
              </w:rPr>
            </w:pPr>
            <w:r>
              <w:rPr>
                <w:rFonts w:ascii="Times New Roman" w:cs="Times New Roman" w:eastAsia="Times New Roman" w:hAnsi="Times New Roman"/>
                <w:sz w:val="13"/>
                <w:szCs w:val="13"/>
                <w:color w:val="auto"/>
                <w:w w:val="95"/>
              </w:rPr>
              <w:t>39.16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Subtotal/Weighted Average Office Portfolio </w:t>
            </w:r>
            <w:r>
              <w:rPr>
                <w:rFonts w:ascii="Times New Roman" w:cs="Times New Roman" w:eastAsia="Times New Roman" w:hAnsi="Times New Roman"/>
                <w:sz w:val="16"/>
                <w:szCs w:val="16"/>
                <w:b w:val="1"/>
                <w:bCs w:val="1"/>
                <w:color w:val="auto"/>
                <w:vertAlign w:val="superscript"/>
              </w:rPr>
              <w:t>(9)</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84.5%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204,549,414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4"/>
              </w:rPr>
              <w:t>$56.64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7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Retail Properties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Carmel Country Plaza</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78,098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4,295,972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4"/>
              </w:rPr>
              <w:t>$56.13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Sharp Healthcare, San Diego County Credit Union</w:t>
            </w:r>
          </w:p>
        </w:tc>
        <w:tc>
          <w:tcPr>
            <w:tcW w:w="0" w:type="dxa"/>
            <w:vAlign w:val="bottom"/>
          </w:tcPr>
          <w:p>
            <w:pPr>
              <w:spacing w:after="0"/>
              <w:rPr>
                <w:sz w:val="1"/>
                <w:szCs w:val="1"/>
                <w:color w:val="auto"/>
              </w:rPr>
            </w:pPr>
          </w:p>
        </w:tc>
      </w:tr>
      <w:tr>
        <w:trPr>
          <w:trHeight w:val="122"/>
        </w:trPr>
        <w:tc>
          <w:tcPr>
            <w:tcW w:w="1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Carmel Mountain Plaza </w:t>
            </w:r>
            <w:r>
              <w:rPr>
                <w:rFonts w:ascii="Times New Roman" w:cs="Times New Roman" w:eastAsia="Times New Roman" w:hAnsi="Times New Roman"/>
                <w:sz w:val="14"/>
                <w:szCs w:val="14"/>
                <w:color w:val="auto"/>
                <w:vertAlign w:val="superscript"/>
              </w:rPr>
              <w:t>(10)</w:t>
            </w:r>
          </w:p>
        </w:tc>
        <w:tc>
          <w:tcPr>
            <w:tcW w:w="120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1994/2020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528,416</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99.8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14,773,081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5"/>
              </w:rPr>
              <w:t>28.01</w:t>
            </w:r>
          </w:p>
        </w:tc>
        <w:tc>
          <w:tcPr>
            <w:tcW w:w="8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At Home Stores</w:t>
            </w:r>
          </w:p>
        </w:tc>
        <w:tc>
          <w:tcPr>
            <w:tcW w:w="3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w w:val="98"/>
              </w:rPr>
              <w:t>Dick's Sporting Goods, Sprouts Farmers Market, Nordstrom</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Rack, Total Wine &amp; More, Marshalls, Angelika Film Center</w:t>
            </w:r>
          </w:p>
        </w:tc>
        <w:tc>
          <w:tcPr>
            <w:tcW w:w="0" w:type="dxa"/>
            <w:vAlign w:val="bottom"/>
          </w:tcPr>
          <w:p>
            <w:pPr>
              <w:spacing w:after="0"/>
              <w:rPr>
                <w:sz w:val="1"/>
                <w:szCs w:val="1"/>
                <w:color w:val="auto"/>
              </w:rPr>
            </w:pPr>
          </w:p>
        </w:tc>
      </w:tr>
      <w:tr>
        <w:trPr>
          <w:trHeight w:val="182"/>
        </w:trPr>
        <w:tc>
          <w:tcPr>
            <w:tcW w:w="17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3"/>
                <w:szCs w:val="13"/>
                <w:color w:val="auto"/>
              </w:rPr>
              <w:t xml:space="preserve">South Bay Marketplace </w:t>
            </w:r>
            <w:r>
              <w:rPr>
                <w:rFonts w:ascii="Times New Roman" w:cs="Times New Roman" w:eastAsia="Times New Roman" w:hAnsi="Times New Roman"/>
                <w:sz w:val="16"/>
                <w:szCs w:val="16"/>
                <w:color w:val="auto"/>
                <w:vertAlign w:val="superscript"/>
              </w:rPr>
              <w:t>(10)</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1997/2018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132,877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2,538,753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19.54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Ross Dress for Less, Grocery Outlet, Old Navy</w:t>
            </w:r>
          </w:p>
        </w:tc>
        <w:tc>
          <w:tcPr>
            <w:tcW w:w="0" w:type="dxa"/>
            <w:vAlign w:val="bottom"/>
          </w:tcPr>
          <w:p>
            <w:pPr>
              <w:spacing w:after="0"/>
              <w:rPr>
                <w:sz w:val="1"/>
                <w:szCs w:val="1"/>
                <w:color w:val="auto"/>
              </w:rPr>
            </w:pPr>
          </w:p>
        </w:tc>
      </w:tr>
      <w:tr>
        <w:trPr>
          <w:trHeight w:val="177"/>
        </w:trPr>
        <w:tc>
          <w:tcPr>
            <w:tcW w:w="174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3"/>
                <w:szCs w:val="13"/>
                <w:color w:val="auto"/>
              </w:rPr>
              <w:t xml:space="preserve">Gateway Marketplace </w:t>
            </w:r>
            <w:r>
              <w:rPr>
                <w:rFonts w:ascii="Times New Roman" w:cs="Times New Roman" w:eastAsia="Times New Roman" w:hAnsi="Times New Roman"/>
                <w:sz w:val="16"/>
                <w:szCs w:val="16"/>
                <w:color w:val="auto"/>
                <w:vertAlign w:val="superscript"/>
              </w:rPr>
              <w:t>(10)</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San Diego, CA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1997/2016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127,861</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2,569,168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20.32</w:t>
            </w: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Hobby Lobby</w:t>
            </w: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Smart &amp; Final, Aldi</w:t>
            </w:r>
          </w:p>
        </w:tc>
        <w:tc>
          <w:tcPr>
            <w:tcW w:w="0" w:type="dxa"/>
            <w:vAlign w:val="bottom"/>
          </w:tcPr>
          <w:p>
            <w:pPr>
              <w:spacing w:after="0"/>
              <w:rPr>
                <w:sz w:val="1"/>
                <w:szCs w:val="1"/>
                <w:color w:val="auto"/>
              </w:rPr>
            </w:pPr>
          </w:p>
        </w:tc>
      </w:tr>
      <w:tr>
        <w:trPr>
          <w:trHeight w:val="177"/>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Lomas Santa Fe Plaza</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Solana Beach,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1972/1997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6,763,059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33.16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Vons, Home Goods</w:t>
            </w: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Beach Towne Centre</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Solana Beach, CA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1973/2004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246,651</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7,343,822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30.54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Dixieline Probuild, Marshalls, CVS Pharmacy</w:t>
            </w: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Geary Marketplace</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Walnut Creek, CA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1,267,747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36.75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Sprouts Farmers Market</w:t>
            </w: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Shops at Kalakaua</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Honolulu, HI</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1971/2006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11,893</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4"/>
              </w:rPr>
              <w:t>102.41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Hawaii Beachware &amp; Fashion, Diesel U.S.A.</w:t>
            </w:r>
          </w:p>
        </w:tc>
        <w:tc>
          <w:tcPr>
            <w:tcW w:w="0" w:type="dxa"/>
            <w:vAlign w:val="bottom"/>
          </w:tcPr>
          <w:p>
            <w:pPr>
              <w:spacing w:after="0"/>
              <w:rPr>
                <w:sz w:val="1"/>
                <w:szCs w:val="1"/>
                <w:color w:val="auto"/>
              </w:rPr>
            </w:pPr>
          </w:p>
        </w:tc>
      </w:tr>
      <w:tr>
        <w:trPr>
          <w:trHeight w:val="129"/>
        </w:trPr>
        <w:tc>
          <w:tcPr>
            <w:tcW w:w="1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Waikele Center</w:t>
            </w:r>
          </w:p>
        </w:tc>
        <w:tc>
          <w:tcPr>
            <w:tcW w:w="120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Waipahu, HI</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1993/2008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418,395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97.2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12,920,946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5"/>
              </w:rPr>
              <w:t>31.77</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Lowe's, Safeway,</w:t>
            </w:r>
          </w:p>
        </w:tc>
        <w:tc>
          <w:tcPr>
            <w:tcW w:w="31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UFC Gym, Office Max, Old Navy</w:t>
            </w: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Inspire Church</w:t>
            </w: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Alamo Quarry Market </w:t>
            </w:r>
            <w:r>
              <w:rPr>
                <w:rFonts w:ascii="Times New Roman" w:cs="Times New Roman" w:eastAsia="Times New Roman" w:hAnsi="Times New Roman"/>
                <w:sz w:val="14"/>
                <w:szCs w:val="14"/>
                <w:color w:val="auto"/>
                <w:vertAlign w:val="superscript"/>
              </w:rPr>
              <w:t>(10)</w:t>
            </w:r>
          </w:p>
        </w:tc>
        <w:tc>
          <w:tcPr>
            <w:tcW w:w="120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San Antonio, TX</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1997/1999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588,148</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98.9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16,476,582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5"/>
              </w:rPr>
              <w:t>28.33</w:t>
            </w:r>
          </w:p>
        </w:tc>
        <w:tc>
          <w:tcPr>
            <w:tcW w:w="8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Regal Cinemas</w:t>
            </w:r>
          </w:p>
        </w:tc>
        <w:tc>
          <w:tcPr>
            <w:tcW w:w="3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w w:val="97"/>
              </w:rPr>
              <w:t>Whole Foods Market, Nordstrom Rack, Home Goods, Gold's</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Gym</w:t>
            </w:r>
          </w:p>
        </w:tc>
        <w:tc>
          <w:tcPr>
            <w:tcW w:w="0" w:type="dxa"/>
            <w:vAlign w:val="bottom"/>
          </w:tcPr>
          <w:p>
            <w:pPr>
              <w:spacing w:after="0"/>
              <w:rPr>
                <w:sz w:val="1"/>
                <w:szCs w:val="1"/>
                <w:color w:val="auto"/>
              </w:rPr>
            </w:pPr>
          </w:p>
        </w:tc>
      </w:tr>
      <w:tr>
        <w:trPr>
          <w:trHeight w:val="182"/>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Hassalo on Eighth - Retail</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Portland, OR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44,236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57.5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863,199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33.94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Providence Health &amp; Services, Sola Salon</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gridSpan w:val="5"/>
          </w:tcPr>
          <w:p>
            <w:pPr>
              <w:ind w:left="20"/>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Subtotal/Weighted Average Retail Portfolio </w:t>
            </w:r>
            <w:r>
              <w:rPr>
                <w:rFonts w:ascii="Times New Roman" w:cs="Times New Roman" w:eastAsia="Times New Roman" w:hAnsi="Times New Roman"/>
                <w:sz w:val="16"/>
                <w:szCs w:val="16"/>
                <w:b w:val="1"/>
                <w:bCs w:val="1"/>
                <w:color w:val="auto"/>
                <w:vertAlign w:val="superscript"/>
              </w:rPr>
              <w:t>(9)</w:t>
            </w: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97.7%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71,030,329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center"/>
              <w:ind w:right="18"/>
              <w:spacing w:after="0" w:line="148" w:lineRule="exact"/>
              <w:rPr>
                <w:sz w:val="20"/>
                <w:szCs w:val="20"/>
                <w:color w:val="auto"/>
              </w:rPr>
            </w:pPr>
            <w:r>
              <w:rPr>
                <w:rFonts w:ascii="Times New Roman" w:cs="Times New Roman" w:eastAsia="Times New Roman" w:hAnsi="Times New Roman"/>
                <w:sz w:val="13"/>
                <w:szCs w:val="13"/>
                <w:color w:val="auto"/>
                <w:w w:val="94"/>
              </w:rPr>
              <w:t>$30.04</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40" w:type="dxa"/>
            <w:vAlign w:val="bottom"/>
            <w:tcBorders>
              <w:bottom w:val="single" w:sz="8" w:color="CCEEFF"/>
            </w:tcBorders>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Total/Weighted Average Office and Retail Portfolio </w:t>
            </w:r>
            <w:r>
              <w:rPr>
                <w:rFonts w:ascii="Times New Roman" w:cs="Times New Roman" w:eastAsia="Times New Roman" w:hAnsi="Times New Roman"/>
                <w:sz w:val="16"/>
                <w:szCs w:val="16"/>
                <w:b w:val="1"/>
                <w:bCs w:val="1"/>
                <w:color w:val="auto"/>
                <w:w w:val="96"/>
                <w:vertAlign w:val="superscript"/>
              </w:rPr>
              <w:t>(9)</w:t>
            </w: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6,693,644</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275,579,743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4"/>
              </w:rPr>
              <w:t>$46.10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40" w:type="dxa"/>
            <w:vAlign w:val="bottom"/>
            <w:gridSpan w:val="5"/>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940" w:type="dxa"/>
            <w:vAlign w:val="bottom"/>
            <w:tcBorders>
              <w:top w:val="single" w:sz="8" w:color="003366"/>
            </w:tcBorders>
            <w:gridSpan w:val="5"/>
          </w:tcPr>
          <w:p>
            <w:pPr>
              <w:ind w:left="20"/>
              <w:spacing w:after="0"/>
              <w:rPr>
                <w:sz w:val="20"/>
                <w:szCs w:val="20"/>
                <w:color w:val="auto"/>
              </w:rPr>
            </w:pPr>
            <w:r>
              <w:rPr>
                <w:rFonts w:ascii="Times New Roman" w:cs="Times New Roman" w:eastAsia="Times New Roman" w:hAnsi="Times New Roman"/>
                <w:sz w:val="16"/>
                <w:szCs w:val="16"/>
                <w:color w:val="003366"/>
                <w:w w:val="99"/>
              </w:rPr>
              <w:t>First Quarter 2026 Supplemental Information</w:t>
            </w:r>
          </w:p>
        </w:tc>
        <w:tc>
          <w:tcPr>
            <w:tcW w:w="82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62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62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100" w:type="dxa"/>
            <w:vAlign w:val="bottom"/>
            <w:tcBorders>
              <w:top w:val="single" w:sz="8" w:color="003366"/>
            </w:tcBorders>
          </w:tcPr>
          <w:p>
            <w:pPr>
              <w:spacing w:after="0"/>
              <w:rPr>
                <w:sz w:val="17"/>
                <w:szCs w:val="17"/>
                <w:color w:val="auto"/>
              </w:rPr>
            </w:pPr>
          </w:p>
        </w:tc>
        <w:tc>
          <w:tcPr>
            <w:tcW w:w="700" w:type="dxa"/>
            <w:vAlign w:val="bottom"/>
            <w:tcBorders>
              <w:top w:val="single" w:sz="8" w:color="003366"/>
            </w:tcBorders>
          </w:tcPr>
          <w:p>
            <w:pPr>
              <w:spacing w:after="0"/>
              <w:rPr>
                <w:sz w:val="17"/>
                <w:szCs w:val="17"/>
                <w:color w:val="auto"/>
              </w:rPr>
            </w:pPr>
          </w:p>
        </w:tc>
        <w:tc>
          <w:tcPr>
            <w:tcW w:w="10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820" w:type="dxa"/>
            <w:vAlign w:val="bottom"/>
            <w:tcBorders>
              <w:top w:val="single" w:sz="8" w:color="003366"/>
            </w:tcBorders>
          </w:tcPr>
          <w:p>
            <w:pPr>
              <w:spacing w:after="0"/>
              <w:rPr>
                <w:sz w:val="17"/>
                <w:szCs w:val="17"/>
                <w:color w:val="auto"/>
              </w:rPr>
            </w:pPr>
          </w:p>
        </w:tc>
        <w:tc>
          <w:tcPr>
            <w:tcW w:w="80" w:type="dxa"/>
            <w:vAlign w:val="bottom"/>
            <w:tcBorders>
              <w:top w:val="single" w:sz="8" w:color="003366"/>
            </w:tcBorders>
          </w:tcPr>
          <w:p>
            <w:pPr>
              <w:spacing w:after="0"/>
              <w:rPr>
                <w:sz w:val="17"/>
                <w:szCs w:val="17"/>
                <w:color w:val="auto"/>
              </w:rPr>
            </w:pPr>
          </w:p>
        </w:tc>
        <w:tc>
          <w:tcPr>
            <w:tcW w:w="920" w:type="dxa"/>
            <w:vAlign w:val="bottom"/>
            <w:tcBorders>
              <w:top w:val="single" w:sz="8" w:color="003366"/>
            </w:tcBorders>
          </w:tcPr>
          <w:p>
            <w:pPr>
              <w:spacing w:after="0"/>
              <w:rPr>
                <w:sz w:val="17"/>
                <w:szCs w:val="17"/>
                <w:color w:val="auto"/>
              </w:rPr>
            </w:pPr>
          </w:p>
        </w:tc>
        <w:tc>
          <w:tcPr>
            <w:tcW w:w="100" w:type="dxa"/>
            <w:vAlign w:val="bottom"/>
            <w:tcBorders>
              <w:top w:val="single" w:sz="8" w:color="003366"/>
            </w:tcBorders>
          </w:tcPr>
          <w:p>
            <w:pPr>
              <w:spacing w:after="0"/>
              <w:rPr>
                <w:sz w:val="17"/>
                <w:szCs w:val="17"/>
                <w:color w:val="auto"/>
              </w:rPr>
            </w:pPr>
          </w:p>
        </w:tc>
        <w:tc>
          <w:tcPr>
            <w:tcW w:w="3100" w:type="dxa"/>
            <w:vAlign w:val="bottom"/>
            <w:tcBorders>
              <w:top w:val="single" w:sz="8" w:color="003366"/>
            </w:tcBorders>
          </w:tcPr>
          <w:p>
            <w:pPr>
              <w:ind w:left="2580"/>
              <w:spacing w:after="0"/>
              <w:rPr>
                <w:sz w:val="20"/>
                <w:szCs w:val="20"/>
                <w:color w:val="auto"/>
              </w:rPr>
            </w:pPr>
            <w:r>
              <w:rPr>
                <w:rFonts w:ascii="Times New Roman" w:cs="Times New Roman" w:eastAsia="Times New Roman" w:hAnsi="Times New Roman"/>
                <w:sz w:val="16"/>
                <w:szCs w:val="16"/>
                <w:color w:val="003366"/>
                <w:w w:val="97"/>
              </w:rPr>
              <w:t>Page 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01" w:right="319" w:bottom="1440" w:gutter="0" w:footer="0" w:header="0"/>
        </w:sectPr>
      </w:pPr>
    </w:p>
    <w:bookmarkStart w:id="33" w:name="page34"/>
    <w:bookmarkEnd w:id="33"/>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REPORT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March 31, 2026</w:t>
      </w:r>
    </w:p>
    <w:p>
      <w:pPr>
        <w:spacing w:after="0" w:line="24" w:lineRule="exact"/>
        <w:rPr>
          <w:sz w:val="20"/>
          <w:szCs w:val="20"/>
          <w:color w:val="auto"/>
        </w:rPr>
      </w:pPr>
    </w:p>
    <w:tbl>
      <w:tblPr>
        <w:tblLayout w:type="fixed"/>
        <w:tblInd w:w="5" w:type="dxa"/>
        <w:tblCellMar>
          <w:top w:w="0" w:type="dxa"/>
          <w:left w:w="0" w:type="dxa"/>
          <w:bottom w:w="0" w:type="dxa"/>
          <w:right w:w="0" w:type="dxa"/>
        </w:tblCellMar>
      </w:tblPr>
      <w:tr>
        <w:trPr>
          <w:trHeight w:val="140"/>
        </w:trPr>
        <w:tc>
          <w:tcPr>
            <w:tcW w:w="2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003366"/>
                <w:w w:val="97"/>
              </w:rPr>
              <w:t>Average Monthly</w:t>
            </w:r>
          </w:p>
        </w:tc>
        <w:tc>
          <w:tcPr>
            <w:tcW w:w="6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Year Built/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0" w:type="dxa"/>
            <w:vAlign w:val="bottom"/>
          </w:tcPr>
          <w:p>
            <w:pPr>
              <w:spacing w:after="0"/>
              <w:rPr>
                <w:sz w:val="12"/>
                <w:szCs w:val="12"/>
                <w:color w:val="auto"/>
              </w:rPr>
            </w:pPr>
          </w:p>
        </w:tc>
        <w:tc>
          <w:tcPr>
            <w:tcW w:w="84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003366"/>
              </w:rPr>
              <w:t>Base Rent per</w:t>
            </w: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003366"/>
                <w:w w:val="98"/>
              </w:rPr>
              <w:t>Most Recent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003366"/>
                <w:w w:val="99"/>
              </w:rPr>
              <w:t>Property</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Renovation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Units</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003366"/>
              </w:rPr>
              <w:t xml:space="preserve">Leased </w:t>
            </w:r>
            <w:r>
              <w:rPr>
                <w:rFonts w:ascii="Times New Roman" w:cs="Times New Roman" w:eastAsia="Times New Roman" w:hAnsi="Times New Roman"/>
                <w:sz w:val="14"/>
                <w:szCs w:val="14"/>
                <w:b w:val="1"/>
                <w:bCs w:val="1"/>
                <w:color w:val="003366"/>
                <w:vertAlign w:val="superscript"/>
              </w:rPr>
              <w:t>(2)</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003366"/>
                <w:w w:val="96"/>
              </w:rPr>
              <w:t xml:space="preserve">Occupied </w:t>
            </w:r>
            <w:r>
              <w:rPr>
                <w:rFonts w:ascii="Times New Roman" w:cs="Times New Roman" w:eastAsia="Times New Roman" w:hAnsi="Times New Roman"/>
                <w:sz w:val="14"/>
                <w:szCs w:val="14"/>
                <w:b w:val="1"/>
                <w:bCs w:val="1"/>
                <w:color w:val="003366"/>
                <w:w w:val="96"/>
                <w:vertAlign w:val="superscript"/>
              </w:rPr>
              <w:t>(2)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w w:val="98"/>
              </w:rPr>
              <w:t xml:space="preserve">Base Rent </w:t>
            </w:r>
            <w:r>
              <w:rPr>
                <w:rFonts w:ascii="Times New Roman" w:cs="Times New Roman" w:eastAsia="Times New Roman" w:hAnsi="Times New Roman"/>
                <w:sz w:val="14"/>
                <w:szCs w:val="14"/>
                <w:b w:val="1"/>
                <w:bCs w:val="1"/>
                <w:color w:val="003366"/>
                <w:w w:val="98"/>
                <w:vertAlign w:val="superscript"/>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003366"/>
                <w:w w:val="97"/>
              </w:rPr>
              <w:t xml:space="preserve">Occupied Unit </w:t>
            </w:r>
            <w:r>
              <w:rPr>
                <w:rFonts w:ascii="Times New Roman" w:cs="Times New Roman" w:eastAsia="Times New Roman" w:hAnsi="Times New Roman"/>
                <w:sz w:val="14"/>
                <w:szCs w:val="14"/>
                <w:b w:val="1"/>
                <w:bCs w:val="1"/>
                <w:color w:val="003366"/>
                <w:w w:val="97"/>
                <w:vertAlign w:val="superscript"/>
              </w:rPr>
              <w:t>(4)</w:t>
            </w: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Loma Palisades</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1958/2022</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97.3%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95.6%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18,438,396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w:t>
            </w: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Imperial Beach Gardens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Imperial Beach, CA</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1959/2023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6"/>
              </w:rPr>
              <w:t>95.6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4,981,524</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2,714</w:t>
            </w: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Mariner's Point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Imperial Beach, 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6"/>
              </w:rPr>
              <w:t>92.1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2,317,632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Pacific Ridge Apartments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6"/>
              </w:rPr>
              <w:t>95.7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26,008,200</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Genesee Park</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6"/>
              </w:rPr>
              <w:t>98.4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5,018,676</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80" w:type="dxa"/>
            <w:vAlign w:val="bottom"/>
            <w:tcBorders>
              <w:bottom w:val="single" w:sz="8" w:color="CCEEFF"/>
            </w:tcBorders>
            <w:gridSpan w:val="2"/>
          </w:tcPr>
          <w:p>
            <w:pPr>
              <w:ind w:left="20"/>
              <w:spacing w:after="0" w:line="178" w:lineRule="exact"/>
              <w:rPr>
                <w:sz w:val="20"/>
                <w:szCs w:val="20"/>
                <w:color w:val="auto"/>
              </w:rPr>
            </w:pPr>
            <w:r>
              <w:rPr>
                <w:rFonts w:ascii="Times New Roman" w:cs="Times New Roman" w:eastAsia="Times New Roman" w:hAnsi="Times New Roman"/>
                <w:sz w:val="13"/>
                <w:szCs w:val="13"/>
                <w:color w:val="auto"/>
              </w:rPr>
              <w:t xml:space="preserve">Hassalo on Eighth - Multifamily </w:t>
            </w:r>
            <w:r>
              <w:rPr>
                <w:rFonts w:ascii="Times New Roman" w:cs="Times New Roman" w:eastAsia="Times New Roman" w:hAnsi="Times New Roman"/>
                <w:sz w:val="16"/>
                <w:szCs w:val="16"/>
                <w:color w:val="auto"/>
                <w:vertAlign w:val="superscript"/>
              </w:rPr>
              <w:t>(12)</w:t>
            </w: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Portland, OR</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92.7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color w:val="auto"/>
                <w:w w:val="96"/>
              </w:rPr>
              <w:t>92.1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12,109,044</w:t>
            </w:r>
          </w:p>
        </w:tc>
        <w:tc>
          <w:tcPr>
            <w:tcW w:w="1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gridSpan w:val="4"/>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Total/Weighted Average Multifamily Portfolio</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94.7%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68,873,472</w:t>
            </w:r>
          </w:p>
        </w:tc>
        <w:tc>
          <w:tcPr>
            <w:tcW w:w="160" w:type="dxa"/>
            <w:vAlign w:val="bottom"/>
            <w:gridSpan w:val="2"/>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2,783</w:t>
            </w: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80" w:type="dxa"/>
            <w:vAlign w:val="bottom"/>
            <w:tcBorders>
              <w:bottom w:val="single" w:sz="8" w:color="CCEEFF"/>
            </w:tcBorders>
            <w:gridSpan w:val="2"/>
          </w:tcPr>
          <w:p>
            <w:pPr>
              <w:ind w:left="20"/>
              <w:spacing w:after="0" w:line="178" w:lineRule="exact"/>
              <w:rPr>
                <w:sz w:val="20"/>
                <w:szCs w:val="20"/>
                <w:color w:val="auto"/>
              </w:rPr>
            </w:pPr>
            <w:r>
              <w:rPr>
                <w:rFonts w:ascii="Times New Roman" w:cs="Times New Roman" w:eastAsia="Times New Roman" w:hAnsi="Times New Roman"/>
                <w:sz w:val="13"/>
                <w:szCs w:val="13"/>
                <w:color w:val="auto"/>
              </w:rPr>
              <w:t xml:space="preserve">Santa Fe Park RV Resort </w:t>
            </w:r>
            <w:r>
              <w:rPr>
                <w:rFonts w:ascii="Times New Roman" w:cs="Times New Roman" w:eastAsia="Times New Roman" w:hAnsi="Times New Roman"/>
                <w:sz w:val="16"/>
                <w:szCs w:val="16"/>
                <w:color w:val="auto"/>
                <w:vertAlign w:val="superscript"/>
              </w:rPr>
              <w:t>(11)</w:t>
            </w: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1971/2008</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46.8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color w:val="auto"/>
                <w:w w:val="96"/>
              </w:rPr>
              <w:t>46.8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1,246,668</w:t>
            </w:r>
          </w:p>
        </w:tc>
        <w:tc>
          <w:tcPr>
            <w:tcW w:w="1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460" w:type="dxa"/>
            <w:vAlign w:val="bottom"/>
            <w:gridSpan w:val="6"/>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Total/Weighted Average Multifamily Portfolio (including Santa Fe Park RV</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93.6%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70,120,140</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Resort)</w:t>
            </w: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tcBorders>
              <w:bottom w:val="single" w:sz="8" w:color="CCEEFF"/>
            </w:tcBorders>
            <w:gridSpan w:val="2"/>
            <w:vMerge w:val="continue"/>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Mixed-Use Portfolio</w:t>
            </w: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2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7"/>
              </w:rPr>
              <w:t>Net Rentable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003366"/>
              </w:rPr>
              <w:t>Annualized Base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Year Built/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Square</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003366"/>
                <w:w w:val="98"/>
              </w:rPr>
              <w:t>Rent per Leased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003366"/>
                <w:w w:val="99"/>
              </w:rPr>
              <w:t>Retail</w:t>
            </w: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003366"/>
                <w:w w:val="98"/>
              </w:rPr>
              <w:t>Most Recent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Retail Portion</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Renovation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4"/>
              </w:rPr>
              <w:t xml:space="preserve">Feet </w:t>
            </w:r>
            <w:r>
              <w:rPr>
                <w:rFonts w:ascii="Times New Roman" w:cs="Times New Roman" w:eastAsia="Times New Roman" w:hAnsi="Times New Roman"/>
                <w:sz w:val="14"/>
                <w:szCs w:val="14"/>
                <w:b w:val="1"/>
                <w:bCs w:val="1"/>
                <w:color w:val="003366"/>
                <w:w w:val="94"/>
                <w:vertAlign w:val="superscript"/>
              </w:rPr>
              <w:t>(1)</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003366"/>
              </w:rPr>
              <w:t xml:space="preserve">Leased </w:t>
            </w:r>
            <w:r>
              <w:rPr>
                <w:rFonts w:ascii="Times New Roman" w:cs="Times New Roman" w:eastAsia="Times New Roman" w:hAnsi="Times New Roman"/>
                <w:sz w:val="14"/>
                <w:szCs w:val="14"/>
                <w:b w:val="1"/>
                <w:bCs w:val="1"/>
                <w:color w:val="003366"/>
                <w:vertAlign w:val="superscript"/>
              </w:rPr>
              <w:t>(2)</w:t>
            </w: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w w:val="95"/>
              </w:rPr>
              <w:t xml:space="preserve">Base Rent </w:t>
            </w:r>
            <w:r>
              <w:rPr>
                <w:rFonts w:ascii="Times New Roman" w:cs="Times New Roman" w:eastAsia="Times New Roman" w:hAnsi="Times New Roman"/>
                <w:sz w:val="14"/>
                <w:szCs w:val="14"/>
                <w:b w:val="1"/>
                <w:bCs w:val="1"/>
                <w:color w:val="003366"/>
                <w:w w:val="95"/>
                <w:vertAlign w:val="superscript"/>
              </w:rPr>
              <w:t>(3)</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w w:val="95"/>
              </w:rPr>
              <w:t xml:space="preserve">Square Foot </w:t>
            </w:r>
            <w:r>
              <w:rPr>
                <w:rFonts w:ascii="Times New Roman" w:cs="Times New Roman" w:eastAsia="Times New Roman" w:hAnsi="Times New Roman"/>
                <w:sz w:val="14"/>
                <w:szCs w:val="14"/>
                <w:b w:val="1"/>
                <w:bCs w:val="1"/>
                <w:color w:val="003366"/>
                <w:w w:val="95"/>
                <w:vertAlign w:val="superscript"/>
              </w:rPr>
              <w:t>(4)</w:t>
            </w:r>
          </w:p>
        </w:tc>
        <w:tc>
          <w:tcPr>
            <w:tcW w:w="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003366"/>
                <w:w w:val="96"/>
              </w:rPr>
              <w:t xml:space="preserve">Anchor Tenant(s) </w:t>
            </w:r>
            <w:r>
              <w:rPr>
                <w:rFonts w:ascii="Times New Roman" w:cs="Times New Roman" w:eastAsia="Times New Roman" w:hAnsi="Times New Roman"/>
                <w:sz w:val="14"/>
                <w:szCs w:val="14"/>
                <w:b w:val="1"/>
                <w:bCs w:val="1"/>
                <w:color w:val="003366"/>
                <w:w w:val="96"/>
                <w:vertAlign w:val="superscript"/>
              </w:rPr>
              <w:t>(5)</w:t>
            </w:r>
          </w:p>
        </w:tc>
        <w:tc>
          <w:tcPr>
            <w:tcW w:w="60" w:type="dxa"/>
            <w:vAlign w:val="bottom"/>
          </w:tcPr>
          <w:p>
            <w:pPr>
              <w:spacing w:after="0"/>
              <w:rPr>
                <w:sz w:val="14"/>
                <w:szCs w:val="14"/>
                <w:color w:val="auto"/>
              </w:rPr>
            </w:pPr>
          </w:p>
        </w:tc>
        <w:tc>
          <w:tcPr>
            <w:tcW w:w="22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003366"/>
              </w:rPr>
              <w:t xml:space="preserve">Other Principal Retail Tenants </w:t>
            </w:r>
            <w:r>
              <w:rPr>
                <w:rFonts w:ascii="Times New Roman" w:cs="Times New Roman" w:eastAsia="Times New Roman" w:hAnsi="Times New Roman"/>
                <w:sz w:val="14"/>
                <w:szCs w:val="14"/>
                <w:b w:val="1"/>
                <w:bCs w:val="1"/>
                <w:color w:val="003366"/>
                <w:vertAlign w:val="superscript"/>
              </w:rPr>
              <w:t>(6)</w:t>
            </w:r>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Waikiki Beach Walk - Retail</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Honolulu, HI</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96.2 %</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9,975,837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110.41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Yardhouse, Roy's</w:t>
            </w:r>
          </w:p>
        </w:tc>
        <w:tc>
          <w:tcPr>
            <w:tcW w:w="0" w:type="dxa"/>
            <w:vAlign w:val="bottom"/>
          </w:tcPr>
          <w:p>
            <w:pPr>
              <w:spacing w:after="0"/>
              <w:rPr>
                <w:sz w:val="1"/>
                <w:szCs w:val="1"/>
                <w:color w:val="auto"/>
              </w:rPr>
            </w:pPr>
          </w:p>
        </w:tc>
      </w:tr>
      <w:tr>
        <w:trPr>
          <w:trHeight w:val="375"/>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Year Built/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003366"/>
              </w:rPr>
              <w:t>Average</w:t>
            </w:r>
          </w:p>
        </w:tc>
        <w:tc>
          <w:tcPr>
            <w:tcW w:w="8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w w:val="97"/>
              </w:rPr>
              <w:t>Average</w:t>
            </w:r>
          </w:p>
        </w:tc>
        <w:tc>
          <w:tcPr>
            <w:tcW w:w="80" w:type="dxa"/>
            <w:vAlign w:val="bottom"/>
          </w:tcPr>
          <w:p>
            <w:pPr>
              <w:spacing w:after="0"/>
              <w:rPr>
                <w:sz w:val="24"/>
                <w:szCs w:val="24"/>
                <w:color w:val="auto"/>
              </w:rPr>
            </w:pPr>
          </w:p>
        </w:tc>
        <w:tc>
          <w:tcPr>
            <w:tcW w:w="8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rPr>
              <w:t>Revenue per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Hotel Portion</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8"/>
              </w:rPr>
              <w:t>Most Recent</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5"/>
              </w:rPr>
              <w:t>Units</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003366"/>
              </w:rPr>
              <w:t xml:space="preserve">Occupancy </w:t>
            </w:r>
            <w:r>
              <w:rPr>
                <w:rFonts w:ascii="Times New Roman" w:cs="Times New Roman" w:eastAsia="Times New Roman" w:hAnsi="Times New Roman"/>
                <w:sz w:val="14"/>
                <w:szCs w:val="14"/>
                <w:b w:val="1"/>
                <w:bCs w:val="1"/>
                <w:color w:val="003366"/>
                <w:vertAlign w:val="superscript"/>
              </w:rPr>
              <w:t>(13)</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6"/>
              </w:rPr>
              <w:t xml:space="preserve">Daily Rate </w:t>
            </w:r>
            <w:r>
              <w:rPr>
                <w:rFonts w:ascii="Times New Roman" w:cs="Times New Roman" w:eastAsia="Times New Roman" w:hAnsi="Times New Roman"/>
                <w:sz w:val="14"/>
                <w:szCs w:val="14"/>
                <w:b w:val="1"/>
                <w:bCs w:val="1"/>
                <w:color w:val="003366"/>
                <w:w w:val="96"/>
                <w:vertAlign w:val="superscript"/>
              </w:rPr>
              <w:t>(13)</w:t>
            </w: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003366"/>
                <w:w w:val="97"/>
              </w:rPr>
              <w:t>Available Room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003366"/>
              </w:rPr>
              <w:t>Renovation</w:t>
            </w:r>
          </w:p>
        </w:tc>
        <w:tc>
          <w:tcPr>
            <w:tcW w:w="80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1"/>
              <w:spacing w:after="0"/>
              <w:rPr>
                <w:sz w:val="20"/>
                <w:szCs w:val="20"/>
                <w:color w:val="auto"/>
              </w:rPr>
            </w:pPr>
            <w:r>
              <w:rPr>
                <w:rFonts w:ascii="Times New Roman" w:cs="Times New Roman" w:eastAsia="Times New Roman" w:hAnsi="Times New Roman"/>
                <w:sz w:val="7"/>
                <w:szCs w:val="7"/>
                <w:b w:val="1"/>
                <w:bCs w:val="1"/>
                <w:color w:val="003366"/>
              </w:rPr>
              <w:t>(13)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Waikiki Beach Walk - Embassy Suites™</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Honolulu, HI</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2008/2020</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91.9 %</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305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Notes:</w:t>
      </w:r>
    </w:p>
    <w:p>
      <w:pPr>
        <w:spacing w:after="0" w:line="15" w:lineRule="exact"/>
        <w:rPr>
          <w:sz w:val="20"/>
          <w:szCs w:val="20"/>
          <w:color w:val="auto"/>
        </w:rPr>
      </w:pPr>
    </w:p>
    <w:p>
      <w:pPr>
        <w:ind w:left="285" w:right="40" w:hanging="285"/>
        <w:spacing w:after="0" w:line="249" w:lineRule="auto"/>
        <w:tabs>
          <w:tab w:leader="none" w:pos="256"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rentable square feet for each of our retail properties and the retail portion of our mixed-use property is the sum of (1) the square footages of existing leases, plus (2) for available space, the field-verified square footage. The net rentable square feet for each of our office properties is the sum of (1) the square footages of existing leases, plus (2) for available space, management’s estimate of net rentable square feet based, in part, on past leases. The net rentable square feet included in such office leases is generally determined consistently with the Building Owners and Managers Association, 2017 measurement guidelines. Net rentable square footage may be adjusted from the prior periods to reflect re-measurement of leased space at the properties.</w:t>
      </w:r>
    </w:p>
    <w:p>
      <w:pPr>
        <w:spacing w:after="0" w:line="54"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 leased for each of our retail and office properties and the retail portion of the mixed-use property includes square footage under leases as of March 31, 2026, including leases which may not have commenced as of</w:t>
      </w:r>
    </w:p>
    <w:p>
      <w:pPr>
        <w:spacing w:after="0" w:line="15" w:lineRule="exact"/>
        <w:rPr>
          <w:sz w:val="20"/>
          <w:szCs w:val="20"/>
          <w:color w:val="auto"/>
        </w:rPr>
      </w:pPr>
    </w:p>
    <w:p>
      <w:pPr>
        <w:ind w:left="285" w:right="380"/>
        <w:spacing w:after="0" w:line="253" w:lineRule="auto"/>
        <w:rPr>
          <w:sz w:val="20"/>
          <w:szCs w:val="20"/>
          <w:color w:val="auto"/>
        </w:rPr>
      </w:pPr>
      <w:r>
        <w:rPr>
          <w:rFonts w:ascii="Times New Roman" w:cs="Times New Roman" w:eastAsia="Times New Roman" w:hAnsi="Times New Roman"/>
          <w:sz w:val="12"/>
          <w:szCs w:val="12"/>
          <w:color w:val="auto"/>
        </w:rPr>
        <w:t>March 31, 2026. Percentage occupied for our multifamily properties includes total units rented and occupied as of March 31, 2026. Percentage leased for our multifamily properties includes units leased but not occupied as of March 31, 2026.</w:t>
      </w:r>
    </w:p>
    <w:p>
      <w:pPr>
        <w:spacing w:after="0" w:line="64" w:lineRule="exact"/>
        <w:rPr>
          <w:sz w:val="20"/>
          <w:szCs w:val="20"/>
          <w:color w:val="auto"/>
        </w:rPr>
      </w:pPr>
    </w:p>
    <w:p>
      <w:pPr>
        <w:ind w:left="285" w:right="40" w:hanging="285"/>
        <w:spacing w:after="0" w:line="273" w:lineRule="auto"/>
        <w:tabs>
          <w:tab w:leader="none" w:pos="28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under commenced leases for the month ended March 31, 2026 by 12. In the case of triple net or modified gross leases, annualized base rent does not include tenant reimbursements for real estate taxes, insurance, common area or other operating expenses. The foregoing notwithstanding:</w:t>
      </w:r>
    </w:p>
    <w:p>
      <w:pPr>
        <w:spacing w:after="0" w:line="17" w:lineRule="exact"/>
        <w:rPr>
          <w:rFonts w:ascii="Times New Roman" w:cs="Times New Roman" w:eastAsia="Times New Roman" w:hAnsi="Times New Roman"/>
          <w:sz w:val="12"/>
          <w:szCs w:val="12"/>
          <w:color w:val="auto"/>
        </w:rPr>
      </w:pPr>
    </w:p>
    <w:p>
      <w:pPr>
        <w:ind w:left="565" w:right="40" w:hanging="282"/>
        <w:spacing w:after="0" w:line="314" w:lineRule="auto"/>
        <w:tabs>
          <w:tab w:leader="none" w:pos="560" w:val="left"/>
        </w:tabs>
        <w:numPr>
          <w:ilvl w:val="1"/>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annualized base rent for La Jolla Commons I &amp; II has been adjusted for this presentation to reflect that the contractual triple net leases were instead structured as modified gross leases, by adding the contractual annualized triple net base rent of $37,358,105 to our estimate of annual triple net operating expenses of $10,934,785 for an estimated annualized base rent on a modified gross lease basis of $48,292,890 for La Jolla Commons I &amp; II.</w:t>
      </w:r>
    </w:p>
    <w:p>
      <w:pPr>
        <w:ind w:left="565" w:right="140" w:hanging="282"/>
        <w:spacing w:after="0" w:line="273" w:lineRule="auto"/>
        <w:tabs>
          <w:tab w:leader="none" w:pos="5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14Acres has been adjusted for this presentation to reflect that the contractual triple net leases were instead structured as modified gross leases, by adding the contractual annualized triple net base rent of $4,487,018 to our estimate of annual triple net operating expenses of $2,067,498 for an estimated annualized base rent on a modified gross lease basis of $6,554,516 for 14Acres.</w:t>
      </w:r>
    </w:p>
    <w:p>
      <w:pPr>
        <w:spacing w:after="0" w:line="17" w:lineRule="exact"/>
        <w:rPr>
          <w:rFonts w:ascii="Times New Roman" w:cs="Times New Roman" w:eastAsia="Times New Roman" w:hAnsi="Times New Roman"/>
          <w:sz w:val="12"/>
          <w:szCs w:val="12"/>
          <w:color w:val="auto"/>
        </w:rPr>
      </w:pPr>
    </w:p>
    <w:p>
      <w:pPr>
        <w:ind w:left="565" w:right="120" w:hanging="282"/>
        <w:spacing w:after="0" w:line="273" w:lineRule="auto"/>
        <w:tabs>
          <w:tab w:leader="none" w:pos="5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Timber Ridge has been adjusted for this presentation to reflect that the contractual triple net leases were instead structured as modified gross leases, by adding the contractual annualized triple net base rent of $5,311,016 to our estimate of annual triple net operating expenses of $2,195,683 for an estimated annualized base rent on a modified gross lease basis of $7,506,699 for Timber Ridge.</w:t>
      </w:r>
    </w:p>
    <w:p>
      <w:pPr>
        <w:spacing w:after="0" w:line="17" w:lineRule="exact"/>
        <w:rPr>
          <w:rFonts w:ascii="Times New Roman" w:cs="Times New Roman" w:eastAsia="Times New Roman" w:hAnsi="Times New Roman"/>
          <w:sz w:val="12"/>
          <w:szCs w:val="12"/>
          <w:color w:val="auto"/>
        </w:rPr>
      </w:pPr>
    </w:p>
    <w:p>
      <w:pPr>
        <w:ind w:left="565" w:right="40" w:hanging="282"/>
        <w:spacing w:after="0" w:line="273" w:lineRule="auto"/>
        <w:tabs>
          <w:tab w:leader="none" w:pos="56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Timber Springs has been adjusted for this presentation to reflect that the contractual triple net leases were instead structured as modified gross leases, by adding the contractual annualized triple net base rent of $1,832,106 to our estimate of annual triple net operating expenses of $915,042 for an estimated annualized base rent on a modified gross lease basis of $2,747,148 for Timber Springs.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184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3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22</w:t>
      </w:r>
    </w:p>
    <w:p>
      <w:pPr>
        <w:sectPr>
          <w:pgSz w:w="11900" w:h="16838" w:orient="portrait"/>
          <w:cols w:equalWidth="0" w:num="1">
            <w:col w:w="11265"/>
          </w:cols>
          <w:pgMar w:left="315" w:top="401" w:right="319" w:bottom="1440" w:gutter="0" w:footer="0" w:header="0"/>
        </w:sectPr>
      </w:pPr>
    </w:p>
    <w:bookmarkStart w:id="34" w:name="page35"/>
    <w:bookmarkEnd w:id="34"/>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REPORT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85" w:hanging="285"/>
        <w:spacing w:after="0" w:line="255" w:lineRule="auto"/>
        <w:tabs>
          <w:tab w:leader="none" w:pos="25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leased square foot for our retail and office properties and the retail portion of the mixed-use property is calculated by dividing annualized base rent, by square footage under lease as of March 31, 2026. Annualized base rent per occupied unit for our multifamily properties is calculated by dividing annualized base rent by units occupied as of March 31, 2026. The foregoing notwithstanding, the annualized base rent per leased square foot for La Jolla Commons, 14Acres, Timber Ridge and Timber Springs has been adjusted for this presentation to reflect that the contractual triple net leases were instead structured as modified gross leases. See footnote 3 for further explanation.</w:t>
      </w:r>
    </w:p>
    <w:p>
      <w:pPr>
        <w:spacing w:after="0" w:line="63"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anchor tenants are defined as retail tenants leasing 50,000 square feet or more.</w:t>
      </w:r>
    </w:p>
    <w:p>
      <w:pPr>
        <w:spacing w:after="0" w:line="74"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principal retail tenants, excluding anchor tenants.</w:t>
      </w:r>
    </w:p>
    <w:p>
      <w:pPr>
        <w:spacing w:after="0" w:line="86"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Coastal Collection at Torrey Reserve was formerly known as Torrey Reserve Campus.</w:t>
      </w:r>
    </w:p>
    <w:p>
      <w:pPr>
        <w:spacing w:after="0" w:line="86" w:lineRule="exact"/>
        <w:rPr>
          <w:rFonts w:ascii="Times New Roman" w:cs="Times New Roman" w:eastAsia="Times New Roman" w:hAnsi="Times New Roman"/>
          <w:sz w:val="12"/>
          <w:szCs w:val="12"/>
          <w:color w:val="auto"/>
        </w:rPr>
      </w:pPr>
    </w:p>
    <w:p>
      <w:pPr>
        <w:ind w:left="285" w:right="40" w:hanging="285"/>
        <w:spacing w:after="0" w:line="273" w:lineRule="auto"/>
        <w:tabs>
          <w:tab w:leader="none" w:pos="25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property contains 422,426 net rentable square feet consisting of The Landmark at One Market (378,206 net rentable square feet) as well as a separate long-term leasehold interest in approximately 44,220 net rentable square feet of space located in an adjacent six-story leasehold known as the Annex. We currently lease the Annex from an affiliate of the Paramount Group pursuant to a long-term master lease effective through June 30, 2031.</w:t>
      </w:r>
    </w:p>
    <w:p>
      <w:pPr>
        <w:spacing w:after="0" w:line="40"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data for signed but not commenced leases as of March 31, 2026 is in the following table:</w:t>
      </w:r>
    </w:p>
    <w:p>
      <w:pPr>
        <w:spacing w:after="0" w:line="37" w:lineRule="exact"/>
        <w:rPr>
          <w:sz w:val="20"/>
          <w:szCs w:val="20"/>
          <w:color w:val="auto"/>
        </w:rPr>
      </w:pPr>
    </w:p>
    <w:tbl>
      <w:tblPr>
        <w:tblLayout w:type="fixed"/>
        <w:tblInd w:w="125" w:type="dxa"/>
        <w:tblCellMar>
          <w:top w:w="0" w:type="dxa"/>
          <w:left w:w="0" w:type="dxa"/>
          <w:bottom w:w="0" w:type="dxa"/>
          <w:right w:w="0" w:type="dxa"/>
        </w:tblCellMar>
      </w:tblPr>
      <w:tr>
        <w:trPr>
          <w:trHeight w:val="155"/>
        </w:trPr>
        <w:tc>
          <w:tcPr>
            <w:tcW w:w="156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Leased Square Feet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Annualized Base</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Pro Forma Annualized</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Under Signed But</w:t>
            </w:r>
          </w:p>
        </w:tc>
        <w:tc>
          <w:tcPr>
            <w:tcW w:w="8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8"/>
              </w:rPr>
              <w:t>Annualized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Rent per</w:t>
            </w:r>
          </w:p>
        </w:tc>
        <w:tc>
          <w:tcPr>
            <w:tcW w:w="200" w:type="dxa"/>
            <w:vAlign w:val="bottom"/>
          </w:tcPr>
          <w:p>
            <w:pPr>
              <w:spacing w:after="0"/>
              <w:rPr>
                <w:sz w:val="14"/>
                <w:szCs w:val="14"/>
                <w:color w:val="auto"/>
              </w:rPr>
            </w:pP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Base Rent per</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148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7"/>
              </w:rPr>
              <w:t>Not Commenced Leases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Base Rent (b)</w:t>
            </w:r>
          </w:p>
        </w:tc>
        <w:tc>
          <w:tcPr>
            <w:tcW w:w="80" w:type="dxa"/>
            <w:vAlign w:val="bottom"/>
          </w:tcPr>
          <w:p>
            <w:pPr>
              <w:spacing w:after="0"/>
              <w:rPr>
                <w:sz w:val="11"/>
                <w:szCs w:val="11"/>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Leased Square Foot (b)</w:t>
            </w:r>
          </w:p>
        </w:tc>
        <w:tc>
          <w:tcPr>
            <w:tcW w:w="80" w:type="dxa"/>
            <w:vAlign w:val="bottom"/>
            <w:vMerge w:val="restart"/>
          </w:tcPr>
          <w:p>
            <w:pPr>
              <w:spacing w:after="0"/>
              <w:rPr>
                <w:sz w:val="11"/>
                <w:szCs w:val="1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Leased Square Foot (c)</w:t>
            </w:r>
          </w:p>
        </w:tc>
        <w:tc>
          <w:tcPr>
            <w:tcW w:w="0" w:type="dxa"/>
            <w:vAlign w:val="bottom"/>
          </w:tcPr>
          <w:p>
            <w:pPr>
              <w:spacing w:after="0"/>
              <w:rPr>
                <w:sz w:val="1"/>
                <w:szCs w:val="1"/>
                <w:color w:val="auto"/>
              </w:rPr>
            </w:pPr>
          </w:p>
        </w:tc>
      </w:tr>
      <w:tr>
        <w:trPr>
          <w:trHeight w:val="160"/>
        </w:trPr>
        <w:tc>
          <w:tcPr>
            <w:tcW w:w="15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Portfolio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244,202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13,983,472</w:t>
            </w:r>
          </w:p>
        </w:tc>
        <w:tc>
          <w:tcPr>
            <w:tcW w:w="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60.54</w:t>
            </w:r>
          </w:p>
        </w:tc>
        <w:tc>
          <w:tcPr>
            <w:tcW w:w="0" w:type="dxa"/>
            <w:vAlign w:val="bottom"/>
          </w:tcPr>
          <w:p>
            <w:pPr>
              <w:spacing w:after="0"/>
              <w:rPr>
                <w:sz w:val="1"/>
                <w:szCs w:val="1"/>
                <w:color w:val="auto"/>
              </w:rPr>
            </w:pPr>
          </w:p>
        </w:tc>
      </w:tr>
      <w:tr>
        <w:trPr>
          <w:trHeight w:val="160"/>
        </w:trPr>
        <w:tc>
          <w:tcPr>
            <w:tcW w:w="1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Retail Portfolio</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7,600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356,930</w:t>
            </w:r>
          </w:p>
        </w:tc>
        <w:tc>
          <w:tcPr>
            <w:tcW w:w="22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46.96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30.19</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8"/>
              </w:rPr>
              <w:t>Total Retail and Office Portfolio</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251,802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14,340,402</w:t>
            </w:r>
          </w:p>
        </w:tc>
        <w:tc>
          <w:tcPr>
            <w:tcW w:w="2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56.95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48.53</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65" w:right="320" w:hanging="282"/>
        <w:spacing w:after="0" w:line="273" w:lineRule="auto"/>
        <w:tabs>
          <w:tab w:leader="none" w:pos="531"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Office portfolio leases signed but not commenced of 104,731, 40,466, 44,542, and 54,463 square feet are expected to commence during the second, third, and fourth quarters of 2026 and first quarter of 2027, respectively. Retail portfolio leases signed but not commenced of 7,600 square feet are expected to commence during the third quarter of 2026.</w:t>
      </w:r>
    </w:p>
    <w:p>
      <w:pPr>
        <w:spacing w:after="0" w:line="17" w:lineRule="exact"/>
        <w:rPr>
          <w:rFonts w:ascii="Times New Roman" w:cs="Times New Roman" w:eastAsia="Times New Roman" w:hAnsi="Times New Roman"/>
          <w:sz w:val="12"/>
          <w:szCs w:val="12"/>
          <w:color w:val="auto"/>
        </w:rPr>
      </w:pPr>
    </w:p>
    <w:p>
      <w:pPr>
        <w:ind w:left="565" w:right="260" w:hanging="282"/>
        <w:spacing w:after="0" w:line="260" w:lineRule="auto"/>
        <w:tabs>
          <w:tab w:leader="none" w:pos="531"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for signed but not commenced leases as of March 31, 2026 by 12. In the case of triple net or modified gross leases, annualized base rent does not include tenant reimbursements for real estate taxes, insurance, common area or other operating expenses. Annualized base rent per leased square foot is calculated by dividing annualized base rent, by square footage for signed by not commenced leases.</w:t>
      </w:r>
    </w:p>
    <w:p>
      <w:pPr>
        <w:spacing w:after="0" w:line="24" w:lineRule="exact"/>
        <w:rPr>
          <w:rFonts w:ascii="Times New Roman" w:cs="Times New Roman" w:eastAsia="Times New Roman" w:hAnsi="Times New Roman"/>
          <w:sz w:val="12"/>
          <w:szCs w:val="12"/>
          <w:color w:val="auto"/>
        </w:rPr>
      </w:pPr>
    </w:p>
    <w:p>
      <w:pPr>
        <w:ind w:left="565" w:hanging="282"/>
        <w:spacing w:after="0"/>
        <w:tabs>
          <w:tab w:leader="none" w:pos="565"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annualized base rent is calculated by dividing annualized base rent for commenced leases and for signed but not commenced leases as of March 31, 2026, by square footage under lease as of March 31, 2026.</w:t>
      </w:r>
    </w:p>
    <w:p>
      <w:pPr>
        <w:spacing w:after="0" w:line="74" w:lineRule="exact"/>
        <w:rPr>
          <w:rFonts w:ascii="Times New Roman" w:cs="Times New Roman" w:eastAsia="Times New Roman" w:hAnsi="Times New Roman"/>
          <w:sz w:val="12"/>
          <w:szCs w:val="12"/>
          <w:color w:val="auto"/>
        </w:rPr>
      </w:pPr>
    </w:p>
    <w:p>
      <w:pPr>
        <w:ind w:left="325" w:hanging="325"/>
        <w:spacing w:after="0"/>
        <w:tabs>
          <w:tab w:leader="none" w:pos="32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rentable square feet at certain of our retail properties includes pad sites leased pursuant to the ground leases in the following table:</w:t>
      </w:r>
    </w:p>
    <w:p>
      <w:pPr>
        <w:spacing w:after="0" w:line="102" w:lineRule="exact"/>
        <w:rPr>
          <w:sz w:val="20"/>
          <w:szCs w:val="20"/>
          <w:color w:val="auto"/>
        </w:rPr>
      </w:pPr>
    </w:p>
    <w:tbl>
      <w:tblPr>
        <w:tblLayout w:type="fixed"/>
        <w:tblInd w:w="285" w:type="dxa"/>
        <w:tblCellMar>
          <w:top w:w="0" w:type="dxa"/>
          <w:left w:w="0" w:type="dxa"/>
          <w:bottom w:w="0" w:type="dxa"/>
          <w:right w:w="0" w:type="dxa"/>
        </w:tblCellMar>
      </w:tblPr>
      <w:tr>
        <w:trPr>
          <w:trHeight w:val="138"/>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Property</w:t>
            </w:r>
          </w:p>
        </w:tc>
        <w:tc>
          <w:tcPr>
            <w:tcW w:w="80" w:type="dxa"/>
            <w:vAlign w:val="bottom"/>
            <w:vMerge w:val="restart"/>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Number of Ground</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Square Footage Leased</w:t>
            </w:r>
          </w:p>
        </w:tc>
        <w:tc>
          <w:tcPr>
            <w:tcW w:w="100" w:type="dxa"/>
            <w:vAlign w:val="bottom"/>
          </w:tcPr>
          <w:p>
            <w:pPr>
              <w:spacing w:after="0"/>
              <w:rPr>
                <w:sz w:val="12"/>
                <w:szCs w:val="12"/>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9"/>
              </w:rPr>
              <w:t>Aggregate Annualized</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Leases</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Pursuant to Ground Leases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Base Rent</w:t>
            </w:r>
          </w:p>
        </w:tc>
        <w:tc>
          <w:tcPr>
            <w:tcW w:w="0" w:type="dxa"/>
            <w:vAlign w:val="bottom"/>
          </w:tcPr>
          <w:p>
            <w:pPr>
              <w:spacing w:after="0"/>
              <w:rPr>
                <w:sz w:val="1"/>
                <w:szCs w:val="1"/>
                <w:color w:val="auto"/>
              </w:rPr>
            </w:pPr>
          </w:p>
        </w:tc>
      </w:tr>
      <w:tr>
        <w:trPr>
          <w:trHeight w:val="162"/>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Carmel Mountain Plaza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1,051,461</w:t>
            </w:r>
          </w:p>
        </w:tc>
        <w:tc>
          <w:tcPr>
            <w:tcW w:w="0" w:type="dxa"/>
            <w:vAlign w:val="bottom"/>
          </w:tcPr>
          <w:p>
            <w:pPr>
              <w:spacing w:after="0"/>
              <w:rPr>
                <w:sz w:val="1"/>
                <w:szCs w:val="1"/>
                <w:color w:val="auto"/>
              </w:rPr>
            </w:pPr>
          </w:p>
        </w:tc>
      </w:tr>
      <w:tr>
        <w:trPr>
          <w:trHeight w:val="16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 Bay Marketplace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114,552</w:t>
            </w:r>
          </w:p>
        </w:tc>
        <w:tc>
          <w:tcPr>
            <w:tcW w:w="0" w:type="dxa"/>
            <w:vAlign w:val="bottom"/>
          </w:tcPr>
          <w:p>
            <w:pPr>
              <w:spacing w:after="0"/>
              <w:rPr>
                <w:sz w:val="1"/>
                <w:szCs w:val="1"/>
                <w:color w:val="auto"/>
              </w:rPr>
            </w:pPr>
          </w:p>
        </w:tc>
      </w:tr>
      <w:tr>
        <w:trPr>
          <w:trHeight w:val="171"/>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Alamo Quarry Market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723,455</w:t>
            </w:r>
          </w:p>
        </w:tc>
        <w:tc>
          <w:tcPr>
            <w:tcW w:w="0" w:type="dxa"/>
            <w:vAlign w:val="bottom"/>
          </w:tcPr>
          <w:p>
            <w:pPr>
              <w:spacing w:after="0"/>
              <w:rPr>
                <w:sz w:val="1"/>
                <w:szCs w:val="1"/>
                <w:color w:val="auto"/>
              </w:rPr>
            </w:pPr>
          </w:p>
        </w:tc>
      </w:tr>
      <w:tr>
        <w:trPr>
          <w:trHeight w:val="15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Gateway Marketplace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226,800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85" w:right="80" w:hanging="285"/>
        <w:spacing w:after="0" w:line="260" w:lineRule="auto"/>
        <w:tabs>
          <w:tab w:leader="none" w:pos="31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Santa Fe Park RV Resort is subject to seasonal variation, with higher rates of occupancy occurring during the summer months. During the 12 months ended March 31, 2026, the highest average monthly occupancy rate for this property was 84.7%, occurring in August 2025. The number of units at the Santa Fe Park RV Resort includes 120 RV spaces and four apartments. The Santa Fe Park RV resort is excluded from the multifamily presentation above to accurately reflect true multifamily performance.</w:t>
      </w:r>
    </w:p>
    <w:p>
      <w:pPr>
        <w:spacing w:after="0" w:line="60" w:lineRule="exact"/>
        <w:rPr>
          <w:rFonts w:ascii="Times New Roman" w:cs="Times New Roman" w:eastAsia="Times New Roman" w:hAnsi="Times New Roman"/>
          <w:sz w:val="12"/>
          <w:szCs w:val="12"/>
          <w:color w:val="auto"/>
        </w:rPr>
      </w:pPr>
    </w:p>
    <w:p>
      <w:pPr>
        <w:ind w:left="325" w:hanging="325"/>
        <w:spacing w:after="0"/>
        <w:tabs>
          <w:tab w:leader="none" w:pos="325"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Hassalo on Eighth - Multifamily includes three residential buildings: Velomor, Aster Tower, and Elwood.</w:t>
      </w:r>
    </w:p>
    <w:p>
      <w:pPr>
        <w:spacing w:after="0" w:line="86" w:lineRule="exact"/>
        <w:rPr>
          <w:rFonts w:ascii="Times New Roman" w:cs="Times New Roman" w:eastAsia="Times New Roman" w:hAnsi="Times New Roman"/>
          <w:sz w:val="12"/>
          <w:szCs w:val="12"/>
          <w:color w:val="auto"/>
        </w:rPr>
      </w:pPr>
    </w:p>
    <w:p>
      <w:pPr>
        <w:ind w:left="285" w:right="20" w:hanging="285"/>
        <w:spacing w:after="0" w:line="253" w:lineRule="auto"/>
        <w:tabs>
          <w:tab w:leader="none" w:pos="31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occupancy represents the percentage of available units that were sold during the three months ended March 31,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the three months ended March 31, 2026 by the number of units sold. Revenue per available room, or RevPAR, represents the total unit revenue per total available units for the three months ended March 31, 2026 and is calculated by multiplying average occupancy by the average daily rate. RevPAR does not include food and beverage revenues or other hotel operations revenues such as telephone, parking and other guest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184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3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23</w:t>
      </w:r>
    </w:p>
    <w:p>
      <w:pPr>
        <w:sectPr>
          <w:pgSz w:w="11900" w:h="16838" w:orient="portrait"/>
          <w:cols w:equalWidth="0" w:num="1">
            <w:col w:w="11265"/>
          </w:cols>
          <w:pgMar w:left="315" w:top="401" w:right="319" w:bottom="1440" w:gutter="0" w:footer="0" w:header="0"/>
        </w:sectPr>
      </w:pPr>
    </w:p>
    <w:bookmarkStart w:id="35" w:name="page36"/>
    <w:bookmarkEnd w:id="35"/>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OFFICE AND RETAIL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March 31, 2026</w:t>
      </w:r>
    </w:p>
    <w:p>
      <w:pPr>
        <w:spacing w:after="0" w:line="19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Office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89877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5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6"/>
              </w:rPr>
              <w:t>Number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6"/>
              </w:rPr>
              <w:t>Net Rentable</w:t>
            </w: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003366"/>
              </w:rPr>
              <w:t>Contractual Rent</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Cash Basis % Change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7"/>
              </w:rPr>
              <w:t>Straight-Line Basis %</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Weighted Average</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003366"/>
              </w:rPr>
              <w:t>Tenant Improvements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003366"/>
                <w:w w:val="96"/>
              </w:rPr>
              <w:t>Tenant Improvements</w:t>
            </w:r>
          </w:p>
        </w:tc>
        <w:tc>
          <w:tcPr>
            <w:tcW w:w="0" w:type="dxa"/>
            <w:vAlign w:val="bottom"/>
          </w:tcPr>
          <w:p>
            <w:pPr>
              <w:spacing w:after="0"/>
              <w:rPr>
                <w:sz w:val="1"/>
                <w:szCs w:val="1"/>
                <w:color w:val="auto"/>
              </w:rPr>
            </w:pPr>
          </w:p>
        </w:tc>
      </w:tr>
      <w:tr>
        <w:trPr>
          <w:trHeight w:val="128"/>
        </w:trPr>
        <w:tc>
          <w:tcPr>
            <w:tcW w:w="14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003366"/>
              </w:rPr>
              <w:t>Lease Type</w:t>
            </w:r>
          </w:p>
        </w:tc>
        <w:tc>
          <w:tcPr>
            <w:tcW w:w="920" w:type="dxa"/>
            <w:vAlign w:val="bottom"/>
            <w:gridSpan w:val="2"/>
            <w:vMerge w:val="continue"/>
          </w:tcPr>
          <w:p>
            <w:pPr>
              <w:spacing w:after="0"/>
              <w:rPr>
                <w:sz w:val="11"/>
                <w:szCs w:val="11"/>
                <w:color w:val="auto"/>
              </w:rPr>
            </w:pPr>
          </w:p>
        </w:tc>
        <w:tc>
          <w:tcPr>
            <w:tcW w:w="11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003366"/>
                <w:w w:val="98"/>
              </w:rPr>
              <w:t>Square Feet</w:t>
            </w:r>
          </w:p>
        </w:tc>
        <w:tc>
          <w:tcPr>
            <w:tcW w:w="1140" w:type="dxa"/>
            <w:vAlign w:val="bottom"/>
            <w:gridSpan w:val="3"/>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003366"/>
                <w:w w:val="97"/>
              </w:rPr>
              <w:t>Change Over Prior</w:t>
            </w: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003366"/>
                <w:w w:val="94"/>
              </w:rPr>
              <w:t>Lease</w:t>
            </w:r>
          </w:p>
        </w:tc>
        <w:tc>
          <w:tcPr>
            <w:tcW w:w="1300" w:type="dxa"/>
            <w:vAlign w:val="bottom"/>
            <w:gridSpan w:val="3"/>
            <w:vMerge w:val="continue"/>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003366"/>
              </w:rPr>
              <w:t>&amp; Incentives Per Sq.</w:t>
            </w:r>
          </w:p>
        </w:tc>
        <w:tc>
          <w:tcPr>
            <w:tcW w:w="0" w:type="dxa"/>
            <w:vAlign w:val="bottom"/>
          </w:tcPr>
          <w:p>
            <w:pPr>
              <w:spacing w:after="0"/>
              <w:rPr>
                <w:sz w:val="1"/>
                <w:szCs w:val="1"/>
                <w:color w:val="auto"/>
              </w:rPr>
            </w:pPr>
          </w:p>
        </w:tc>
      </w:tr>
      <w:tr>
        <w:trPr>
          <w:trHeight w:val="177"/>
        </w:trPr>
        <w:tc>
          <w:tcPr>
            <w:tcW w:w="146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7"/>
              </w:rPr>
              <w:t>Leases Signed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rPr>
              <w:t>Signed</w:t>
            </w:r>
          </w:p>
        </w:tc>
        <w:tc>
          <w:tcPr>
            <w:tcW w:w="120" w:type="dxa"/>
            <w:vAlign w:val="bottom"/>
          </w:tcPr>
          <w:p>
            <w:pPr>
              <w:spacing w:after="0"/>
              <w:rPr>
                <w:sz w:val="15"/>
                <w:szCs w:val="15"/>
                <w:color w:val="auto"/>
              </w:rPr>
            </w:pPr>
          </w:p>
        </w:tc>
        <w:tc>
          <w:tcPr>
            <w:tcW w:w="102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3"/>
                <w:szCs w:val="13"/>
                <w:b w:val="1"/>
                <w:bCs w:val="1"/>
                <w:color w:val="003366"/>
              </w:rPr>
              <w:t xml:space="preserve">Per Sq. Ft. </w:t>
            </w:r>
            <w:r>
              <w:rPr>
                <w:rFonts w:ascii="Times New Roman" w:cs="Times New Roman" w:eastAsia="Times New Roman" w:hAnsi="Times New Roman"/>
                <w:sz w:val="16"/>
                <w:szCs w:val="16"/>
                <w:b w:val="1"/>
                <w:bCs w:val="1"/>
                <w:color w:val="003366"/>
                <w:vertAlign w:val="superscript"/>
              </w:rPr>
              <w:t>(2)</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003366"/>
                <w:w w:val="96"/>
              </w:rPr>
              <w:t>Over Prior Rent</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003366"/>
                <w:w w:val="97"/>
              </w:rPr>
              <w:t>Rent</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 xml:space="preserve">Term </w:t>
            </w:r>
            <w:r>
              <w:rPr>
                <w:rFonts w:ascii="Times New Roman" w:cs="Times New Roman" w:eastAsia="Times New Roman" w:hAnsi="Times New Roman"/>
                <w:sz w:val="8"/>
                <w:szCs w:val="8"/>
                <w:b w:val="1"/>
                <w:bCs w:val="1"/>
                <w:color w:val="003366"/>
                <w:w w:val="96"/>
              </w:rPr>
              <w:t>(3)</w:t>
            </w:r>
          </w:p>
        </w:tc>
        <w:tc>
          <w:tcPr>
            <w:tcW w:w="16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003366"/>
              </w:rPr>
              <w:t>&amp; Incentives</w:t>
            </w:r>
          </w:p>
        </w:tc>
        <w:tc>
          <w:tcPr>
            <w:tcW w:w="320" w:type="dxa"/>
            <w:vAlign w:val="bottom"/>
          </w:tcPr>
          <w:p>
            <w:pPr>
              <w:spacing w:after="0"/>
              <w:rPr>
                <w:sz w:val="15"/>
                <w:szCs w:val="15"/>
                <w:color w:val="auto"/>
              </w:rPr>
            </w:pPr>
          </w:p>
        </w:tc>
        <w:tc>
          <w:tcPr>
            <w:tcW w:w="9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003366"/>
              </w:rPr>
              <w:t>Ft.</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Leases</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236,670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60.08</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8,476,047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35.81</w:t>
            </w:r>
          </w:p>
        </w:tc>
        <w:tc>
          <w:tcPr>
            <w:tcW w:w="0" w:type="dxa"/>
            <w:vAlign w:val="bottom"/>
          </w:tcPr>
          <w:p>
            <w:pPr>
              <w:spacing w:after="0"/>
              <w:rPr>
                <w:sz w:val="1"/>
                <w:szCs w:val="1"/>
                <w:color w:val="auto"/>
              </w:rPr>
            </w:pPr>
          </w:p>
        </w:tc>
      </w:tr>
      <w:tr>
        <w:trPr>
          <w:trHeight w:val="17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Non-Comparable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128,214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61.27</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6.1</w:t>
            </w: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7,273,177</w:t>
            </w: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0" w:type="dxa"/>
            <w:vAlign w:val="bottom"/>
          </w:tcPr>
          <w:p>
            <w:pPr>
              <w:spacing w:after="0"/>
              <w:rPr>
                <w:sz w:val="1"/>
                <w:szCs w:val="1"/>
                <w:color w:val="auto"/>
              </w:rPr>
            </w:pPr>
          </w:p>
        </w:tc>
      </w:tr>
      <w:tr>
        <w:trPr>
          <w:trHeight w:val="179"/>
        </w:trPr>
        <w:tc>
          <w:tcPr>
            <w:tcW w:w="14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Total Comparable </w:t>
            </w:r>
            <w:r>
              <w:rPr>
                <w:rFonts w:ascii="Times New Roman" w:cs="Times New Roman" w:eastAsia="Times New Roman" w:hAnsi="Times New Roman"/>
                <w:sz w:val="17"/>
                <w:szCs w:val="17"/>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58.66</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1,202,869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0" w:type="dxa"/>
            <w:vAlign w:val="bottom"/>
          </w:tcPr>
          <w:p>
            <w:pPr>
              <w:spacing w:after="0"/>
              <w:rPr>
                <w:sz w:val="1"/>
                <w:szCs w:val="1"/>
                <w:color w:val="auto"/>
              </w:rPr>
            </w:pPr>
          </w:p>
        </w:tc>
      </w:tr>
      <w:tr>
        <w:trPr>
          <w:trHeight w:val="175"/>
        </w:trPr>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New Comparable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50.98</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712,560</w:t>
            </w: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32"/>
        </w:trPr>
        <w:tc>
          <w:tcPr>
            <w:tcW w:w="146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3"/>
                <w:szCs w:val="13"/>
                <w:color w:val="auto"/>
              </w:rPr>
              <w:t>Renewal Comparable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79,581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3.7</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490,309</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121"/>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Retail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89877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5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6"/>
              </w:rPr>
              <w:t>Number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6"/>
              </w:rPr>
              <w:t>Net Rentable</w:t>
            </w: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003366"/>
              </w:rPr>
              <w:t>Contractual Rent</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Cash Basis % Change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7"/>
              </w:rPr>
              <w:t>Straight-Line Basis %</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Weighted Average</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003366"/>
              </w:rPr>
              <w:t>Tenant Improvements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003366"/>
                <w:w w:val="96"/>
              </w:rPr>
              <w:t>Tenant Improvements</w:t>
            </w:r>
          </w:p>
        </w:tc>
        <w:tc>
          <w:tcPr>
            <w:tcW w:w="0" w:type="dxa"/>
            <w:vAlign w:val="bottom"/>
          </w:tcPr>
          <w:p>
            <w:pPr>
              <w:spacing w:after="0"/>
              <w:rPr>
                <w:sz w:val="1"/>
                <w:szCs w:val="1"/>
                <w:color w:val="auto"/>
              </w:rPr>
            </w:pPr>
          </w:p>
        </w:tc>
      </w:tr>
      <w:tr>
        <w:trPr>
          <w:trHeight w:val="128"/>
        </w:trPr>
        <w:tc>
          <w:tcPr>
            <w:tcW w:w="14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003366"/>
              </w:rPr>
              <w:t>Lease Type</w:t>
            </w:r>
          </w:p>
        </w:tc>
        <w:tc>
          <w:tcPr>
            <w:tcW w:w="920" w:type="dxa"/>
            <w:vAlign w:val="bottom"/>
            <w:gridSpan w:val="2"/>
            <w:vMerge w:val="continue"/>
          </w:tcPr>
          <w:p>
            <w:pPr>
              <w:spacing w:after="0"/>
              <w:rPr>
                <w:sz w:val="11"/>
                <w:szCs w:val="11"/>
                <w:color w:val="auto"/>
              </w:rPr>
            </w:pPr>
          </w:p>
        </w:tc>
        <w:tc>
          <w:tcPr>
            <w:tcW w:w="11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003366"/>
                <w:w w:val="98"/>
              </w:rPr>
              <w:t>Square Feet</w:t>
            </w:r>
          </w:p>
        </w:tc>
        <w:tc>
          <w:tcPr>
            <w:tcW w:w="1140" w:type="dxa"/>
            <w:vAlign w:val="bottom"/>
            <w:gridSpan w:val="3"/>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003366"/>
                <w:w w:val="97"/>
              </w:rPr>
              <w:t>Change Over Prior</w:t>
            </w: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003366"/>
                <w:w w:val="94"/>
              </w:rPr>
              <w:t>Lease</w:t>
            </w:r>
          </w:p>
        </w:tc>
        <w:tc>
          <w:tcPr>
            <w:tcW w:w="1300" w:type="dxa"/>
            <w:vAlign w:val="bottom"/>
            <w:gridSpan w:val="3"/>
            <w:vMerge w:val="continue"/>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003366"/>
              </w:rPr>
              <w:t>&amp; Incentives Per Sq.</w:t>
            </w:r>
          </w:p>
        </w:tc>
        <w:tc>
          <w:tcPr>
            <w:tcW w:w="0" w:type="dxa"/>
            <w:vAlign w:val="bottom"/>
          </w:tcPr>
          <w:p>
            <w:pPr>
              <w:spacing w:after="0"/>
              <w:rPr>
                <w:sz w:val="1"/>
                <w:szCs w:val="1"/>
                <w:color w:val="auto"/>
              </w:rPr>
            </w:pPr>
          </w:p>
        </w:tc>
      </w:tr>
      <w:tr>
        <w:trPr>
          <w:trHeight w:val="177"/>
        </w:trPr>
        <w:tc>
          <w:tcPr>
            <w:tcW w:w="146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7"/>
              </w:rPr>
              <w:t>Leases Signed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rPr>
              <w:t>Signed</w:t>
            </w:r>
          </w:p>
        </w:tc>
        <w:tc>
          <w:tcPr>
            <w:tcW w:w="120" w:type="dxa"/>
            <w:vAlign w:val="bottom"/>
          </w:tcPr>
          <w:p>
            <w:pPr>
              <w:spacing w:after="0"/>
              <w:rPr>
                <w:sz w:val="15"/>
                <w:szCs w:val="15"/>
                <w:color w:val="auto"/>
              </w:rPr>
            </w:pPr>
          </w:p>
        </w:tc>
        <w:tc>
          <w:tcPr>
            <w:tcW w:w="102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3"/>
                <w:szCs w:val="13"/>
                <w:b w:val="1"/>
                <w:bCs w:val="1"/>
                <w:color w:val="003366"/>
              </w:rPr>
              <w:t xml:space="preserve">Per Sq. Ft. </w:t>
            </w:r>
            <w:r>
              <w:rPr>
                <w:rFonts w:ascii="Times New Roman" w:cs="Times New Roman" w:eastAsia="Times New Roman" w:hAnsi="Times New Roman"/>
                <w:sz w:val="16"/>
                <w:szCs w:val="16"/>
                <w:b w:val="1"/>
                <w:bCs w:val="1"/>
                <w:color w:val="003366"/>
                <w:vertAlign w:val="superscript"/>
              </w:rPr>
              <w:t>(2)</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003366"/>
                <w:w w:val="96"/>
              </w:rPr>
              <w:t>Over Prior Rent</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003366"/>
                <w:w w:val="97"/>
              </w:rPr>
              <w:t>Rent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1"/>
              </w:rPr>
              <w:t xml:space="preserve">Term </w:t>
            </w:r>
            <w:r>
              <w:rPr>
                <w:rFonts w:ascii="Times New Roman" w:cs="Times New Roman" w:eastAsia="Times New Roman" w:hAnsi="Times New Roman"/>
                <w:sz w:val="8"/>
                <w:szCs w:val="8"/>
                <w:b w:val="1"/>
                <w:bCs w:val="1"/>
                <w:color w:val="003366"/>
                <w:w w:val="91"/>
              </w:rPr>
              <w:t>(3)</w:t>
            </w:r>
          </w:p>
        </w:tc>
        <w:tc>
          <w:tcPr>
            <w:tcW w:w="16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003366"/>
              </w:rPr>
              <w:t>&amp; Incentives</w:t>
            </w:r>
          </w:p>
        </w:tc>
        <w:tc>
          <w:tcPr>
            <w:tcW w:w="320" w:type="dxa"/>
            <w:vAlign w:val="bottom"/>
          </w:tcPr>
          <w:p>
            <w:pPr>
              <w:spacing w:after="0"/>
              <w:rPr>
                <w:sz w:val="15"/>
                <w:szCs w:val="15"/>
                <w:color w:val="auto"/>
              </w:rPr>
            </w:pPr>
          </w:p>
        </w:tc>
        <w:tc>
          <w:tcPr>
            <w:tcW w:w="9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003366"/>
              </w:rPr>
              <w:t>Ft.</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Leases</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38,581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45.69</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0" w:type="dxa"/>
            <w:vAlign w:val="bottom"/>
          </w:tcPr>
          <w:p>
            <w:pPr>
              <w:spacing w:after="0"/>
              <w:rPr>
                <w:sz w:val="1"/>
                <w:szCs w:val="1"/>
                <w:color w:val="auto"/>
              </w:rPr>
            </w:pPr>
          </w:p>
        </w:tc>
      </w:tr>
      <w:tr>
        <w:trPr>
          <w:trHeight w:val="17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Non-Comparable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5.0</w:t>
            </w: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0" w:type="dxa"/>
            <w:vAlign w:val="bottom"/>
          </w:tcPr>
          <w:p>
            <w:pPr>
              <w:spacing w:after="0"/>
              <w:rPr>
                <w:sz w:val="1"/>
                <w:szCs w:val="1"/>
                <w:color w:val="auto"/>
              </w:rPr>
            </w:pPr>
          </w:p>
        </w:tc>
      </w:tr>
      <w:tr>
        <w:trPr>
          <w:trHeight w:val="179"/>
        </w:trPr>
        <w:tc>
          <w:tcPr>
            <w:tcW w:w="14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Total Comparable </w:t>
            </w:r>
            <w:r>
              <w:rPr>
                <w:rFonts w:ascii="Times New Roman" w:cs="Times New Roman" w:eastAsia="Times New Roman" w:hAnsi="Times New Roman"/>
                <w:sz w:val="17"/>
                <w:szCs w:val="17"/>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0" w:type="dxa"/>
            <w:vAlign w:val="bottom"/>
          </w:tcPr>
          <w:p>
            <w:pPr>
              <w:spacing w:after="0"/>
              <w:rPr>
                <w:sz w:val="1"/>
                <w:szCs w:val="1"/>
                <w:color w:val="auto"/>
              </w:rPr>
            </w:pPr>
          </w:p>
        </w:tc>
      </w:tr>
      <w:tr>
        <w:trPr>
          <w:trHeight w:val="175"/>
        </w:trPr>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New Comparable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5.0</w:t>
            </w: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32"/>
        </w:trPr>
        <w:tc>
          <w:tcPr>
            <w:tcW w:w="146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3"/>
                <w:szCs w:val="13"/>
                <w:color w:val="auto"/>
              </w:rPr>
              <w:t>Renewal Comparable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w:t>
            </w:r>
          </w:p>
        </w:tc>
        <w:tc>
          <w:tcPr>
            <w:tcW w:w="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21"/>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Notes:</w:t>
      </w:r>
    </w:p>
    <w:p>
      <w:pPr>
        <w:spacing w:after="0" w:line="15" w:lineRule="exact"/>
        <w:rPr>
          <w:sz w:val="20"/>
          <w:szCs w:val="20"/>
          <w:color w:val="auto"/>
        </w:rPr>
      </w:pPr>
    </w:p>
    <w:p>
      <w:pPr>
        <w:ind w:left="265" w:hanging="265"/>
        <w:spacing w:after="0"/>
        <w:tabs>
          <w:tab w:leader="none" w:pos="26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Comparable leases represent those leases signed on spaces for which there was a previous lease in the past six-months.</w:t>
      </w:r>
    </w:p>
    <w:p>
      <w:pPr>
        <w:spacing w:after="0" w:line="3"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Contractual rent represents contractual minimum rent under the new lease for the first twelve months of the term.</w:t>
      </w:r>
    </w:p>
    <w:p>
      <w:pPr>
        <w:spacing w:after="0" w:line="3" w:lineRule="exact"/>
        <w:rPr>
          <w:rFonts w:ascii="Times New Roman" w:cs="Times New Roman" w:eastAsia="Times New Roman" w:hAnsi="Times New Roman"/>
          <w:sz w:val="12"/>
          <w:szCs w:val="12"/>
          <w:color w:val="auto"/>
        </w:rPr>
      </w:pPr>
    </w:p>
    <w:p>
      <w:pPr>
        <w:ind w:left="245" w:hanging="245"/>
        <w:spacing w:after="0"/>
        <w:tabs>
          <w:tab w:leader="none" w:pos="24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Weighted average is calculated on the basis of square footage.</w:t>
      </w:r>
    </w:p>
    <w:p>
      <w:pPr>
        <w:spacing w:after="0" w:line="3"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renewals at fixed contractual rates specified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18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9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24</w:t>
      </w:r>
    </w:p>
    <w:p>
      <w:pPr>
        <w:sectPr>
          <w:pgSz w:w="11900" w:h="16838" w:orient="portrait"/>
          <w:cols w:equalWidth="0" w:num="1">
            <w:col w:w="11265"/>
          </w:cols>
          <w:pgMar w:left="315" w:top="401" w:right="31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MULTIFAMILY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003366"/>
              </w:rPr>
              <w:t>As of March 31, 2026</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Loma Palisades</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vMerge w:val="restart"/>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6"/>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524</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95.6%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$18,438,396</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$2,933</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520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94.9%</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$18,131,064</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$2,905</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2"/>
              </w:rPr>
              <w:t>500</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91.2%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$17,579,544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$2,931</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505</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92.2%</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$17,530,764</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$2,891</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Imperial Beach Gardens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vMerge w:val="restart"/>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6"/>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153</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95.6%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$4,981,524</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$2,714</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146</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91.3%</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$4,754,016</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$2,712</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2"/>
              </w:rPr>
              <w:t>143</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$4,698,804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$2,737</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142</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88.8%</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$4,841,556</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$2,840</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Mariner's Point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$2,317,632</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$2,383</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$1,928,100</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$1,982</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$2,320,500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$2,386</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88.6%</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$2,439,192</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$2,607</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Santa Fe Park RV Resort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vMerge w:val="restart"/>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6"/>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46.8%</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$1,246,668</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$1,790</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45.2%</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$1,064,856</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$1,583</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58.1%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$1,586,304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$1,835</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76.6%</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$2,229,156</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$1,956</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Pacific Ridge Apartments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510</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95.7%</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$26,008,200</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$4,249</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523</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98.1%</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$24,977,172</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$3,981</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2"/>
              </w:rPr>
              <w:t>491</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$24,734,688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$4,199</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443</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83.1%</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$22,982,460</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$4,324</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Genesee Park</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8"/>
              </w:rPr>
              <w:t>Number of Occupied</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003366"/>
              </w:rPr>
              <w:t>Annualized Base Rent</w:t>
            </w:r>
          </w:p>
        </w:tc>
        <w:tc>
          <w:tcPr>
            <w:tcW w:w="5700" w:type="dxa"/>
            <w:vAlign w:val="bottom"/>
            <w:gridSpan w:val="2"/>
          </w:tcPr>
          <w:p>
            <w:pPr>
              <w:jc w:val="center"/>
              <w:ind w:right="4041"/>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003366"/>
              </w:rPr>
              <w:t>(2)</w:t>
            </w:r>
          </w:p>
        </w:tc>
        <w:tc>
          <w:tcPr>
            <w:tcW w:w="80" w:type="dxa"/>
            <w:vAlign w:val="bottom"/>
          </w:tcPr>
          <w:p>
            <w:pPr>
              <w:spacing w:after="0"/>
              <w:rPr>
                <w:sz w:val="12"/>
                <w:szCs w:val="12"/>
                <w:color w:val="auto"/>
              </w:rPr>
            </w:pPr>
          </w:p>
        </w:tc>
        <w:tc>
          <w:tcPr>
            <w:tcW w:w="5700" w:type="dxa"/>
            <w:vAlign w:val="bottom"/>
            <w:gridSpan w:val="2"/>
          </w:tcPr>
          <w:p>
            <w:pPr>
              <w:jc w:val="center"/>
              <w:ind w:right="4061"/>
              <w:spacing w:after="0" w:line="142"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189</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98.4%</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$5,018,676</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$2,214</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186</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96.9%</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$4,878,144</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$2,185</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3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2"/>
              </w:rPr>
              <w:t>187</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97.4%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$4,899,912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$2,183</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3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2"/>
              </w:rPr>
              <w:t>183</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95.3%</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$4,753,440</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$2,165</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160" w:type="dxa"/>
            <w:vAlign w:val="bottom"/>
            <w:tcBorders>
              <w:bottom w:val="single" w:sz="8" w:color="003366"/>
            </w:tcBorders>
            <w:gridSpan w:val="6"/>
          </w:tcPr>
          <w:p>
            <w:pPr>
              <w:spacing w:after="0"/>
              <w:rPr>
                <w:sz w:val="24"/>
                <w:szCs w:val="24"/>
                <w:color w:val="auto"/>
              </w:rPr>
            </w:pPr>
          </w:p>
        </w:tc>
        <w:tc>
          <w:tcPr>
            <w:tcW w:w="130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580" w:type="dxa"/>
            <w:vAlign w:val="bottom"/>
            <w:tcBorders>
              <w:bottom w:val="single" w:sz="8" w:color="003366"/>
            </w:tcBorders>
          </w:tcPr>
          <w:p>
            <w:pPr>
              <w:spacing w:after="0"/>
              <w:rPr>
                <w:sz w:val="24"/>
                <w:szCs w:val="24"/>
                <w:color w:val="auto"/>
              </w:rPr>
            </w:pPr>
          </w:p>
        </w:tc>
        <w:tc>
          <w:tcPr>
            <w:tcW w:w="4120" w:type="dxa"/>
            <w:vAlign w:val="bottom"/>
            <w:tcBorders>
              <w:bottom w:val="single" w:sz="8" w:color="003366"/>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3366"/>
              </w:rPr>
              <w:t>First Quarter 2026 Supplemental Information</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20" w:type="dxa"/>
            <w:vAlign w:val="bottom"/>
          </w:tcPr>
          <w:p>
            <w:pPr>
              <w:ind w:left="3600"/>
              <w:spacing w:after="0"/>
              <w:rPr>
                <w:sz w:val="20"/>
                <w:szCs w:val="20"/>
                <w:color w:val="auto"/>
              </w:rPr>
            </w:pPr>
            <w:r>
              <w:rPr>
                <w:rFonts w:ascii="Times New Roman" w:cs="Times New Roman" w:eastAsia="Times New Roman" w:hAnsi="Times New Roman"/>
                <w:sz w:val="16"/>
                <w:szCs w:val="16"/>
                <w:color w:val="003366"/>
                <w:w w:val="97"/>
              </w:rPr>
              <w:t>Page 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139700</wp:posOffset>
            </wp:positionH>
            <wp:positionV relativeFrom="page">
              <wp:posOffset>104140</wp:posOffset>
            </wp:positionV>
            <wp:extent cx="7074535" cy="307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4535" cy="307975"/>
                    </a:xfrm>
                    <a:prstGeom prst="rect">
                      <a:avLst/>
                    </a:prstGeom>
                    <a:noFill/>
                  </pic:spPr>
                </pic:pic>
              </a:graphicData>
            </a:graphic>
          </wp:anchor>
        </w:drawing>
        <w:t>MULTIFAMILY LEASING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07453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74535" cy="152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003366"/>
        </w:rPr>
        <w:t>As of March 31, 2026</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003366"/>
        </w:rPr>
        <w:t xml:space="preserve">Lease Summary - Hassalo on Eighth - Multifamily </w:t>
      </w:r>
      <w:r>
        <w:rPr>
          <w:rFonts w:ascii="Times New Roman" w:cs="Times New Roman" w:eastAsia="Times New Roman" w:hAnsi="Times New Roman"/>
          <w:sz w:val="16"/>
          <w:szCs w:val="16"/>
          <w:b w:val="1"/>
          <w:bCs w:val="1"/>
          <w:color w:val="003366"/>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3175</wp:posOffset>
            </wp:positionV>
            <wp:extent cx="252349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3490" cy="7620"/>
                    </a:xfrm>
                    <a:prstGeom prst="rect">
                      <a:avLst/>
                    </a:prstGeom>
                    <a:noFill/>
                  </pic:spPr>
                </pic:pic>
              </a:graphicData>
            </a:graphic>
          </wp:anchor>
        </w:drawing>
      </w:r>
    </w:p>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Number of Occupied</w:t>
            </w: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Annualized Base Rent </w:t>
            </w:r>
            <w:r>
              <w:rPr>
                <w:rFonts w:ascii="Times New Roman" w:cs="Times New Roman" w:eastAsia="Times New Roman" w:hAnsi="Times New Roman"/>
                <w:sz w:val="16"/>
                <w:szCs w:val="16"/>
                <w:b w:val="1"/>
                <w:bCs w:val="1"/>
                <w:color w:val="003366"/>
                <w:w w:val="95"/>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77"/>
        </w:trPr>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60"/>
              <w:spacing w:after="0" w:line="178"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5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center"/>
              <w:spacing w:after="0" w:line="178"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1240" w:type="dxa"/>
            <w:vAlign w:val="bottom"/>
            <w:tcBorders>
              <w:top w:val="single" w:sz="8" w:color="auto"/>
            </w:tcBorders>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2"/>
              </w:rPr>
              <w:t>605</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24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$12,109,044</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$1,668</w:t>
            </w: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2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2"/>
              </w:rPr>
              <w:t>585</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89.0%</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$11,814,288</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$1,684</w:t>
            </w: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24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2"/>
              </w:rPr>
              <w:t>590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89.8%</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$11,823,060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$1,670</w:t>
            </w: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2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2"/>
              </w:rPr>
              <w:t>582</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88.6%</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$11,706,456</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$1,676</w:t>
            </w:r>
          </w:p>
        </w:tc>
        <w:tc>
          <w:tcPr>
            <w:tcW w:w="0" w:type="dxa"/>
            <w:vAlign w:val="bottom"/>
          </w:tcPr>
          <w:p>
            <w:pPr>
              <w:spacing w:after="0"/>
              <w:rPr>
                <w:sz w:val="1"/>
                <w:szCs w:val="1"/>
                <w:color w:val="auto"/>
              </w:rPr>
            </w:pPr>
          </w:p>
        </w:tc>
      </w:tr>
      <w:tr>
        <w:trPr>
          <w:trHeight w:val="347"/>
        </w:trPr>
        <w:tc>
          <w:tcPr>
            <w:tcW w:w="26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Total Multifamily Lease Summary</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003366"/>
                <w:w w:val="95"/>
              </w:rPr>
              <w:t>Average Monthly Base Rent</w:t>
            </w:r>
          </w:p>
        </w:tc>
        <w:tc>
          <w:tcPr>
            <w:tcW w:w="0" w:type="dxa"/>
            <w:vAlign w:val="bottom"/>
          </w:tcPr>
          <w:p>
            <w:pPr>
              <w:spacing w:after="0"/>
              <w:rPr>
                <w:sz w:val="1"/>
                <w:szCs w:val="1"/>
                <w:color w:val="auto"/>
              </w:rPr>
            </w:pPr>
          </w:p>
        </w:tc>
      </w:tr>
      <w:tr>
        <w:trPr>
          <w:trHeight w:val="110"/>
        </w:trPr>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9"/>
                <w:szCs w:val="9"/>
                <w:color w:val="auto"/>
              </w:rPr>
            </w:pPr>
          </w:p>
        </w:tc>
        <w:tc>
          <w:tcPr>
            <w:tcW w:w="124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003366"/>
              </w:rPr>
              <w:t>Number of Occupied</w:t>
            </w: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003366"/>
                <w:w w:val="95"/>
              </w:rPr>
              <w:t xml:space="preserve">Percentage occupied </w:t>
            </w:r>
            <w:r>
              <w:rPr>
                <w:rFonts w:ascii="Times New Roman" w:cs="Times New Roman" w:eastAsia="Times New Roman" w:hAnsi="Times New Roman"/>
                <w:sz w:val="16"/>
                <w:szCs w:val="16"/>
                <w:b w:val="1"/>
                <w:bCs w:val="1"/>
                <w:color w:val="003366"/>
                <w:w w:val="95"/>
                <w:vertAlign w:val="superscript"/>
              </w:rPr>
              <w:t>(1)</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Annualized Base Rent </w:t>
            </w:r>
            <w:r>
              <w:rPr>
                <w:rFonts w:ascii="Times New Roman" w:cs="Times New Roman" w:eastAsia="Times New Roman" w:hAnsi="Times New Roman"/>
                <w:sz w:val="16"/>
                <w:szCs w:val="16"/>
                <w:b w:val="1"/>
                <w:bCs w:val="1"/>
                <w:color w:val="003366"/>
                <w:w w:val="95"/>
                <w:vertAlign w:val="superscript"/>
              </w:rPr>
              <w:t>(2)</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60"/>
              <w:spacing w:after="0" w:line="178" w:lineRule="exact"/>
              <w:rPr>
                <w:sz w:val="20"/>
                <w:szCs w:val="20"/>
                <w:color w:val="auto"/>
              </w:rPr>
            </w:pPr>
            <w:r>
              <w:rPr>
                <w:rFonts w:ascii="Times New Roman" w:cs="Times New Roman" w:eastAsia="Times New Roman" w:hAnsi="Times New Roman"/>
                <w:sz w:val="13"/>
                <w:szCs w:val="13"/>
                <w:b w:val="1"/>
                <w:bCs w:val="1"/>
                <w:color w:val="003366"/>
                <w:w w:val="92"/>
              </w:rPr>
              <w:t xml:space="preserve">Units </w:t>
            </w:r>
            <w:r>
              <w:rPr>
                <w:rFonts w:ascii="Times New Roman" w:cs="Times New Roman" w:eastAsia="Times New Roman" w:hAnsi="Times New Roman"/>
                <w:sz w:val="16"/>
                <w:szCs w:val="16"/>
                <w:b w:val="1"/>
                <w:bCs w:val="1"/>
                <w:color w:val="003366"/>
                <w:w w:val="92"/>
                <w:vertAlign w:val="superscript"/>
              </w:rPr>
              <w:t>(1)</w:t>
            </w:r>
          </w:p>
        </w:tc>
        <w:tc>
          <w:tcPr>
            <w:tcW w:w="15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center"/>
              <w:spacing w:after="0" w:line="178" w:lineRule="exact"/>
              <w:rPr>
                <w:sz w:val="20"/>
                <w:szCs w:val="20"/>
                <w:color w:val="auto"/>
              </w:rPr>
            </w:pPr>
            <w:r>
              <w:rPr>
                <w:rFonts w:ascii="Times New Roman" w:cs="Times New Roman" w:eastAsia="Times New Roman" w:hAnsi="Times New Roman"/>
                <w:sz w:val="13"/>
                <w:szCs w:val="13"/>
                <w:b w:val="1"/>
                <w:bCs w:val="1"/>
                <w:color w:val="003366"/>
                <w:w w:val="94"/>
              </w:rPr>
              <w:t xml:space="preserve">per Occupied Unit </w:t>
            </w:r>
            <w:r>
              <w:rPr>
                <w:rFonts w:ascii="Times New Roman" w:cs="Times New Roman" w:eastAsia="Times New Roman" w:hAnsi="Times New Roman"/>
                <w:sz w:val="16"/>
                <w:szCs w:val="16"/>
                <w:b w:val="1"/>
                <w:bCs w:val="1"/>
                <w:color w:val="003366"/>
                <w:w w:val="94"/>
                <w:vertAlign w:val="superscript"/>
              </w:rPr>
              <w:t>(3)</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2,120</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92.1%</w:t>
            </w:r>
          </w:p>
        </w:tc>
        <w:tc>
          <w:tcPr>
            <w:tcW w:w="24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$70,120,140</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$2,756</w:t>
            </w:r>
          </w:p>
        </w:tc>
        <w:tc>
          <w:tcPr>
            <w:tcW w:w="0" w:type="dxa"/>
            <w:vAlign w:val="bottom"/>
          </w:tcPr>
          <w:p>
            <w:pPr>
              <w:spacing w:after="0"/>
              <w:rPr>
                <w:sz w:val="1"/>
                <w:szCs w:val="1"/>
                <w:color w:val="auto"/>
              </w:rPr>
            </w:pPr>
          </w:p>
        </w:tc>
      </w:tr>
      <w:tr>
        <w:trPr>
          <w:trHeight w:val="17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2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5"/>
              </w:rPr>
              <w:t>2,097</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91.1%</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$67,547,640</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$2,684</w:t>
            </w: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2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5"/>
              </w:rPr>
              <w:t>2,064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89.7%</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$67,642,812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$2,730</w:t>
            </w:r>
          </w:p>
        </w:tc>
        <w:tc>
          <w:tcPr>
            <w:tcW w:w="0" w:type="dxa"/>
            <w:vAlign w:val="bottom"/>
          </w:tcPr>
          <w:p>
            <w:pPr>
              <w:spacing w:after="0"/>
              <w:rPr>
                <w:sz w:val="1"/>
                <w:szCs w:val="1"/>
                <w:color w:val="auto"/>
              </w:rPr>
            </w:pPr>
          </w:p>
        </w:tc>
      </w:tr>
      <w:tr>
        <w:trPr>
          <w:trHeight w:val="164"/>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2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5"/>
              </w:rPr>
              <w:t>2,028</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88.1%</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$66,483,024</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$2,732</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Notes:</w:t>
      </w:r>
    </w:p>
    <w:p>
      <w:pPr>
        <w:spacing w:after="0" w:line="16" w:lineRule="exact"/>
        <w:rPr>
          <w:sz w:val="20"/>
          <w:szCs w:val="20"/>
          <w:color w:val="auto"/>
        </w:rPr>
      </w:pPr>
    </w:p>
    <w:p>
      <w:pPr>
        <w:ind w:left="340" w:hanging="245"/>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Number of occupied units and percentage occupancy for our multifamily properties includes total units rented and occupied as of each respective quarter end date.</w:t>
      </w:r>
    </w:p>
    <w:p>
      <w:pPr>
        <w:spacing w:after="0" w:line="7" w:lineRule="exact"/>
        <w:rPr>
          <w:rFonts w:ascii="Times New Roman" w:cs="Times New Roman" w:eastAsia="Times New Roman" w:hAnsi="Times New Roman"/>
          <w:sz w:val="11"/>
          <w:szCs w:val="11"/>
          <w:color w:val="auto"/>
        </w:rPr>
      </w:pPr>
    </w:p>
    <w:p>
      <w:pPr>
        <w:ind w:left="340" w:hanging="245"/>
        <w:spacing w:after="0"/>
        <w:tabs>
          <w:tab w:leader="none" w:pos="3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as of each respective quarter end date.</w:t>
      </w:r>
    </w:p>
    <w:p>
      <w:pPr>
        <w:spacing w:after="0" w:line="3" w:lineRule="exact"/>
        <w:rPr>
          <w:rFonts w:ascii="Times New Roman" w:cs="Times New Roman" w:eastAsia="Times New Roman" w:hAnsi="Times New Roman"/>
          <w:sz w:val="12"/>
          <w:szCs w:val="12"/>
          <w:color w:val="auto"/>
        </w:rPr>
      </w:pPr>
    </w:p>
    <w:p>
      <w:pPr>
        <w:ind w:left="340" w:hanging="245"/>
        <w:spacing w:after="0"/>
        <w:tabs>
          <w:tab w:leader="none" w:pos="3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occupied unit is calculated by dividing annualized base rent, by units occupied as of each respective quarter end date.</w:t>
      </w:r>
    </w:p>
    <w:p>
      <w:pPr>
        <w:spacing w:after="0" w:line="3" w:lineRule="exact"/>
        <w:rPr>
          <w:rFonts w:ascii="Times New Roman" w:cs="Times New Roman" w:eastAsia="Times New Roman" w:hAnsi="Times New Roman"/>
          <w:sz w:val="12"/>
          <w:szCs w:val="12"/>
          <w:color w:val="auto"/>
        </w:rPr>
      </w:pPr>
    </w:p>
    <w:p>
      <w:pPr>
        <w:ind w:left="340" w:hanging="245"/>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Hassalo on Eighth - Multifamily includes three residential buildings: Velomor, Aster Tower, and Elwood.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272415</wp:posOffset>
            </wp:positionV>
            <wp:extent cx="714184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tabs>
          <w:tab w:leader="none" w:pos="108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26</w:t>
      </w:r>
    </w:p>
    <w:p>
      <w:pPr>
        <w:sectPr>
          <w:pgSz w:w="11900" w:h="16838" w:orient="portrait"/>
          <w:cols w:equalWidth="0" w:num="1">
            <w:col w:w="11320"/>
          </w:cols>
          <w:pgMar w:left="220" w:top="401" w:right="359" w:bottom="1440" w:gutter="0" w:footer="0" w:header="0"/>
        </w:sectPr>
      </w:pPr>
    </w:p>
    <w:bookmarkStart w:id="38" w:name="page39"/>
    <w:bookmarkEnd w:id="38"/>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MIXED-USE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3"/>
          <w:szCs w:val="13"/>
          <w:b w:val="1"/>
          <w:bCs w:val="1"/>
          <w:color w:val="003366"/>
        </w:rPr>
        <w:t>As of March 31, 2026</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3"/>
          <w:szCs w:val="13"/>
          <w:b w:val="1"/>
          <w:bCs w:val="1"/>
          <w:color w:val="003366"/>
        </w:rPr>
        <w:t>Lease Summary - Retail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25311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1110" cy="7620"/>
                    </a:xfrm>
                    <a:prstGeom prst="rect">
                      <a:avLst/>
                    </a:prstGeom>
                    <a:noFill/>
                  </pic:spPr>
                </pic:pic>
              </a:graphicData>
            </a:graphic>
          </wp:anchor>
        </w:drawing>
      </w:r>
    </w:p>
    <w:p>
      <w:pPr>
        <w:spacing w:after="0" w:line="2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7"/>
              </w:rPr>
              <w:t>Number of Leased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003366"/>
                <w:w w:val="94"/>
              </w:rPr>
              <w:t xml:space="preserve">Percentage leased </w:t>
            </w:r>
            <w:r>
              <w:rPr>
                <w:rFonts w:ascii="Times New Roman" w:cs="Times New Roman" w:eastAsia="Times New Roman" w:hAnsi="Times New Roman"/>
                <w:sz w:val="16"/>
                <w:szCs w:val="16"/>
                <w:b w:val="1"/>
                <w:bCs w:val="1"/>
                <w:color w:val="003366"/>
                <w:w w:val="94"/>
                <w:vertAlign w:val="superscript"/>
              </w:rPr>
              <w:t>(1)</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 xml:space="preserve">Annualized Base Rent </w:t>
            </w:r>
            <w:r>
              <w:rPr>
                <w:rFonts w:ascii="Times New Roman" w:cs="Times New Roman" w:eastAsia="Times New Roman" w:hAnsi="Times New Roman"/>
                <w:sz w:val="16"/>
                <w:szCs w:val="16"/>
                <w:b w:val="1"/>
                <w:bCs w:val="1"/>
                <w:color w:val="003366"/>
                <w:w w:val="95"/>
                <w:vertAlign w:val="superscript"/>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03366"/>
                <w:w w:val="96"/>
              </w:rPr>
              <w:t>Annualized Base Rent per</w:t>
            </w:r>
          </w:p>
        </w:tc>
        <w:tc>
          <w:tcPr>
            <w:tcW w:w="0" w:type="dxa"/>
            <w:vAlign w:val="bottom"/>
          </w:tcPr>
          <w:p>
            <w:pPr>
              <w:spacing w:after="0"/>
              <w:rPr>
                <w:sz w:val="1"/>
                <w:szCs w:val="1"/>
                <w:color w:val="auto"/>
              </w:rPr>
            </w:pPr>
          </w:p>
        </w:tc>
      </w:tr>
      <w:tr>
        <w:trPr>
          <w:trHeight w:val="177"/>
        </w:trPr>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5"/>
              </w:rPr>
              <w:t>Square Feet</w:t>
            </w:r>
          </w:p>
        </w:tc>
        <w:tc>
          <w:tcPr>
            <w:tcW w:w="138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80" w:type="dxa"/>
            <w:vAlign w:val="bottom"/>
          </w:tcPr>
          <w:p>
            <w:pPr>
              <w:jc w:val="center"/>
              <w:spacing w:after="0" w:line="178" w:lineRule="exact"/>
              <w:rPr>
                <w:sz w:val="20"/>
                <w:szCs w:val="20"/>
                <w:color w:val="auto"/>
              </w:rPr>
            </w:pPr>
            <w:r>
              <w:rPr>
                <w:rFonts w:ascii="Times New Roman" w:cs="Times New Roman" w:eastAsia="Times New Roman" w:hAnsi="Times New Roman"/>
                <w:sz w:val="13"/>
                <w:szCs w:val="13"/>
                <w:b w:val="1"/>
                <w:bCs w:val="1"/>
                <w:color w:val="003366"/>
                <w:w w:val="95"/>
              </w:rPr>
              <w:t xml:space="preserve">Leased Square Foot </w:t>
            </w:r>
            <w:r>
              <w:rPr>
                <w:rFonts w:ascii="Times New Roman" w:cs="Times New Roman" w:eastAsia="Times New Roman" w:hAnsi="Times New Roman"/>
                <w:sz w:val="16"/>
                <w:szCs w:val="16"/>
                <w:b w:val="1"/>
                <w:bCs w:val="1"/>
                <w:color w:val="003366"/>
                <w:w w:val="95"/>
                <w:vertAlign w:val="superscript"/>
              </w:rPr>
              <w:t>(3)</w:t>
            </w: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90,346</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96.2%</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$9,975,837</w:t>
            </w:r>
          </w:p>
        </w:tc>
        <w:tc>
          <w:tcPr>
            <w:tcW w:w="8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$110</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2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90,346</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$9,628,291</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$107</w:t>
            </w:r>
          </w:p>
        </w:tc>
        <w:tc>
          <w:tcPr>
            <w:tcW w:w="0" w:type="dxa"/>
            <w:vAlign w:val="bottom"/>
          </w:tcPr>
          <w:p>
            <w:pPr>
              <w:spacing w:after="0"/>
              <w:rPr>
                <w:sz w:val="1"/>
                <w:szCs w:val="1"/>
                <w:color w:val="auto"/>
              </w:rPr>
            </w:pPr>
          </w:p>
        </w:tc>
      </w:tr>
      <w:tr>
        <w:trPr>
          <w:trHeight w:val="171"/>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2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89,204</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$9,882,053</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$111</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2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89,204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$9,807,163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$110</w:t>
            </w:r>
          </w:p>
        </w:tc>
        <w:tc>
          <w:tcPr>
            <w:tcW w:w="0" w:type="dxa"/>
            <w:vAlign w:val="bottom"/>
          </w:tcPr>
          <w:p>
            <w:pPr>
              <w:spacing w:after="0"/>
              <w:rPr>
                <w:sz w:val="1"/>
                <w:szCs w:val="1"/>
                <w:color w:val="auto"/>
              </w:rPr>
            </w:pPr>
          </w:p>
        </w:tc>
      </w:tr>
      <w:tr>
        <w:trPr>
          <w:trHeight w:val="334"/>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003366"/>
              </w:rPr>
              <w:t>Lease Summary - Hotel Portion</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003366"/>
              </w:rPr>
              <w:t>Quarter</w:t>
            </w: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003366"/>
                <w:w w:val="97"/>
              </w:rPr>
              <w:t>Number of Leased</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2"/>
              </w:rPr>
              <w:t xml:space="preserve">Average Occupancy </w:t>
            </w:r>
            <w:r>
              <w:rPr>
                <w:rFonts w:ascii="Times New Roman" w:cs="Times New Roman" w:eastAsia="Times New Roman" w:hAnsi="Times New Roman"/>
                <w:sz w:val="16"/>
                <w:szCs w:val="16"/>
                <w:b w:val="1"/>
                <w:bCs w:val="1"/>
                <w:color w:val="003366"/>
                <w:w w:val="92"/>
                <w:vertAlign w:val="superscript"/>
              </w:rPr>
              <w:t>(4)</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3"/>
              </w:rPr>
              <w:t xml:space="preserve">Average Daily Rate </w:t>
            </w:r>
            <w:r>
              <w:rPr>
                <w:rFonts w:ascii="Times New Roman" w:cs="Times New Roman" w:eastAsia="Times New Roman" w:hAnsi="Times New Roman"/>
                <w:sz w:val="16"/>
                <w:szCs w:val="16"/>
                <w:b w:val="1"/>
                <w:bCs w:val="1"/>
                <w:color w:val="003366"/>
                <w:w w:val="93"/>
                <w:vertAlign w:val="superscript"/>
              </w:rPr>
              <w:t>(4)</w:t>
            </w: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003366"/>
                <w:w w:val="96"/>
              </w:rPr>
              <w:t>Annualized Revenue per</w:t>
            </w:r>
          </w:p>
        </w:tc>
        <w:tc>
          <w:tcPr>
            <w:tcW w:w="0" w:type="dxa"/>
            <w:vAlign w:val="bottom"/>
          </w:tcPr>
          <w:p>
            <w:pPr>
              <w:spacing w:after="0"/>
              <w:rPr>
                <w:sz w:val="1"/>
                <w:szCs w:val="1"/>
                <w:color w:val="auto"/>
              </w:rPr>
            </w:pPr>
          </w:p>
        </w:tc>
      </w:tr>
      <w:tr>
        <w:trPr>
          <w:trHeight w:val="177"/>
        </w:trPr>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4"/>
              </w:rPr>
              <w:t>Units</w:t>
            </w:r>
          </w:p>
        </w:tc>
        <w:tc>
          <w:tcPr>
            <w:tcW w:w="138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80" w:type="dxa"/>
            <w:vAlign w:val="bottom"/>
          </w:tcPr>
          <w:p>
            <w:pPr>
              <w:jc w:val="center"/>
              <w:spacing w:after="0" w:line="178" w:lineRule="exact"/>
              <w:rPr>
                <w:sz w:val="20"/>
                <w:szCs w:val="20"/>
                <w:color w:val="auto"/>
              </w:rPr>
            </w:pPr>
            <w:r>
              <w:rPr>
                <w:rFonts w:ascii="Times New Roman" w:cs="Times New Roman" w:eastAsia="Times New Roman" w:hAnsi="Times New Roman"/>
                <w:sz w:val="13"/>
                <w:szCs w:val="13"/>
                <w:b w:val="1"/>
                <w:bCs w:val="1"/>
                <w:color w:val="003366"/>
                <w:w w:val="93"/>
              </w:rPr>
              <w:t xml:space="preserve">Available Room </w:t>
            </w:r>
            <w:r>
              <w:rPr>
                <w:rFonts w:ascii="Times New Roman" w:cs="Times New Roman" w:eastAsia="Times New Roman" w:hAnsi="Times New Roman"/>
                <w:sz w:val="16"/>
                <w:szCs w:val="16"/>
                <w:b w:val="1"/>
                <w:bCs w:val="1"/>
                <w:color w:val="003366"/>
                <w:w w:val="93"/>
                <w:vertAlign w:val="superscript"/>
              </w:rPr>
              <w:t>(4)</w:t>
            </w: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1st Quarter 2026</w:t>
            </w:r>
          </w:p>
        </w:tc>
        <w:tc>
          <w:tcPr>
            <w:tcW w:w="8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$332</w:t>
            </w:r>
          </w:p>
        </w:tc>
        <w:tc>
          <w:tcPr>
            <w:tcW w:w="8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$305</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4th Quarter 2025</w:t>
            </w:r>
          </w:p>
        </w:tc>
        <w:tc>
          <w:tcPr>
            <w:tcW w:w="12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$352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$284</w:t>
            </w:r>
          </w:p>
        </w:tc>
        <w:tc>
          <w:tcPr>
            <w:tcW w:w="0" w:type="dxa"/>
            <w:vAlign w:val="bottom"/>
          </w:tcPr>
          <w:p>
            <w:pPr>
              <w:spacing w:after="0"/>
              <w:rPr>
                <w:sz w:val="1"/>
                <w:szCs w:val="1"/>
                <w:color w:val="auto"/>
              </w:rPr>
            </w:pPr>
          </w:p>
        </w:tc>
      </w:tr>
      <w:tr>
        <w:trPr>
          <w:trHeight w:val="171"/>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3rd Quarter 2025</w:t>
            </w:r>
          </w:p>
        </w:tc>
        <w:tc>
          <w:tcPr>
            <w:tcW w:w="12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$381</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$298</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2nd Quarter 2025</w:t>
            </w:r>
          </w:p>
        </w:tc>
        <w:tc>
          <w:tcPr>
            <w:tcW w:w="12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$355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$305</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Notes:</w:t>
      </w:r>
    </w:p>
    <w:p>
      <w:pPr>
        <w:spacing w:after="0" w:line="15" w:lineRule="exact"/>
        <w:rPr>
          <w:sz w:val="20"/>
          <w:szCs w:val="20"/>
          <w:color w:val="auto"/>
        </w:rPr>
      </w:pPr>
    </w:p>
    <w:p>
      <w:pPr>
        <w:ind w:left="265" w:hanging="265"/>
        <w:spacing w:after="0"/>
        <w:tabs>
          <w:tab w:leader="none" w:pos="265"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 leased for mixed-use property includes square footage under leases as of March 31, 2026, including leases which may not have commenced as of March 31, 2026.</w:t>
      </w:r>
    </w:p>
    <w:p>
      <w:pPr>
        <w:spacing w:after="0" w:line="3" w:lineRule="exact"/>
        <w:rPr>
          <w:rFonts w:ascii="Times New Roman" w:cs="Times New Roman" w:eastAsia="Times New Roman" w:hAnsi="Times New Roman"/>
          <w:sz w:val="12"/>
          <w:szCs w:val="12"/>
          <w:color w:val="auto"/>
        </w:rPr>
      </w:pPr>
    </w:p>
    <w:p>
      <w:pPr>
        <w:ind w:left="285" w:right="140" w:hanging="285"/>
        <w:spacing w:after="0" w:line="246" w:lineRule="auto"/>
        <w:tabs>
          <w:tab w:leader="none" w:pos="25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for the month ended March 31, 2026 by 12. In the case of triple net or modified gross leases, annualized base rent does not include tenant reimbursements for real estate taxes, insurance, common area or other operating expenses.</w:t>
      </w:r>
    </w:p>
    <w:p>
      <w:pPr>
        <w:ind w:left="245" w:hanging="245"/>
        <w:spacing w:after="0"/>
        <w:tabs>
          <w:tab w:leader="none" w:pos="245"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leased square foot is calculated by dividing annualized base rent, by square footage under lease as of March 31, 2026.</w:t>
      </w:r>
    </w:p>
    <w:p>
      <w:pPr>
        <w:spacing w:after="0" w:line="3" w:lineRule="exact"/>
        <w:rPr>
          <w:rFonts w:ascii="Times New Roman" w:cs="Times New Roman" w:eastAsia="Times New Roman" w:hAnsi="Times New Roman"/>
          <w:sz w:val="12"/>
          <w:szCs w:val="12"/>
          <w:color w:val="auto"/>
        </w:rPr>
      </w:pPr>
    </w:p>
    <w:p>
      <w:pPr>
        <w:ind w:left="285" w:hanging="285"/>
        <w:spacing w:after="0" w:line="248" w:lineRule="auto"/>
        <w:tabs>
          <w:tab w:leader="none" w:pos="25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occupancy represents the percentage of available units that were sold during the three months ended March 31,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each respective quarter period by the number of units sold. Revenue per available room, or RevPAR, represents the total unit revenue per total available units for each respective quarter period and is calculated by multiplying average occupancy by the average daily rate. RevPAR does not include food and beverage revenues or other hotel operations revenues such as telephone, parking and other guest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184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96"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27</w:t>
      </w:r>
    </w:p>
    <w:p>
      <w:pPr>
        <w:sectPr>
          <w:pgSz w:w="11900" w:h="16838" w:orient="portrait"/>
          <w:cols w:equalWidth="0" w:num="1">
            <w:col w:w="11245"/>
          </w:cols>
          <w:pgMar w:left="315" w:top="401"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As of March 31, 2026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003366"/>
              </w:rPr>
              <w:t>Office</w:t>
            </w: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003366"/>
              </w:rPr>
              <w:t>Retail</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8"/>
          </w:tcPr>
          <w:p>
            <w:pPr>
              <w:ind w:left="420"/>
              <w:spacing w:after="0"/>
              <w:rPr>
                <w:sz w:val="20"/>
                <w:szCs w:val="20"/>
                <w:color w:val="auto"/>
              </w:rPr>
            </w:pPr>
            <w:r>
              <w:rPr>
                <w:rFonts w:ascii="Times New Roman" w:cs="Times New Roman" w:eastAsia="Times New Roman" w:hAnsi="Times New Roman"/>
                <w:sz w:val="13"/>
                <w:szCs w:val="13"/>
                <w:b w:val="1"/>
                <w:bCs w:val="1"/>
                <w:color w:val="1D3F85"/>
              </w:rPr>
              <w:t>Mixed-Use (Retail Portion Only)</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1D3F85"/>
              </w:rPr>
              <w:t>Total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rPr>
              <w:t>% of</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Office</w:t>
            </w:r>
          </w:p>
        </w:tc>
        <w:tc>
          <w:tcPr>
            <w:tcW w:w="80" w:type="dxa"/>
            <w:vAlign w:val="bottom"/>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Retail</w:t>
            </w:r>
          </w:p>
        </w:tc>
        <w:tc>
          <w:tcPr>
            <w:tcW w:w="80" w:type="dxa"/>
            <w:vAlign w:val="bottom"/>
          </w:tcPr>
          <w:p>
            <w:pPr>
              <w:spacing w:after="0"/>
              <w:rPr>
                <w:sz w:val="11"/>
                <w:szCs w:val="11"/>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1D3F85"/>
                <w:w w:val="95"/>
              </w:rPr>
              <w:t>Mixed-</w:t>
            </w:r>
          </w:p>
        </w:tc>
        <w:tc>
          <w:tcPr>
            <w:tcW w:w="80" w:type="dxa"/>
            <w:vAlign w:val="bottom"/>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0" w:type="dxa"/>
            <w:vAlign w:val="bottom"/>
          </w:tcPr>
          <w:p>
            <w:pPr>
              <w:spacing w:after="0"/>
              <w:rPr>
                <w:sz w:val="1"/>
                <w:szCs w:val="1"/>
                <w:color w:val="auto"/>
              </w:rPr>
            </w:pPr>
          </w:p>
        </w:tc>
      </w:tr>
      <w:tr>
        <w:trPr>
          <w:trHeight w:val="164"/>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Use</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1D3F85"/>
              </w:rPr>
              <w:t>Year</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color w:val="auto"/>
              </w:rPr>
              <w:t>Month to</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80,464</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$0.69</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10,399</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$32.05</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$11.26</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93,375</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$4.47</w:t>
            </w:r>
          </w:p>
        </w:tc>
        <w:tc>
          <w:tcPr>
            <w:tcW w:w="0" w:type="dxa"/>
            <w:vAlign w:val="bottom"/>
          </w:tcPr>
          <w:p>
            <w:pPr>
              <w:spacing w:after="0"/>
              <w:rPr>
                <w:sz w:val="1"/>
                <w:szCs w:val="1"/>
                <w:color w:val="auto"/>
              </w:rPr>
            </w:pPr>
          </w:p>
        </w:tc>
      </w:tr>
      <w:tr>
        <w:trPr>
          <w:trHeight w:val="174"/>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Month</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239,258</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47.61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68,719</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52.57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6,866</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156.90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314,843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51.08</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380,672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8.9</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53.31</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320,029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13.2</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33.08</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6.2</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132.45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706,487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44.79</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537,148</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12.6</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61.10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536,357</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22.2</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24.84</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20,401</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21.7</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111.46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1,093,906</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44.26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904,865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21.2</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327,883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32.31</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14.1</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146.70</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1,245,947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18.4</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59.11</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346,683</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8.1</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44.95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183,390</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7.6</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37.91</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17,384</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71.71</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547,457</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43.44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299,992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58.19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246,309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10.2</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33.31</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18.2</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122.94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563,435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8.3</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49.28</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119,551</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54.70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130,509</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5.4</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29.99</w:t>
            </w:r>
          </w:p>
        </w:tc>
        <w:tc>
          <w:tcPr>
            <w:tcW w:w="1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250,060</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41.80</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111,470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56.35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159,643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6.6</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24.70</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271,113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37.71</w:t>
            </w: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133,813</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57.60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119,699</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216.48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254,485</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43.94</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88,446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44.65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26.35</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201,279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34.39</w:t>
            </w:r>
          </w:p>
        </w:tc>
        <w:tc>
          <w:tcPr>
            <w:tcW w:w="0" w:type="dxa"/>
            <w:vAlign w:val="bottom"/>
          </w:tcPr>
          <w:p>
            <w:pPr>
              <w:spacing w:after="0"/>
              <w:rPr>
                <w:sz w:val="1"/>
                <w:szCs w:val="1"/>
                <w:color w:val="auto"/>
              </w:rPr>
            </w:pPr>
          </w:p>
        </w:tc>
      </w:tr>
      <w:tr>
        <w:trPr>
          <w:trHeight w:val="19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124,440</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42.13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140,995</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23.63</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58.61</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271,065</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32.85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Signed Leases</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244,202</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5.7</w:t>
            </w:r>
          </w:p>
        </w:tc>
        <w:tc>
          <w:tcPr>
            <w:tcW w:w="56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5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252,263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7"/>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Commenced</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662,671</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55,604</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721,854</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
        </w:trPr>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92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color w:val="auto"/>
              </w:rPr>
              <w:t xml:space="preserve">Total </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$44.09</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$29.35</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$106.21</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6,787,569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20" w:type="dxa"/>
            <w:vAlign w:val="bottom"/>
            <w:tcBorders>
              <w:bottom w:val="single" w:sz="8" w:color="CCEEFF"/>
            </w:tcBorders>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4"/>
              </w:rPr>
              <w:t>$39.69</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003366"/>
              </w:rPr>
              <w:t>Office</w:t>
            </w: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003366"/>
              </w:rPr>
              <w:t>Retail</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8"/>
          </w:tcPr>
          <w:p>
            <w:pPr>
              <w:ind w:left="420"/>
              <w:spacing w:after="0"/>
              <w:rPr>
                <w:sz w:val="20"/>
                <w:szCs w:val="20"/>
                <w:color w:val="auto"/>
              </w:rPr>
            </w:pPr>
            <w:r>
              <w:rPr>
                <w:rFonts w:ascii="Times New Roman" w:cs="Times New Roman" w:eastAsia="Times New Roman" w:hAnsi="Times New Roman"/>
                <w:sz w:val="13"/>
                <w:szCs w:val="13"/>
                <w:b w:val="1"/>
                <w:bCs w:val="1"/>
                <w:color w:val="1D3F85"/>
              </w:rPr>
              <w:t>Mixed-Use (Retail Portion Only)</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1D3F85"/>
              </w:rPr>
              <w:t>Total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rPr>
              <w:t>% of</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Office</w:t>
            </w:r>
          </w:p>
        </w:tc>
        <w:tc>
          <w:tcPr>
            <w:tcW w:w="80" w:type="dxa"/>
            <w:vAlign w:val="bottom"/>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Retail</w:t>
            </w:r>
          </w:p>
        </w:tc>
        <w:tc>
          <w:tcPr>
            <w:tcW w:w="80" w:type="dxa"/>
            <w:vAlign w:val="bottom"/>
          </w:tcPr>
          <w:p>
            <w:pPr>
              <w:spacing w:after="0"/>
              <w:rPr>
                <w:sz w:val="11"/>
                <w:szCs w:val="11"/>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1D3F85"/>
                <w:w w:val="95"/>
              </w:rPr>
              <w:t>Mixed-</w:t>
            </w:r>
          </w:p>
        </w:tc>
        <w:tc>
          <w:tcPr>
            <w:tcW w:w="80" w:type="dxa"/>
            <w:vAlign w:val="bottom"/>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0" w:type="dxa"/>
            <w:vAlign w:val="bottom"/>
          </w:tcPr>
          <w:p>
            <w:pPr>
              <w:spacing w:after="0"/>
              <w:rPr>
                <w:sz w:val="1"/>
                <w:szCs w:val="1"/>
                <w:color w:val="auto"/>
              </w:rPr>
            </w:pPr>
          </w:p>
        </w:tc>
      </w:tr>
      <w:tr>
        <w:trPr>
          <w:trHeight w:val="164"/>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Use</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1D3F85"/>
              </w:rPr>
              <w:t>Year</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color w:val="auto"/>
              </w:rPr>
              <w:t>Month to</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80,464</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$0.69</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10,399</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$32.05</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$11.26</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93,375</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$4.47</w:t>
            </w:r>
          </w:p>
        </w:tc>
        <w:tc>
          <w:tcPr>
            <w:tcW w:w="0" w:type="dxa"/>
            <w:vAlign w:val="bottom"/>
          </w:tcPr>
          <w:p>
            <w:pPr>
              <w:spacing w:after="0"/>
              <w:rPr>
                <w:sz w:val="1"/>
                <w:szCs w:val="1"/>
                <w:color w:val="auto"/>
              </w:rPr>
            </w:pPr>
          </w:p>
        </w:tc>
      </w:tr>
      <w:tr>
        <w:trPr>
          <w:trHeight w:val="174"/>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Month</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124,343</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49.05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4.1</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142.54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157,161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53.63</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59.84</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76,660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41.44</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133.36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205,254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54.59</w:t>
            </w: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104,978</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48.81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127,879</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28.13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13,487</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14.4</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84.06</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246,344</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40.00</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112,465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53.23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123,489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34.24</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8.3</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180.92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243,751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47.69</w:t>
            </w: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224,407</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36.30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134,082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35.22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52.93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362,135</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36.07</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115,377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57.13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62,001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52.61</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21.5</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130.78</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197,553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63.23</w:t>
            </w: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300,777</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53.95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163,275</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32.02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98.88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464,963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6.9</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46.34</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8.1</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67.38</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102,190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31.77</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7.4</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164.90</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454,029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60.85</w:t>
            </w:r>
          </w:p>
        </w:tc>
        <w:tc>
          <w:tcPr>
            <w:tcW w:w="0" w:type="dxa"/>
            <w:vAlign w:val="bottom"/>
          </w:tcPr>
          <w:p>
            <w:pPr>
              <w:spacing w:after="0"/>
              <w:rPr>
                <w:sz w:val="1"/>
                <w:szCs w:val="1"/>
                <w:color w:val="auto"/>
              </w:rPr>
            </w:pPr>
          </w:p>
        </w:tc>
      </w:tr>
      <w:tr>
        <w:trPr>
          <w:trHeight w:val="171"/>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137,228</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50.93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224,771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97.32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367,401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5.4</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38.97</w:t>
            </w: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56.85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37,875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41.50</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5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79.96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55.21</w:t>
            </w:r>
          </w:p>
        </w:tc>
        <w:tc>
          <w:tcPr>
            <w:tcW w:w="0" w:type="dxa"/>
            <w:vAlign w:val="bottom"/>
          </w:tcPr>
          <w:p>
            <w:pPr>
              <w:spacing w:after="0"/>
              <w:rPr>
                <w:sz w:val="1"/>
                <w:szCs w:val="1"/>
                <w:color w:val="auto"/>
              </w:rPr>
            </w:pPr>
          </w:p>
        </w:tc>
      </w:tr>
      <w:tr>
        <w:trPr>
          <w:trHeight w:val="17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1,593,773</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37.3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60.64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1,265,151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26.14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81.88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2,865,527</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42.2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45.46</w:t>
            </w:r>
          </w:p>
        </w:tc>
        <w:tc>
          <w:tcPr>
            <w:tcW w:w="0" w:type="dxa"/>
            <w:vAlign w:val="bottom"/>
          </w:tcPr>
          <w:p>
            <w:pPr>
              <w:spacing w:after="0"/>
              <w:rPr>
                <w:sz w:val="1"/>
                <w:szCs w:val="1"/>
                <w:color w:val="auto"/>
              </w:rPr>
            </w:pPr>
          </w:p>
        </w:tc>
      </w:tr>
      <w:tr>
        <w:trPr>
          <w:trHeight w:val="129"/>
        </w:trPr>
        <w:tc>
          <w:tcPr>
            <w:tcW w:w="9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Signed Leases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244,202</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5.7</w:t>
            </w:r>
          </w:p>
        </w:tc>
        <w:tc>
          <w:tcPr>
            <w:tcW w:w="56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5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252,263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7"/>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Commenced</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Available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662,671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15.5</w:t>
            </w:r>
          </w:p>
        </w:tc>
        <w:tc>
          <w:tcPr>
            <w:tcW w:w="560" w:type="dxa"/>
            <w:vAlign w:val="bottom"/>
            <w:tcBorders>
              <w:bottom w:val="single" w:sz="8" w:color="CCEEFF"/>
            </w:tcBorders>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55,604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tcBorders>
              <w:bottom w:val="single" w:sz="8" w:color="CCEEFF"/>
            </w:tcBorders>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3,579</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c>
          <w:tcPr>
            <w:tcW w:w="560" w:type="dxa"/>
            <w:vAlign w:val="bottom"/>
            <w:tcBorders>
              <w:bottom w:val="single" w:sz="8" w:color="CCEEFF"/>
            </w:tcBorders>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721,854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1"/>
        </w:trPr>
        <w:tc>
          <w:tcPr>
            <w:tcW w:w="92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color w:val="auto"/>
              </w:rPr>
              <w:t xml:space="preserve">Total </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$44.09</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35.7 %</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$29.35</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$106.21</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6,787,569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20" w:type="dxa"/>
            <w:vAlign w:val="bottom"/>
            <w:tcBorders>
              <w:bottom w:val="single" w:sz="8" w:color="CCEEFF"/>
            </w:tcBorders>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4"/>
              </w:rPr>
              <w:t>$39.69</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14184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28</w:t>
      </w:r>
    </w:p>
    <w:p>
      <w:pPr>
        <w:sectPr>
          <w:pgSz w:w="11900" w:h="16838" w:orient="portrait"/>
          <w:cols w:equalWidth="0" w:num="1">
            <w:col w:w="11260"/>
          </w:cols>
          <w:pgMar w:left="320" w:top="401" w:right="319" w:bottom="1440" w:gutter="0" w:footer="0" w:header="0"/>
        </w:sectPr>
      </w:pPr>
    </w:p>
    <w:bookmarkStart w:id="40" w:name="page41"/>
    <w:bookmarkEnd w:id="4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300355"/>
                    </a:xfrm>
                    <a:prstGeom prst="rect">
                      <a:avLst/>
                    </a:prstGeom>
                    <a:noFill/>
                  </pic:spPr>
                </pic:pic>
              </a:graphicData>
            </a:graphic>
          </wp:anchor>
        </w:drawing>
        <w:t>LEASE EXPIRATIONS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285" w:hanging="285"/>
        <w:spacing w:after="0" w:line="260" w:lineRule="auto"/>
        <w:tabs>
          <w:tab w:leader="none" w:pos="26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occupied square foot is calculated by dividing (i) annualized base rent for leases expiring during the applicable period, by (ii) square footage under such expiring leases. Annualized base rent is calculated by multiplying (i) base rental payments (defined as cash base rents (before abatements)) for the month ended March 31, 2026 for the leases expiring during the applicable period by (ii) 12 months.</w:t>
      </w:r>
    </w:p>
    <w:p>
      <w:pPr>
        <w:ind w:left="265" w:hanging="265"/>
        <w:spacing w:after="0"/>
        <w:tabs>
          <w:tab w:leader="none" w:pos="265"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 items may not add up to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412115</wp:posOffset>
            </wp:positionV>
            <wp:extent cx="714184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29</w:t>
      </w:r>
    </w:p>
    <w:p>
      <w:pPr>
        <w:sectPr>
          <w:pgSz w:w="11900" w:h="16838" w:orient="portrait"/>
          <w:cols w:equalWidth="0" w:num="1">
            <w:col w:w="11245"/>
          </w:cols>
          <w:pgMar w:left="315" w:top="389" w:right="339" w:bottom="1440" w:gutter="0" w:footer="0" w:header="0"/>
        </w:sectPr>
      </w:pPr>
    </w:p>
    <w:bookmarkStart w:id="41" w:name="page42"/>
    <w:bookmarkEnd w:id="41"/>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PORTFOLIO LEASED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003366"/>
              </w:rPr>
              <w:t>At March 31, 2026</w:t>
            </w:r>
          </w:p>
        </w:tc>
        <w:tc>
          <w:tcPr>
            <w:tcW w:w="10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1D3F85"/>
              </w:rPr>
              <w:t>At March 31, 2025</w:t>
            </w:r>
          </w:p>
        </w:tc>
        <w:tc>
          <w:tcPr>
            <w:tcW w:w="1220" w:type="dxa"/>
            <w:vAlign w:val="bottom"/>
            <w:tcBorders>
              <w:top w:val="single" w:sz="8" w:color="auto"/>
              <w:bottom w:val="single" w:sz="8" w:color="auto"/>
            </w:tcBorders>
          </w:tcPr>
          <w:p>
            <w:pPr>
              <w:spacing w:after="0"/>
              <w:rPr>
                <w:sz w:val="18"/>
                <w:szCs w:val="18"/>
                <w:color w:val="auto"/>
              </w:rPr>
            </w:pPr>
          </w:p>
        </w:tc>
      </w:tr>
      <w:tr>
        <w:trPr>
          <w:trHeight w:val="193"/>
        </w:trPr>
        <w:tc>
          <w:tcPr>
            <w:tcW w:w="338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1D3F85"/>
              </w:rPr>
              <w:t>Type</w:t>
            </w:r>
          </w:p>
        </w:tc>
        <w:tc>
          <w:tcPr>
            <w:tcW w:w="10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1D3F85"/>
              </w:rPr>
              <w:t>Size</w:t>
            </w:r>
          </w:p>
        </w:tc>
        <w:tc>
          <w:tcPr>
            <w:tcW w:w="280" w:type="dxa"/>
            <w:vAlign w:val="bottom"/>
          </w:tcPr>
          <w:p>
            <w:pPr>
              <w:spacing w:after="0"/>
              <w:rPr>
                <w:sz w:val="16"/>
                <w:szCs w:val="16"/>
                <w:color w:val="auto"/>
              </w:rPr>
            </w:pPr>
          </w:p>
        </w:tc>
        <w:tc>
          <w:tcPr>
            <w:tcW w:w="1300" w:type="dxa"/>
            <w:vAlign w:val="bottom"/>
            <w:gridSpan w:val="2"/>
          </w:tcPr>
          <w:p>
            <w:pPr>
              <w:ind w:left="220"/>
              <w:spacing w:after="0" w:line="193" w:lineRule="exact"/>
              <w:rPr>
                <w:sz w:val="20"/>
                <w:szCs w:val="20"/>
                <w:color w:val="auto"/>
              </w:rPr>
            </w:pPr>
            <w:r>
              <w:rPr>
                <w:rFonts w:ascii="Times New Roman" w:cs="Times New Roman" w:eastAsia="Times New Roman" w:hAnsi="Times New Roman"/>
                <w:sz w:val="16"/>
                <w:szCs w:val="16"/>
                <w:b w:val="1"/>
                <w:bCs w:val="1"/>
                <w:color w:val="1D3F85"/>
              </w:rPr>
              <w:t xml:space="preserve">Leased </w:t>
            </w:r>
            <w:r>
              <w:rPr>
                <w:rFonts w:ascii="Times New Roman" w:cs="Times New Roman" w:eastAsia="Times New Roman" w:hAnsi="Times New Roman"/>
                <w:sz w:val="20"/>
                <w:szCs w:val="20"/>
                <w:b w:val="1"/>
                <w:bCs w:val="1"/>
                <w:color w:val="1D3F85"/>
                <w:vertAlign w:val="superscript"/>
              </w:rPr>
              <w:t>(1)</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1D3F85"/>
              </w:rPr>
              <w:t>Leased %</w:t>
            </w:r>
          </w:p>
        </w:tc>
        <w:tc>
          <w:tcPr>
            <w:tcW w:w="240" w:type="dxa"/>
            <w:vAlign w:val="bottom"/>
          </w:tcPr>
          <w:p>
            <w:pPr>
              <w:spacing w:after="0"/>
              <w:rPr>
                <w:sz w:val="16"/>
                <w:szCs w:val="16"/>
                <w:color w:val="auto"/>
              </w:rPr>
            </w:pPr>
          </w:p>
        </w:tc>
        <w:tc>
          <w:tcPr>
            <w:tcW w:w="11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1D3F85"/>
              </w:rPr>
              <w:t>Size</w:t>
            </w:r>
          </w:p>
        </w:tc>
        <w:tc>
          <w:tcPr>
            <w:tcW w:w="240" w:type="dxa"/>
            <w:vAlign w:val="bottom"/>
          </w:tcPr>
          <w:p>
            <w:pPr>
              <w:spacing w:after="0"/>
              <w:rPr>
                <w:sz w:val="16"/>
                <w:szCs w:val="16"/>
                <w:color w:val="auto"/>
              </w:rPr>
            </w:pPr>
          </w:p>
        </w:tc>
        <w:tc>
          <w:tcPr>
            <w:tcW w:w="1340" w:type="dxa"/>
            <w:vAlign w:val="bottom"/>
            <w:gridSpan w:val="2"/>
          </w:tcPr>
          <w:p>
            <w:pPr>
              <w:ind w:left="240"/>
              <w:spacing w:after="0" w:line="193" w:lineRule="exact"/>
              <w:rPr>
                <w:sz w:val="20"/>
                <w:szCs w:val="20"/>
                <w:color w:val="auto"/>
              </w:rPr>
            </w:pPr>
            <w:r>
              <w:rPr>
                <w:rFonts w:ascii="Times New Roman" w:cs="Times New Roman" w:eastAsia="Times New Roman" w:hAnsi="Times New Roman"/>
                <w:sz w:val="16"/>
                <w:szCs w:val="16"/>
                <w:b w:val="1"/>
                <w:bCs w:val="1"/>
                <w:color w:val="1D3F85"/>
              </w:rPr>
              <w:t xml:space="preserve">Leased </w:t>
            </w:r>
            <w:r>
              <w:rPr>
                <w:rFonts w:ascii="Times New Roman" w:cs="Times New Roman" w:eastAsia="Times New Roman" w:hAnsi="Times New Roman"/>
                <w:sz w:val="20"/>
                <w:szCs w:val="20"/>
                <w:b w:val="1"/>
                <w:bCs w:val="1"/>
                <w:color w:val="1D3F85"/>
                <w:vertAlign w:val="superscript"/>
              </w:rPr>
              <w:t>(1)</w:t>
            </w:r>
          </w:p>
        </w:tc>
        <w:tc>
          <w:tcPr>
            <w:tcW w:w="122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1D3F85"/>
              </w:rPr>
              <w:t>Leased %</w:t>
            </w:r>
          </w:p>
        </w:tc>
      </w:tr>
      <w:tr>
        <w:trPr>
          <w:trHeight w:val="193"/>
        </w:trPr>
        <w:tc>
          <w:tcPr>
            <w:tcW w:w="330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Overall Portfolio</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Statistics</w:t>
            </w: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01"/>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Office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4,273,675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3,611,004</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84.5 %</w:t>
            </w:r>
          </w:p>
        </w:tc>
        <w:tc>
          <w:tcPr>
            <w:tcW w:w="2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4,077,376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3,484,902</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85.5 %</w:t>
            </w:r>
          </w:p>
        </w:tc>
      </w:tr>
      <w:tr>
        <w:trPr>
          <w:trHeight w:val="201"/>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Retail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2,419,969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2,364,365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97.7 %</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2,420,247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2,356,245</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97.4 %</w:t>
            </w:r>
          </w:p>
        </w:tc>
      </w:tr>
      <w:tr>
        <w:trPr>
          <w:trHeight w:val="201"/>
        </w:trPr>
        <w:tc>
          <w:tcPr>
            <w:tcW w:w="338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Multifamily Properties (units) </w:t>
            </w:r>
            <w:r>
              <w:rPr>
                <w:rFonts w:ascii="Times New Roman" w:cs="Times New Roman" w:eastAsia="Times New Roman" w:hAnsi="Times New Roman"/>
                <w:sz w:val="20"/>
                <w:szCs w:val="20"/>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94.7 %</w:t>
            </w:r>
          </w:p>
        </w:tc>
        <w:tc>
          <w:tcPr>
            <w:tcW w:w="2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91.4 %</w:t>
            </w:r>
          </w:p>
        </w:tc>
      </w:tr>
      <w:tr>
        <w:trPr>
          <w:trHeight w:val="201"/>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Mixed-Use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90,346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83,911</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89.3 %</w:t>
            </w:r>
          </w:p>
        </w:tc>
      </w:tr>
      <w:tr>
        <w:trPr>
          <w:trHeight w:val="201"/>
        </w:trPr>
        <w:tc>
          <w:tcPr>
            <w:tcW w:w="338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Mixed-Use Properties (units) </w:t>
            </w:r>
            <w:r>
              <w:rPr>
                <w:rFonts w:ascii="Times New Roman" w:cs="Times New Roman" w:eastAsia="Times New Roman" w:hAnsi="Times New Roman"/>
                <w:sz w:val="20"/>
                <w:szCs w:val="20"/>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91.9 %</w:t>
            </w:r>
          </w:p>
        </w:tc>
        <w:tc>
          <w:tcPr>
            <w:tcW w:w="2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r>
      <w:tr>
        <w:trPr>
          <w:trHeight w:val="237"/>
        </w:trPr>
        <w:tc>
          <w:tcPr>
            <w:tcW w:w="3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1"/>
        </w:trPr>
        <w:tc>
          <w:tcPr>
            <w:tcW w:w="33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6"/>
                <w:szCs w:val="16"/>
                <w:b w:val="1"/>
                <w:bCs w:val="1"/>
                <w:color w:val="auto"/>
              </w:rPr>
              <w:t>Same-Store</w:t>
            </w:r>
            <w:r>
              <w:rPr>
                <w:rFonts w:ascii="Times New Roman" w:cs="Times New Roman" w:eastAsia="Times New Roman" w:hAnsi="Times New Roman"/>
                <w:sz w:val="20"/>
                <w:szCs w:val="20"/>
                <w:b w:val="1"/>
                <w:bCs w:val="1"/>
                <w:color w:val="auto"/>
                <w:vertAlign w:val="superscript"/>
              </w:rPr>
              <w:t>(2) (5)</w:t>
            </w:r>
            <w:r>
              <w:rPr>
                <w:rFonts w:ascii="Times New Roman" w:cs="Times New Roman" w:eastAsia="Times New Roman" w:hAnsi="Times New Roman"/>
                <w:sz w:val="16"/>
                <w:szCs w:val="16"/>
                <w:b w:val="1"/>
                <w:bCs w:val="1"/>
                <w:color w:val="auto"/>
              </w:rPr>
              <w:t xml:space="preserve"> Statistics</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4,067,444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3,509,621</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86.3 %</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4,077,376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3,484,902</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85.5 %</w:t>
            </w:r>
          </w:p>
        </w:tc>
      </w:tr>
      <w:tr>
        <w:trPr>
          <w:trHeight w:val="201"/>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Retail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2,419,969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2,364,365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97.7 %</w:t>
            </w:r>
          </w:p>
        </w:tc>
        <w:tc>
          <w:tcPr>
            <w:tcW w:w="2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2,420,247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2,356,245</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97.4 %</w:t>
            </w:r>
          </w:p>
        </w:tc>
      </w:tr>
      <w:tr>
        <w:trPr>
          <w:trHeight w:val="201"/>
        </w:trPr>
        <w:tc>
          <w:tcPr>
            <w:tcW w:w="3380" w:type="dxa"/>
            <w:vAlign w:val="bottom"/>
            <w:gridSpan w:val="2"/>
            <w:shd w:val="clear" w:color="auto" w:fill="CCEEFF"/>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Multifamily Properties (units) </w:t>
            </w:r>
            <w:r>
              <w:rPr>
                <w:rFonts w:ascii="Times New Roman" w:cs="Times New Roman" w:eastAsia="Times New Roman" w:hAnsi="Times New Roman"/>
                <w:sz w:val="20"/>
                <w:szCs w:val="20"/>
                <w:color w:val="auto"/>
                <w:vertAlign w:val="superscript"/>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91.3 %</w:t>
            </w:r>
          </w:p>
        </w:tc>
      </w:tr>
      <w:tr>
        <w:trPr>
          <w:trHeight w:val="201"/>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Mixed-Use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90,346</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2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83,911</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89.3 %</w:t>
            </w:r>
          </w:p>
        </w:tc>
      </w:tr>
      <w:tr>
        <w:trPr>
          <w:trHeight w:val="201"/>
        </w:trPr>
        <w:tc>
          <w:tcPr>
            <w:tcW w:w="3380" w:type="dxa"/>
            <w:vAlign w:val="bottom"/>
            <w:gridSpan w:val="2"/>
            <w:shd w:val="clear" w:color="auto" w:fill="CCEEFF"/>
          </w:tcPr>
          <w:p>
            <w:pPr>
              <w:ind w:left="120"/>
              <w:spacing w:after="0" w:line="201" w:lineRule="exact"/>
              <w:rPr>
                <w:sz w:val="20"/>
                <w:szCs w:val="20"/>
                <w:color w:val="auto"/>
              </w:rPr>
            </w:pPr>
            <w:r>
              <w:rPr>
                <w:rFonts w:ascii="Times New Roman" w:cs="Times New Roman" w:eastAsia="Times New Roman" w:hAnsi="Times New Roman"/>
                <w:sz w:val="16"/>
                <w:szCs w:val="16"/>
                <w:color w:val="auto"/>
              </w:rPr>
              <w:t xml:space="preserve">Mixed-Use Properties (units) </w:t>
            </w:r>
            <w:r>
              <w:rPr>
                <w:rFonts w:ascii="Times New Roman" w:cs="Times New Roman" w:eastAsia="Times New Roman" w:hAnsi="Times New Roman"/>
                <w:sz w:val="20"/>
                <w:szCs w:val="20"/>
                <w:color w:val="auto"/>
                <w:vertAlign w:val="superscript"/>
              </w:rPr>
              <w:t>(4)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91.9 %</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84.6 %</w:t>
            </w: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85" w:right="140" w:hanging="285"/>
        <w:spacing w:after="0" w:line="244" w:lineRule="auto"/>
        <w:tabs>
          <w:tab w:leader="none" w:pos="27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Leased square feet includes square feet under lease as of each date, including leases which may not have commenced as of that date. Leased units for our multifamily properties include total units leased and occupied as of that date.</w:t>
      </w:r>
    </w:p>
    <w:p>
      <w:pPr>
        <w:ind w:left="265" w:hanging="265"/>
        <w:spacing w:after="0"/>
        <w:tabs>
          <w:tab w:leader="none" w:pos="26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Santa Fe Park RV Resort is excluded from the multifamily presentation above to reflect traditional multifamily performance as of each of the applicable dates.</w:t>
      </w:r>
    </w:p>
    <w:p>
      <w:pPr>
        <w:spacing w:after="0" w:line="4"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average occupancy for the three months ended March 31, 2026 and 2025.</w:t>
      </w:r>
    </w:p>
    <w:p>
      <w:pPr>
        <w:ind w:left="285" w:right="20" w:hanging="285"/>
        <w:spacing w:after="0" w:line="248" w:lineRule="auto"/>
        <w:tabs>
          <w:tab w:leader="none" w:pos="27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4184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30</w:t>
      </w:r>
    </w:p>
    <w:p>
      <w:pPr>
        <w:sectPr>
          <w:pgSz w:w="11900" w:h="16838" w:orient="portrait"/>
          <w:cols w:equalWidth="0" w:num="1">
            <w:col w:w="11265"/>
          </w:cols>
          <w:pgMar w:left="315" w:top="401" w:right="319" w:bottom="1440" w:gutter="0" w:footer="0" w:header="0"/>
        </w:sectPr>
      </w:pPr>
    </w:p>
    <w:bookmarkStart w:id="42" w:name="page43"/>
    <w:bookmarkEnd w:id="42"/>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TOP TENANTS -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March 31, 2026</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3"/>
              </w:rPr>
              <w:t>Total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1D3F85"/>
                <w:w w:val="99"/>
              </w:rPr>
              <w:t>Annualized Base</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9"/>
              </w:rPr>
              <w:t>Lease</w:t>
            </w:r>
          </w:p>
        </w:tc>
        <w:tc>
          <w:tcPr>
            <w:tcW w:w="860" w:type="dxa"/>
            <w:vAlign w:val="bottom"/>
            <w:gridSpan w:val="2"/>
            <w:vMerge w:val="continue"/>
          </w:tcPr>
          <w:p>
            <w:pPr>
              <w:spacing w:after="0"/>
              <w:rPr>
                <w:sz w:val="12"/>
                <w:szCs w:val="12"/>
                <w:color w:val="auto"/>
              </w:rPr>
            </w:pPr>
          </w:p>
        </w:tc>
        <w:tc>
          <w:tcPr>
            <w:tcW w:w="100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10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9"/>
              </w:rPr>
              <w:t>Annualized</w:t>
            </w:r>
          </w:p>
        </w:tc>
        <w:tc>
          <w:tcPr>
            <w:tcW w:w="92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Rent as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1D3F85"/>
              </w:rPr>
              <w:t>Tenant</w:t>
            </w:r>
          </w:p>
        </w:tc>
        <w:tc>
          <w:tcPr>
            <w:tcW w:w="21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1D3F85"/>
              </w:rPr>
              <w:t>Property</w:t>
            </w: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1D3F85"/>
              </w:rPr>
              <w:t>Occupied</w:t>
            </w:r>
          </w:p>
        </w:tc>
        <w:tc>
          <w:tcPr>
            <w:tcW w:w="1000" w:type="dxa"/>
            <w:vAlign w:val="bottom"/>
          </w:tcPr>
          <w:p>
            <w:pPr>
              <w:jc w:val="center"/>
              <w:ind w:left="10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Expiration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Square Feet</w:t>
            </w:r>
          </w:p>
        </w:tc>
        <w:tc>
          <w:tcPr>
            <w:tcW w:w="100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1D3F85"/>
              </w:rPr>
              <w:t>Total Office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1D3F85"/>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9"/>
              </w:rPr>
              <w:t>Base Rent</w:t>
            </w:r>
          </w:p>
        </w:tc>
        <w:tc>
          <w:tcPr>
            <w:tcW w:w="92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1D3F85"/>
              </w:rPr>
              <w:t>Total Office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Google LLC</w:t>
            </w:r>
          </w:p>
        </w:tc>
        <w:tc>
          <w:tcPr>
            <w:tcW w:w="1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12/31/2029</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253,198</w:t>
            </w: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$ 28,213,097</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1"/>
        </w:trPr>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LPL Holdings, Inc.</w:t>
            </w:r>
          </w:p>
        </w:tc>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4/30/2029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421,001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21,048,719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3</w:t>
            </w:r>
          </w:p>
        </w:tc>
        <w:tc>
          <w:tcPr>
            <w:tcW w:w="24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Autodesk, Inc. (1)</w:t>
            </w:r>
          </w:p>
        </w:tc>
        <w:tc>
          <w:tcPr>
            <w:tcW w:w="2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The Landmark at One Market</w:t>
            </w:r>
          </w:p>
        </w:tc>
        <w:tc>
          <w:tcPr>
            <w:tcW w:w="86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12/31/2028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138,615</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14,142,816</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6/30/2031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0" w:type="dxa"/>
            <w:vAlign w:val="bottom"/>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4</w:t>
            </w:r>
          </w:p>
        </w:tc>
        <w:tc>
          <w:tcPr>
            <w:tcW w:w="24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Smartsheet, Inc. (2)</w:t>
            </w:r>
          </w:p>
        </w:tc>
        <w:tc>
          <w:tcPr>
            <w:tcW w:w="216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12/31/2026</w:t>
            </w:r>
          </w:p>
        </w:tc>
        <w:tc>
          <w:tcPr>
            <w:tcW w:w="8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123,041</w:t>
            </w:r>
          </w:p>
        </w:tc>
        <w:tc>
          <w:tcPr>
            <w:tcW w:w="8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7,421,805</w:t>
            </w: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4/30/2029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12/31/2032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5</w:t>
            </w:r>
          </w:p>
        </w:tc>
        <w:tc>
          <w:tcPr>
            <w:tcW w:w="24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Databricks, Inc. (3)</w:t>
            </w:r>
          </w:p>
        </w:tc>
        <w:tc>
          <w:tcPr>
            <w:tcW w:w="2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5"/>
              </w:rPr>
              <w:t>11/30/2027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87,685</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5,515,520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1/31/2028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3/31/2028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10/31/2028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Illumina, Inc.</w:t>
            </w:r>
          </w:p>
        </w:tc>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10/31/2027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73,176</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5,110,316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7</w:t>
            </w:r>
          </w:p>
        </w:tc>
        <w:tc>
          <w:tcPr>
            <w:tcW w:w="24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Industrious (4)</w:t>
            </w:r>
          </w:p>
        </w:tc>
        <w:tc>
          <w:tcPr>
            <w:tcW w:w="2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4/30/2033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75,749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4,015,281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3/31/2034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7/31/2035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8</w:t>
            </w:r>
          </w:p>
        </w:tc>
        <w:tc>
          <w:tcPr>
            <w:tcW w:w="24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State of Oregon: Department of</w:t>
            </w:r>
          </w:p>
        </w:tc>
        <w:tc>
          <w:tcPr>
            <w:tcW w:w="216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Lloyd Portfolio</w:t>
            </w: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10/31/2031</w:t>
            </w:r>
          </w:p>
        </w:tc>
        <w:tc>
          <w:tcPr>
            <w:tcW w:w="8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87,787</w:t>
            </w:r>
          </w:p>
        </w:tc>
        <w:tc>
          <w:tcPr>
            <w:tcW w:w="8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3,207,179</w:t>
            </w: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Environmental Quality</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Top technology tenant (5)</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8/31/2030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2,674,996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2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Genentech, Inc.</w:t>
            </w:r>
          </w:p>
        </w:tc>
        <w:tc>
          <w:tcPr>
            <w:tcW w:w="2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Lloyd Portfolio</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10/31/2026</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66,852</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2,554,393</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Top 10 Office Tenants Total</w:t>
            </w:r>
          </w:p>
        </w:tc>
        <w:tc>
          <w:tcPr>
            <w:tcW w:w="2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1,367,904</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32.2 %</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$ 93,904,122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45.9 %</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Autodesk, Inc., 92,820 and 45,795 of leased square feet have a lease expiration of December 31, 2028 and June 30, 2031, respectively.</w:t>
      </w:r>
    </w:p>
    <w:p>
      <w:pPr>
        <w:ind w:left="265" w:hanging="265"/>
        <w:spacing w:after="0"/>
        <w:tabs>
          <w:tab w:leader="none" w:pos="2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Smartsheet, Inc., 39,394, 49,372, and 34,275 of leased square feet have a lease expiration of December 31, 2026, April 30, 2029, and December 31, 2032, respectively.</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Databricks, Inc., 17,623, 27,984, 37,500, and 4,578 of leased square feet have a lease expiration of November 30, 2027, January 31, 2028, March 31, 2028, and October 31, 2028, respectively.</w:t>
      </w:r>
    </w:p>
    <w:p>
      <w:pPr>
        <w:spacing w:after="0" w:line="4" w:lineRule="exact"/>
        <w:rPr>
          <w:rFonts w:ascii="Times New Roman" w:cs="Times New Roman" w:eastAsia="Times New Roman" w:hAnsi="Times New Roman"/>
          <w:sz w:val="13"/>
          <w:szCs w:val="13"/>
          <w:color w:val="auto"/>
        </w:rPr>
      </w:pPr>
    </w:p>
    <w:p>
      <w:pPr>
        <w:ind w:left="285" w:right="340" w:hanging="285"/>
        <w:spacing w:after="0"/>
        <w:tabs>
          <w:tab w:leader="none" w:pos="27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Industrious, 18,090, 37,166, and 20,493 of leased square feet have a lease expiration of April 30, 2033 (City Center Bellevue), March 31, 2034 (City Center Bellevue), and July 31, 2035 (La Jolla Commons), respectively.</w:t>
      </w:r>
    </w:p>
    <w:p>
      <w:pPr>
        <w:ind w:left="265" w:hanging="265"/>
        <w:spacing w:after="0"/>
        <w:tabs>
          <w:tab w:leader="none" w:pos="2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withheld per tenant's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184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10"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31</w:t>
      </w:r>
    </w:p>
    <w:p>
      <w:pPr>
        <w:sectPr>
          <w:pgSz w:w="11900" w:h="16838" w:orient="portrait"/>
          <w:cols w:equalWidth="0" w:num="1">
            <w:col w:w="11265"/>
          </w:cols>
          <w:pgMar w:left="315" w:top="401" w:right="319" w:bottom="1440" w:gutter="0" w:footer="0" w:header="0"/>
        </w:sectPr>
      </w:pPr>
    </w:p>
    <w:bookmarkStart w:id="43" w:name="page44"/>
    <w:bookmarkEnd w:id="43"/>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TOP TENANTS -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March 31, 2026</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rPr>
              <w:t>Total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1D3F85"/>
                <w:w w:val="99"/>
              </w:rPr>
              <w:t>Annualized Base</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w w:val="99"/>
              </w:rPr>
              <w:t>Lease</w:t>
            </w: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1D3F85"/>
              </w:rPr>
              <w:t>Occupied</w:t>
            </w:r>
          </w:p>
        </w:tc>
        <w:tc>
          <w:tcPr>
            <w:tcW w:w="100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10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1D3F85"/>
                <w:w w:val="99"/>
              </w:rPr>
              <w:t>Annualized</w:t>
            </w:r>
          </w:p>
        </w:tc>
        <w:tc>
          <w:tcPr>
            <w:tcW w:w="92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Rent as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3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1D3F85"/>
              </w:rPr>
              <w:t>Tenant</w:t>
            </w:r>
          </w:p>
        </w:tc>
        <w:tc>
          <w:tcPr>
            <w:tcW w:w="23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1D3F85"/>
              </w:rPr>
              <w:t>Property(ies)</w:t>
            </w:r>
          </w:p>
        </w:tc>
        <w:tc>
          <w:tcPr>
            <w:tcW w:w="920" w:type="dxa"/>
            <w:vAlign w:val="bottom"/>
            <w:gridSpan w:val="2"/>
            <w:vMerge w:val="continue"/>
          </w:tcPr>
          <w:p>
            <w:pPr>
              <w:spacing w:after="0"/>
              <w:rPr>
                <w:sz w:val="12"/>
                <w:szCs w:val="12"/>
                <w:color w:val="auto"/>
              </w:rPr>
            </w:pPr>
          </w:p>
        </w:tc>
        <w:tc>
          <w:tcPr>
            <w:tcW w:w="82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1D3F85"/>
              </w:rPr>
              <w:t>Square</w:t>
            </w:r>
          </w:p>
        </w:tc>
        <w:tc>
          <w:tcPr>
            <w:tcW w:w="1000" w:type="dxa"/>
            <w:vAlign w:val="bottom"/>
          </w:tcPr>
          <w:p>
            <w:pPr>
              <w:jc w:val="center"/>
              <w:ind w:left="10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rPr>
              <w:t>Expiration</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Feet</w:t>
            </w:r>
          </w:p>
        </w:tc>
        <w:tc>
          <w:tcPr>
            <w:tcW w:w="100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1D3F85"/>
                <w:w w:val="98"/>
              </w:rPr>
              <w:t>Total Retail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1D3F85"/>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1D3F85"/>
                <w:w w:val="99"/>
              </w:rPr>
              <w:t>Base Rent</w:t>
            </w:r>
          </w:p>
        </w:tc>
        <w:tc>
          <w:tcPr>
            <w:tcW w:w="92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1D3F85"/>
              </w:rPr>
              <w:t>Total Retail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Lowe's</w:t>
            </w:r>
          </w:p>
        </w:tc>
        <w:tc>
          <w:tcPr>
            <w:tcW w:w="8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5/31/2028</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4,092,000</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4"/>
        </w:trPr>
        <w:tc>
          <w:tcPr>
            <w:tcW w:w="300" w:type="dxa"/>
            <w:vAlign w:val="bottom"/>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2</w:t>
            </w:r>
          </w:p>
        </w:tc>
        <w:tc>
          <w:tcPr>
            <w:tcW w:w="23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Sprouts Farmers Market (1)</w:t>
            </w:r>
          </w:p>
        </w:tc>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Solana Beach Towne Centre</w:t>
            </w:r>
          </w:p>
        </w:tc>
        <w:tc>
          <w:tcPr>
            <w:tcW w:w="8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6/30/2029</w:t>
            </w:r>
          </w:p>
        </w:tc>
        <w:tc>
          <w:tcPr>
            <w:tcW w:w="80" w:type="dxa"/>
            <w:vAlign w:val="bottom"/>
          </w:tcPr>
          <w:p>
            <w:pPr>
              <w:spacing w:after="0"/>
              <w:rPr>
                <w:sz w:val="13"/>
                <w:szCs w:val="13"/>
                <w:color w:val="auto"/>
              </w:rPr>
            </w:pPr>
          </w:p>
        </w:tc>
        <w:tc>
          <w:tcPr>
            <w:tcW w:w="74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71,431</w:t>
            </w:r>
          </w:p>
        </w:tc>
        <w:tc>
          <w:tcPr>
            <w:tcW w:w="8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2,248,554</w:t>
            </w: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Geary Marketplace</w:t>
            </w: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9/30/2032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Mountain Plaza</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3/31/2035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3</w:t>
            </w:r>
          </w:p>
        </w:tc>
        <w:tc>
          <w:tcPr>
            <w:tcW w:w="23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Marshalls (2)</w:t>
            </w:r>
          </w:p>
        </w:tc>
        <w:tc>
          <w:tcPr>
            <w:tcW w:w="230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Carmel Mountain Plaza</w:t>
            </w:r>
          </w:p>
        </w:tc>
        <w:tc>
          <w:tcPr>
            <w:tcW w:w="8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1/31/2029</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68,055</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1,901,151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Solana Beach Towne Centre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1/31/2035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0" w:type="dxa"/>
            <w:vAlign w:val="bottom"/>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4</w:t>
            </w:r>
          </w:p>
        </w:tc>
        <w:tc>
          <w:tcPr>
            <w:tcW w:w="23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Nordstrom Rack (3)</w:t>
            </w:r>
          </w:p>
        </w:tc>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Carmel Mountain Plaza</w:t>
            </w:r>
          </w:p>
        </w:tc>
        <w:tc>
          <w:tcPr>
            <w:tcW w:w="8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9/30/2027</w:t>
            </w:r>
          </w:p>
        </w:tc>
        <w:tc>
          <w:tcPr>
            <w:tcW w:w="80" w:type="dxa"/>
            <w:vAlign w:val="bottom"/>
          </w:tcPr>
          <w:p>
            <w:pPr>
              <w:spacing w:after="0"/>
              <w:rPr>
                <w:sz w:val="13"/>
                <w:szCs w:val="13"/>
                <w:color w:val="auto"/>
              </w:rPr>
            </w:pPr>
          </w:p>
        </w:tc>
        <w:tc>
          <w:tcPr>
            <w:tcW w:w="74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69,047</w:t>
            </w:r>
          </w:p>
        </w:tc>
        <w:tc>
          <w:tcPr>
            <w:tcW w:w="8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1,804,269</w:t>
            </w: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Alamo Quarry Market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10/31/2027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Vons (4)</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Lomas Santa Fe Plaza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12/31/2027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1,609,086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6</w:t>
            </w:r>
          </w:p>
        </w:tc>
        <w:tc>
          <w:tcPr>
            <w:tcW w:w="23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Old Navy (5)</w:t>
            </w:r>
          </w:p>
        </w:tc>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Alamo Quarry Market</w:t>
            </w:r>
          </w:p>
        </w:tc>
        <w:tc>
          <w:tcPr>
            <w:tcW w:w="8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9/30/2027</w:t>
            </w:r>
          </w:p>
        </w:tc>
        <w:tc>
          <w:tcPr>
            <w:tcW w:w="80" w:type="dxa"/>
            <w:vAlign w:val="bottom"/>
          </w:tcPr>
          <w:p>
            <w:pPr>
              <w:spacing w:after="0"/>
              <w:rPr>
                <w:sz w:val="13"/>
                <w:szCs w:val="13"/>
                <w:color w:val="auto"/>
              </w:rPr>
            </w:pPr>
          </w:p>
        </w:tc>
        <w:tc>
          <w:tcPr>
            <w:tcW w:w="74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52,936</w:t>
            </w:r>
          </w:p>
        </w:tc>
        <w:tc>
          <w:tcPr>
            <w:tcW w:w="8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1,308,258</w:t>
            </w: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Southbay Marketplace</w:t>
            </w: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4/30/2028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7/31/2030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7</w:t>
            </w:r>
          </w:p>
        </w:tc>
        <w:tc>
          <w:tcPr>
            <w:tcW w:w="23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Sola Salons (6)</w:t>
            </w:r>
          </w:p>
        </w:tc>
        <w:tc>
          <w:tcPr>
            <w:tcW w:w="230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Solana Beach Towne Centre</w:t>
            </w:r>
          </w:p>
        </w:tc>
        <w:tc>
          <w:tcPr>
            <w:tcW w:w="8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5"/>
              </w:rPr>
              <w:t>11/30/2029</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42,576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1,221,619</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Hassalo on Eighth - Retail</w:t>
            </w:r>
          </w:p>
        </w:tc>
        <w:tc>
          <w:tcPr>
            <w:tcW w:w="8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3/31/2031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South Bay Marketplace</w:t>
            </w:r>
          </w:p>
        </w:tc>
        <w:tc>
          <w:tcPr>
            <w:tcW w:w="8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6/30/2032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Carmel Mountain Plaza</w:t>
            </w:r>
          </w:p>
        </w:tc>
        <w:tc>
          <w:tcPr>
            <w:tcW w:w="8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8/31/2034</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Carmel Country Plaza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2/29/2036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Safeway</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1/31/2040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1,201,200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jc w:val="right"/>
              <w:ind w:right="1"/>
              <w:spacing w:after="0" w:line="154" w:lineRule="exact"/>
              <w:rPr>
                <w:sz w:val="20"/>
                <w:szCs w:val="20"/>
                <w:color w:val="auto"/>
              </w:rPr>
            </w:pPr>
            <w:r>
              <w:rPr>
                <w:rFonts w:ascii="Times New Roman" w:cs="Times New Roman" w:eastAsia="Times New Roman" w:hAnsi="Times New Roman"/>
                <w:sz w:val="16"/>
                <w:szCs w:val="16"/>
                <w:color w:val="auto"/>
              </w:rPr>
              <w:t>9</w:t>
            </w:r>
          </w:p>
        </w:tc>
        <w:tc>
          <w:tcPr>
            <w:tcW w:w="23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HomeGoods (7)</w:t>
            </w:r>
          </w:p>
        </w:tc>
        <w:tc>
          <w:tcPr>
            <w:tcW w:w="230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Lomas Santa Fe Plaza</w:t>
            </w:r>
          </w:p>
        </w:tc>
        <w:tc>
          <w:tcPr>
            <w:tcW w:w="8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2/28/2030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55,837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1,200,000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Alamo Quarry Market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8/31/2034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2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Hobby Lobby</w:t>
            </w:r>
          </w:p>
        </w:tc>
        <w:tc>
          <w:tcPr>
            <w:tcW w:w="2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Gateway Marketplace</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9/30/2036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64,900</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1,172,885</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Top 10 Retail Tenants Total</w:t>
            </w:r>
          </w:p>
        </w:tc>
        <w:tc>
          <w:tcPr>
            <w:tcW w:w="2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679,727</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28.3 %</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17,759,022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25.1 %</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85" w:right="220" w:hanging="285"/>
        <w:spacing w:after="0" w:line="244" w:lineRule="auto"/>
        <w:tabs>
          <w:tab w:leader="none" w:pos="27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Sprouts Farmers Market, 14,986, 25,472, and 30,973 of leased square feet have a lease expiration of June 30, 2029 (Solana Beach Towne Centre), September 30, 2032 (Geary Marketplace), and March 31, 2035 (Carmel Mountain Plaza), respectively.</w:t>
      </w: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Marshalls, 28,760 and 39,295 of leased square feet have a lease expiration of January 31, 2029 (Carmel Mountain Plaza) and January 31, 2035 (Solana Beach Towne Centre).</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Nordstrom Rack, 39,047 and 30,000 of leased square feet have a lease expiration of September 30, 2027 (Carmel Mountain Plaza) and October 31, 2027 (Alamo Quarry Market), respectively.</w:t>
      </w:r>
    </w:p>
    <w:p>
      <w:pPr>
        <w:spacing w:after="0" w:line="4"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Vons, on April 9, 2026, we entered into an extension of 49,895 of leased square feet which have a lease expiration of December 31, 2047.</w:t>
      </w:r>
    </w:p>
    <w:p>
      <w:pPr>
        <w:ind w:left="285" w:right="260" w:hanging="285"/>
        <w:spacing w:after="0" w:line="244" w:lineRule="auto"/>
        <w:tabs>
          <w:tab w:leader="none" w:pos="27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Old Navy, 15,021, 20,000 and 17,915 of leased square feet have a lease expiration of September 30, 2027 (Alamo Quarry Market), April 30, 2028 (South Bay Marketplace) and July 31, 2030 (Waikele Center), respectively.</w:t>
      </w:r>
    </w:p>
    <w:p>
      <w:pPr>
        <w:ind w:left="285" w:right="140" w:hanging="285"/>
        <w:spacing w:after="0" w:line="246" w:lineRule="auto"/>
        <w:tabs>
          <w:tab w:leader="none" w:pos="27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Sola Salons, 6,300, 5,775, 7,500, 14,289, and 8,712 of leased square feet have a lease expiration of November 30, 2029 (Solana Beach Towne Centre), March 31, 2031 (Hassalo on Eighth - Retail), June 30, 2032 (South Bay Marketplace), August 31, 2034 (Carmel Mountain Plaza), and February 29, 2036 (Carmel Country Plaza), respectively.</w:t>
      </w:r>
    </w:p>
    <w:p>
      <w:pPr>
        <w:spacing w:after="0" w:line="1"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HomeGoods, 30,000 and 25,837 of leased square feet have a lease expiration of February 28, 2030 (Lomas Sante Fe Plaza) and August 31, 2034 (Alamo Quarry Market),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184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32</w:t>
      </w:r>
    </w:p>
    <w:p>
      <w:pPr>
        <w:sectPr>
          <w:pgSz w:w="11900" w:h="16838" w:orient="portrait"/>
          <w:cols w:equalWidth="0" w:num="1">
            <w:col w:w="11265"/>
          </w:cols>
          <w:pgMar w:left="315" w:top="401" w:right="31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845" cy="3079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701040</wp:posOffset>
            </wp:positionV>
            <wp:extent cx="714184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33</w:t>
      </w:r>
    </w:p>
    <w:p>
      <w:pPr>
        <w:sectPr>
          <w:pgSz w:w="11900" w:h="16838" w:orient="portrait"/>
          <w:cols w:equalWidth="0" w:num="1">
            <w:col w:w="11200"/>
          </w:cols>
          <w:pgMar w:left="340" w:top="1440" w:right="35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2"/>
          <w:szCs w:val="12"/>
          <w:b w:val="1"/>
          <w:bCs w:val="1"/>
          <w:color w:val="auto"/>
        </w:rPr>
        <w:t xml:space="preserve">Earnings Before Interest, Taxes, Depreciation, and Amortization (EBITDA): </w:t>
      </w:r>
      <w:r>
        <w:rPr>
          <w:rFonts w:ascii="Times New Roman" w:cs="Times New Roman" w:eastAsia="Times New Roman" w:hAnsi="Times New Roman"/>
          <w:sz w:val="12"/>
          <w:szCs w:val="12"/>
          <w:color w:val="auto"/>
        </w:rPr>
        <w:t>EBITDA is a non-GAAP measure that means net income or loss plus depreciation and amortization, net interest expense, income taxes, gain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loss on sale of real estate and impairments of real estate, if any. EBITDA is presented because it approximates a key performance measure in our debt covenants, but it should not be considered an alternative measure of operating results or cash flow from operations as determined in accordance with GAAP. The reconciliation of net income to EBITDA for the three months ended March 31, 2026 and 2025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000" w:type="dxa"/>
            <w:vAlign w:val="bottom"/>
          </w:tcPr>
          <w:p>
            <w:pPr>
              <w:spacing w:after="0"/>
              <w:rPr>
                <w:sz w:val="14"/>
                <w:szCs w:val="14"/>
                <w:color w:val="auto"/>
              </w:rPr>
            </w:pPr>
          </w:p>
        </w:tc>
        <w:tc>
          <w:tcPr>
            <w:tcW w:w="2260" w:type="dxa"/>
            <w:vAlign w:val="bottom"/>
            <w:gridSpan w:val="5"/>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7"/>
        </w:trPr>
        <w:tc>
          <w:tcPr>
            <w:tcW w:w="9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spacing w:after="0"/>
              <w:rPr>
                <w:sz w:val="15"/>
                <w:szCs w:val="15"/>
                <w:color w:val="auto"/>
              </w:rPr>
            </w:pPr>
          </w:p>
        </w:tc>
      </w:tr>
      <w:tr>
        <w:trPr>
          <w:trHeight w:val="21"/>
        </w:trPr>
        <w:tc>
          <w:tcPr>
            <w:tcW w:w="9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4"/>
        </w:trPr>
        <w:tc>
          <w:tcPr>
            <w:tcW w:w="9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54,107</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32,311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30,494</w:t>
            </w:r>
          </w:p>
        </w:tc>
      </w:tr>
      <w:tr>
        <w:trPr>
          <w:trHeight w:val="184"/>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net</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19,707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18,780</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r>
      <w:tr>
        <w:trPr>
          <w:trHeight w:val="184"/>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6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r>
      <w:tr>
        <w:trPr>
          <w:trHeight w:val="201"/>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68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58,143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57,990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Adjusted EBITDA: </w:t>
      </w:r>
      <w:r>
        <w:rPr>
          <w:rFonts w:ascii="Times New Roman" w:cs="Times New Roman" w:eastAsia="Times New Roman" w:hAnsi="Times New Roman"/>
          <w:sz w:val="13"/>
          <w:szCs w:val="13"/>
          <w:color w:val="auto"/>
        </w:rPr>
        <w:t>Adjusted EBITDA is a non-GAAP measure that begins with EBITDA and includes adjustments for certain items that we believe are not representative of ongoing operating performance. Specifically,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include an early extinguishment of debt adjustment and pro forma adjustment to reflect a full period of NOI on the operating properties we acquire during the quarter, to assume all transactions occurred at the beginning of the quarter. We use Adjusted EBITDA as a supplemental performance measure because we believe these items create significant earnings volatility which in turn results in less comparability between reporting periods and less predictability regarding future earnings potential. However, Adjusted EBITDA should not be considered an alternative measure of operating results or cash flow from operations as determined by GAAP. The reconciliation of EBITDA to Adjusted EBITDA for the three months ended March 31, 2026 and 2025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000" w:type="dxa"/>
            <w:vAlign w:val="bottom"/>
          </w:tcPr>
          <w:p>
            <w:pPr>
              <w:spacing w:after="0"/>
              <w:rPr>
                <w:sz w:val="14"/>
                <w:szCs w:val="14"/>
                <w:color w:val="auto"/>
              </w:rPr>
            </w:pPr>
          </w:p>
        </w:tc>
        <w:tc>
          <w:tcPr>
            <w:tcW w:w="184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4"/>
                <w:szCs w:val="14"/>
                <w:color w:val="auto"/>
              </w:rPr>
            </w:pPr>
          </w:p>
        </w:tc>
      </w:tr>
      <w:tr>
        <w:trPr>
          <w:trHeight w:val="177"/>
        </w:trPr>
        <w:tc>
          <w:tcPr>
            <w:tcW w:w="9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20" w:type="dxa"/>
            <w:vAlign w:val="bottom"/>
          </w:tcPr>
          <w:p>
            <w:pPr>
              <w:spacing w:after="0"/>
              <w:rPr>
                <w:sz w:val="15"/>
                <w:szCs w:val="15"/>
                <w:color w:val="auto"/>
              </w:rPr>
            </w:pPr>
          </w:p>
        </w:tc>
      </w:tr>
      <w:tr>
        <w:trPr>
          <w:trHeight w:val="21"/>
        </w:trPr>
        <w:tc>
          <w:tcPr>
            <w:tcW w:w="9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64"/>
        </w:trPr>
        <w:tc>
          <w:tcPr>
            <w:tcW w:w="9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r>
      <w:tr>
        <w:trPr>
          <w:trHeight w:val="17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58,143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57,990</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 forma adjustments</w:t>
            </w:r>
          </w:p>
        </w:tc>
        <w:tc>
          <w:tcPr>
            <w:tcW w:w="6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1"/>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68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58,143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57,990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Earnings Before Interest, Taxes, Depreciation, and Amortization for Real Estate (EBITDA</w:t>
      </w:r>
      <w:r>
        <w:rPr>
          <w:rFonts w:ascii="Times New Roman" w:cs="Times New Roman" w:eastAsia="Times New Roman" w:hAnsi="Times New Roman"/>
          <w:sz w:val="13"/>
          <w:szCs w:val="13"/>
          <w:b w:val="1"/>
          <w:bCs w:val="1"/>
          <w:i w:val="1"/>
          <w:iCs w:val="1"/>
          <w:color w:val="auto"/>
        </w:rPr>
        <w:t>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a supplemental non-GAAP measure of real estate companies' operating performances. The National</w:t>
      </w:r>
    </w:p>
    <w:p>
      <w:pPr>
        <w:spacing w:after="0" w:line="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3"/>
          <w:szCs w:val="13"/>
          <w:color w:val="auto"/>
        </w:rPr>
        <w:t>Association of Real Estate Investment Trusts (NAREIT) defines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as follows: net income or loss, computed in accordance with GAAP plus depreciation and amortization, net interest expense, income taxes, gain or loss on sale of real estate including gain or loss on change of control, impairments of real estate, and adjustments to reflect the entity's share of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of unconsolidated affiliates, if any.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is presented because it approximates a key performance measure in our debt covenants, but it should not be considered an alternative measure of operating results or cash flow from operations as determined in accordance with GAAP. The reconciliation of net income to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for the three months ended March 31, 2026 and 2025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000" w:type="dxa"/>
            <w:vAlign w:val="bottom"/>
          </w:tcPr>
          <w:p>
            <w:pPr>
              <w:spacing w:after="0"/>
              <w:rPr>
                <w:sz w:val="14"/>
                <w:szCs w:val="14"/>
                <w:color w:val="auto"/>
              </w:rPr>
            </w:pPr>
          </w:p>
        </w:tc>
        <w:tc>
          <w:tcPr>
            <w:tcW w:w="2260" w:type="dxa"/>
            <w:vAlign w:val="bottom"/>
            <w:gridSpan w:val="5"/>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7"/>
        </w:trPr>
        <w:tc>
          <w:tcPr>
            <w:tcW w:w="9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spacing w:after="0"/>
              <w:rPr>
                <w:sz w:val="15"/>
                <w:szCs w:val="15"/>
                <w:color w:val="auto"/>
              </w:rPr>
            </w:pPr>
          </w:p>
        </w:tc>
      </w:tr>
      <w:tr>
        <w:trPr>
          <w:trHeight w:val="21"/>
        </w:trPr>
        <w:tc>
          <w:tcPr>
            <w:tcW w:w="9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4"/>
        </w:trPr>
        <w:tc>
          <w:tcPr>
            <w:tcW w:w="9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54,107</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32,311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30,494</w:t>
            </w:r>
          </w:p>
        </w:tc>
      </w:tr>
      <w:tr>
        <w:trPr>
          <w:trHeight w:val="184"/>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net</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19,707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18,780</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r>
      <w:tr>
        <w:trPr>
          <w:trHeight w:val="184"/>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1"/>
        </w:trPr>
        <w:tc>
          <w:tcPr>
            <w:tcW w:w="9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6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r>
      <w:tr>
        <w:trPr>
          <w:trHeight w:val="201"/>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3"/>
                <w:szCs w:val="13"/>
                <w:i w:val="1"/>
                <w:iCs w:val="1"/>
                <w:color w:val="auto"/>
              </w:rPr>
              <w:t>re</w:t>
            </w:r>
          </w:p>
        </w:tc>
        <w:tc>
          <w:tcPr>
            <w:tcW w:w="68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58,143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57,990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14184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34</w:t>
      </w:r>
    </w:p>
    <w:p>
      <w:pPr>
        <w:sectPr>
          <w:pgSz w:w="11900" w:h="16838" w:orient="portrait"/>
          <w:cols w:equalWidth="0" w:num="1">
            <w:col w:w="11260"/>
          </w:cols>
          <w:pgMar w:left="320" w:top="401" w:right="31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Funds From Operations (FFO): </w:t>
      </w:r>
      <w:r>
        <w:rPr>
          <w:rFonts w:ascii="Times New Roman" w:cs="Times New Roman" w:eastAsia="Times New Roman" w:hAnsi="Times New Roman"/>
          <w:sz w:val="13"/>
          <w:szCs w:val="13"/>
          <w:color w:val="auto"/>
        </w:rPr>
        <w:t>FFO is a supplemental measure of real estate companies' operating performances. NAREIT defines FFO as follows: net income, computed in accordance with GAAP plus depreciation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amortization of real estate assets and excluding extraordinary items, gains and losses on sale of real estate and impairment losses.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Funds Available for Distribution (FAD): </w:t>
      </w:r>
      <w:r>
        <w:rPr>
          <w:rFonts w:ascii="Times New Roman" w:cs="Times New Roman" w:eastAsia="Times New Roman" w:hAnsi="Times New Roman"/>
          <w:sz w:val="12"/>
          <w:szCs w:val="12"/>
          <w:color w:val="auto"/>
        </w:rPr>
        <w:t>FAD is a supplemental measure of our liquidity. We compute FAD by subtracting from FFO As Adjusted second generation tenant improvements and leasing commissions and</w:t>
      </w:r>
    </w:p>
    <w:p>
      <w:pPr>
        <w:spacing w:after="0" w:line="20"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2"/>
          <w:szCs w:val="12"/>
          <w:color w:val="auto"/>
        </w:rPr>
        <w:t>capital expenditures, eliminating the net effect of straight-line rents, amortization of above (below) market rents for acquisition properties, the effects of other lease intangibles, adding noncash amortization of deferred financing costs and debt fair value adjustments, adding noncash compensation expense, and adding (subtracting) unrealized losses (gains) on marketable securities. Capital expenditures do not include capital expenditures</w:t>
      </w:r>
    </w:p>
    <w:p>
      <w:pPr>
        <w:spacing w:after="0" w:line="1"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3"/>
          <w:szCs w:val="13"/>
          <w:color w:val="auto"/>
        </w:rPr>
        <w:t>incurred in connection with repositioning activities, as well as planned capital expenditures identified at the time of acquisition. FAD provides an additional perspective on our ability to fund cash needs and make distributions by adjusting FFO for the impact of certain cash and noncash items, as well as adjusting FFO for recurring capital expenditures and leasing costs. However, other REITs may use different methodologies for calculating FAD and, accordingly, our FAD may not be comparable to other REITs.</w:t>
      </w:r>
    </w:p>
    <w:p>
      <w:pPr>
        <w:spacing w:after="0" w:line="18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Net Operating Income (NOI): </w:t>
      </w:r>
      <w:r>
        <w:rPr>
          <w:rFonts w:ascii="Times New Roman" w:cs="Times New Roman" w:eastAsia="Times New Roman" w:hAnsi="Times New Roman"/>
          <w:sz w:val="13"/>
          <w:szCs w:val="13"/>
          <w:color w:val="auto"/>
        </w:rPr>
        <w:t>We define NOI as operating revenues (rental income, tenant reimbursements, lease termination fees, ground lease rental income and other property income) less property and related expenses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other REITs. Since NOI excludes general and administrative expenses, interest expense, depreciation and amortization, acquisition-related expenses, other nonproperty income and losses, gains and losses from property dispositions, and extraordinary items, 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 However, NOI should not be viewed as an alternative measure of our financial performance since it does not reflect general and administrative expenses, interest expense, depreciation and amortization costs, other nonproperty income and losses, the level of capital expenditures and leasing costs necessary to maintain the operating performance of the properties, or trends in development and construction activities which are significant economic costs and activities that could materially impact our results from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7"/>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NOI to net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90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5"/>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NOI</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66,926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67,302</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0" w:type="dxa"/>
            <w:vAlign w:val="bottom"/>
          </w:tcPr>
          <w:p>
            <w:pPr>
              <w:spacing w:after="0"/>
              <w:rPr>
                <w:sz w:val="1"/>
                <w:szCs w:val="1"/>
                <w:color w:val="auto"/>
              </w:rPr>
            </w:pPr>
          </w:p>
        </w:tc>
      </w:tr>
      <w:tr>
        <w:trPr>
          <w:trHeight w:val="184"/>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(32,311)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(30,494)</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176"/>
        </w:trPr>
        <w:tc>
          <w:tcPr>
            <w:tcW w:w="9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25,832</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71,972</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(18,780)</w:t>
            </w:r>
          </w:p>
        </w:tc>
        <w:tc>
          <w:tcPr>
            <w:tcW w:w="0" w:type="dxa"/>
            <w:vAlign w:val="bottom"/>
          </w:tcPr>
          <w:p>
            <w:pPr>
              <w:spacing w:after="0"/>
              <w:rPr>
                <w:sz w:val="1"/>
                <w:szCs w:val="1"/>
                <w:color w:val="auto"/>
              </w:rPr>
            </w:pPr>
          </w:p>
        </w:tc>
      </w:tr>
      <w:tr>
        <w:trPr>
          <w:trHeight w:val="184"/>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63"/>
        </w:trPr>
        <w:tc>
          <w:tcPr>
            <w:tcW w:w="902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54,107</w:t>
            </w:r>
          </w:p>
        </w:tc>
        <w:tc>
          <w:tcPr>
            <w:tcW w:w="0" w:type="dxa"/>
            <w:vAlign w:val="bottom"/>
          </w:tcPr>
          <w:p>
            <w:pPr>
              <w:spacing w:after="0"/>
              <w:rPr>
                <w:sz w:val="1"/>
                <w:szCs w:val="1"/>
                <w:color w:val="auto"/>
              </w:rPr>
            </w:pPr>
          </w:p>
        </w:tc>
      </w:tr>
      <w:tr>
        <w:trPr>
          <w:trHeight w:val="184"/>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restricted shares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attributable to unitholders in the Operating Partnership</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(11,369)</w:t>
            </w:r>
          </w:p>
        </w:tc>
        <w:tc>
          <w:tcPr>
            <w:tcW w:w="0" w:type="dxa"/>
            <w:vAlign w:val="bottom"/>
          </w:tcPr>
          <w:p>
            <w:pPr>
              <w:spacing w:after="0"/>
              <w:rPr>
                <w:sz w:val="1"/>
                <w:szCs w:val="1"/>
                <w:color w:val="auto"/>
              </w:rPr>
            </w:pPr>
          </w:p>
        </w:tc>
      </w:tr>
      <w:tr>
        <w:trPr>
          <w:trHeight w:val="201"/>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American Assets Trust, Inc. stockholders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Overall Portfolio: </w:t>
            </w:r>
            <w:r>
              <w:rPr>
                <w:rFonts w:ascii="Times New Roman" w:cs="Times New Roman" w:eastAsia="Times New Roman" w:hAnsi="Times New Roman"/>
                <w:sz w:val="13"/>
                <w:szCs w:val="13"/>
                <w:color w:val="auto"/>
              </w:rPr>
              <w:t>Includes all operating properties owned by us as of March 31, 2026.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9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4184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35</w:t>
      </w:r>
    </w:p>
    <w:p>
      <w:pPr>
        <w:sectPr>
          <w:pgSz w:w="11900" w:h="16838" w:orient="portrait"/>
          <w:cols w:equalWidth="0" w:num="1">
            <w:col w:w="11260"/>
          </w:cols>
          <w:pgMar w:left="320" w:top="401" w:right="319" w:bottom="1440" w:gutter="0" w:footer="0" w:header="0"/>
        </w:sectPr>
      </w:pPr>
    </w:p>
    <w:bookmarkStart w:id="47" w:name="page48"/>
    <w:bookmarkEnd w:id="47"/>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 w:right="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Cash NOI: </w:t>
      </w:r>
      <w:r>
        <w:rPr>
          <w:rFonts w:ascii="Times New Roman" w:cs="Times New Roman" w:eastAsia="Times New Roman" w:hAnsi="Times New Roman"/>
          <w:sz w:val="12"/>
          <w:szCs w:val="12"/>
          <w:color w:val="auto"/>
        </w:rPr>
        <w:t>We define cash NOI as operating revenues (rental income, tenant reimbursements (other than tenant improvement reimbursements), ground lease rental income and other property income) less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our cash NOI may not be comparable to the cash NOIs of other REITs. We believe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We believe the exclusion of these items from net (loss)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 A Reconciliation of Total Cash NOI to Net Income is presented below:</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9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7"/>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Total Cash NOI to Net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9020" w:type="dxa"/>
            <w:vAlign w:val="bottom"/>
            <w:tcBorders>
              <w:bottom w:val="single" w:sz="8" w:color="BFE4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BFE4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5"/>
        </w:trPr>
        <w:tc>
          <w:tcPr>
            <w:tcW w:w="9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Total Cash NOI</w:t>
            </w:r>
          </w:p>
        </w:tc>
        <w:tc>
          <w:tcPr>
            <w:tcW w:w="240" w:type="dxa"/>
            <w:vAlign w:val="bottom"/>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66,086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66,962</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termination fees and tenant improvement reimbursements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84"/>
        </w:trPr>
        <w:tc>
          <w:tcPr>
            <w:tcW w:w="90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 xml:space="preserve">Non-cash revenue and other operating expenses </w:t>
            </w:r>
            <w:r>
              <w:rPr>
                <w:rFonts w:ascii="Times New Roman" w:cs="Times New Roman" w:eastAsia="Times New Roman" w:hAnsi="Times New Roman"/>
                <w:sz w:val="16"/>
                <w:szCs w:val="16"/>
                <w:color w:val="auto"/>
                <w:vertAlign w:val="superscript"/>
              </w:rPr>
              <w:t>(1)</w:t>
            </w: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0" w:type="dxa"/>
            <w:vAlign w:val="bottom"/>
          </w:tcPr>
          <w:p>
            <w:pPr>
              <w:spacing w:after="0"/>
              <w:rPr>
                <w:sz w:val="1"/>
                <w:szCs w:val="1"/>
                <w:color w:val="auto"/>
              </w:rPr>
            </w:pPr>
          </w:p>
        </w:tc>
      </w:tr>
      <w:tr>
        <w:trPr>
          <w:trHeight w:val="184"/>
        </w:trPr>
        <w:tc>
          <w:tcPr>
            <w:tcW w:w="90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(32,311)</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(30,494)</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176"/>
        </w:trPr>
        <w:tc>
          <w:tcPr>
            <w:tcW w:w="90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top w:val="single" w:sz="8" w:color="auto"/>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25,832</w:t>
            </w:r>
          </w:p>
        </w:tc>
        <w:tc>
          <w:tcPr>
            <w:tcW w:w="80" w:type="dxa"/>
            <w:vAlign w:val="bottom"/>
            <w:tcBorders>
              <w:top w:val="single" w:sz="8" w:color="BFE4FF"/>
            </w:tcBorders>
            <w:shd w:val="clear" w:color="auto" w:fill="BFE4FF"/>
          </w:tcPr>
          <w:p>
            <w:pPr>
              <w:spacing w:after="0"/>
              <w:rPr>
                <w:sz w:val="15"/>
                <w:szCs w:val="15"/>
                <w:color w:val="auto"/>
              </w:rPr>
            </w:pPr>
          </w:p>
        </w:tc>
        <w:tc>
          <w:tcPr>
            <w:tcW w:w="320" w:type="dxa"/>
            <w:vAlign w:val="bottom"/>
            <w:tcBorders>
              <w:top w:val="single" w:sz="8" w:color="auto"/>
            </w:tcBorders>
            <w:shd w:val="clear" w:color="auto" w:fill="BFE4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71,972</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(18,780)</w:t>
            </w:r>
          </w:p>
        </w:tc>
        <w:tc>
          <w:tcPr>
            <w:tcW w:w="0" w:type="dxa"/>
            <w:vAlign w:val="bottom"/>
          </w:tcPr>
          <w:p>
            <w:pPr>
              <w:spacing w:after="0"/>
              <w:rPr>
                <w:sz w:val="1"/>
                <w:szCs w:val="1"/>
                <w:color w:val="auto"/>
              </w:rPr>
            </w:pPr>
          </w:p>
        </w:tc>
      </w:tr>
      <w:tr>
        <w:trPr>
          <w:trHeight w:val="177"/>
        </w:trPr>
        <w:tc>
          <w:tcPr>
            <w:tcW w:w="90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auto"/>
            </w:tcBorders>
            <w:shd w:val="clear" w:color="auto" w:fill="BFE4FF"/>
          </w:tcPr>
          <w:p>
            <w:pPr>
              <w:spacing w:after="0"/>
              <w:rPr>
                <w:sz w:val="15"/>
                <w:szCs w:val="15"/>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76"/>
        </w:trPr>
        <w:tc>
          <w:tcPr>
            <w:tcW w:w="9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54,107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285" w:right="20" w:hanging="285"/>
        <w:spacing w:after="0" w:line="258" w:lineRule="auto"/>
        <w:tabs>
          <w:tab w:leader="none" w:pos="27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714184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36</w:t>
      </w:r>
    </w:p>
    <w:p>
      <w:pPr>
        <w:sectPr>
          <w:pgSz w:w="11900" w:h="16838" w:orient="portrait"/>
          <w:cols w:equalWidth="0" w:num="1">
            <w:col w:w="11265"/>
          </w:cols>
          <w:pgMar w:left="315" w:top="401" w:right="319" w:bottom="1440" w:gutter="0" w:footer="0" w:header="0"/>
        </w:sectPr>
      </w:pPr>
    </w:p>
    <w:bookmarkStart w:id="48" w:name="page49"/>
    <w:bookmarkEnd w:id="48"/>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 w:right="120"/>
        <w:spacing w:after="0" w:line="249" w:lineRule="auto"/>
        <w:rPr>
          <w:sz w:val="20"/>
          <w:szCs w:val="20"/>
          <w:color w:val="auto"/>
        </w:rPr>
      </w:pPr>
      <w:r>
        <w:rPr>
          <w:rFonts w:ascii="Times New Roman" w:cs="Times New Roman" w:eastAsia="Times New Roman" w:hAnsi="Times New Roman"/>
          <w:sz w:val="13"/>
          <w:szCs w:val="13"/>
          <w:b w:val="1"/>
          <w:bCs w:val="1"/>
          <w:color w:val="auto"/>
        </w:rPr>
        <w:t xml:space="preserve">Same-Store Portfolio and Non-Same Store Portfolio: </w:t>
      </w:r>
      <w:r>
        <w:rPr>
          <w:rFonts w:ascii="Times New Roman" w:cs="Times New Roman" w:eastAsia="Times New Roman" w:hAnsi="Times New Roman"/>
          <w:sz w:val="13"/>
          <w:szCs w:val="13"/>
          <w:color w:val="auto"/>
        </w:rPr>
        <w:t>Information provided on a same-store basis includes the results of properties that we owned and operated for the entirety of both periods being compared except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properties for which significant redevelopment or expansion occurred during either of the periods being compared, properties under development, properties classified as held for development and properties classified as discontinued operations. The following table shows the properties included in the same-store and non-same store portfolio for the comparative periods presented. A reconciliation of Same-Store Cash NOI to Net Income is presented below:</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 xml:space="preserve">Three Months Ended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66"/>
        </w:trPr>
        <w:tc>
          <w:tcPr>
            <w:tcW w:w="9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Same-Store Cash NOI Comparison to Operating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9020" w:type="dxa"/>
            <w:vAlign w:val="bottom"/>
            <w:tcBorders>
              <w:bottom w:val="single" w:sz="8" w:color="BFE4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BFE4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5"/>
        </w:trPr>
        <w:tc>
          <w:tcPr>
            <w:tcW w:w="9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Same-Store Cash NOI</w:t>
            </w:r>
          </w:p>
        </w:tc>
        <w:tc>
          <w:tcPr>
            <w:tcW w:w="240" w:type="dxa"/>
            <w:vAlign w:val="bottom"/>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66,371</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66,382</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BFE4FF"/>
            </w:tcBorders>
          </w:tcPr>
          <w:p>
            <w:pPr>
              <w:ind w:left="120"/>
              <w:spacing w:after="0"/>
              <w:rPr>
                <w:sz w:val="20"/>
                <w:szCs w:val="20"/>
                <w:color w:val="auto"/>
              </w:rPr>
            </w:pPr>
            <w:r>
              <w:rPr>
                <w:rFonts w:ascii="Times New Roman" w:cs="Times New Roman" w:eastAsia="Times New Roman" w:hAnsi="Times New Roman"/>
                <w:sz w:val="13"/>
                <w:szCs w:val="13"/>
                <w:color w:val="auto"/>
              </w:rPr>
              <w:t>Non-Same Store Cash NOI</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Borders>
              <w:bottom w:val="single" w:sz="8" w:color="BFE4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76"/>
        </w:trPr>
        <w:tc>
          <w:tcPr>
            <w:tcW w:w="9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Total Cash NOI</w:t>
            </w:r>
          </w:p>
        </w:tc>
        <w:tc>
          <w:tcPr>
            <w:tcW w:w="240" w:type="dxa"/>
            <w:vAlign w:val="bottom"/>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66,086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66,962</w:t>
            </w:r>
          </w:p>
        </w:tc>
        <w:tc>
          <w:tcPr>
            <w:tcW w:w="0" w:type="dxa"/>
            <w:vAlign w:val="bottom"/>
          </w:tcPr>
          <w:p>
            <w:pPr>
              <w:spacing w:after="0"/>
              <w:rPr>
                <w:sz w:val="1"/>
                <w:szCs w:val="1"/>
                <w:color w:val="auto"/>
              </w:rPr>
            </w:pPr>
          </w:p>
        </w:tc>
      </w:tr>
      <w:tr>
        <w:trPr>
          <w:trHeight w:val="177"/>
        </w:trPr>
        <w:tc>
          <w:tcPr>
            <w:tcW w:w="9020" w:type="dxa"/>
            <w:vAlign w:val="bottom"/>
          </w:tcPr>
          <w:p>
            <w:pPr>
              <w:ind w:left="120"/>
              <w:spacing w:after="0" w:line="178" w:lineRule="exact"/>
              <w:rPr>
                <w:sz w:val="20"/>
                <w:szCs w:val="20"/>
                <w:color w:val="auto"/>
              </w:rPr>
            </w:pPr>
            <w:r>
              <w:rPr>
                <w:rFonts w:ascii="Times New Roman" w:cs="Times New Roman" w:eastAsia="Times New Roman" w:hAnsi="Times New Roman"/>
                <w:sz w:val="13"/>
                <w:szCs w:val="13"/>
                <w:color w:val="auto"/>
              </w:rPr>
              <w:t xml:space="preserve">Lease termination fees and tenant improvement reimbursements </w:t>
            </w:r>
            <w:r>
              <w:rPr>
                <w:rFonts w:ascii="Times New Roman" w:cs="Times New Roman" w:eastAsia="Times New Roman" w:hAnsi="Times New Roman"/>
                <w:sz w:val="16"/>
                <w:szCs w:val="16"/>
                <w:color w:val="auto"/>
                <w:vertAlign w:val="superscript"/>
              </w:rPr>
              <w:t>(2)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77"/>
        </w:trPr>
        <w:tc>
          <w:tcPr>
            <w:tcW w:w="9020" w:type="dxa"/>
            <w:vAlign w:val="bottom"/>
            <w:shd w:val="clear" w:color="auto" w:fill="BFE4FF"/>
          </w:tcPr>
          <w:p>
            <w:pPr>
              <w:ind w:left="120"/>
              <w:spacing w:after="0" w:line="178" w:lineRule="exact"/>
              <w:rPr>
                <w:sz w:val="20"/>
                <w:szCs w:val="20"/>
                <w:color w:val="auto"/>
              </w:rPr>
            </w:pPr>
            <w:r>
              <w:rPr>
                <w:rFonts w:ascii="Times New Roman" w:cs="Times New Roman" w:eastAsia="Times New Roman" w:hAnsi="Times New Roman"/>
                <w:sz w:val="13"/>
                <w:szCs w:val="13"/>
                <w:color w:val="auto"/>
              </w:rPr>
              <w:t xml:space="preserve">Non-cash revenue and other operating expenses </w:t>
            </w:r>
            <w:r>
              <w:rPr>
                <w:rFonts w:ascii="Times New Roman" w:cs="Times New Roman" w:eastAsia="Times New Roman" w:hAnsi="Times New Roman"/>
                <w:sz w:val="16"/>
                <w:szCs w:val="16"/>
                <w:color w:val="auto"/>
                <w:vertAlign w:val="superscript"/>
              </w:rPr>
              <w:t>(3)</w:t>
            </w: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0" w:type="dxa"/>
            <w:vAlign w:val="bottom"/>
          </w:tcPr>
          <w:p>
            <w:pPr>
              <w:spacing w:after="0"/>
              <w:rPr>
                <w:sz w:val="1"/>
                <w:szCs w:val="1"/>
                <w:color w:val="auto"/>
              </w:rPr>
            </w:pPr>
          </w:p>
        </w:tc>
      </w:tr>
      <w:tr>
        <w:trPr>
          <w:trHeight w:val="184"/>
        </w:trPr>
        <w:tc>
          <w:tcPr>
            <w:tcW w:w="90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(32,311)</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(30,494)</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176"/>
        </w:trPr>
        <w:tc>
          <w:tcPr>
            <w:tcW w:w="90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top w:val="single" w:sz="8" w:color="auto"/>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25,832</w:t>
            </w:r>
          </w:p>
        </w:tc>
        <w:tc>
          <w:tcPr>
            <w:tcW w:w="80" w:type="dxa"/>
            <w:vAlign w:val="bottom"/>
            <w:tcBorders>
              <w:top w:val="single" w:sz="8" w:color="BFE4FF"/>
            </w:tcBorders>
            <w:shd w:val="clear" w:color="auto" w:fill="BFE4FF"/>
          </w:tcPr>
          <w:p>
            <w:pPr>
              <w:spacing w:after="0"/>
              <w:rPr>
                <w:sz w:val="15"/>
                <w:szCs w:val="15"/>
                <w:color w:val="auto"/>
              </w:rPr>
            </w:pPr>
          </w:p>
        </w:tc>
        <w:tc>
          <w:tcPr>
            <w:tcW w:w="320" w:type="dxa"/>
            <w:vAlign w:val="bottom"/>
            <w:tcBorders>
              <w:top w:val="single" w:sz="8" w:color="auto"/>
            </w:tcBorders>
            <w:shd w:val="clear" w:color="auto" w:fill="BFE4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71,972</w:t>
            </w:r>
          </w:p>
        </w:tc>
        <w:tc>
          <w:tcPr>
            <w:tcW w:w="0" w:type="dxa"/>
            <w:vAlign w:val="bottom"/>
          </w:tcPr>
          <w:p>
            <w:pPr>
              <w:spacing w:after="0"/>
              <w:rPr>
                <w:sz w:val="1"/>
                <w:szCs w:val="1"/>
                <w:color w:val="auto"/>
              </w:rPr>
            </w:pPr>
          </w:p>
        </w:tc>
      </w:tr>
      <w:tr>
        <w:trPr>
          <w:trHeight w:val="171"/>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(18,780)</w:t>
            </w:r>
          </w:p>
        </w:tc>
        <w:tc>
          <w:tcPr>
            <w:tcW w:w="0" w:type="dxa"/>
            <w:vAlign w:val="bottom"/>
          </w:tcPr>
          <w:p>
            <w:pPr>
              <w:spacing w:after="0"/>
              <w:rPr>
                <w:sz w:val="1"/>
                <w:szCs w:val="1"/>
                <w:color w:val="auto"/>
              </w:rPr>
            </w:pPr>
          </w:p>
        </w:tc>
      </w:tr>
      <w:tr>
        <w:trPr>
          <w:trHeight w:val="177"/>
        </w:trPr>
        <w:tc>
          <w:tcPr>
            <w:tcW w:w="90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auto"/>
            </w:tcBorders>
            <w:shd w:val="clear" w:color="auto" w:fill="BFE4FF"/>
          </w:tcPr>
          <w:p>
            <w:pPr>
              <w:spacing w:after="0"/>
              <w:rPr>
                <w:sz w:val="15"/>
                <w:szCs w:val="15"/>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76"/>
        </w:trPr>
        <w:tc>
          <w:tcPr>
            <w:tcW w:w="9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54,107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85" w:right="40" w:hanging="285"/>
        <w:spacing w:after="0" w:line="248" w:lineRule="auto"/>
        <w:tabs>
          <w:tab w:leader="none" w:pos="27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2026, the 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ind w:left="285" w:right="60" w:hanging="285"/>
        <w:spacing w:after="0" w:line="250" w:lineRule="auto"/>
        <w:tabs>
          <w:tab w:leader="none" w:pos="27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1076325</wp:posOffset>
            </wp:positionV>
            <wp:extent cx="714184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37</w:t>
      </w:r>
    </w:p>
    <w:p>
      <w:pPr>
        <w:sectPr>
          <w:pgSz w:w="11900" w:h="16838" w:orient="portrait"/>
          <w:cols w:equalWidth="0" w:num="1">
            <w:col w:w="11265"/>
          </w:cols>
          <w:pgMar w:left="315" w:top="401" w:right="319" w:bottom="1440" w:gutter="0" w:footer="0" w:header="0"/>
        </w:sectPr>
      </w:pPr>
    </w:p>
    <w:bookmarkStart w:id="49" w:name="page50"/>
    <w:bookmarkEnd w:id="49"/>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285"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740" w:type="dxa"/>
            <w:vAlign w:val="bottom"/>
            <w:gridSpan w:val="4"/>
          </w:tcPr>
          <w:p>
            <w:pPr>
              <w:ind w:left="880"/>
              <w:spacing w:after="0"/>
              <w:rPr>
                <w:sz w:val="20"/>
                <w:szCs w:val="20"/>
                <w:color w:val="auto"/>
              </w:rPr>
            </w:pPr>
            <w:r>
              <w:rPr>
                <w:rFonts w:ascii="Times New Roman" w:cs="Times New Roman" w:eastAsia="Times New Roman" w:hAnsi="Times New Roman"/>
                <w:sz w:val="13"/>
                <w:szCs w:val="13"/>
                <w:b w:val="1"/>
                <w:bCs w:val="1"/>
                <w:color w:val="auto"/>
              </w:rPr>
              <w:t>Comparison of Three Months Ended</w:t>
            </w:r>
          </w:p>
        </w:tc>
      </w:tr>
      <w:tr>
        <w:trPr>
          <w:trHeight w:val="177"/>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March 31, 2026 to 2025</w:t>
            </w:r>
          </w:p>
        </w:tc>
      </w:tr>
      <w:tr>
        <w:trPr>
          <w:trHeight w:val="177"/>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w w:val="96"/>
              </w:rPr>
              <w:t>Same-Store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 Same-Store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Office Properties</w:t>
            </w:r>
          </w:p>
        </w:tc>
        <w:tc>
          <w:tcPr>
            <w:tcW w:w="6000" w:type="dxa"/>
            <w:vAlign w:val="bottom"/>
            <w:tcBorders>
              <w:bottom w:val="single" w:sz="8" w:color="CCEEFF"/>
            </w:tcBorders>
            <w:gridSpan w:val="4"/>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shd w:val="clear" w:color="auto" w:fill="CCEEFF"/>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6920" w:type="dxa"/>
            <w:vAlign w:val="bottom"/>
            <w:gridSpan w:val="6"/>
          </w:tcPr>
          <w:p>
            <w:pPr>
              <w:spacing w:after="0" w:line="178" w:lineRule="exact"/>
              <w:rPr>
                <w:sz w:val="20"/>
                <w:szCs w:val="20"/>
                <w:color w:val="auto"/>
              </w:rPr>
            </w:pPr>
            <w:r>
              <w:rPr>
                <w:rFonts w:ascii="Times New Roman" w:cs="Times New Roman" w:eastAsia="Times New Roman" w:hAnsi="Times New Roman"/>
                <w:sz w:val="13"/>
                <w:szCs w:val="13"/>
                <w:color w:val="auto"/>
              </w:rPr>
              <w:t xml:space="preserve">La Jolla Commons </w:t>
            </w:r>
            <w:r>
              <w:rPr>
                <w:rFonts w:ascii="Times New Roman" w:cs="Times New Roman" w:eastAsia="Times New Roman" w:hAnsi="Times New Roman"/>
                <w:sz w:val="16"/>
                <w:szCs w:val="16"/>
                <w:color w:val="auto"/>
                <w:vertAlign w:val="superscript"/>
              </w:rPr>
              <w:t>(1)</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77"/>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Coastal Collection at Torrey Reserve (formerly Torrey Reserve Campus)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Torrey Point</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Solana Crossing</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Landmark at One Market</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One Beach Street </w:t>
            </w:r>
            <w:r>
              <w:rPr>
                <w:rFonts w:ascii="Times New Roman" w:cs="Times New Roman" w:eastAsia="Times New Roman" w:hAnsi="Times New Roman"/>
                <w:sz w:val="16"/>
                <w:szCs w:val="16"/>
                <w:color w:val="auto"/>
                <w:vertAlign w:val="superscript"/>
              </w:rPr>
              <w:t>(2)</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First &amp; Main</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Lloyd Portfolio</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City Center Bellevue</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14Acres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Timber Ridge</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Timber Springs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6920" w:type="dxa"/>
            <w:vAlign w:val="bottom"/>
            <w:gridSpan w:val="6"/>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Retail Properties</w:t>
            </w: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Carmel Country Plaza</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Carmel Mountain Plaza</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Bay Marketplace</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Gateway Marketplace</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Lomas Santa Fe Plaza</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Solana Beach Towne Centre</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Geary Marketplace</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Shops at Kalakaua</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Waikele Center</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Alamo Quarry Market</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Hassalo on Eighth - Retail</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6920" w:type="dxa"/>
            <w:vAlign w:val="bottom"/>
            <w:gridSpan w:val="6"/>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Multifamily Properties</w:t>
            </w: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Loma Palisades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Imperial Beach Gardens</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Mariner's Point</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Santa Fe Park RV Resort</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Pacific Ridge Apartments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Genesee Park</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Hassalo on Eighth</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6920" w:type="dxa"/>
            <w:vAlign w:val="bottom"/>
            <w:gridSpan w:val="6"/>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Mixed-Use Properties</w:t>
            </w: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Waikiki Beach Walk - Retail</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Waikiki Beach Walk - Embassy Suites™</w:t>
            </w:r>
          </w:p>
        </w:tc>
        <w:tc>
          <w:tcPr>
            <w:tcW w:w="12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X</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gridSpan w:val="5"/>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w w:val="95"/>
              </w:rPr>
              <w:t>Development Properties</w:t>
            </w:r>
          </w:p>
        </w:tc>
        <w:tc>
          <w:tcPr>
            <w:tcW w:w="56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9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Solana Crossing - Land</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84"/>
        </w:trPr>
        <w:tc>
          <w:tcPr>
            <w:tcW w:w="20" w:type="dxa"/>
            <w:vAlign w:val="bottom"/>
            <w:shd w:val="clear" w:color="auto" w:fill="CCEEFF"/>
          </w:tcPr>
          <w:p>
            <w:pPr>
              <w:spacing w:after="0"/>
              <w:rPr>
                <w:sz w:val="15"/>
                <w:szCs w:val="15"/>
                <w:color w:val="auto"/>
              </w:rPr>
            </w:pPr>
          </w:p>
        </w:tc>
        <w:tc>
          <w:tcPr>
            <w:tcW w:w="6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Lloyd Portfolio - Land </w:t>
            </w:r>
            <w:r>
              <w:rPr>
                <w:rFonts w:ascii="Times New Roman" w:cs="Times New Roman" w:eastAsia="Times New Roman" w:hAnsi="Times New Roman"/>
                <w:sz w:val="16"/>
                <w:szCs w:val="16"/>
                <w:color w:val="auto"/>
                <w:vertAlign w:val="superscript"/>
              </w:rPr>
              <w:t>(2)</w:t>
            </w: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bl>
    <w:p>
      <w:pPr>
        <w:spacing w:after="0" w:line="63" w:lineRule="exact"/>
        <w:rPr>
          <w:sz w:val="20"/>
          <w:szCs w:val="20"/>
          <w:color w:val="auto"/>
        </w:rPr>
      </w:pPr>
    </w:p>
    <w:p>
      <w:pPr>
        <w:ind w:left="305" w:hanging="305"/>
        <w:spacing w:after="0"/>
        <w:tabs>
          <w:tab w:leader="none" w:pos="30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 Jolla Commons Tower III is considered non same-store, as it was placed into service on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184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1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38</w:t>
      </w:r>
    </w:p>
    <w:p>
      <w:pPr>
        <w:sectPr>
          <w:pgSz w:w="11900" w:h="16838" w:orient="portrait"/>
          <w:cols w:equalWidth="0" w:num="1">
            <w:col w:w="11225"/>
          </w:cols>
          <w:pgMar w:left="315" w:top="401" w:right="359" w:bottom="1440" w:gutter="0" w:footer="0" w:header="0"/>
        </w:sectPr>
      </w:pPr>
    </w:p>
    <w:bookmarkStart w:id="50" w:name="page51"/>
    <w:bookmarkEnd w:id="5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5" w:right="380" w:hanging="285"/>
        <w:spacing w:after="0" w:line="270" w:lineRule="auto"/>
        <w:tabs>
          <w:tab w:leader="none" w:pos="27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Beach Street and Lloyd Portfolio - Land were previously included as redevelopment property. One Beach Street is considered same-store for the three months ended March 31, 2026 since it was placed into operations on August 1, 2024. Lloyd Portfolio - Land is not leased and has no active redevelopment activity; as such it is included within the non-same-store portfolio.</w:t>
      </w:r>
    </w:p>
    <w:p>
      <w:pPr>
        <w:spacing w:after="0" w:line="182" w:lineRule="exact"/>
        <w:rPr>
          <w:sz w:val="20"/>
          <w:szCs w:val="20"/>
          <w:color w:val="auto"/>
        </w:rPr>
      </w:pPr>
    </w:p>
    <w:p>
      <w:pPr>
        <w:ind w:left="5" w:right="340"/>
        <w:spacing w:after="0" w:line="296" w:lineRule="auto"/>
        <w:rPr>
          <w:sz w:val="20"/>
          <w:szCs w:val="20"/>
          <w:color w:val="auto"/>
        </w:rPr>
      </w:pPr>
      <w:r>
        <w:rPr>
          <w:rFonts w:ascii="Times New Roman" w:cs="Times New Roman" w:eastAsia="Times New Roman" w:hAnsi="Times New Roman"/>
          <w:sz w:val="12"/>
          <w:szCs w:val="12"/>
          <w:b w:val="1"/>
          <w:bCs w:val="1"/>
          <w:color w:val="auto"/>
        </w:rPr>
        <w:t xml:space="preserve">Tenant Improvements and Incentives: </w:t>
      </w:r>
      <w:r>
        <w:rPr>
          <w:rFonts w:ascii="Times New Roman" w:cs="Times New Roman" w:eastAsia="Times New Roman" w:hAnsi="Times New Roman"/>
          <w:sz w:val="12"/>
          <w:szCs w:val="12"/>
          <w:color w:val="auto"/>
        </w:rPr>
        <w:t>Represents not only the total dollars committed for the improvement (fit-out) of a space as it relates to a specific lease but may also include base building costs (i.e. expansion,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escalators, new entrances, etc.) which are required to make the space leasable. Incentives include amounts paid to tenants as an inducement to sign a lease that do not represent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4184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First Quarter 2026 Supplemental Information</w:t>
      </w:r>
      <w:r>
        <w:rPr>
          <w:sz w:val="20"/>
          <w:szCs w:val="20"/>
          <w:color w:val="auto"/>
        </w:rPr>
        <w:tab/>
      </w:r>
      <w:r>
        <w:rPr>
          <w:rFonts w:ascii="Times New Roman" w:cs="Times New Roman" w:eastAsia="Times New Roman" w:hAnsi="Times New Roman"/>
          <w:sz w:val="15"/>
          <w:szCs w:val="15"/>
          <w:color w:val="003366"/>
        </w:rPr>
        <w:t>Page 39</w:t>
      </w:r>
    </w:p>
    <w:sectPr>
      <w:pgSz w:w="11900" w:h="16838" w:orient="portrait"/>
      <w:cols w:equalWidth="0" w:num="1">
        <w:col w:w="11225"/>
      </w:cols>
      <w:pgMar w:left="315" w:top="4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3"/>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lvl w:ilvl="1">
      <w:lvlJc w:val="left"/>
      <w:lvlText w:val="•"/>
      <w:numFmt w:val="bullet"/>
      <w:start w:val="1"/>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1"/>
    </w:lvl>
    <w:lvl w:ilvl="1">
      <w:lvlJc w:val="left"/>
      <w:lvlText w:val="(%2)"/>
      <w:numFmt w:val="lowerLetter"/>
      <w:start w:val="1"/>
    </w:lvl>
  </w:abstractNum>
  <w:abstractNum w:abstractNumId="21">
    <w:nsid w:val="2CA88611"/>
    <w:multiLevelType w:val="hybridMultilevel"/>
    <w:lvl w:ilvl="0">
      <w:lvlJc w:val="left"/>
      <w:lvlText w:val="(%1)"/>
      <w:numFmt w:val="decimal"/>
      <w:start w:val="10"/>
    </w:lvl>
    <w:lvl w:ilvl="1">
      <w:lvlJc w:val="left"/>
      <w:lvlText w:val="%2"/>
      <w:numFmt w:val="lowerLetter"/>
      <w:start w:val="1"/>
    </w:lvl>
  </w:abstractNum>
  <w:abstractNum w:abstractNumId="22">
    <w:nsid w:val="836C40E"/>
    <w:multiLevelType w:val="hybridMultilevel"/>
    <w:lvl w:ilvl="0">
      <w:lvlJc w:val="left"/>
      <w:lvlText w:val="(%1)"/>
      <w:numFmt w:val="decimal"/>
      <w:start w:val="1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2026-04-28T16:12:23Z</dcterms:created>
  <dcterms:modified xsi:type="dcterms:W3CDTF">2026-04-28T16:12:23Z</dcterms:modified>
</cp:coreProperties>
</file>