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7"/>
          <w:szCs w:val="27"/>
          <w:b w:val="1"/>
          <w:bCs w:val="1"/>
          <w:color w:val="auto"/>
        </w:rPr>
        <w:t>UNITED STATES</w:t>
      </w:r>
    </w:p>
    <w:p>
      <w:pPr>
        <w:spacing w:after="0" w:line="32" w:lineRule="exact"/>
        <w:rPr>
          <w:sz w:val="24"/>
          <w:szCs w:val="24"/>
          <w:color w:val="auto"/>
        </w:rPr>
      </w:pPr>
    </w:p>
    <w:p>
      <w:pPr>
        <w:jc w:val="center"/>
        <w:ind w:right="-19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99"/>
        <w:spacing w:after="0"/>
        <w:rPr>
          <w:sz w:val="20"/>
          <w:szCs w:val="20"/>
          <w:color w:val="auto"/>
        </w:rPr>
      </w:pPr>
      <w:r>
        <w:rPr>
          <w:rFonts w:ascii="Arial" w:cs="Arial" w:eastAsia="Arial" w:hAnsi="Arial"/>
          <w:sz w:val="17"/>
          <w:szCs w:val="17"/>
          <w:b w:val="1"/>
          <w:bCs w:val="1"/>
          <w:color w:val="auto"/>
        </w:rPr>
        <w:t>Washington, D.C. 20549</w:t>
      </w:r>
    </w:p>
    <w:p>
      <w:pPr>
        <w:spacing w:after="0" w:line="3" w:lineRule="exact"/>
        <w:rPr>
          <w:sz w:val="24"/>
          <w:szCs w:val="24"/>
          <w:color w:val="auto"/>
        </w:rPr>
      </w:pPr>
    </w:p>
    <w:p>
      <w:pPr>
        <w:ind w:left="4680"/>
        <w:spacing w:after="0"/>
        <w:rPr>
          <w:sz w:val="20"/>
          <w:szCs w:val="20"/>
          <w:color w:val="auto"/>
        </w:rPr>
      </w:pPr>
      <w:r>
        <w:rPr>
          <w:rFonts w:ascii="Arial" w:cs="Arial" w:eastAsia="Arial" w:hAnsi="Arial"/>
          <w:sz w:val="17"/>
          <w:szCs w:val="17"/>
          <w:b w:val="1"/>
          <w:bCs w:val="1"/>
          <w:color w:val="auto"/>
        </w:rPr>
        <w:t>_________________________</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27"/>
          <w:szCs w:val="27"/>
          <w:b w:val="1"/>
          <w:bCs w:val="1"/>
          <w:color w:val="auto"/>
        </w:rPr>
        <w:t>FORM 8-K</w:t>
      </w:r>
    </w:p>
    <w:p>
      <w:pPr>
        <w:spacing w:after="0" w:line="3" w:lineRule="exact"/>
        <w:rPr>
          <w:sz w:val="24"/>
          <w:szCs w:val="24"/>
          <w:color w:val="auto"/>
        </w:rPr>
      </w:pPr>
    </w:p>
    <w:p>
      <w:pPr>
        <w:ind w:left="4680"/>
        <w:spacing w:after="0"/>
        <w:rPr>
          <w:sz w:val="20"/>
          <w:szCs w:val="20"/>
          <w:color w:val="auto"/>
        </w:rPr>
      </w:pPr>
      <w:r>
        <w:rPr>
          <w:rFonts w:ascii="Arial" w:cs="Arial" w:eastAsia="Arial" w:hAnsi="Arial"/>
          <w:sz w:val="17"/>
          <w:szCs w:val="17"/>
          <w:b w:val="1"/>
          <w:bCs w:val="1"/>
          <w:color w:val="auto"/>
        </w:rPr>
        <w:t>_________________________</w:t>
      </w:r>
    </w:p>
    <w:p>
      <w:pPr>
        <w:spacing w:after="0" w:line="3"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color w:val="auto"/>
        </w:rPr>
        <w:t>CURRENT REPORT</w:t>
      </w:r>
    </w:p>
    <w:p>
      <w:pPr>
        <w:spacing w:after="0" w:line="191" w:lineRule="exact"/>
        <w:rPr>
          <w:sz w:val="24"/>
          <w:szCs w:val="24"/>
          <w:color w:val="auto"/>
        </w:rPr>
      </w:pPr>
    </w:p>
    <w:p>
      <w:pPr>
        <w:jc w:val="center"/>
        <w:ind w:right="-199"/>
        <w:spacing w:after="0"/>
        <w:rPr>
          <w:sz w:val="20"/>
          <w:szCs w:val="20"/>
          <w:color w:val="auto"/>
        </w:rPr>
      </w:pPr>
      <w:r>
        <w:rPr>
          <w:rFonts w:ascii="Arial" w:cs="Arial" w:eastAsia="Arial" w:hAnsi="Arial"/>
          <w:sz w:val="17"/>
          <w:szCs w:val="17"/>
          <w:b w:val="1"/>
          <w:bCs w:val="1"/>
          <w:color w:val="auto"/>
        </w:rPr>
        <w:t>Pursuant to Section 13 or 15(d) of the</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7"/>
          <w:szCs w:val="17"/>
          <w:b w:val="1"/>
          <w:bCs w:val="1"/>
          <w:color w:val="auto"/>
        </w:rPr>
        <w:t>Securities Exchange Act of 1934</w:t>
      </w:r>
    </w:p>
    <w:p>
      <w:pPr>
        <w:spacing w:after="0" w:line="188" w:lineRule="exact"/>
        <w:rPr>
          <w:sz w:val="24"/>
          <w:szCs w:val="24"/>
          <w:color w:val="auto"/>
        </w:rPr>
      </w:pPr>
    </w:p>
    <w:p>
      <w:pPr>
        <w:jc w:val="center"/>
        <w:ind w:right="-199"/>
        <w:spacing w:after="0"/>
        <w:rPr>
          <w:sz w:val="20"/>
          <w:szCs w:val="20"/>
          <w:color w:val="auto"/>
        </w:rPr>
      </w:pPr>
      <w:r>
        <w:rPr>
          <w:rFonts w:ascii="Arial" w:cs="Arial" w:eastAsia="Arial" w:hAnsi="Arial"/>
          <w:sz w:val="17"/>
          <w:szCs w:val="17"/>
          <w:b w:val="1"/>
          <w:bCs w:val="1"/>
          <w:color w:val="auto"/>
        </w:rPr>
        <w:t>Date of Report (Date of Earliest Event Reported):</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7"/>
          <w:szCs w:val="17"/>
          <w:b w:val="1"/>
          <w:bCs w:val="1"/>
          <w:color w:val="auto"/>
        </w:rPr>
        <w:t>January 9, 2018</w:t>
      </w:r>
    </w:p>
    <w:p>
      <w:pPr>
        <w:spacing w:after="0" w:line="4" w:lineRule="exact"/>
        <w:rPr>
          <w:sz w:val="24"/>
          <w:szCs w:val="24"/>
          <w:color w:val="auto"/>
        </w:rPr>
      </w:pPr>
    </w:p>
    <w:p>
      <w:pPr>
        <w:ind w:left="4680"/>
        <w:spacing w:after="0"/>
        <w:rPr>
          <w:sz w:val="20"/>
          <w:szCs w:val="20"/>
          <w:color w:val="auto"/>
        </w:rPr>
      </w:pPr>
      <w:r>
        <w:rPr>
          <w:rFonts w:ascii="Arial" w:cs="Arial" w:eastAsia="Arial" w:hAnsi="Arial"/>
          <w:sz w:val="17"/>
          <w:szCs w:val="17"/>
          <w:b w:val="1"/>
          <w:bCs w:val="1"/>
          <w:color w:val="auto"/>
        </w:rPr>
        <w:t>_________________________</w:t>
      </w:r>
    </w:p>
    <w:p>
      <w:pPr>
        <w:spacing w:after="0" w:line="4" w:lineRule="exact"/>
        <w:rPr>
          <w:sz w:val="24"/>
          <w:szCs w:val="24"/>
          <w:color w:val="auto"/>
        </w:rPr>
      </w:pPr>
    </w:p>
    <w:p>
      <w:pPr>
        <w:ind w:left="3340"/>
        <w:spacing w:after="0"/>
        <w:rPr>
          <w:sz w:val="20"/>
          <w:szCs w:val="20"/>
          <w:color w:val="auto"/>
        </w:rPr>
      </w:pPr>
      <w:r>
        <w:rPr>
          <w:rFonts w:ascii="Arial" w:cs="Arial" w:eastAsia="Arial" w:hAnsi="Arial"/>
          <w:sz w:val="40"/>
          <w:szCs w:val="40"/>
          <w:b w:val="1"/>
          <w:bCs w:val="1"/>
          <w:color w:val="auto"/>
        </w:rPr>
        <w:t>American Assets Trust, Inc.</w:t>
      </w:r>
    </w:p>
    <w:p>
      <w:pPr>
        <w:spacing w:after="0" w:line="23" w:lineRule="exact"/>
        <w:rPr>
          <w:sz w:val="24"/>
          <w:szCs w:val="24"/>
          <w:color w:val="auto"/>
        </w:rPr>
      </w:pPr>
    </w:p>
    <w:p>
      <w:pPr>
        <w:ind w:left="3340"/>
        <w:spacing w:after="0"/>
        <w:rPr>
          <w:sz w:val="20"/>
          <w:szCs w:val="20"/>
          <w:color w:val="auto"/>
        </w:rPr>
      </w:pPr>
      <w:r>
        <w:rPr>
          <w:rFonts w:ascii="Arial" w:cs="Arial" w:eastAsia="Arial" w:hAnsi="Arial"/>
          <w:sz w:val="40"/>
          <w:szCs w:val="40"/>
          <w:b w:val="1"/>
          <w:bCs w:val="1"/>
          <w:color w:val="auto"/>
        </w:rPr>
        <w:t>American Assets Trust, L.P.</w:t>
      </w:r>
    </w:p>
    <w:p>
      <w:pPr>
        <w:jc w:val="center"/>
        <w:ind w:right="-19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8" w:lineRule="exact"/>
        <w:rPr>
          <w:sz w:val="24"/>
          <w:szCs w:val="24"/>
          <w:color w:val="auto"/>
        </w:rPr>
      </w:pPr>
    </w:p>
    <w:p>
      <w:pPr>
        <w:ind w:left="4680"/>
        <w:spacing w:after="0"/>
        <w:rPr>
          <w:sz w:val="20"/>
          <w:szCs w:val="20"/>
          <w:color w:val="auto"/>
        </w:rPr>
      </w:pPr>
      <w:r>
        <w:rPr>
          <w:rFonts w:ascii="Arial" w:cs="Arial" w:eastAsia="Arial" w:hAnsi="Arial"/>
          <w:sz w:val="17"/>
          <w:szCs w:val="17"/>
          <w:b w:val="1"/>
          <w:bCs w:val="1"/>
          <w:color w:val="auto"/>
        </w:rPr>
        <w:t>_________________________</w:t>
      </w:r>
    </w:p>
    <w:p>
      <w:pPr>
        <w:spacing w:after="0" w:line="136" w:lineRule="exact"/>
        <w:rPr>
          <w:sz w:val="24"/>
          <w:szCs w:val="24"/>
          <w:color w:val="auto"/>
        </w:rPr>
      </w:pPr>
    </w:p>
    <w:tbl>
      <w:tblPr>
        <w:tblLayout w:type="fixed"/>
        <w:tblInd w:w="520" w:type="dxa"/>
        <w:tblCellMar>
          <w:top w:w="0" w:type="dxa"/>
          <w:left w:w="0" w:type="dxa"/>
          <w:bottom w:w="0" w:type="dxa"/>
          <w:right w:w="0" w:type="dxa"/>
        </w:tblCellMar>
      </w:tblPr>
      <w:tr>
        <w:trPr>
          <w:trHeight w:val="200"/>
        </w:trPr>
        <w:tc>
          <w:tcPr>
            <w:tcW w:w="3260" w:type="dxa"/>
            <w:vAlign w:val="bottom"/>
          </w:tcPr>
          <w:p>
            <w:pPr>
              <w:jc w:val="center"/>
              <w:ind w:right="324"/>
              <w:spacing w:after="0"/>
              <w:rPr>
                <w:sz w:val="20"/>
                <w:szCs w:val="20"/>
                <w:color w:val="auto"/>
              </w:rPr>
            </w:pPr>
            <w:r>
              <w:rPr>
                <w:rFonts w:ascii="Arial" w:cs="Arial" w:eastAsia="Arial" w:hAnsi="Arial"/>
                <w:sz w:val="17"/>
                <w:szCs w:val="17"/>
                <w:b w:val="1"/>
                <w:bCs w:val="1"/>
                <w:color w:val="auto"/>
                <w:w w:val="89"/>
              </w:rPr>
              <w:t>Maryland (American Assets Trust, Inc.)</w:t>
            </w:r>
          </w:p>
        </w:tc>
        <w:tc>
          <w:tcPr>
            <w:tcW w:w="3900" w:type="dxa"/>
            <w:vAlign w:val="bottom"/>
          </w:tcPr>
          <w:p>
            <w:pPr>
              <w:jc w:val="center"/>
              <w:ind w:left="25"/>
              <w:spacing w:after="0"/>
              <w:rPr>
                <w:sz w:val="20"/>
                <w:szCs w:val="20"/>
                <w:color w:val="auto"/>
              </w:rPr>
            </w:pPr>
            <w:r>
              <w:rPr>
                <w:rFonts w:ascii="Arial" w:cs="Arial" w:eastAsia="Arial" w:hAnsi="Arial"/>
                <w:sz w:val="17"/>
                <w:szCs w:val="17"/>
                <w:b w:val="1"/>
                <w:bCs w:val="1"/>
                <w:color w:val="auto"/>
                <w:w w:val="88"/>
              </w:rPr>
              <w:t>001-35030 (American Assets Trust, Inc.)</w:t>
            </w:r>
          </w:p>
        </w:tc>
        <w:tc>
          <w:tcPr>
            <w:tcW w:w="3340" w:type="dxa"/>
            <w:vAlign w:val="bottom"/>
          </w:tcPr>
          <w:p>
            <w:pPr>
              <w:jc w:val="center"/>
              <w:ind w:left="325"/>
              <w:spacing w:after="0"/>
              <w:rPr>
                <w:sz w:val="20"/>
                <w:szCs w:val="20"/>
                <w:color w:val="auto"/>
              </w:rPr>
            </w:pPr>
            <w:r>
              <w:rPr>
                <w:rFonts w:ascii="Arial" w:cs="Arial" w:eastAsia="Arial" w:hAnsi="Arial"/>
                <w:sz w:val="17"/>
                <w:szCs w:val="17"/>
                <w:b w:val="1"/>
                <w:bCs w:val="1"/>
                <w:color w:val="auto"/>
                <w:w w:val="88"/>
              </w:rPr>
              <w:t>27-3338708 (American Assets Trust, Inc.)</w:t>
            </w:r>
          </w:p>
        </w:tc>
      </w:tr>
      <w:tr>
        <w:trPr>
          <w:trHeight w:val="196"/>
        </w:trPr>
        <w:tc>
          <w:tcPr>
            <w:tcW w:w="3260" w:type="dxa"/>
            <w:vAlign w:val="bottom"/>
          </w:tcPr>
          <w:p>
            <w:pPr>
              <w:jc w:val="center"/>
              <w:ind w:right="324"/>
              <w:spacing w:after="0"/>
              <w:rPr>
                <w:sz w:val="20"/>
                <w:szCs w:val="20"/>
                <w:color w:val="auto"/>
              </w:rPr>
            </w:pPr>
            <w:r>
              <w:rPr>
                <w:rFonts w:ascii="Arial" w:cs="Arial" w:eastAsia="Arial" w:hAnsi="Arial"/>
                <w:sz w:val="17"/>
                <w:szCs w:val="17"/>
                <w:b w:val="1"/>
                <w:bCs w:val="1"/>
                <w:color w:val="auto"/>
                <w:w w:val="90"/>
              </w:rPr>
              <w:t>Maryland (American Assets Trust, L.P.)</w:t>
            </w:r>
          </w:p>
        </w:tc>
        <w:tc>
          <w:tcPr>
            <w:tcW w:w="3900" w:type="dxa"/>
            <w:vAlign w:val="bottom"/>
          </w:tcPr>
          <w:p>
            <w:pPr>
              <w:jc w:val="center"/>
              <w:ind w:left="25"/>
              <w:spacing w:after="0"/>
              <w:rPr>
                <w:sz w:val="20"/>
                <w:szCs w:val="20"/>
                <w:color w:val="auto"/>
              </w:rPr>
            </w:pPr>
            <w:r>
              <w:rPr>
                <w:rFonts w:ascii="Arial" w:cs="Arial" w:eastAsia="Arial" w:hAnsi="Arial"/>
                <w:sz w:val="17"/>
                <w:szCs w:val="17"/>
                <w:b w:val="1"/>
                <w:bCs w:val="1"/>
                <w:color w:val="auto"/>
                <w:w w:val="88"/>
              </w:rPr>
              <w:t>333-202342-01 (American Assets Trust, L.P.)</w:t>
            </w:r>
          </w:p>
        </w:tc>
        <w:tc>
          <w:tcPr>
            <w:tcW w:w="3340" w:type="dxa"/>
            <w:vAlign w:val="bottom"/>
          </w:tcPr>
          <w:p>
            <w:pPr>
              <w:jc w:val="center"/>
              <w:ind w:left="325"/>
              <w:spacing w:after="0"/>
              <w:rPr>
                <w:sz w:val="20"/>
                <w:szCs w:val="20"/>
                <w:color w:val="auto"/>
              </w:rPr>
            </w:pPr>
            <w:r>
              <w:rPr>
                <w:rFonts w:ascii="Arial" w:cs="Arial" w:eastAsia="Arial" w:hAnsi="Arial"/>
                <w:sz w:val="17"/>
                <w:szCs w:val="17"/>
                <w:b w:val="1"/>
                <w:bCs w:val="1"/>
                <w:color w:val="auto"/>
                <w:w w:val="88"/>
              </w:rPr>
              <w:t>27-3338894 (American Assets Trust, L.P.)</w:t>
            </w:r>
          </w:p>
        </w:tc>
      </w:tr>
      <w:tr>
        <w:trPr>
          <w:trHeight w:val="137"/>
        </w:trPr>
        <w:tc>
          <w:tcPr>
            <w:tcW w:w="3260" w:type="dxa"/>
            <w:vAlign w:val="bottom"/>
          </w:tcPr>
          <w:p>
            <w:pPr>
              <w:jc w:val="center"/>
              <w:ind w:right="344"/>
              <w:spacing w:after="0" w:line="138" w:lineRule="exact"/>
              <w:rPr>
                <w:sz w:val="20"/>
                <w:szCs w:val="20"/>
                <w:color w:val="auto"/>
              </w:rPr>
            </w:pPr>
            <w:r>
              <w:rPr>
                <w:rFonts w:ascii="Arial" w:cs="Arial" w:eastAsia="Arial" w:hAnsi="Arial"/>
                <w:sz w:val="13"/>
                <w:szCs w:val="13"/>
                <w:b w:val="1"/>
                <w:bCs w:val="1"/>
                <w:color w:val="auto"/>
                <w:w w:val="93"/>
              </w:rPr>
              <w:t>(State or other jurisdiction</w:t>
            </w:r>
          </w:p>
        </w:tc>
        <w:tc>
          <w:tcPr>
            <w:tcW w:w="3900" w:type="dxa"/>
            <w:vAlign w:val="bottom"/>
          </w:tcPr>
          <w:p>
            <w:pPr>
              <w:jc w:val="center"/>
              <w:ind w:left="25"/>
              <w:spacing w:after="0" w:line="138" w:lineRule="exact"/>
              <w:rPr>
                <w:sz w:val="20"/>
                <w:szCs w:val="20"/>
                <w:color w:val="auto"/>
              </w:rPr>
            </w:pPr>
            <w:r>
              <w:rPr>
                <w:rFonts w:ascii="Arial" w:cs="Arial" w:eastAsia="Arial" w:hAnsi="Arial"/>
                <w:sz w:val="13"/>
                <w:szCs w:val="13"/>
                <w:b w:val="1"/>
                <w:bCs w:val="1"/>
                <w:color w:val="auto"/>
                <w:w w:val="92"/>
              </w:rPr>
              <w:t>(Commission</w:t>
            </w:r>
          </w:p>
        </w:tc>
        <w:tc>
          <w:tcPr>
            <w:tcW w:w="3340" w:type="dxa"/>
            <w:vAlign w:val="bottom"/>
          </w:tcPr>
          <w:p>
            <w:pPr>
              <w:jc w:val="center"/>
              <w:ind w:left="305"/>
              <w:spacing w:after="0" w:line="138" w:lineRule="exact"/>
              <w:rPr>
                <w:sz w:val="20"/>
                <w:szCs w:val="20"/>
                <w:color w:val="auto"/>
              </w:rPr>
            </w:pPr>
            <w:r>
              <w:rPr>
                <w:rFonts w:ascii="Arial" w:cs="Arial" w:eastAsia="Arial" w:hAnsi="Arial"/>
                <w:sz w:val="13"/>
                <w:szCs w:val="13"/>
                <w:b w:val="1"/>
                <w:bCs w:val="1"/>
                <w:color w:val="auto"/>
                <w:w w:val="96"/>
              </w:rPr>
              <w:t>(I.R.S. Employer</w:t>
            </w:r>
          </w:p>
        </w:tc>
      </w:tr>
      <w:tr>
        <w:trPr>
          <w:trHeight w:val="173"/>
        </w:trPr>
        <w:tc>
          <w:tcPr>
            <w:tcW w:w="3260" w:type="dxa"/>
            <w:vAlign w:val="bottom"/>
          </w:tcPr>
          <w:p>
            <w:pPr>
              <w:jc w:val="center"/>
              <w:ind w:right="324"/>
              <w:spacing w:after="0"/>
              <w:rPr>
                <w:sz w:val="20"/>
                <w:szCs w:val="20"/>
                <w:color w:val="auto"/>
              </w:rPr>
            </w:pPr>
            <w:r>
              <w:rPr>
                <w:rFonts w:ascii="Arial" w:cs="Arial" w:eastAsia="Arial" w:hAnsi="Arial"/>
                <w:sz w:val="13"/>
                <w:szCs w:val="13"/>
                <w:b w:val="1"/>
                <w:bCs w:val="1"/>
                <w:color w:val="auto"/>
                <w:w w:val="94"/>
              </w:rPr>
              <w:t>of incorporation)</w:t>
            </w:r>
          </w:p>
        </w:tc>
        <w:tc>
          <w:tcPr>
            <w:tcW w:w="3900" w:type="dxa"/>
            <w:vAlign w:val="bottom"/>
          </w:tcPr>
          <w:p>
            <w:pPr>
              <w:jc w:val="center"/>
              <w:ind w:left="25"/>
              <w:spacing w:after="0"/>
              <w:rPr>
                <w:sz w:val="20"/>
                <w:szCs w:val="20"/>
                <w:color w:val="auto"/>
              </w:rPr>
            </w:pPr>
            <w:r>
              <w:rPr>
                <w:rFonts w:ascii="Arial" w:cs="Arial" w:eastAsia="Arial" w:hAnsi="Arial"/>
                <w:sz w:val="13"/>
                <w:szCs w:val="13"/>
                <w:b w:val="1"/>
                <w:bCs w:val="1"/>
                <w:color w:val="auto"/>
                <w:w w:val="93"/>
              </w:rPr>
              <w:t>File No.)</w:t>
            </w:r>
          </w:p>
        </w:tc>
        <w:tc>
          <w:tcPr>
            <w:tcW w:w="3340" w:type="dxa"/>
            <w:vAlign w:val="bottom"/>
          </w:tcPr>
          <w:p>
            <w:pPr>
              <w:jc w:val="center"/>
              <w:ind w:left="305"/>
              <w:spacing w:after="0"/>
              <w:rPr>
                <w:sz w:val="20"/>
                <w:szCs w:val="20"/>
                <w:color w:val="auto"/>
              </w:rPr>
            </w:pPr>
            <w:r>
              <w:rPr>
                <w:rFonts w:ascii="Arial" w:cs="Arial" w:eastAsia="Arial" w:hAnsi="Arial"/>
                <w:sz w:val="13"/>
                <w:szCs w:val="13"/>
                <w:b w:val="1"/>
                <w:bCs w:val="1"/>
                <w:color w:val="auto"/>
                <w:w w:val="94"/>
              </w:rPr>
              <w:t>Identification No.)</w:t>
            </w:r>
          </w:p>
        </w:tc>
      </w:tr>
      <w:tr>
        <w:trPr>
          <w:trHeight w:val="218"/>
        </w:trPr>
        <w:tc>
          <w:tcPr>
            <w:tcW w:w="3260" w:type="dxa"/>
            <w:vAlign w:val="bottom"/>
          </w:tcPr>
          <w:p>
            <w:pPr>
              <w:jc w:val="center"/>
              <w:ind w:left="564"/>
              <w:spacing w:after="0"/>
              <w:rPr>
                <w:sz w:val="20"/>
                <w:szCs w:val="20"/>
                <w:color w:val="auto"/>
              </w:rPr>
            </w:pPr>
            <w:r>
              <w:rPr>
                <w:rFonts w:ascii="Arial" w:cs="Arial" w:eastAsia="Arial" w:hAnsi="Arial"/>
                <w:sz w:val="17"/>
                <w:szCs w:val="17"/>
                <w:b w:val="1"/>
                <w:bCs w:val="1"/>
                <w:color w:val="auto"/>
                <w:w w:val="88"/>
              </w:rPr>
              <w:t>11455 El Camino Real, Suite 200</w:t>
            </w:r>
          </w:p>
        </w:tc>
        <w:tc>
          <w:tcPr>
            <w:tcW w:w="390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196"/>
        </w:trPr>
        <w:tc>
          <w:tcPr>
            <w:tcW w:w="3260" w:type="dxa"/>
            <w:vAlign w:val="bottom"/>
          </w:tcPr>
          <w:p>
            <w:pPr>
              <w:jc w:val="center"/>
              <w:ind w:left="564"/>
              <w:spacing w:after="0"/>
              <w:rPr>
                <w:sz w:val="20"/>
                <w:szCs w:val="20"/>
                <w:color w:val="auto"/>
              </w:rPr>
            </w:pPr>
            <w:r>
              <w:rPr>
                <w:rFonts w:ascii="Arial" w:cs="Arial" w:eastAsia="Arial" w:hAnsi="Arial"/>
                <w:sz w:val="17"/>
                <w:szCs w:val="17"/>
                <w:b w:val="1"/>
                <w:bCs w:val="1"/>
                <w:color w:val="auto"/>
                <w:w w:val="88"/>
              </w:rPr>
              <w:t>San Diego, California 92130</w:t>
            </w:r>
          </w:p>
        </w:tc>
        <w:tc>
          <w:tcPr>
            <w:tcW w:w="3900" w:type="dxa"/>
            <w:vAlign w:val="bottom"/>
          </w:tcPr>
          <w:p>
            <w:pPr>
              <w:spacing w:after="0"/>
              <w:rPr>
                <w:sz w:val="17"/>
                <w:szCs w:val="17"/>
                <w:color w:val="auto"/>
              </w:rPr>
            </w:pPr>
          </w:p>
        </w:tc>
        <w:tc>
          <w:tcPr>
            <w:tcW w:w="3340" w:type="dxa"/>
            <w:vAlign w:val="bottom"/>
          </w:tcPr>
          <w:p>
            <w:pPr>
              <w:jc w:val="right"/>
              <w:ind w:right="2565"/>
              <w:spacing w:after="0"/>
              <w:rPr>
                <w:sz w:val="20"/>
                <w:szCs w:val="20"/>
                <w:color w:val="auto"/>
              </w:rPr>
            </w:pPr>
            <w:r>
              <w:rPr>
                <w:rFonts w:ascii="Arial" w:cs="Arial" w:eastAsia="Arial" w:hAnsi="Arial"/>
                <w:sz w:val="17"/>
                <w:szCs w:val="17"/>
                <w:b w:val="1"/>
                <w:bCs w:val="1"/>
                <w:color w:val="auto"/>
              </w:rPr>
              <w:t>92130</w:t>
            </w:r>
          </w:p>
        </w:tc>
      </w:tr>
      <w:tr>
        <w:trPr>
          <w:trHeight w:val="173"/>
        </w:trPr>
        <w:tc>
          <w:tcPr>
            <w:tcW w:w="3260" w:type="dxa"/>
            <w:vAlign w:val="bottom"/>
          </w:tcPr>
          <w:p>
            <w:pPr>
              <w:jc w:val="center"/>
              <w:ind w:left="544"/>
              <w:spacing w:after="0"/>
              <w:rPr>
                <w:sz w:val="20"/>
                <w:szCs w:val="20"/>
                <w:color w:val="auto"/>
              </w:rPr>
            </w:pPr>
            <w:r>
              <w:rPr>
                <w:rFonts w:ascii="Arial" w:cs="Arial" w:eastAsia="Arial" w:hAnsi="Arial"/>
                <w:sz w:val="13"/>
                <w:szCs w:val="13"/>
                <w:b w:val="1"/>
                <w:bCs w:val="1"/>
                <w:color w:val="auto"/>
                <w:w w:val="90"/>
              </w:rPr>
              <w:t>(Address of principal executive offices)</w:t>
            </w:r>
          </w:p>
        </w:tc>
        <w:tc>
          <w:tcPr>
            <w:tcW w:w="3900" w:type="dxa"/>
            <w:vAlign w:val="bottom"/>
          </w:tcPr>
          <w:p>
            <w:pPr>
              <w:spacing w:after="0"/>
              <w:rPr>
                <w:sz w:val="15"/>
                <w:szCs w:val="15"/>
                <w:color w:val="auto"/>
              </w:rPr>
            </w:pPr>
          </w:p>
        </w:tc>
        <w:tc>
          <w:tcPr>
            <w:tcW w:w="3340" w:type="dxa"/>
            <w:vAlign w:val="bottom"/>
          </w:tcPr>
          <w:p>
            <w:pPr>
              <w:jc w:val="center"/>
              <w:ind w:right="2245"/>
              <w:spacing w:after="0"/>
              <w:rPr>
                <w:sz w:val="20"/>
                <w:szCs w:val="20"/>
                <w:color w:val="auto"/>
              </w:rPr>
            </w:pPr>
            <w:r>
              <w:rPr>
                <w:rFonts w:ascii="Arial" w:cs="Arial" w:eastAsia="Arial" w:hAnsi="Arial"/>
                <w:sz w:val="13"/>
                <w:szCs w:val="13"/>
                <w:b w:val="1"/>
                <w:bCs w:val="1"/>
                <w:color w:val="auto"/>
                <w:w w:val="96"/>
              </w:rPr>
              <w:t>(Zip Code)</w:t>
            </w:r>
          </w:p>
        </w:tc>
      </w:tr>
      <w:tr>
        <w:trPr>
          <w:trHeight w:val="215"/>
        </w:trPr>
        <w:tc>
          <w:tcPr>
            <w:tcW w:w="3260" w:type="dxa"/>
            <w:vAlign w:val="bottom"/>
          </w:tcPr>
          <w:p>
            <w:pPr>
              <w:spacing w:after="0"/>
              <w:rPr>
                <w:sz w:val="18"/>
                <w:szCs w:val="18"/>
                <w:color w:val="auto"/>
              </w:rPr>
            </w:pPr>
          </w:p>
        </w:tc>
        <w:tc>
          <w:tcPr>
            <w:tcW w:w="3900" w:type="dxa"/>
            <w:vAlign w:val="bottom"/>
          </w:tcPr>
          <w:p>
            <w:pPr>
              <w:jc w:val="center"/>
              <w:ind w:right="5"/>
              <w:spacing w:after="0"/>
              <w:rPr>
                <w:sz w:val="20"/>
                <w:szCs w:val="20"/>
                <w:color w:val="auto"/>
              </w:rPr>
            </w:pPr>
            <w:r>
              <w:rPr>
                <w:rFonts w:ascii="Arial" w:cs="Arial" w:eastAsia="Arial" w:hAnsi="Arial"/>
                <w:sz w:val="15"/>
                <w:szCs w:val="15"/>
                <w:b w:val="1"/>
                <w:bCs w:val="1"/>
                <w:color w:val="auto"/>
                <w:w w:val="91"/>
              </w:rPr>
              <w:t>(858) 350-2600</w:t>
            </w:r>
          </w:p>
        </w:tc>
        <w:tc>
          <w:tcPr>
            <w:tcW w:w="3340" w:type="dxa"/>
            <w:vAlign w:val="bottom"/>
          </w:tcPr>
          <w:p>
            <w:pPr>
              <w:spacing w:after="0"/>
              <w:rPr>
                <w:sz w:val="18"/>
                <w:szCs w:val="18"/>
                <w:color w:val="auto"/>
              </w:rPr>
            </w:pPr>
          </w:p>
        </w:tc>
      </w:tr>
      <w:tr>
        <w:trPr>
          <w:trHeight w:val="173"/>
        </w:trPr>
        <w:tc>
          <w:tcPr>
            <w:tcW w:w="3260" w:type="dxa"/>
            <w:vAlign w:val="bottom"/>
          </w:tcPr>
          <w:p>
            <w:pPr>
              <w:spacing w:after="0"/>
              <w:rPr>
                <w:sz w:val="15"/>
                <w:szCs w:val="15"/>
                <w:color w:val="auto"/>
              </w:rPr>
            </w:pPr>
          </w:p>
        </w:tc>
        <w:tc>
          <w:tcPr>
            <w:tcW w:w="3900" w:type="dxa"/>
            <w:vAlign w:val="bottom"/>
          </w:tcPr>
          <w:p>
            <w:pPr>
              <w:jc w:val="center"/>
              <w:spacing w:after="0"/>
              <w:rPr>
                <w:sz w:val="20"/>
                <w:szCs w:val="20"/>
                <w:color w:val="auto"/>
              </w:rPr>
            </w:pPr>
            <w:r>
              <w:rPr>
                <w:rFonts w:ascii="Arial" w:cs="Arial" w:eastAsia="Arial" w:hAnsi="Arial"/>
                <w:sz w:val="13"/>
                <w:szCs w:val="13"/>
                <w:b w:val="1"/>
                <w:bCs w:val="1"/>
                <w:color w:val="auto"/>
                <w:w w:val="91"/>
              </w:rPr>
              <w:t>Registrant’s telephone number, including area code:</w:t>
            </w:r>
          </w:p>
        </w:tc>
        <w:tc>
          <w:tcPr>
            <w:tcW w:w="3340" w:type="dxa"/>
            <w:vAlign w:val="bottom"/>
          </w:tcPr>
          <w:p>
            <w:pPr>
              <w:spacing w:after="0"/>
              <w:rPr>
                <w:sz w:val="15"/>
                <w:szCs w:val="15"/>
                <w:color w:val="auto"/>
              </w:rPr>
            </w:pPr>
          </w:p>
        </w:tc>
      </w:tr>
      <w:tr>
        <w:trPr>
          <w:trHeight w:val="215"/>
        </w:trPr>
        <w:tc>
          <w:tcPr>
            <w:tcW w:w="326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Arial" w:cs="Arial" w:eastAsia="Arial" w:hAnsi="Arial"/>
                <w:sz w:val="17"/>
                <w:szCs w:val="17"/>
                <w:b w:val="1"/>
                <w:bCs w:val="1"/>
                <w:color w:val="auto"/>
                <w:w w:val="89"/>
              </w:rPr>
              <w:t>Not Applicable</w:t>
            </w:r>
          </w:p>
        </w:tc>
        <w:tc>
          <w:tcPr>
            <w:tcW w:w="3340" w:type="dxa"/>
            <w:vAlign w:val="bottom"/>
          </w:tcPr>
          <w:p>
            <w:pPr>
              <w:spacing w:after="0"/>
              <w:rPr>
                <w:sz w:val="18"/>
                <w:szCs w:val="18"/>
                <w:color w:val="auto"/>
              </w:rPr>
            </w:pPr>
          </w:p>
        </w:tc>
      </w:tr>
      <w:tr>
        <w:trPr>
          <w:trHeight w:val="166"/>
        </w:trPr>
        <w:tc>
          <w:tcPr>
            <w:tcW w:w="3260" w:type="dxa"/>
            <w:vAlign w:val="bottom"/>
          </w:tcPr>
          <w:p>
            <w:pPr>
              <w:spacing w:after="0"/>
              <w:rPr>
                <w:sz w:val="14"/>
                <w:szCs w:val="14"/>
                <w:color w:val="auto"/>
              </w:rPr>
            </w:pPr>
          </w:p>
        </w:tc>
        <w:tc>
          <w:tcPr>
            <w:tcW w:w="3900" w:type="dxa"/>
            <w:vAlign w:val="bottom"/>
          </w:tcPr>
          <w:p>
            <w:pPr>
              <w:jc w:val="center"/>
              <w:spacing w:after="0"/>
              <w:rPr>
                <w:sz w:val="20"/>
                <w:szCs w:val="20"/>
                <w:color w:val="auto"/>
              </w:rPr>
            </w:pPr>
            <w:r>
              <w:rPr>
                <w:rFonts w:ascii="Arial" w:cs="Arial" w:eastAsia="Arial" w:hAnsi="Arial"/>
                <w:sz w:val="13"/>
                <w:szCs w:val="13"/>
                <w:b w:val="1"/>
                <w:bCs w:val="1"/>
                <w:color w:val="auto"/>
                <w:w w:val="92"/>
              </w:rPr>
              <w:t>(Former name or former address, if changed since last report.)</w:t>
            </w:r>
          </w:p>
        </w:tc>
        <w:tc>
          <w:tcPr>
            <w:tcW w:w="3340" w:type="dxa"/>
            <w:vAlign w:val="bottom"/>
          </w:tcPr>
          <w:p>
            <w:pPr>
              <w:spacing w:after="0"/>
              <w:rPr>
                <w:sz w:val="14"/>
                <w:szCs w:val="14"/>
                <w:color w:val="auto"/>
              </w:rPr>
            </w:pPr>
          </w:p>
        </w:tc>
      </w:tr>
      <w:tr>
        <w:trPr>
          <w:trHeight w:val="216"/>
        </w:trPr>
        <w:tc>
          <w:tcPr>
            <w:tcW w:w="326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Arial" w:cs="Arial" w:eastAsia="Arial" w:hAnsi="Arial"/>
                <w:sz w:val="17"/>
                <w:szCs w:val="17"/>
                <w:b w:val="1"/>
                <w:bCs w:val="1"/>
                <w:color w:val="auto"/>
                <w:w w:val="88"/>
              </w:rPr>
              <w:t>_________________________</w:t>
            </w:r>
          </w:p>
        </w:tc>
        <w:tc>
          <w:tcPr>
            <w:tcW w:w="3340" w:type="dxa"/>
            <w:vAlign w:val="bottom"/>
          </w:tcPr>
          <w:p>
            <w:pPr>
              <w:spacing w:after="0"/>
              <w:rPr>
                <w:sz w:val="18"/>
                <w:szCs w:val="18"/>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480" w:hanging="455"/>
        <w:spacing w:after="0"/>
        <w:tabs>
          <w:tab w:leader="none" w:pos="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54" w:lineRule="exact"/>
        <w:rPr>
          <w:rFonts w:ascii="Arial" w:cs="Arial" w:eastAsia="Arial" w:hAnsi="Arial"/>
          <w:sz w:val="17"/>
          <w:szCs w:val="17"/>
          <w:color w:val="auto"/>
        </w:rPr>
      </w:pPr>
    </w:p>
    <w:p>
      <w:pPr>
        <w:ind w:left="480" w:hanging="455"/>
        <w:spacing w:after="0"/>
        <w:tabs>
          <w:tab w:leader="none" w:pos="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54" w:lineRule="exact"/>
        <w:rPr>
          <w:rFonts w:ascii="Arial" w:cs="Arial" w:eastAsia="Arial" w:hAnsi="Arial"/>
          <w:sz w:val="17"/>
          <w:szCs w:val="17"/>
          <w:color w:val="auto"/>
        </w:rPr>
      </w:pPr>
    </w:p>
    <w:p>
      <w:pPr>
        <w:ind w:left="480" w:hanging="455"/>
        <w:spacing w:after="0"/>
        <w:tabs>
          <w:tab w:leader="none" w:pos="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54" w:lineRule="exact"/>
        <w:rPr>
          <w:rFonts w:ascii="Arial" w:cs="Arial" w:eastAsia="Arial" w:hAnsi="Arial"/>
          <w:sz w:val="17"/>
          <w:szCs w:val="17"/>
          <w:color w:val="auto"/>
        </w:rPr>
      </w:pPr>
    </w:p>
    <w:p>
      <w:pPr>
        <w:ind w:left="480" w:hanging="455"/>
        <w:spacing w:after="0"/>
        <w:tabs>
          <w:tab w:leader="none" w:pos="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79" w:lineRule="exact"/>
        <w:rPr>
          <w:rFonts w:ascii="Arial" w:cs="Arial" w:eastAsia="Arial" w:hAnsi="Arial"/>
          <w:sz w:val="17"/>
          <w:szCs w:val="17"/>
          <w:color w:val="auto"/>
        </w:rPr>
      </w:pPr>
    </w:p>
    <w:p>
      <w:pPr>
        <w:ind w:left="480" w:right="40"/>
        <w:spacing w:after="0" w:line="260" w:lineRule="auto"/>
        <w:rPr>
          <w:rFonts w:ascii="Arial" w:cs="Arial" w:eastAsia="Arial" w:hAnsi="Arial"/>
          <w:sz w:val="17"/>
          <w:szCs w:val="17"/>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rFonts w:ascii="Arial" w:cs="Arial" w:eastAsia="Arial" w:hAnsi="Arial"/>
          <w:sz w:val="17"/>
          <w:szCs w:val="17"/>
          <w:color w:val="auto"/>
        </w:rPr>
      </w:pPr>
    </w:p>
    <w:p>
      <w:pPr>
        <w:ind w:left="480"/>
        <w:spacing w:after="0"/>
        <w:rPr>
          <w:rFonts w:ascii="Arial" w:cs="Arial" w:eastAsia="Arial" w:hAnsi="Arial"/>
          <w:sz w:val="17"/>
          <w:szCs w:val="17"/>
          <w:color w:val="auto"/>
        </w:rPr>
      </w:pPr>
      <w:r>
        <w:rPr>
          <w:rFonts w:ascii="Arial" w:cs="Arial" w:eastAsia="Arial" w:hAnsi="Arial"/>
          <w:sz w:val="17"/>
          <w:szCs w:val="17"/>
          <w:color w:val="auto"/>
        </w:rPr>
        <w:t>Emerging growth company o</w:t>
      </w:r>
    </w:p>
    <w:p>
      <w:pPr>
        <w:spacing w:after="0" w:line="54" w:lineRule="exact"/>
        <w:rPr>
          <w:rFonts w:ascii="Arial" w:cs="Arial" w:eastAsia="Arial" w:hAnsi="Arial"/>
          <w:sz w:val="17"/>
          <w:szCs w:val="17"/>
          <w:color w:val="auto"/>
        </w:rPr>
      </w:pPr>
    </w:p>
    <w:p>
      <w:pPr>
        <w:ind w:left="480" w:right="320"/>
        <w:spacing w:after="0" w:line="266" w:lineRule="auto"/>
        <w:rPr>
          <w:rFonts w:ascii="Arial" w:cs="Arial" w:eastAsia="Arial" w:hAnsi="Arial"/>
          <w:sz w:val="17"/>
          <w:szCs w:val="17"/>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220"/>
          </w:cols>
          <w:pgMar w:left="240" w:top="1184" w:right="4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7"/>
          <w:szCs w:val="17"/>
          <w:b w:val="1"/>
          <w:bCs w:val="1"/>
          <w:color w:val="auto"/>
        </w:rPr>
        <w:t>Item 1.01</w:t>
      </w:r>
      <w:r>
        <w:rPr>
          <w:sz w:val="20"/>
          <w:szCs w:val="20"/>
          <w:color w:val="auto"/>
        </w:rPr>
        <w:tab/>
      </w:r>
      <w:r>
        <w:rPr>
          <w:rFonts w:ascii="Arial" w:cs="Arial" w:eastAsia="Arial" w:hAnsi="Arial"/>
          <w:sz w:val="15"/>
          <w:szCs w:val="15"/>
          <w:b w:val="1"/>
          <w:bCs w:val="1"/>
          <w:color w:val="auto"/>
        </w:rPr>
        <w:t>Entry into a Material Definitive Agreement.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Second Amended and Restated Credit Agreement</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On January 9, 2018, American Assets Trust, Inc. (the “Company”) and American Assets Trust, L.P. (the “Operating Partnership”) entered into the Second Amended and Restated Credit Agreement (the “Second Amended and Restated Credit Agreement”) with the lenders from time to time party thereto, Bank of America, N.A., as Administrative Agent, and other entities named therein, which amends and restates the Amended and Restated Credit Agreement dated January 9, 2014 (as amended, the “Prior Credit Agreement”).</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Second Amended and Restated Credit Agreement provides for aggregate, unsecured borrowings of up to $450 million, consisting of a revolving line of credit of $350 million (the “Revolver Loan”) and a term loan of $100 million (the “$100mm Term Loan”).</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Borrowings under the Second Amended and Restated Credit Agreement bear interest at floating rates equal to, at the Operating Partnership’s option, either (1) LIBOR, plus a spread which ranges from (a) 1.05%-1.50% (with respect to Revolver Loans) and (b) 1.30% to 1.90% (with respect to the $100mm Term Loan), in each case based on the Company’s consolidated leverage ratio, or (2) a base rate equal to the highest of (a) the prime rate, (b) the federal funds rate plus 50 bps or (c) LIBOR plus 100 bps, plus a spread which ranges from (i) 0.10%-0.50% (with respect to Revolver Loans) and (ii) 0.30% to 0.90% (with respect to the $100mm Term Loan), in each case based on the Company’s consolidated leverage ratio. The foregoing rates are intended to be more favorable than previously contained in the Prior Credit Agreement. Additionally, the Operating Partnership may elect for borrowings to bear interest based on a ratings-based pricing grid as per the Operating Partnership’s then-applicable investment grade debt ratings under the terms set forth in the Second Amended and Restated Credit Agreement.</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Revolver Loan initially matures on January 9, 2022, subject to the Operating Partnership’s option to extend the Revolver Loan up to two times, with each such extension for a six-month period. The foregoing extension options are exercisable by the Operating Partnership subject to the satisfaction of certain conditions. The $100mm Term Loan matures on January 9, 2019, with no further extension options.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Third Amendment to Term Loan Agreement</w:t>
      </w:r>
    </w:p>
    <w:p>
      <w:pPr>
        <w:spacing w:after="0" w:line="204" w:lineRule="exact"/>
        <w:rPr>
          <w:sz w:val="20"/>
          <w:szCs w:val="20"/>
          <w:color w:val="auto"/>
        </w:rPr>
      </w:pPr>
    </w:p>
    <w:p>
      <w:pPr>
        <w:jc w:val="both"/>
        <w:spacing w:after="0" w:line="333" w:lineRule="auto"/>
        <w:rPr>
          <w:sz w:val="20"/>
          <w:szCs w:val="20"/>
          <w:color w:val="auto"/>
        </w:rPr>
      </w:pPr>
      <w:r>
        <w:rPr>
          <w:rFonts w:ascii="Arial" w:cs="Arial" w:eastAsia="Arial" w:hAnsi="Arial"/>
          <w:sz w:val="15"/>
          <w:szCs w:val="15"/>
          <w:color w:val="auto"/>
        </w:rPr>
        <w:t>On January 9, 2018, the Company and the Operating Partnership entered into the Third Amendment (“Third Amendment”) to Term Loan Agreement (as amended, the “Term Loan Agreement”) with each lender from time to time party thereto, and U.S. Bank National Association, as Administrative Agent, dated as of March 1, 2016.</w:t>
      </w:r>
    </w:p>
    <w:p>
      <w:pPr>
        <w:spacing w:after="0" w:line="12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Term Loan Agreement maintains the seven-year $150 million unsecured term loan to the Operating Partnership that matures on March 1, 2023 (the “$150mm Term Loan”).</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Effective as of March 1, 2018, borrowings under the Term Loan Agreement with respect to the $150mm Term Loan bear interest at floating rates equal to, at the Operating Partnership’s option, either (1) LIBOR, plus a spread which ranges from 1.20% to 1.70% based on the Operating Partnership’s consolidated leverage ratio, or (2) a base rate equal to the highest of (a) 0%, (b) the prime rate, (c) the federal funds rate plus 50 bps or (d) the Eurodollar rate plus 100 bps, in each case plus a spread which ranges from 0.70% to 1.35% based on the Operating Partnership’s consolidated leverage ratio. The foregoing rates are intended to be more favorable than previously contained in the Term Loan Agreement. Additionally, the Operating Partnership may elect for borrowings to bear interest based on a ratings-based pricing grid as per the Operating Partnership’s then-applicable investment grade debt ratings under the terms set forth in the Term Loan Agreement.</w:t>
      </w:r>
    </w:p>
    <w:p>
      <w:pPr>
        <w:spacing w:after="0" w:line="153"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Certain of the banks and financial institutions that are parties to the Second Amended and Restated Credit Agreement and Term Loan Agreement and their respective affiliates have in the past provided, are currently providing, and in the future may continue to provide investment banking, commercial banking and other financial services to the Company, Operating Partnership and their affiliates in the ordinary course of business for which they have received and will receive customary compensation.</w:t>
      </w:r>
    </w:p>
    <w:p>
      <w:pPr>
        <w:sectPr>
          <w:pgSz w:w="11900" w:h="16838" w:orient="portrait"/>
          <w:cols w:equalWidth="0" w:num="1">
            <w:col w:w="11420"/>
          </w:cols>
          <w:pgMar w:left="240" w:top="548" w:right="239" w:bottom="1440" w:gutter="0" w:footer="0" w:header="0"/>
        </w:sectPr>
      </w:pPr>
    </w:p>
    <w:bookmarkStart w:id="2" w:name="page3"/>
    <w:bookmarkEnd w:id="2"/>
    <w:p>
      <w:pPr>
        <w:jc w:val="both"/>
        <w:spacing w:after="0" w:line="255" w:lineRule="auto"/>
        <w:rPr>
          <w:sz w:val="20"/>
          <w:szCs w:val="20"/>
          <w:color w:val="auto"/>
        </w:rPr>
      </w:pPr>
      <w:r>
        <w:rPr>
          <w:rFonts w:ascii="Arial" w:cs="Arial" w:eastAsia="Arial" w:hAnsi="Arial"/>
          <w:sz w:val="17"/>
          <w:szCs w:val="17"/>
          <w:color w:val="auto"/>
        </w:rPr>
        <w:t>The foregoing description of the Second Amended and Restated Credit Agreement and Third Amendment to Term Loan Agreement does not purport to be complete and is qualified in its entirety by reference to the full text of the Second Amended and Restated Credit Agreement and Third Amendment to Term Loan Agreement, which are filed as Exhibit 10.1 and 10.2 hereto, respectively, and are incorporated herein by reference.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2.03 Creation of a Direct Financial Obligation or an Obligation under an Off-Balance Sheet Arrangement of Registrant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terms of the direct financial obligations are summarized in Item 1.01 of this Form 8-K and are incorporated by reference into this Item 2.03.</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5.02 Departure of Directors or Certain Officers; Election of Directors; Appointment of Certain Officers; Compensatory Arrangements of Certain Officers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Amendment to Annual Incentive Bonus Plan and Adoption of 2018 Guidelines</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On January 9, 2018, the Compensation Committee of the Company approved a restated incentive bonus plan to reflect the target bonuses thereunder for Robert F. Barton, our Executive Vice President and Chief Financial Officer (100% of base salary), Adam Wyll, our Senior Vice President, General Counsel and Secretary (75% of base salary), and Jerry Gammieri, our Vice President of Construction and Development (50% of base salary). Our incentive bonus plan focuses annual cash bonus opportunities and payouts, in part, on the achievement of specific, pre-established corporate performance objectives, and in part on individual performance, for each named executive officer. The maximum achievement level with respect to the corporate performance objectives is 200% and the maximum achievement level with respect to the individual performance component is 150%. In addition, a participant’s maximum overall bonus under the plan may not exceed 175% of his target bonus, unless otherwise determined by the Compensation Committee. The other provisions of our incentive bonus plan remained unchanged.</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Compensation Committee also adopted guidelines under the incentive bonus plan for 2018. Under the guidelines, 50% of a named executive’s annual bonus will be tied, in part, to corporate performance, with “threshold,” “target” and “maximum” performance levels corresponding to the payout levels for the corporate component of each executive’s target annual bonus payout (with threshold or lower performance representing a 0% payout level for each financial measure, target performance representing a 100% payout level for each financial measure and maximum or greater performance representing a 200% payout level for each financial measure). The corporate financial measure to be utilized for 2018 under the incentive bonus plan is funds from operations per share (or FFO per share). The other 50% of a named executive’s annual bonus will continue to be determined in the discretion of the Compensation Committee based on the executive’s individual performance and such other factors as the Compensation Committee deems appropriate.</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expects to adopt a similar bonus program under the incentive bonus plan for future fiscal years, which will reward achievement at specified levels of corporate financial performance and individual performance and will contain target bonuses consistent with those disclosed above.</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foregoing description of the restated incentive bonus plan is qualified in its entirety by reference to the full text of the restated incentive bonus plan, which will be filed as an exhibit to the Company’s Quarterly Report on Form 10-Q for the quarter ended March 31, 2018.</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7.01 Regulation FD Disclosure.</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On January 9, 2018, the Company and Operating Partnership issued a press release announcing the Second Amended and Restated Credit Agreement and Third Amendment to Term Loan Agreement. A copy of the press release is attached hereto as Exhibit 99.1. The information contained in Item 7.01 of this Current Report, including Exhibit 99.1, is being furnished and shall not be deemed “filed” for any purposes, including for the purposes of Section 18 of the Securities Exchange Act of 1934, as amended, or otherwise subject to the liabilities of that section. Such information shall not be</w:t>
      </w:r>
    </w:p>
    <w:p>
      <w:pPr>
        <w:sectPr>
          <w:pgSz w:w="11900" w:h="16838" w:orient="portrait"/>
          <w:cols w:equalWidth="0" w:num="1">
            <w:col w:w="11420"/>
          </w:cols>
          <w:pgMar w:left="240" w:top="552" w:right="239" w:bottom="1440" w:gutter="0" w:footer="0" w:header="0"/>
        </w:sectPr>
      </w:pPr>
    </w:p>
    <w:bookmarkStart w:id="3" w:name="page4"/>
    <w:bookmarkEnd w:id="3"/>
    <w:p>
      <w:pPr>
        <w:spacing w:after="0" w:line="253" w:lineRule="auto"/>
        <w:rPr>
          <w:sz w:val="20"/>
          <w:szCs w:val="20"/>
          <w:color w:val="auto"/>
        </w:rPr>
      </w:pPr>
      <w:r>
        <w:rPr>
          <w:rFonts w:ascii="Arial" w:cs="Arial" w:eastAsia="Arial" w:hAnsi="Arial"/>
          <w:sz w:val="17"/>
          <w:szCs w:val="17"/>
          <w:color w:val="auto"/>
        </w:rPr>
        <w:t>incorporated by reference into any filing of the Company and Operating Partnership, whether made before or after the date hereof, regardless of any general incorporation language in such filing.</w:t>
      </w:r>
    </w:p>
    <w:p>
      <w:pPr>
        <w:spacing w:after="0"/>
        <w:tabs>
          <w:tab w:leader="none" w:pos="88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50" w:lineRule="exact"/>
        <w:rPr>
          <w:sz w:val="20"/>
          <w:szCs w:val="20"/>
          <w:color w:val="auto"/>
        </w:rPr>
      </w:pPr>
    </w:p>
    <w:p>
      <w:pPr>
        <w:ind w:left="300"/>
        <w:spacing w:after="0"/>
        <w:tabs>
          <w:tab w:leader="none" w:pos="640" w:val="left"/>
        </w:tabs>
        <w:rPr>
          <w:sz w:val="20"/>
          <w:szCs w:val="20"/>
          <w:color w:val="auto"/>
        </w:rPr>
      </w:pPr>
      <w:r>
        <w:rPr>
          <w:rFonts w:ascii="Arial" w:cs="Arial" w:eastAsia="Arial" w:hAnsi="Arial"/>
          <w:sz w:val="17"/>
          <w:szCs w:val="17"/>
          <w:b w:val="1"/>
          <w:bCs w:val="1"/>
          <w:color w:val="auto"/>
        </w:rPr>
        <w:t>(d)</w:t>
      </w:r>
      <w:r>
        <w:rPr>
          <w:sz w:val="20"/>
          <w:szCs w:val="20"/>
          <w:color w:val="auto"/>
        </w:rPr>
        <w:tab/>
      </w:r>
      <w:r>
        <w:rPr>
          <w:rFonts w:ascii="Arial" w:cs="Arial" w:eastAsia="Arial" w:hAnsi="Arial"/>
          <w:sz w:val="15"/>
          <w:szCs w:val="15"/>
          <w:b w:val="1"/>
          <w:bCs w:val="1"/>
          <w:color w:val="auto"/>
        </w:rPr>
        <w:t>Exhibits</w:t>
      </w:r>
    </w:p>
    <w:p>
      <w:pPr>
        <w:spacing w:after="0" w:line="313"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auto"/>
        </w:rPr>
        <w:t>Exhibit</w:t>
      </w:r>
    </w:p>
    <w:p>
      <w:pPr>
        <w:ind w:left="220"/>
        <w:spacing w:after="0" w:line="213" w:lineRule="auto"/>
        <w:rPr>
          <w:sz w:val="20"/>
          <w:szCs w:val="20"/>
          <w:color w:val="auto"/>
        </w:rPr>
      </w:pPr>
      <w:r>
        <w:rPr>
          <w:rFonts w:ascii="Arial" w:cs="Arial" w:eastAsia="Arial" w:hAnsi="Arial"/>
          <w:sz w:val="13"/>
          <w:szCs w:val="13"/>
          <w:b w:val="1"/>
          <w:bCs w:val="1"/>
          <w:color w:val="auto"/>
        </w:rPr>
        <w:t>Number</w:t>
      </w:r>
    </w:p>
    <w:tbl>
      <w:tblPr>
        <w:tblLayout w:type="fixed"/>
        <w:tblInd w:w="220" w:type="dxa"/>
        <w:tblCellMar>
          <w:top w:w="0" w:type="dxa"/>
          <w:left w:w="0" w:type="dxa"/>
          <w:bottom w:w="0" w:type="dxa"/>
          <w:right w:w="0" w:type="dxa"/>
        </w:tblCellMar>
      </w:tblPr>
      <w:tr>
        <w:trPr>
          <w:trHeight w:val="142"/>
        </w:trPr>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Borders>
              <w:bottom w:val="single" w:sz="8" w:color="auto"/>
            </w:tcBorders>
            <w:gridSpan w:val="3"/>
          </w:tcPr>
          <w:p>
            <w:pPr>
              <w:spacing w:after="0" w:line="143" w:lineRule="exact"/>
              <w:rPr>
                <w:sz w:val="20"/>
                <w:szCs w:val="20"/>
                <w:color w:val="auto"/>
              </w:rPr>
            </w:pPr>
            <w:r>
              <w:rPr>
                <w:rFonts w:ascii="Arial" w:cs="Arial" w:eastAsia="Arial" w:hAnsi="Arial"/>
                <w:sz w:val="13"/>
                <w:szCs w:val="13"/>
                <w:b w:val="1"/>
                <w:bCs w:val="1"/>
                <w:color w:val="auto"/>
                <w:w w:val="92"/>
              </w:rPr>
              <w:t>Exhibit Description</w:t>
            </w:r>
          </w:p>
        </w:tc>
        <w:tc>
          <w:tcPr>
            <w:tcW w:w="4360" w:type="dxa"/>
            <w:vAlign w:val="bottom"/>
            <w:gridSpan w:val="2"/>
          </w:tcPr>
          <w:p>
            <w:pPr>
              <w:spacing w:after="0"/>
              <w:rPr>
                <w:sz w:val="12"/>
                <w:szCs w:val="12"/>
                <w:color w:val="auto"/>
              </w:rPr>
            </w:pPr>
          </w:p>
        </w:tc>
      </w:tr>
      <w:tr>
        <w:trPr>
          <w:trHeight w:val="205"/>
        </w:trPr>
        <w:tc>
          <w:tcPr>
            <w:tcW w:w="420" w:type="dxa"/>
            <w:vAlign w:val="bottom"/>
            <w:gridSpan w:val="2"/>
          </w:tcPr>
          <w:p>
            <w:pPr>
              <w:jc w:val="right"/>
              <w:spacing w:after="0"/>
              <w:rPr>
                <w:rFonts w:ascii="Arial" w:cs="Arial" w:eastAsia="Arial" w:hAnsi="Arial"/>
                <w:sz w:val="17"/>
                <w:szCs w:val="17"/>
                <w:color w:val="0000FF"/>
              </w:rPr>
            </w:pPr>
            <w:hyperlink w:anchor="page7">
              <w:r>
                <w:rPr>
                  <w:rFonts w:ascii="Arial" w:cs="Arial" w:eastAsia="Arial" w:hAnsi="Arial"/>
                  <w:sz w:val="17"/>
                  <w:szCs w:val="17"/>
                  <w:color w:val="0000FF"/>
                </w:rPr>
                <w:t>10.</w:t>
              </w:r>
              <w:r>
                <w:rPr>
                  <w:rFonts w:ascii="Arial" w:cs="Arial" w:eastAsia="Arial" w:hAnsi="Arial"/>
                  <w:sz w:val="17"/>
                  <w:szCs w:val="17"/>
                  <w:u w:val="single" w:color="auto"/>
                  <w:color w:val="0000FF"/>
                </w:rPr>
                <w:t>1*</w:t>
              </w:r>
            </w:hyperlink>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920" w:type="dxa"/>
            <w:vAlign w:val="bottom"/>
            <w:gridSpan w:val="7"/>
          </w:tcPr>
          <w:p>
            <w:pPr>
              <w:spacing w:after="0"/>
              <w:rPr>
                <w:rFonts w:ascii="Arial" w:cs="Arial" w:eastAsia="Arial" w:hAnsi="Arial"/>
                <w:sz w:val="17"/>
                <w:szCs w:val="17"/>
                <w:color w:val="0000FF"/>
                <w:w w:val="88"/>
              </w:rPr>
            </w:pPr>
            <w:hyperlink w:anchor="page7">
              <w:r>
                <w:rPr>
                  <w:rFonts w:ascii="Arial" w:cs="Arial" w:eastAsia="Arial" w:hAnsi="Arial"/>
                  <w:sz w:val="17"/>
                  <w:szCs w:val="17"/>
                  <w:color w:val="0000FF"/>
                  <w:w w:val="88"/>
                </w:rPr>
                <w:t>Second Amended and Restated Credit Agreement dated January 9, 2018, by and among the Company, the Operating Partnership, Bank of America,</w:t>
              </w:r>
            </w:hyperlink>
          </w:p>
        </w:tc>
      </w:tr>
      <w:tr>
        <w:trPr>
          <w:trHeight w:val="180"/>
        </w:trPr>
        <w:tc>
          <w:tcPr>
            <w:tcW w:w="60" w:type="dxa"/>
            <w:vAlign w:val="bottom"/>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300" w:type="dxa"/>
            <w:vAlign w:val="bottom"/>
            <w:tcBorders>
              <w:top w:val="single" w:sz="8" w:color="0000FF"/>
              <w:bottom w:val="single" w:sz="8" w:color="0000FF"/>
            </w:tcBorders>
          </w:tcPr>
          <w:p>
            <w:pPr>
              <w:spacing w:after="0" w:line="180" w:lineRule="exact"/>
              <w:rPr>
                <w:rFonts w:ascii="Arial" w:cs="Arial" w:eastAsia="Arial" w:hAnsi="Arial"/>
                <w:sz w:val="17"/>
                <w:szCs w:val="17"/>
                <w:color w:val="0000FF"/>
                <w:w w:val="89"/>
              </w:rPr>
            </w:pPr>
            <w:hyperlink w:anchor="page7">
              <w:r>
                <w:rPr>
                  <w:rFonts w:ascii="Arial" w:cs="Arial" w:eastAsia="Arial" w:hAnsi="Arial"/>
                  <w:sz w:val="17"/>
                  <w:szCs w:val="17"/>
                  <w:color w:val="0000FF"/>
                  <w:w w:val="89"/>
                </w:rPr>
                <w:t>N.A., as Administrative Agent, and other entities named therein.</w:t>
              </w:r>
            </w:hyperlink>
          </w:p>
        </w:tc>
        <w:tc>
          <w:tcPr>
            <w:tcW w:w="5520" w:type="dxa"/>
            <w:vAlign w:val="bottom"/>
            <w:tcBorders>
              <w:top w:val="single" w:sz="8" w:color="0000FF"/>
            </w:tcBorders>
            <w:gridSpan w:val="5"/>
          </w:tcPr>
          <w:p>
            <w:pPr>
              <w:spacing w:after="0"/>
              <w:rPr>
                <w:sz w:val="15"/>
                <w:szCs w:val="15"/>
                <w:color w:val="auto"/>
              </w:rPr>
            </w:pPr>
          </w:p>
        </w:tc>
        <w:tc>
          <w:tcPr>
            <w:tcW w:w="100" w:type="dxa"/>
            <w:vAlign w:val="bottom"/>
          </w:tcPr>
          <w:p>
            <w:pPr>
              <w:spacing w:after="0"/>
              <w:rPr>
                <w:sz w:val="15"/>
                <w:szCs w:val="15"/>
                <w:color w:val="auto"/>
              </w:rPr>
            </w:pPr>
          </w:p>
        </w:tc>
      </w:tr>
      <w:tr>
        <w:trPr>
          <w:trHeight w:val="392"/>
        </w:trPr>
        <w:tc>
          <w:tcPr>
            <w:tcW w:w="420" w:type="dxa"/>
            <w:vAlign w:val="bottom"/>
            <w:gridSpan w:val="2"/>
          </w:tcPr>
          <w:p>
            <w:pPr>
              <w:jc w:val="right"/>
              <w:spacing w:after="0"/>
              <w:rPr>
                <w:rFonts w:ascii="Arial" w:cs="Arial" w:eastAsia="Arial" w:hAnsi="Arial"/>
                <w:sz w:val="17"/>
                <w:szCs w:val="17"/>
                <w:color w:val="0000FF"/>
              </w:rPr>
            </w:pPr>
            <w:hyperlink w:anchor="page214">
              <w:r>
                <w:rPr>
                  <w:rFonts w:ascii="Arial" w:cs="Arial" w:eastAsia="Arial" w:hAnsi="Arial"/>
                  <w:sz w:val="17"/>
                  <w:szCs w:val="17"/>
                  <w:color w:val="0000FF"/>
                </w:rPr>
                <w:t>10.</w:t>
              </w:r>
              <w:r>
                <w:rPr>
                  <w:rFonts w:ascii="Arial" w:cs="Arial" w:eastAsia="Arial" w:hAnsi="Arial"/>
                  <w:sz w:val="17"/>
                  <w:szCs w:val="17"/>
                  <w:u w:val="single" w:color="auto"/>
                  <w:color w:val="0000FF"/>
                </w:rPr>
                <w:t>2*</w:t>
              </w:r>
            </w:hyperlink>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920" w:type="dxa"/>
            <w:vAlign w:val="bottom"/>
            <w:gridSpan w:val="7"/>
          </w:tcPr>
          <w:p>
            <w:pPr>
              <w:spacing w:after="0"/>
              <w:rPr>
                <w:rFonts w:ascii="Arial" w:cs="Arial" w:eastAsia="Arial" w:hAnsi="Arial"/>
                <w:sz w:val="17"/>
                <w:szCs w:val="17"/>
                <w:color w:val="0000FF"/>
                <w:w w:val="88"/>
              </w:rPr>
            </w:pPr>
            <w:hyperlink w:anchor="page214">
              <w:r>
                <w:rPr>
                  <w:rFonts w:ascii="Arial" w:cs="Arial" w:eastAsia="Arial" w:hAnsi="Arial"/>
                  <w:sz w:val="17"/>
                  <w:szCs w:val="17"/>
                  <w:color w:val="0000FF"/>
                  <w:w w:val="88"/>
                </w:rPr>
                <w:t>Third Amendment to Term Loan Agreement dated January 9, 2018, by and among the Company, the Operating Partnership, each lender from time to</w:t>
              </w:r>
            </w:hyperlink>
          </w:p>
        </w:tc>
      </w:tr>
      <w:tr>
        <w:trPr>
          <w:trHeight w:val="180"/>
        </w:trPr>
        <w:tc>
          <w:tcPr>
            <w:tcW w:w="60" w:type="dxa"/>
            <w:vAlign w:val="bottom"/>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40" w:type="dxa"/>
            <w:vAlign w:val="bottom"/>
            <w:tcBorders>
              <w:top w:val="single" w:sz="8" w:color="0000FF"/>
              <w:bottom w:val="single" w:sz="8" w:color="0000FF"/>
            </w:tcBorders>
            <w:gridSpan w:val="4"/>
          </w:tcPr>
          <w:p>
            <w:pPr>
              <w:spacing w:after="0" w:line="180" w:lineRule="exact"/>
              <w:rPr>
                <w:rFonts w:ascii="Arial" w:cs="Arial" w:eastAsia="Arial" w:hAnsi="Arial"/>
                <w:sz w:val="17"/>
                <w:szCs w:val="17"/>
                <w:color w:val="0000FF"/>
                <w:w w:val="89"/>
              </w:rPr>
            </w:pPr>
            <w:hyperlink w:anchor="page214">
              <w:r>
                <w:rPr>
                  <w:rFonts w:ascii="Arial" w:cs="Arial" w:eastAsia="Arial" w:hAnsi="Arial"/>
                  <w:sz w:val="17"/>
                  <w:szCs w:val="17"/>
                  <w:color w:val="0000FF"/>
                  <w:w w:val="89"/>
                </w:rPr>
                <w:t>time party thereto, and U.S. Bank National Association, as Administrative Agent.</w:t>
              </w:r>
            </w:hyperlink>
          </w:p>
        </w:tc>
        <w:tc>
          <w:tcPr>
            <w:tcW w:w="4480" w:type="dxa"/>
            <w:vAlign w:val="bottom"/>
            <w:tcBorders>
              <w:top w:val="single" w:sz="8" w:color="0000FF"/>
            </w:tcBorders>
            <w:gridSpan w:val="3"/>
          </w:tcPr>
          <w:p>
            <w:pPr>
              <w:spacing w:after="0"/>
              <w:rPr>
                <w:sz w:val="15"/>
                <w:szCs w:val="15"/>
                <w:color w:val="auto"/>
              </w:rPr>
            </w:pPr>
          </w:p>
        </w:tc>
      </w:tr>
      <w:tr>
        <w:trPr>
          <w:trHeight w:val="230"/>
        </w:trPr>
        <w:tc>
          <w:tcPr>
            <w:tcW w:w="420" w:type="dxa"/>
            <w:vAlign w:val="bottom"/>
            <w:gridSpan w:val="2"/>
          </w:tcPr>
          <w:p>
            <w:pPr>
              <w:jc w:val="right"/>
              <w:spacing w:after="0"/>
              <w:rPr>
                <w:rFonts w:ascii="Arial" w:cs="Arial" w:eastAsia="Arial" w:hAnsi="Arial"/>
                <w:sz w:val="17"/>
                <w:szCs w:val="17"/>
                <w:color w:val="0000FF"/>
              </w:rPr>
            </w:pPr>
            <w:hyperlink w:anchor="page589">
              <w:r>
                <w:rPr>
                  <w:rFonts w:ascii="Arial" w:cs="Arial" w:eastAsia="Arial" w:hAnsi="Arial"/>
                  <w:sz w:val="17"/>
                  <w:szCs w:val="17"/>
                  <w:color w:val="0000FF"/>
                </w:rPr>
                <w:t>99.</w:t>
              </w:r>
              <w:r>
                <w:rPr>
                  <w:rFonts w:ascii="Arial" w:cs="Arial" w:eastAsia="Arial" w:hAnsi="Arial"/>
                  <w:sz w:val="17"/>
                  <w:szCs w:val="17"/>
                  <w:u w:val="single" w:color="auto"/>
                  <w:color w:val="0000FF"/>
                </w:rPr>
                <w:t>1*</w:t>
              </w:r>
            </w:hyperlink>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920" w:type="dxa"/>
            <w:vAlign w:val="bottom"/>
            <w:gridSpan w:val="7"/>
          </w:tcPr>
          <w:p>
            <w:pPr>
              <w:spacing w:after="0"/>
              <w:rPr>
                <w:rFonts w:ascii="Arial" w:cs="Arial" w:eastAsia="Arial" w:hAnsi="Arial"/>
                <w:sz w:val="17"/>
                <w:szCs w:val="17"/>
                <w:color w:val="0000FF"/>
              </w:rPr>
            </w:pPr>
            <w:hyperlink w:anchor="page589">
              <w:r>
                <w:rPr>
                  <w:rFonts w:ascii="Arial" w:cs="Arial" w:eastAsia="Arial" w:hAnsi="Arial"/>
                  <w:sz w:val="17"/>
                  <w:szCs w:val="17"/>
                  <w:color w:val="0000FF"/>
                </w:rPr>
                <w:t>Press Release issued by American Assets Trust, Inc. on January 9, 2018.</w:t>
              </w:r>
            </w:hyperlink>
          </w:p>
        </w:tc>
      </w:tr>
      <w:tr>
        <w:trPr>
          <w:trHeight w:val="20"/>
        </w:trPr>
        <w:tc>
          <w:tcPr>
            <w:tcW w:w="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w:t>
      </w:r>
    </w:p>
    <w:p>
      <w:pPr>
        <w:spacing w:after="0" w:line="167" w:lineRule="exact"/>
        <w:rPr>
          <w:sz w:val="20"/>
          <w:szCs w:val="20"/>
          <w:color w:val="auto"/>
        </w:rPr>
      </w:pPr>
    </w:p>
    <w:p>
      <w:pPr>
        <w:spacing w:after="0"/>
        <w:tabs>
          <w:tab w:leader="none" w:pos="2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Furnished herewith</w:t>
      </w:r>
    </w:p>
    <w:p>
      <w:pPr>
        <w:sectPr>
          <w:pgSz w:w="11900" w:h="16838" w:orient="portrait"/>
          <w:cols w:equalWidth="0" w:num="1">
            <w:col w:w="11420"/>
          </w:cols>
          <w:pgMar w:left="240" w:top="552" w:right="23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7"/>
          <w:szCs w:val="17"/>
          <w:b w:val="1"/>
          <w:bCs w:val="1"/>
          <w:color w:val="auto"/>
        </w:rPr>
        <w:t>SIGNATURES</w:t>
      </w:r>
    </w:p>
    <w:p>
      <w:pPr>
        <w:spacing w:after="0" w:line="17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7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American Assets Trust, Inc.</w:t>
      </w:r>
    </w:p>
    <w:p>
      <w:pPr>
        <w:spacing w:after="0" w:line="367"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Adam Wyll</w:t>
      </w:r>
    </w:p>
    <w:p>
      <w:pPr>
        <w:spacing w:after="0" w:line="167"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Adam Wyll</w:t>
      </w:r>
    </w:p>
    <w:p>
      <w:pPr>
        <w:spacing w:after="0" w:line="17"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Senior Vice President, General Counsel and Secretary</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7"/>
          <w:szCs w:val="17"/>
          <w:color w:val="auto"/>
        </w:rPr>
        <w:t>January 9, 2018</w:t>
      </w:r>
    </w:p>
    <w:p>
      <w:pPr>
        <w:sectPr>
          <w:pgSz w:w="11900" w:h="16838" w:orient="portrait"/>
          <w:cols w:equalWidth="0" w:num="1">
            <w:col w:w="11320"/>
          </w:cols>
          <w:pgMar w:left="240" w:top="548" w:right="33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7"/>
          <w:szCs w:val="17"/>
          <w:b w:val="1"/>
          <w:bCs w:val="1"/>
          <w:color w:val="auto"/>
        </w:rPr>
        <w:t>EXHIBIT INDEX</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Exhibit Number</w:t>
      </w:r>
    </w:p>
    <w:tbl>
      <w:tblPr>
        <w:tblLayout w:type="fixed"/>
        <w:tblInd w:w="280" w:type="dxa"/>
        <w:tblCellMar>
          <w:top w:w="0" w:type="dxa"/>
          <w:left w:w="0" w:type="dxa"/>
          <w:bottom w:w="0" w:type="dxa"/>
          <w:right w:w="0" w:type="dxa"/>
        </w:tblCellMar>
      </w:tblPr>
      <w:tr>
        <w:trPr>
          <w:trHeight w:val="142"/>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Borders>
              <w:bottom w:val="single" w:sz="8" w:color="auto"/>
            </w:tcBorders>
            <w:gridSpan w:val="3"/>
          </w:tcPr>
          <w:p>
            <w:pPr>
              <w:spacing w:after="0" w:line="143" w:lineRule="exact"/>
              <w:rPr>
                <w:sz w:val="20"/>
                <w:szCs w:val="20"/>
                <w:color w:val="auto"/>
              </w:rPr>
            </w:pPr>
            <w:r>
              <w:rPr>
                <w:rFonts w:ascii="Arial" w:cs="Arial" w:eastAsia="Arial" w:hAnsi="Arial"/>
                <w:sz w:val="13"/>
                <w:szCs w:val="13"/>
                <w:b w:val="1"/>
                <w:bCs w:val="1"/>
                <w:color w:val="auto"/>
                <w:w w:val="92"/>
              </w:rPr>
              <w:t>Exhibit Description</w:t>
            </w:r>
          </w:p>
        </w:tc>
        <w:tc>
          <w:tcPr>
            <w:tcW w:w="43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60" w:type="dxa"/>
            <w:vAlign w:val="bottom"/>
            <w:tcBorders>
              <w:bottom w:val="single" w:sz="8" w:color="0000FF"/>
            </w:tcBorders>
          </w:tcPr>
          <w:p>
            <w:pPr>
              <w:jc w:val="right"/>
              <w:spacing w:after="0"/>
              <w:rPr>
                <w:rFonts w:ascii="Arial" w:cs="Arial" w:eastAsia="Arial" w:hAnsi="Arial"/>
                <w:sz w:val="17"/>
                <w:szCs w:val="17"/>
                <w:color w:val="0000FF"/>
                <w:w w:val="85"/>
              </w:rPr>
            </w:pPr>
            <w:hyperlink w:anchor="page7">
              <w:r>
                <w:rPr>
                  <w:rFonts w:ascii="Arial" w:cs="Arial" w:eastAsia="Arial" w:hAnsi="Arial"/>
                  <w:sz w:val="17"/>
                  <w:szCs w:val="17"/>
                  <w:color w:val="0000FF"/>
                  <w:w w:val="85"/>
                </w:rPr>
                <w:t>10.</w:t>
              </w:r>
              <w:r>
                <w:rPr>
                  <w:rFonts w:ascii="Arial" w:cs="Arial" w:eastAsia="Arial" w:hAnsi="Arial"/>
                  <w:sz w:val="17"/>
                  <w:szCs w:val="17"/>
                  <w:u w:val="single" w:color="auto"/>
                  <w:color w:val="0000FF"/>
                  <w:w w:val="85"/>
                </w:rPr>
                <w:t>1*</w:t>
              </w:r>
            </w:hyperlink>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7"/>
            <w:vMerge w:val="restart"/>
          </w:tcPr>
          <w:p>
            <w:pPr>
              <w:spacing w:after="0"/>
              <w:rPr>
                <w:rFonts w:ascii="Arial" w:cs="Arial" w:eastAsia="Arial" w:hAnsi="Arial"/>
                <w:sz w:val="17"/>
                <w:szCs w:val="17"/>
                <w:color w:val="0000FF"/>
                <w:w w:val="88"/>
              </w:rPr>
            </w:pPr>
            <w:hyperlink w:anchor="page7">
              <w:r>
                <w:rPr>
                  <w:rFonts w:ascii="Arial" w:cs="Arial" w:eastAsia="Arial" w:hAnsi="Arial"/>
                  <w:sz w:val="17"/>
                  <w:szCs w:val="17"/>
                  <w:color w:val="0000FF"/>
                  <w:w w:val="88"/>
                </w:rPr>
                <w:t>Second Amended and Restated Credit Agreement dated January 9, 2018, by and among the Company, the Operating Partnership, Bank of America,</w:t>
              </w:r>
            </w:hyperlink>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92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300" w:type="dxa"/>
            <w:vAlign w:val="bottom"/>
            <w:tcBorders>
              <w:top w:val="single" w:sz="8" w:color="0000FF"/>
              <w:bottom w:val="single" w:sz="8" w:color="0000FF"/>
            </w:tcBorders>
          </w:tcPr>
          <w:p>
            <w:pPr>
              <w:spacing w:after="0" w:line="180" w:lineRule="exact"/>
              <w:rPr>
                <w:rFonts w:ascii="Arial" w:cs="Arial" w:eastAsia="Arial" w:hAnsi="Arial"/>
                <w:sz w:val="17"/>
                <w:szCs w:val="17"/>
                <w:color w:val="0000FF"/>
                <w:w w:val="89"/>
              </w:rPr>
            </w:pPr>
            <w:hyperlink w:anchor="page7">
              <w:r>
                <w:rPr>
                  <w:rFonts w:ascii="Arial" w:cs="Arial" w:eastAsia="Arial" w:hAnsi="Arial"/>
                  <w:sz w:val="17"/>
                  <w:szCs w:val="17"/>
                  <w:color w:val="0000FF"/>
                  <w:w w:val="89"/>
                </w:rPr>
                <w:t>N.A., as Administrative Agent, and other entities named therein.</w:t>
              </w:r>
            </w:hyperlink>
          </w:p>
        </w:tc>
        <w:tc>
          <w:tcPr>
            <w:tcW w:w="5520" w:type="dxa"/>
            <w:vAlign w:val="bottom"/>
            <w:tcBorders>
              <w:top w:val="single" w:sz="8" w:color="0000FF"/>
            </w:tcBorders>
            <w:gridSpan w:val="5"/>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360" w:type="dxa"/>
            <w:vAlign w:val="bottom"/>
            <w:tcBorders>
              <w:bottom w:val="single" w:sz="8" w:color="0000FF"/>
            </w:tcBorders>
          </w:tcPr>
          <w:p>
            <w:pPr>
              <w:jc w:val="right"/>
              <w:spacing w:after="0"/>
              <w:rPr>
                <w:rFonts w:ascii="Arial" w:cs="Arial" w:eastAsia="Arial" w:hAnsi="Arial"/>
                <w:sz w:val="17"/>
                <w:szCs w:val="17"/>
                <w:color w:val="0000FF"/>
                <w:w w:val="85"/>
              </w:rPr>
            </w:pPr>
            <w:hyperlink w:anchor="page214">
              <w:r>
                <w:rPr>
                  <w:rFonts w:ascii="Arial" w:cs="Arial" w:eastAsia="Arial" w:hAnsi="Arial"/>
                  <w:sz w:val="17"/>
                  <w:szCs w:val="17"/>
                  <w:color w:val="0000FF"/>
                  <w:w w:val="85"/>
                </w:rPr>
                <w:t>10.</w:t>
              </w:r>
              <w:r>
                <w:rPr>
                  <w:rFonts w:ascii="Arial" w:cs="Arial" w:eastAsia="Arial" w:hAnsi="Arial"/>
                  <w:sz w:val="17"/>
                  <w:szCs w:val="17"/>
                  <w:u w:val="single" w:color="auto"/>
                  <w:color w:val="0000FF"/>
                  <w:w w:val="85"/>
                </w:rPr>
                <w:t>2*</w:t>
              </w:r>
            </w:hyperlink>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tcBorders>
              <w:bottom w:val="single" w:sz="8" w:color="0000FF"/>
            </w:tcBorders>
            <w:gridSpan w:val="7"/>
          </w:tcPr>
          <w:p>
            <w:pPr>
              <w:spacing w:after="0"/>
              <w:rPr>
                <w:rFonts w:ascii="Arial" w:cs="Arial" w:eastAsia="Arial" w:hAnsi="Arial"/>
                <w:sz w:val="17"/>
                <w:szCs w:val="17"/>
                <w:color w:val="0000FF"/>
                <w:w w:val="88"/>
              </w:rPr>
            </w:pPr>
            <w:hyperlink w:anchor="page214">
              <w:r>
                <w:rPr>
                  <w:rFonts w:ascii="Arial" w:cs="Arial" w:eastAsia="Arial" w:hAnsi="Arial"/>
                  <w:sz w:val="17"/>
                  <w:szCs w:val="17"/>
                  <w:color w:val="0000FF"/>
                  <w:w w:val="88"/>
                </w:rPr>
                <w:t>Third Amendment to Term Loan Agreement dated January 9, 2018, by and among the Company, the Operating Partnership, each lender from time to</w:t>
              </w:r>
            </w:hyperlink>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40" w:type="dxa"/>
            <w:vAlign w:val="bottom"/>
            <w:tcBorders>
              <w:bottom w:val="single" w:sz="8" w:color="0000FF"/>
            </w:tcBorders>
            <w:gridSpan w:val="4"/>
          </w:tcPr>
          <w:p>
            <w:pPr>
              <w:spacing w:after="0" w:line="180" w:lineRule="exact"/>
              <w:rPr>
                <w:rFonts w:ascii="Arial" w:cs="Arial" w:eastAsia="Arial" w:hAnsi="Arial"/>
                <w:sz w:val="17"/>
                <w:szCs w:val="17"/>
                <w:color w:val="0000FF"/>
                <w:w w:val="89"/>
              </w:rPr>
            </w:pPr>
            <w:hyperlink w:anchor="page214">
              <w:r>
                <w:rPr>
                  <w:rFonts w:ascii="Arial" w:cs="Arial" w:eastAsia="Arial" w:hAnsi="Arial"/>
                  <w:sz w:val="17"/>
                  <w:szCs w:val="17"/>
                  <w:color w:val="0000FF"/>
                  <w:w w:val="89"/>
                </w:rPr>
                <w:t>time party thereto, and U.S. Bank National Association, as Administrative Agent.</w:t>
              </w:r>
            </w:hyperlink>
          </w:p>
        </w:tc>
        <w:tc>
          <w:tcPr>
            <w:tcW w:w="44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0" w:type="dxa"/>
            <w:vAlign w:val="bottom"/>
          </w:tcPr>
          <w:p>
            <w:pPr>
              <w:jc w:val="right"/>
              <w:spacing w:after="0"/>
              <w:rPr>
                <w:rFonts w:ascii="Arial" w:cs="Arial" w:eastAsia="Arial" w:hAnsi="Arial"/>
                <w:sz w:val="17"/>
                <w:szCs w:val="17"/>
                <w:color w:val="0000FF"/>
                <w:w w:val="85"/>
              </w:rPr>
            </w:pPr>
            <w:hyperlink w:anchor="page589">
              <w:r>
                <w:rPr>
                  <w:rFonts w:ascii="Arial" w:cs="Arial" w:eastAsia="Arial" w:hAnsi="Arial"/>
                  <w:sz w:val="17"/>
                  <w:szCs w:val="17"/>
                  <w:color w:val="0000FF"/>
                  <w:w w:val="85"/>
                </w:rPr>
                <w:t>99.</w:t>
              </w:r>
              <w:r>
                <w:rPr>
                  <w:rFonts w:ascii="Arial" w:cs="Arial" w:eastAsia="Arial" w:hAnsi="Arial"/>
                  <w:sz w:val="17"/>
                  <w:szCs w:val="17"/>
                  <w:u w:val="single" w:color="auto"/>
                  <w:color w:val="0000FF"/>
                  <w:w w:val="85"/>
                </w:rPr>
                <w:t>1*</w:t>
              </w:r>
            </w:hyperlink>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20" w:type="dxa"/>
            <w:vAlign w:val="bottom"/>
            <w:gridSpan w:val="7"/>
          </w:tcPr>
          <w:p>
            <w:pPr>
              <w:spacing w:after="0"/>
              <w:rPr>
                <w:rFonts w:ascii="Arial" w:cs="Arial" w:eastAsia="Arial" w:hAnsi="Arial"/>
                <w:sz w:val="17"/>
                <w:szCs w:val="17"/>
                <w:color w:val="0000FF"/>
              </w:rPr>
            </w:pPr>
            <w:hyperlink w:anchor="page589">
              <w:r>
                <w:rPr>
                  <w:rFonts w:ascii="Arial" w:cs="Arial" w:eastAsia="Arial" w:hAnsi="Arial"/>
                  <w:sz w:val="17"/>
                  <w:szCs w:val="17"/>
                  <w:color w:val="0000FF"/>
                </w:rPr>
                <w:t>Press Release issued by American Assets Trust, Inc. on January 9, 2018.</w:t>
              </w:r>
            </w:hyperlink>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w:t>
      </w:r>
    </w:p>
    <w:p>
      <w:pPr>
        <w:spacing w:after="0" w:line="167" w:lineRule="exact"/>
        <w:rPr>
          <w:sz w:val="20"/>
          <w:szCs w:val="20"/>
          <w:color w:val="auto"/>
        </w:rPr>
      </w:pPr>
    </w:p>
    <w:p>
      <w:pPr>
        <w:spacing w:after="0"/>
        <w:tabs>
          <w:tab w:leader="none" w:pos="2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Furnished herewith</w:t>
      </w:r>
    </w:p>
    <w:p>
      <w:pPr>
        <w:sectPr>
          <w:pgSz w:w="11900" w:h="16838" w:orient="portrait"/>
          <w:cols w:equalWidth="0" w:num="1">
            <w:col w:w="11320"/>
          </w:cols>
          <w:pgMar w:left="240" w:top="548"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139700</wp:posOffset>
            </wp:positionH>
            <wp:positionV relativeFrom="page">
              <wp:posOffset>535940</wp:posOffset>
            </wp:positionV>
            <wp:extent cx="7282180"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2180" cy="41275"/>
                    </a:xfrm>
                    <a:prstGeom prst="rect">
                      <a:avLst/>
                    </a:prstGeom>
                    <a:noFill/>
                  </pic:spPr>
                </pic:pic>
              </a:graphicData>
            </a:graphic>
          </wp:anchor>
        </w:drawing>
        <w:t>Published CUSIP Number: 02401JAH2</w:t>
      </w:r>
    </w:p>
    <w:p>
      <w:pPr>
        <w:spacing w:after="0" w:line="200" w:lineRule="exact"/>
        <w:rPr>
          <w:sz w:val="20"/>
          <w:szCs w:val="20"/>
          <w:color w:val="auto"/>
        </w:rPr>
      </w:pPr>
    </w:p>
    <w:p>
      <w:pPr>
        <w:spacing w:after="0" w:line="207"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SECOND AMENDED AND RESTATED CREDIT AGREEMENT</w:t>
      </w:r>
    </w:p>
    <w:p>
      <w:pPr>
        <w:spacing w:after="0" w:line="207"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Dated as of January 9, 2018</w:t>
      </w:r>
    </w:p>
    <w:p>
      <w:pPr>
        <w:spacing w:after="0" w:line="207"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among</w:t>
      </w:r>
    </w:p>
    <w:p>
      <w:pPr>
        <w:spacing w:after="0" w:line="207"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AMERICAN ASSETS TRUST, L.P.,</w:t>
      </w:r>
    </w:p>
    <w:p>
      <w:pPr>
        <w:spacing w:after="0" w:line="207"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as the Borrower,</w:t>
      </w:r>
    </w:p>
    <w:p>
      <w:pPr>
        <w:spacing w:after="0" w:line="207"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AMERICAN ASSETS TRUST, INC.,</w:t>
      </w:r>
    </w:p>
    <w:p>
      <w:pPr>
        <w:spacing w:after="0" w:line="207"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as a Guarantor,</w:t>
      </w:r>
    </w:p>
    <w:p>
      <w:pPr>
        <w:spacing w:after="0" w:line="207" w:lineRule="exact"/>
        <w:rPr>
          <w:sz w:val="20"/>
          <w:szCs w:val="20"/>
          <w:color w:val="auto"/>
        </w:rPr>
      </w:pPr>
    </w:p>
    <w:p>
      <w:pPr>
        <w:ind w:left="3320"/>
        <w:spacing w:after="0"/>
        <w:rPr>
          <w:sz w:val="20"/>
          <w:szCs w:val="20"/>
          <w:color w:val="auto"/>
        </w:rPr>
      </w:pPr>
      <w:r>
        <w:rPr>
          <w:rFonts w:ascii="Arial" w:cs="Arial" w:eastAsia="Arial" w:hAnsi="Arial"/>
          <w:sz w:val="20"/>
          <w:szCs w:val="20"/>
          <w:color w:val="auto"/>
        </w:rPr>
        <w:t>BANK OF AMERICA, N.A.,</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as Administrative Agent,</w:t>
      </w:r>
    </w:p>
    <w:p>
      <w:pPr>
        <w:spacing w:after="0" w:line="191"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and</w:t>
      </w:r>
    </w:p>
    <w:p>
      <w:pPr>
        <w:spacing w:after="0" w:line="207"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The Lenders, L/C Issuers and Swing Line Lenders Party Hereto,</w:t>
      </w:r>
    </w:p>
    <w:p>
      <w:pPr>
        <w:spacing w:after="0" w:line="207"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WELLS FARGO SECURITIES, LLC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and</w:t>
      </w:r>
    </w:p>
    <w:p>
      <w:pPr>
        <w:spacing w:after="0" w:line="7" w:lineRule="exact"/>
        <w:rPr>
          <w:sz w:val="20"/>
          <w:szCs w:val="20"/>
          <w:color w:val="auto"/>
        </w:rPr>
      </w:pPr>
    </w:p>
    <w:p>
      <w:pPr>
        <w:jc w:val="center"/>
        <w:ind w:right="1180"/>
        <w:spacing w:after="0"/>
        <w:rPr>
          <w:sz w:val="20"/>
          <w:szCs w:val="20"/>
          <w:color w:val="auto"/>
        </w:rPr>
      </w:pPr>
      <w:r>
        <w:rPr>
          <w:rFonts w:ascii="Arial" w:cs="Arial" w:eastAsia="Arial" w:hAnsi="Arial"/>
          <w:sz w:val="19"/>
          <w:szCs w:val="19"/>
          <w:color w:val="auto"/>
        </w:rPr>
        <w:t>MERRILL LYNCH, PIERCE, FENNER &amp; SMITH INCORPORATED</w:t>
      </w:r>
    </w:p>
    <w:p>
      <w:pPr>
        <w:spacing w:after="0" w:line="19"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Joint Bookrunners,</w:t>
      </w:r>
    </w:p>
    <w:p>
      <w:pPr>
        <w:spacing w:after="0" w:line="191"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WELLS FARGO SECURITIES, LLC,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9"/>
          <w:szCs w:val="19"/>
          <w:color w:val="auto"/>
        </w:rPr>
        <w:t>MERRILL LYNCH, PIERCE, FENNER &amp; SMITH INCORPORATED,</w:t>
      </w:r>
    </w:p>
    <w:p>
      <w:pPr>
        <w:spacing w:after="0" w:line="19"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PNC CAPITAL MARKETS LLC</w:t>
      </w:r>
    </w:p>
    <w:p>
      <w:pPr>
        <w:spacing w:after="0" w:line="7"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and</w:t>
      </w:r>
    </w:p>
    <w:p>
      <w:pPr>
        <w:spacing w:after="0" w:line="7"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U.S. BANK NATIONAL ASSOCIATION</w:t>
      </w:r>
    </w:p>
    <w:p>
      <w:pPr>
        <w:spacing w:after="0" w:line="7"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Joint Lead Arrangers</w:t>
      </w:r>
    </w:p>
    <w:p>
      <w:pPr>
        <w:spacing w:after="0" w:line="191"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and</w:t>
      </w:r>
    </w:p>
    <w:p>
      <w:pPr>
        <w:spacing w:after="0" w:line="207"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WELLS FARGO BANK, NATIONAL ASSOCIATION,</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as Syndication Agent,</w:t>
      </w:r>
    </w:p>
    <w:p>
      <w:pPr>
        <w:spacing w:after="0" w:line="191"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and</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PNC BANK, NATIONAL ASSOCIATION</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and</w:t>
      </w:r>
    </w:p>
    <w:p>
      <w:pPr>
        <w:spacing w:after="0" w:line="7"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U.S. BANK NATIONAL ASSOCIATION,</w:t>
      </w:r>
    </w:p>
    <w:p>
      <w:pPr>
        <w:spacing w:after="0" w:line="7"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176530</wp:posOffset>
            </wp:positionV>
            <wp:extent cx="7282180"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2180" cy="41275"/>
                    </a:xfrm>
                    <a:prstGeom prst="rect">
                      <a:avLst/>
                    </a:prstGeom>
                    <a:noFill/>
                  </pic:spPr>
                </pic:pic>
              </a:graphicData>
            </a:graphic>
          </wp:anchor>
        </w:drawing>
      </w:r>
    </w:p>
    <w:p>
      <w:pPr>
        <w:sectPr>
          <w:pgSz w:w="11900" w:h="16838" w:orient="portrait"/>
          <w:cols w:equalWidth="0" w:num="1">
            <w:col w:w="10220"/>
          </w:cols>
          <w:pgMar w:left="1440" w:top="982"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60"/>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340" w:type="dxa"/>
            <w:vAlign w:val="bottom"/>
          </w:tcPr>
          <w:p>
            <w:pPr>
              <w:jc w:val="center"/>
              <w:ind w:right="180"/>
              <w:spacing w:after="0"/>
              <w:rPr>
                <w:sz w:val="20"/>
                <w:szCs w:val="20"/>
                <w:color w:val="auto"/>
              </w:rPr>
            </w:pPr>
            <w:r>
              <w:rPr>
                <w:rFonts w:ascii="Arial" w:cs="Arial" w:eastAsia="Arial" w:hAnsi="Arial"/>
                <w:sz w:val="20"/>
                <w:szCs w:val="20"/>
                <w:b w:val="1"/>
                <w:bCs w:val="1"/>
                <w:color w:val="auto"/>
                <w:w w:val="99"/>
              </w:rPr>
              <w:t>TABLE OF CONTENTS</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7"/>
        </w:trPr>
        <w:tc>
          <w:tcPr>
            <w:tcW w:w="680" w:type="dxa"/>
            <w:vAlign w:val="bottom"/>
            <w:gridSpan w:val="3"/>
          </w:tcPr>
          <w:p>
            <w:pPr>
              <w:ind w:left="20"/>
              <w:spacing w:after="0"/>
              <w:rPr>
                <w:sz w:val="20"/>
                <w:szCs w:val="20"/>
                <w:color w:val="auto"/>
              </w:rPr>
            </w:pPr>
            <w:r>
              <w:rPr>
                <w:rFonts w:ascii="Arial" w:cs="Arial" w:eastAsia="Arial" w:hAnsi="Arial"/>
                <w:sz w:val="20"/>
                <w:szCs w:val="20"/>
                <w:color w:val="auto"/>
                <w:w w:val="95"/>
              </w:rPr>
              <w:t>Section</w:t>
            </w:r>
          </w:p>
        </w:tc>
        <w:tc>
          <w:tcPr>
            <w:tcW w:w="93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w w:val="76"/>
              </w:rPr>
              <w:t>Page</w:t>
            </w:r>
          </w:p>
        </w:tc>
        <w:tc>
          <w:tcPr>
            <w:tcW w:w="0" w:type="dxa"/>
            <w:vAlign w:val="bottom"/>
          </w:tcPr>
          <w:p>
            <w:pPr>
              <w:spacing w:after="0"/>
              <w:rPr>
                <w:sz w:val="1"/>
                <w:szCs w:val="1"/>
                <w:color w:val="auto"/>
              </w:rPr>
            </w:pPr>
          </w:p>
        </w:tc>
      </w:tr>
      <w:tr>
        <w:trPr>
          <w:trHeight w:val="652"/>
        </w:trPr>
        <w:tc>
          <w:tcPr>
            <w:tcW w:w="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340" w:type="dxa"/>
            <w:vAlign w:val="bottom"/>
          </w:tcPr>
          <w:p>
            <w:pPr>
              <w:jc w:val="center"/>
              <w:ind w:right="180"/>
              <w:spacing w:after="0"/>
              <w:rPr>
                <w:sz w:val="20"/>
                <w:szCs w:val="20"/>
                <w:color w:val="auto"/>
              </w:rPr>
            </w:pPr>
            <w:r>
              <w:rPr>
                <w:rFonts w:ascii="Arial" w:cs="Arial" w:eastAsia="Arial" w:hAnsi="Arial"/>
                <w:sz w:val="20"/>
                <w:szCs w:val="20"/>
                <w:color w:val="auto"/>
                <w:w w:val="98"/>
              </w:rPr>
              <w:t>ARTICLE I</w:t>
            </w:r>
          </w:p>
        </w:tc>
        <w:tc>
          <w:tcPr>
            <w:tcW w:w="3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340" w:type="dxa"/>
            <w:vAlign w:val="bottom"/>
          </w:tcPr>
          <w:p>
            <w:pPr>
              <w:jc w:val="center"/>
              <w:ind w:right="180"/>
              <w:spacing w:after="0"/>
              <w:rPr>
                <w:sz w:val="20"/>
                <w:szCs w:val="20"/>
                <w:color w:val="auto"/>
              </w:rPr>
            </w:pPr>
            <w:r>
              <w:rPr>
                <w:rFonts w:ascii="Arial" w:cs="Arial" w:eastAsia="Arial" w:hAnsi="Arial"/>
                <w:sz w:val="20"/>
                <w:szCs w:val="20"/>
                <w:color w:val="auto"/>
                <w:w w:val="97"/>
              </w:rPr>
              <w:t>DEFINITIONS AND ACCOUNTING TERMS</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0"/>
        </w:trPr>
        <w:tc>
          <w:tcPr>
            <w:tcW w:w="620" w:type="dxa"/>
            <w:vAlign w:val="bottom"/>
            <w:gridSpan w:val="2"/>
          </w:tcPr>
          <w:p>
            <w:pPr>
              <w:spacing w:after="0"/>
              <w:rPr>
                <w:sz w:val="20"/>
                <w:szCs w:val="20"/>
                <w:color w:val="auto"/>
              </w:rPr>
            </w:pPr>
            <w:r>
              <w:rPr>
                <w:rFonts w:ascii="Arial" w:cs="Arial" w:eastAsia="Arial" w:hAnsi="Arial"/>
                <w:sz w:val="20"/>
                <w:szCs w:val="20"/>
                <w:color w:val="auto"/>
              </w:rPr>
              <w:t>1.01.</w:t>
            </w:r>
          </w:p>
        </w:tc>
        <w:tc>
          <w:tcPr>
            <w:tcW w:w="60" w:type="dxa"/>
            <w:vAlign w:val="bottom"/>
          </w:tcPr>
          <w:p>
            <w:pPr>
              <w:spacing w:after="0"/>
              <w:rPr>
                <w:sz w:val="24"/>
                <w:szCs w:val="24"/>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Defined Terms</w:t>
            </w:r>
          </w:p>
        </w:tc>
        <w:tc>
          <w:tcPr>
            <w:tcW w:w="38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1.02.</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Other Interpretive Provisions</w:t>
            </w:r>
          </w:p>
        </w:tc>
        <w:tc>
          <w:tcPr>
            <w:tcW w:w="380" w:type="dxa"/>
            <w:vAlign w:val="bottom"/>
          </w:tcPr>
          <w:p>
            <w:pPr>
              <w:jc w:val="right"/>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1.03.</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Accounting Terms</w:t>
            </w:r>
          </w:p>
        </w:tc>
        <w:tc>
          <w:tcPr>
            <w:tcW w:w="38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1.04.</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Rounding</w:t>
            </w:r>
          </w:p>
        </w:tc>
        <w:tc>
          <w:tcPr>
            <w:tcW w:w="380" w:type="dxa"/>
            <w:vAlign w:val="bottom"/>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1.05.</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Times of Day; Rates</w:t>
            </w:r>
          </w:p>
        </w:tc>
        <w:tc>
          <w:tcPr>
            <w:tcW w:w="380" w:type="dxa"/>
            <w:vAlign w:val="bottom"/>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1.06.</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Letter of Credit Amounts</w:t>
            </w:r>
          </w:p>
        </w:tc>
        <w:tc>
          <w:tcPr>
            <w:tcW w:w="380" w:type="dxa"/>
            <w:vAlign w:val="bottom"/>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1.07.</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GNMA Securities</w:t>
            </w:r>
          </w:p>
        </w:tc>
        <w:tc>
          <w:tcPr>
            <w:tcW w:w="380" w:type="dxa"/>
            <w:vAlign w:val="bottom"/>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62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340" w:type="dxa"/>
            <w:vAlign w:val="bottom"/>
          </w:tcPr>
          <w:p>
            <w:pPr>
              <w:jc w:val="center"/>
              <w:ind w:right="180"/>
              <w:spacing w:after="0"/>
              <w:rPr>
                <w:sz w:val="20"/>
                <w:szCs w:val="20"/>
                <w:color w:val="auto"/>
              </w:rPr>
            </w:pPr>
            <w:r>
              <w:rPr>
                <w:rFonts w:ascii="Arial" w:cs="Arial" w:eastAsia="Arial" w:hAnsi="Arial"/>
                <w:sz w:val="20"/>
                <w:szCs w:val="20"/>
                <w:color w:val="auto"/>
              </w:rPr>
              <w:t>ARTICLE II</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340" w:type="dxa"/>
            <w:vAlign w:val="bottom"/>
          </w:tcPr>
          <w:p>
            <w:pPr>
              <w:jc w:val="center"/>
              <w:ind w:right="160"/>
              <w:spacing w:after="0"/>
              <w:rPr>
                <w:sz w:val="20"/>
                <w:szCs w:val="20"/>
                <w:color w:val="auto"/>
              </w:rPr>
            </w:pPr>
            <w:r>
              <w:rPr>
                <w:rFonts w:ascii="Arial" w:cs="Arial" w:eastAsia="Arial" w:hAnsi="Arial"/>
                <w:sz w:val="20"/>
                <w:szCs w:val="20"/>
                <w:color w:val="auto"/>
                <w:w w:val="97"/>
              </w:rPr>
              <w:t>THE COMMITMENTS AND CREDIT EXTENSIONS</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4"/>
        </w:trPr>
        <w:tc>
          <w:tcPr>
            <w:tcW w:w="620" w:type="dxa"/>
            <w:vAlign w:val="bottom"/>
            <w:gridSpan w:val="2"/>
          </w:tcPr>
          <w:p>
            <w:pPr>
              <w:spacing w:after="0"/>
              <w:rPr>
                <w:sz w:val="20"/>
                <w:szCs w:val="20"/>
                <w:color w:val="auto"/>
              </w:rPr>
            </w:pPr>
            <w:r>
              <w:rPr>
                <w:rFonts w:ascii="Arial" w:cs="Arial" w:eastAsia="Arial" w:hAnsi="Arial"/>
                <w:sz w:val="20"/>
                <w:szCs w:val="20"/>
                <w:color w:val="auto"/>
              </w:rPr>
              <w:t>2.01.</w:t>
            </w:r>
          </w:p>
        </w:tc>
        <w:tc>
          <w:tcPr>
            <w:tcW w:w="60" w:type="dxa"/>
            <w:vAlign w:val="bottom"/>
          </w:tcPr>
          <w:p>
            <w:pPr>
              <w:spacing w:after="0"/>
              <w:rPr>
                <w:sz w:val="24"/>
                <w:szCs w:val="24"/>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The Loans</w:t>
            </w:r>
          </w:p>
        </w:tc>
        <w:tc>
          <w:tcPr>
            <w:tcW w:w="380" w:type="dxa"/>
            <w:vAlign w:val="bottom"/>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2.02.</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Borrowings, Conversions and Continuations of Loans</w:t>
            </w:r>
          </w:p>
        </w:tc>
        <w:tc>
          <w:tcPr>
            <w:tcW w:w="380" w:type="dxa"/>
            <w:vAlign w:val="bottom"/>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2.03.</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Letters of Credit</w:t>
            </w:r>
          </w:p>
        </w:tc>
        <w:tc>
          <w:tcPr>
            <w:tcW w:w="380" w:type="dxa"/>
            <w:vAlign w:val="bottom"/>
          </w:tcPr>
          <w:p>
            <w:pPr>
              <w:jc w:val="right"/>
              <w:spacing w:after="0"/>
              <w:rPr>
                <w:sz w:val="20"/>
                <w:szCs w:val="20"/>
                <w:color w:val="auto"/>
              </w:rPr>
            </w:pPr>
            <w:r>
              <w:rPr>
                <w:rFonts w:ascii="Arial" w:cs="Arial" w:eastAsia="Arial" w:hAnsi="Arial"/>
                <w:sz w:val="20"/>
                <w:szCs w:val="20"/>
                <w:color w:val="auto"/>
              </w:rPr>
              <w:t>54</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2.04.</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Swing Line Loans</w:t>
            </w:r>
          </w:p>
        </w:tc>
        <w:tc>
          <w:tcPr>
            <w:tcW w:w="380" w:type="dxa"/>
            <w:vAlign w:val="bottom"/>
          </w:tcPr>
          <w:p>
            <w:pPr>
              <w:jc w:val="right"/>
              <w:spacing w:after="0"/>
              <w:rPr>
                <w:sz w:val="20"/>
                <w:szCs w:val="20"/>
                <w:color w:val="auto"/>
              </w:rPr>
            </w:pPr>
            <w:r>
              <w:rPr>
                <w:rFonts w:ascii="Arial" w:cs="Arial" w:eastAsia="Arial" w:hAnsi="Arial"/>
                <w:sz w:val="20"/>
                <w:szCs w:val="20"/>
                <w:color w:val="auto"/>
              </w:rPr>
              <w:t>64</w:t>
            </w:r>
          </w:p>
        </w:tc>
        <w:tc>
          <w:tcPr>
            <w:tcW w:w="0" w:type="dxa"/>
            <w:vAlign w:val="bottom"/>
          </w:tcPr>
          <w:p>
            <w:pPr>
              <w:spacing w:after="0"/>
              <w:rPr>
                <w:sz w:val="1"/>
                <w:szCs w:val="1"/>
                <w:color w:val="auto"/>
              </w:rPr>
            </w:pPr>
          </w:p>
        </w:tc>
      </w:tr>
      <w:tr>
        <w:trPr>
          <w:trHeight w:val="275"/>
        </w:trPr>
        <w:tc>
          <w:tcPr>
            <w:tcW w:w="620" w:type="dxa"/>
            <w:vAlign w:val="bottom"/>
            <w:gridSpan w:val="2"/>
            <w:vMerge w:val="restart"/>
          </w:tcPr>
          <w:p>
            <w:pPr>
              <w:spacing w:after="0"/>
              <w:rPr>
                <w:sz w:val="20"/>
                <w:szCs w:val="20"/>
                <w:color w:val="auto"/>
              </w:rPr>
            </w:pPr>
            <w:r>
              <w:rPr>
                <w:rFonts w:ascii="Arial" w:cs="Arial" w:eastAsia="Arial" w:hAnsi="Arial"/>
                <w:sz w:val="20"/>
                <w:szCs w:val="20"/>
                <w:color w:val="auto"/>
              </w:rPr>
              <w:t>2.05.</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Prepayments</w:t>
            </w:r>
          </w:p>
        </w:tc>
        <w:tc>
          <w:tcPr>
            <w:tcW w:w="380" w:type="dxa"/>
            <w:vAlign w:val="bottom"/>
            <w:vMerge w:val="restart"/>
          </w:tcPr>
          <w:p>
            <w:pPr>
              <w:jc w:val="right"/>
              <w:spacing w:after="0"/>
              <w:rPr>
                <w:sz w:val="20"/>
                <w:szCs w:val="20"/>
                <w:color w:val="auto"/>
              </w:rPr>
            </w:pPr>
            <w:r>
              <w:rPr>
                <w:rFonts w:ascii="Arial" w:cs="Arial" w:eastAsia="Arial" w:hAnsi="Arial"/>
                <w:sz w:val="20"/>
                <w:szCs w:val="20"/>
                <w:color w:val="auto"/>
              </w:rPr>
              <w:t>67</w:t>
            </w:r>
          </w:p>
        </w:tc>
        <w:tc>
          <w:tcPr>
            <w:tcW w:w="0" w:type="dxa"/>
            <w:vAlign w:val="bottom"/>
          </w:tcPr>
          <w:p>
            <w:pPr>
              <w:spacing w:after="0"/>
              <w:rPr>
                <w:sz w:val="1"/>
                <w:szCs w:val="1"/>
                <w:color w:val="auto"/>
              </w:rPr>
            </w:pPr>
          </w:p>
        </w:tc>
      </w:tr>
      <w:tr>
        <w:trPr>
          <w:trHeight w:val="225"/>
        </w:trPr>
        <w:tc>
          <w:tcPr>
            <w:tcW w:w="6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934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2.06.</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Termination or Reduction of Commitments</w:t>
            </w:r>
          </w:p>
        </w:tc>
        <w:tc>
          <w:tcPr>
            <w:tcW w:w="380" w:type="dxa"/>
            <w:vAlign w:val="bottom"/>
          </w:tcPr>
          <w:p>
            <w:pPr>
              <w:jc w:val="right"/>
              <w:spacing w:after="0"/>
              <w:rPr>
                <w:sz w:val="20"/>
                <w:szCs w:val="20"/>
                <w:color w:val="auto"/>
              </w:rPr>
            </w:pPr>
            <w:r>
              <w:rPr>
                <w:rFonts w:ascii="Arial" w:cs="Arial" w:eastAsia="Arial" w:hAnsi="Arial"/>
                <w:sz w:val="20"/>
                <w:szCs w:val="20"/>
                <w:color w:val="auto"/>
              </w:rPr>
              <w:t>58</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2.07.</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Repayment of Loans</w:t>
            </w:r>
          </w:p>
        </w:tc>
        <w:tc>
          <w:tcPr>
            <w:tcW w:w="380" w:type="dxa"/>
            <w:vAlign w:val="bottom"/>
          </w:tcPr>
          <w:p>
            <w:pPr>
              <w:jc w:val="right"/>
              <w:spacing w:after="0"/>
              <w:rPr>
                <w:sz w:val="20"/>
                <w:szCs w:val="20"/>
                <w:color w:val="auto"/>
              </w:rPr>
            </w:pPr>
            <w:r>
              <w:rPr>
                <w:rFonts w:ascii="Arial" w:cs="Arial" w:eastAsia="Arial" w:hAnsi="Arial"/>
                <w:sz w:val="20"/>
                <w:szCs w:val="20"/>
                <w:color w:val="auto"/>
              </w:rPr>
              <w:t>69</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2.08.</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Interest</w:t>
            </w:r>
          </w:p>
        </w:tc>
        <w:tc>
          <w:tcPr>
            <w:tcW w:w="380" w:type="dxa"/>
            <w:vAlign w:val="bottom"/>
          </w:tcPr>
          <w:p>
            <w:pPr>
              <w:jc w:val="right"/>
              <w:spacing w:after="0"/>
              <w:rPr>
                <w:sz w:val="20"/>
                <w:szCs w:val="20"/>
                <w:color w:val="auto"/>
              </w:rPr>
            </w:pPr>
            <w:r>
              <w:rPr>
                <w:rFonts w:ascii="Arial" w:cs="Arial" w:eastAsia="Arial" w:hAnsi="Arial"/>
                <w:sz w:val="20"/>
                <w:szCs w:val="20"/>
                <w:color w:val="auto"/>
              </w:rPr>
              <w:t>69</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2.09.</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Fees</w:t>
            </w:r>
          </w:p>
        </w:tc>
        <w:tc>
          <w:tcPr>
            <w:tcW w:w="380" w:type="dxa"/>
            <w:vAlign w:val="bottom"/>
          </w:tcPr>
          <w:p>
            <w:pPr>
              <w:jc w:val="right"/>
              <w:spacing w:after="0"/>
              <w:rPr>
                <w:sz w:val="20"/>
                <w:szCs w:val="20"/>
                <w:color w:val="auto"/>
              </w:rPr>
            </w:pPr>
            <w:r>
              <w:rPr>
                <w:rFonts w:ascii="Arial" w:cs="Arial" w:eastAsia="Arial" w:hAnsi="Arial"/>
                <w:sz w:val="20"/>
                <w:szCs w:val="20"/>
                <w:color w:val="auto"/>
              </w:rPr>
              <w:t>70</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2.10.</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Computation of Interest and Fees; Retroactive Adjustments of Applicable Rate</w:t>
            </w:r>
          </w:p>
        </w:tc>
        <w:tc>
          <w:tcPr>
            <w:tcW w:w="380" w:type="dxa"/>
            <w:vAlign w:val="bottom"/>
          </w:tcPr>
          <w:p>
            <w:pPr>
              <w:jc w:val="right"/>
              <w:spacing w:after="0"/>
              <w:rPr>
                <w:sz w:val="20"/>
                <w:szCs w:val="20"/>
                <w:color w:val="auto"/>
              </w:rPr>
            </w:pPr>
            <w:r>
              <w:rPr>
                <w:rFonts w:ascii="Arial" w:cs="Arial" w:eastAsia="Arial" w:hAnsi="Arial"/>
                <w:sz w:val="20"/>
                <w:szCs w:val="20"/>
                <w:color w:val="auto"/>
              </w:rPr>
              <w:t>71</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2.11.</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Evidence of Debt</w:t>
            </w:r>
          </w:p>
        </w:tc>
        <w:tc>
          <w:tcPr>
            <w:tcW w:w="380" w:type="dxa"/>
            <w:vAlign w:val="bottom"/>
          </w:tcPr>
          <w:p>
            <w:pPr>
              <w:jc w:val="right"/>
              <w:spacing w:after="0"/>
              <w:rPr>
                <w:sz w:val="20"/>
                <w:szCs w:val="20"/>
                <w:color w:val="auto"/>
              </w:rPr>
            </w:pPr>
            <w:r>
              <w:rPr>
                <w:rFonts w:ascii="Arial" w:cs="Arial" w:eastAsia="Arial" w:hAnsi="Arial"/>
                <w:sz w:val="20"/>
                <w:szCs w:val="20"/>
                <w:color w:val="auto"/>
              </w:rPr>
              <w:t>72</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2.12.</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Payments Generally; Administrative Agent’s Clawback</w:t>
            </w:r>
          </w:p>
        </w:tc>
        <w:tc>
          <w:tcPr>
            <w:tcW w:w="380" w:type="dxa"/>
            <w:vAlign w:val="bottom"/>
          </w:tcPr>
          <w:p>
            <w:pPr>
              <w:jc w:val="right"/>
              <w:spacing w:after="0"/>
              <w:rPr>
                <w:sz w:val="20"/>
                <w:szCs w:val="20"/>
                <w:color w:val="auto"/>
              </w:rPr>
            </w:pPr>
            <w:r>
              <w:rPr>
                <w:rFonts w:ascii="Arial" w:cs="Arial" w:eastAsia="Arial" w:hAnsi="Arial"/>
                <w:sz w:val="20"/>
                <w:szCs w:val="20"/>
                <w:color w:val="auto"/>
              </w:rPr>
              <w:t>72</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2.13.</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Sharing of Payments by Lenders</w:t>
            </w:r>
          </w:p>
        </w:tc>
        <w:tc>
          <w:tcPr>
            <w:tcW w:w="380" w:type="dxa"/>
            <w:vAlign w:val="bottom"/>
          </w:tcPr>
          <w:p>
            <w:pPr>
              <w:jc w:val="right"/>
              <w:spacing w:after="0"/>
              <w:rPr>
                <w:sz w:val="20"/>
                <w:szCs w:val="20"/>
                <w:color w:val="auto"/>
              </w:rPr>
            </w:pPr>
            <w:r>
              <w:rPr>
                <w:rFonts w:ascii="Arial" w:cs="Arial" w:eastAsia="Arial" w:hAnsi="Arial"/>
                <w:sz w:val="20"/>
                <w:szCs w:val="20"/>
                <w:color w:val="auto"/>
              </w:rPr>
              <w:t>84</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2.14.</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Extension of Maturity Date in respect of Revolving Credit Facility</w:t>
            </w:r>
          </w:p>
        </w:tc>
        <w:tc>
          <w:tcPr>
            <w:tcW w:w="380" w:type="dxa"/>
            <w:vAlign w:val="bottom"/>
          </w:tcPr>
          <w:p>
            <w:pPr>
              <w:jc w:val="right"/>
              <w:spacing w:after="0"/>
              <w:rPr>
                <w:sz w:val="20"/>
                <w:szCs w:val="20"/>
                <w:color w:val="auto"/>
              </w:rPr>
            </w:pPr>
            <w:r>
              <w:rPr>
                <w:rFonts w:ascii="Arial" w:cs="Arial" w:eastAsia="Arial" w:hAnsi="Arial"/>
                <w:sz w:val="20"/>
                <w:szCs w:val="20"/>
                <w:color w:val="auto"/>
              </w:rPr>
              <w:t>75</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2.15.</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[Intentionally omitted]</w:t>
            </w:r>
          </w:p>
        </w:tc>
        <w:tc>
          <w:tcPr>
            <w:tcW w:w="380" w:type="dxa"/>
            <w:vAlign w:val="bottom"/>
          </w:tcPr>
          <w:p>
            <w:pPr>
              <w:jc w:val="right"/>
              <w:spacing w:after="0"/>
              <w:rPr>
                <w:sz w:val="20"/>
                <w:szCs w:val="20"/>
                <w:color w:val="auto"/>
              </w:rPr>
            </w:pPr>
            <w:r>
              <w:rPr>
                <w:rFonts w:ascii="Arial" w:cs="Arial" w:eastAsia="Arial" w:hAnsi="Arial"/>
                <w:sz w:val="20"/>
                <w:szCs w:val="20"/>
                <w:color w:val="auto"/>
              </w:rPr>
              <w:t>77</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2.16.</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Increase in Facilities</w:t>
            </w:r>
          </w:p>
        </w:tc>
        <w:tc>
          <w:tcPr>
            <w:tcW w:w="380" w:type="dxa"/>
            <w:vAlign w:val="bottom"/>
          </w:tcPr>
          <w:p>
            <w:pPr>
              <w:jc w:val="right"/>
              <w:spacing w:after="0"/>
              <w:rPr>
                <w:sz w:val="20"/>
                <w:szCs w:val="20"/>
                <w:color w:val="auto"/>
              </w:rPr>
            </w:pPr>
            <w:r>
              <w:rPr>
                <w:rFonts w:ascii="Arial" w:cs="Arial" w:eastAsia="Arial" w:hAnsi="Arial"/>
                <w:sz w:val="20"/>
                <w:szCs w:val="20"/>
                <w:color w:val="auto"/>
              </w:rPr>
              <w:t>77</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2.17.</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[Intentionally omitted]</w:t>
            </w:r>
          </w:p>
        </w:tc>
        <w:tc>
          <w:tcPr>
            <w:tcW w:w="380" w:type="dxa"/>
            <w:vAlign w:val="bottom"/>
          </w:tcPr>
          <w:p>
            <w:pPr>
              <w:jc w:val="right"/>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2.18.</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Cash Collateral</w:t>
            </w:r>
          </w:p>
        </w:tc>
        <w:tc>
          <w:tcPr>
            <w:tcW w:w="380" w:type="dxa"/>
            <w:vAlign w:val="bottom"/>
          </w:tcPr>
          <w:p>
            <w:pPr>
              <w:jc w:val="right"/>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2.19.</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Defaulting Lenders</w:t>
            </w:r>
          </w:p>
        </w:tc>
        <w:tc>
          <w:tcPr>
            <w:tcW w:w="380" w:type="dxa"/>
            <w:vAlign w:val="bottom"/>
          </w:tcPr>
          <w:p>
            <w:pPr>
              <w:jc w:val="right"/>
              <w:spacing w:after="0"/>
              <w:rPr>
                <w:sz w:val="20"/>
                <w:szCs w:val="20"/>
                <w:color w:val="auto"/>
              </w:rPr>
            </w:pPr>
            <w:r>
              <w:rPr>
                <w:rFonts w:ascii="Arial" w:cs="Arial" w:eastAsia="Arial" w:hAnsi="Arial"/>
                <w:sz w:val="20"/>
                <w:szCs w:val="20"/>
                <w:color w:val="auto"/>
              </w:rPr>
              <w:t>82</w:t>
            </w:r>
          </w:p>
        </w:tc>
        <w:tc>
          <w:tcPr>
            <w:tcW w:w="0" w:type="dxa"/>
            <w:vAlign w:val="bottom"/>
          </w:tcPr>
          <w:p>
            <w:pPr>
              <w:spacing w:after="0"/>
              <w:rPr>
                <w:sz w:val="1"/>
                <w:szCs w:val="1"/>
                <w:color w:val="auto"/>
              </w:rPr>
            </w:pPr>
          </w:p>
        </w:tc>
      </w:tr>
    </w:tbl>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III</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TAXES, YIELD PROTECTION AND ILLEGALITY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400"/>
          </w:cols>
          <w:pgMar w:left="740" w:top="564" w:right="7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4"/>
        </w:trPr>
        <w:tc>
          <w:tcPr>
            <w:tcW w:w="640" w:type="dxa"/>
            <w:vAlign w:val="bottom"/>
          </w:tcPr>
          <w:p>
            <w:pPr>
              <w:ind w:left="100"/>
              <w:spacing w:after="0"/>
              <w:rPr>
                <w:sz w:val="20"/>
                <w:szCs w:val="20"/>
                <w:color w:val="auto"/>
              </w:rPr>
            </w:pPr>
            <w:r>
              <w:rPr>
                <w:rFonts w:ascii="Arial" w:cs="Arial" w:eastAsia="Arial" w:hAnsi="Arial"/>
                <w:sz w:val="20"/>
                <w:szCs w:val="20"/>
                <w:color w:val="auto"/>
              </w:rPr>
              <w:t>3.01.</w:t>
            </w:r>
          </w:p>
        </w:tc>
        <w:tc>
          <w:tcPr>
            <w:tcW w:w="8340" w:type="dxa"/>
            <w:vAlign w:val="bottom"/>
          </w:tcPr>
          <w:p>
            <w:pPr>
              <w:ind w:left="200"/>
              <w:spacing w:after="0"/>
              <w:rPr>
                <w:sz w:val="20"/>
                <w:szCs w:val="20"/>
                <w:color w:val="auto"/>
              </w:rPr>
            </w:pPr>
            <w:r>
              <w:rPr>
                <w:rFonts w:ascii="Arial" w:cs="Arial" w:eastAsia="Arial" w:hAnsi="Arial"/>
                <w:sz w:val="20"/>
                <w:szCs w:val="20"/>
                <w:color w:val="auto"/>
              </w:rPr>
              <w:t>Taxes</w:t>
            </w:r>
          </w:p>
        </w:tc>
        <w:tc>
          <w:tcPr>
            <w:tcW w:w="1560" w:type="dxa"/>
            <w:vAlign w:val="bottom"/>
          </w:tcPr>
          <w:p>
            <w:pPr>
              <w:ind w:left="1260"/>
              <w:spacing w:after="0"/>
              <w:rPr>
                <w:sz w:val="20"/>
                <w:szCs w:val="20"/>
                <w:color w:val="auto"/>
              </w:rPr>
            </w:pPr>
            <w:r>
              <w:rPr>
                <w:rFonts w:ascii="Arial" w:cs="Arial" w:eastAsia="Arial" w:hAnsi="Arial"/>
                <w:sz w:val="20"/>
                <w:szCs w:val="20"/>
                <w:color w:val="auto"/>
              </w:rPr>
              <w:t>85</w:t>
            </w:r>
          </w:p>
        </w:tc>
      </w:tr>
      <w:tr>
        <w:trPr>
          <w:trHeight w:val="275"/>
        </w:trPr>
        <w:tc>
          <w:tcPr>
            <w:tcW w:w="640" w:type="dxa"/>
            <w:vAlign w:val="bottom"/>
          </w:tcPr>
          <w:p>
            <w:pPr>
              <w:ind w:left="100"/>
              <w:spacing w:after="0"/>
              <w:rPr>
                <w:sz w:val="20"/>
                <w:szCs w:val="20"/>
                <w:color w:val="auto"/>
              </w:rPr>
            </w:pPr>
            <w:r>
              <w:rPr>
                <w:rFonts w:ascii="Arial" w:cs="Arial" w:eastAsia="Arial" w:hAnsi="Arial"/>
                <w:sz w:val="20"/>
                <w:szCs w:val="20"/>
                <w:color w:val="auto"/>
              </w:rPr>
              <w:t>3.02.</w:t>
            </w:r>
          </w:p>
        </w:tc>
        <w:tc>
          <w:tcPr>
            <w:tcW w:w="8340" w:type="dxa"/>
            <w:vAlign w:val="bottom"/>
          </w:tcPr>
          <w:p>
            <w:pPr>
              <w:ind w:left="200"/>
              <w:spacing w:after="0"/>
              <w:rPr>
                <w:sz w:val="20"/>
                <w:szCs w:val="20"/>
                <w:color w:val="auto"/>
              </w:rPr>
            </w:pPr>
            <w:r>
              <w:rPr>
                <w:rFonts w:ascii="Arial" w:cs="Arial" w:eastAsia="Arial" w:hAnsi="Arial"/>
                <w:sz w:val="20"/>
                <w:szCs w:val="20"/>
                <w:color w:val="auto"/>
              </w:rPr>
              <w:t>Illegality</w:t>
            </w:r>
          </w:p>
        </w:tc>
        <w:tc>
          <w:tcPr>
            <w:tcW w:w="1560" w:type="dxa"/>
            <w:vAlign w:val="bottom"/>
          </w:tcPr>
          <w:p>
            <w:pPr>
              <w:ind w:left="1260"/>
              <w:spacing w:after="0"/>
              <w:rPr>
                <w:sz w:val="20"/>
                <w:szCs w:val="20"/>
                <w:color w:val="auto"/>
              </w:rPr>
            </w:pPr>
            <w:r>
              <w:rPr>
                <w:rFonts w:ascii="Arial" w:cs="Arial" w:eastAsia="Arial" w:hAnsi="Arial"/>
                <w:sz w:val="20"/>
                <w:szCs w:val="20"/>
                <w:color w:val="auto"/>
              </w:rPr>
              <w:t>89</w:t>
            </w:r>
          </w:p>
        </w:tc>
      </w:tr>
      <w:tr>
        <w:trPr>
          <w:trHeight w:val="275"/>
        </w:trPr>
        <w:tc>
          <w:tcPr>
            <w:tcW w:w="640" w:type="dxa"/>
            <w:vAlign w:val="bottom"/>
          </w:tcPr>
          <w:p>
            <w:pPr>
              <w:ind w:left="100"/>
              <w:spacing w:after="0"/>
              <w:rPr>
                <w:sz w:val="20"/>
                <w:szCs w:val="20"/>
                <w:color w:val="auto"/>
              </w:rPr>
            </w:pPr>
            <w:r>
              <w:rPr>
                <w:rFonts w:ascii="Arial" w:cs="Arial" w:eastAsia="Arial" w:hAnsi="Arial"/>
                <w:sz w:val="20"/>
                <w:szCs w:val="20"/>
                <w:color w:val="auto"/>
              </w:rPr>
              <w:t>3.03.</w:t>
            </w:r>
          </w:p>
        </w:tc>
        <w:tc>
          <w:tcPr>
            <w:tcW w:w="8340" w:type="dxa"/>
            <w:vAlign w:val="bottom"/>
          </w:tcPr>
          <w:p>
            <w:pPr>
              <w:ind w:left="200"/>
              <w:spacing w:after="0"/>
              <w:rPr>
                <w:sz w:val="20"/>
                <w:szCs w:val="20"/>
                <w:color w:val="auto"/>
              </w:rPr>
            </w:pPr>
            <w:r>
              <w:rPr>
                <w:rFonts w:ascii="Arial" w:cs="Arial" w:eastAsia="Arial" w:hAnsi="Arial"/>
                <w:sz w:val="20"/>
                <w:szCs w:val="20"/>
                <w:color w:val="auto"/>
              </w:rPr>
              <w:t>Inability to Determine Rates</w:t>
            </w:r>
          </w:p>
        </w:tc>
        <w:tc>
          <w:tcPr>
            <w:tcW w:w="1560" w:type="dxa"/>
            <w:vAlign w:val="bottom"/>
          </w:tcPr>
          <w:p>
            <w:pPr>
              <w:ind w:left="1260"/>
              <w:spacing w:after="0"/>
              <w:rPr>
                <w:sz w:val="20"/>
                <w:szCs w:val="20"/>
                <w:color w:val="auto"/>
              </w:rPr>
            </w:pPr>
            <w:r>
              <w:rPr>
                <w:rFonts w:ascii="Arial" w:cs="Arial" w:eastAsia="Arial" w:hAnsi="Arial"/>
                <w:sz w:val="20"/>
                <w:szCs w:val="20"/>
                <w:color w:val="auto"/>
              </w:rPr>
              <w:t>90</w:t>
            </w:r>
          </w:p>
        </w:tc>
      </w:tr>
      <w:tr>
        <w:trPr>
          <w:trHeight w:val="275"/>
        </w:trPr>
        <w:tc>
          <w:tcPr>
            <w:tcW w:w="640" w:type="dxa"/>
            <w:vAlign w:val="bottom"/>
          </w:tcPr>
          <w:p>
            <w:pPr>
              <w:ind w:left="100"/>
              <w:spacing w:after="0"/>
              <w:rPr>
                <w:sz w:val="20"/>
                <w:szCs w:val="20"/>
                <w:color w:val="auto"/>
              </w:rPr>
            </w:pPr>
            <w:r>
              <w:rPr>
                <w:rFonts w:ascii="Arial" w:cs="Arial" w:eastAsia="Arial" w:hAnsi="Arial"/>
                <w:sz w:val="20"/>
                <w:szCs w:val="20"/>
                <w:color w:val="auto"/>
              </w:rPr>
              <w:t>3.04.</w:t>
            </w:r>
          </w:p>
        </w:tc>
        <w:tc>
          <w:tcPr>
            <w:tcW w:w="8340" w:type="dxa"/>
            <w:vAlign w:val="bottom"/>
          </w:tcPr>
          <w:p>
            <w:pPr>
              <w:ind w:left="200"/>
              <w:spacing w:after="0"/>
              <w:rPr>
                <w:sz w:val="20"/>
                <w:szCs w:val="20"/>
                <w:color w:val="auto"/>
              </w:rPr>
            </w:pPr>
            <w:r>
              <w:rPr>
                <w:rFonts w:ascii="Arial" w:cs="Arial" w:eastAsia="Arial" w:hAnsi="Arial"/>
                <w:sz w:val="20"/>
                <w:szCs w:val="20"/>
                <w:color w:val="auto"/>
              </w:rPr>
              <w:t>Increased Costs; Reserves on Eurodollar Rate Loans</w:t>
            </w:r>
          </w:p>
        </w:tc>
        <w:tc>
          <w:tcPr>
            <w:tcW w:w="1560" w:type="dxa"/>
            <w:vAlign w:val="bottom"/>
          </w:tcPr>
          <w:p>
            <w:pPr>
              <w:ind w:left="1260"/>
              <w:spacing w:after="0"/>
              <w:rPr>
                <w:sz w:val="20"/>
                <w:szCs w:val="20"/>
                <w:color w:val="auto"/>
              </w:rPr>
            </w:pPr>
            <w:r>
              <w:rPr>
                <w:rFonts w:ascii="Arial" w:cs="Arial" w:eastAsia="Arial" w:hAnsi="Arial"/>
                <w:sz w:val="20"/>
                <w:szCs w:val="20"/>
                <w:color w:val="auto"/>
              </w:rPr>
              <w:t>91</w:t>
            </w:r>
          </w:p>
        </w:tc>
      </w:tr>
      <w:tr>
        <w:trPr>
          <w:trHeight w:val="275"/>
        </w:trPr>
        <w:tc>
          <w:tcPr>
            <w:tcW w:w="640" w:type="dxa"/>
            <w:vAlign w:val="bottom"/>
          </w:tcPr>
          <w:p>
            <w:pPr>
              <w:ind w:left="100"/>
              <w:spacing w:after="0"/>
              <w:rPr>
                <w:sz w:val="20"/>
                <w:szCs w:val="20"/>
                <w:color w:val="auto"/>
              </w:rPr>
            </w:pPr>
            <w:r>
              <w:rPr>
                <w:rFonts w:ascii="Arial" w:cs="Arial" w:eastAsia="Arial" w:hAnsi="Arial"/>
                <w:sz w:val="20"/>
                <w:szCs w:val="20"/>
                <w:color w:val="auto"/>
              </w:rPr>
              <w:t>3.05.</w:t>
            </w:r>
          </w:p>
        </w:tc>
        <w:tc>
          <w:tcPr>
            <w:tcW w:w="8340" w:type="dxa"/>
            <w:vAlign w:val="bottom"/>
          </w:tcPr>
          <w:p>
            <w:pPr>
              <w:ind w:left="200"/>
              <w:spacing w:after="0"/>
              <w:rPr>
                <w:sz w:val="20"/>
                <w:szCs w:val="20"/>
                <w:color w:val="auto"/>
              </w:rPr>
            </w:pPr>
            <w:r>
              <w:rPr>
                <w:rFonts w:ascii="Arial" w:cs="Arial" w:eastAsia="Arial" w:hAnsi="Arial"/>
                <w:sz w:val="20"/>
                <w:szCs w:val="20"/>
                <w:color w:val="auto"/>
              </w:rPr>
              <w:t>Compensation for Losses</w:t>
            </w:r>
          </w:p>
        </w:tc>
        <w:tc>
          <w:tcPr>
            <w:tcW w:w="1560" w:type="dxa"/>
            <w:vAlign w:val="bottom"/>
          </w:tcPr>
          <w:p>
            <w:pPr>
              <w:ind w:left="1260"/>
              <w:spacing w:after="0"/>
              <w:rPr>
                <w:sz w:val="20"/>
                <w:szCs w:val="20"/>
                <w:color w:val="auto"/>
              </w:rPr>
            </w:pPr>
            <w:r>
              <w:rPr>
                <w:rFonts w:ascii="Arial" w:cs="Arial" w:eastAsia="Arial" w:hAnsi="Arial"/>
                <w:sz w:val="20"/>
                <w:szCs w:val="20"/>
                <w:color w:val="auto"/>
              </w:rPr>
              <w:t>92</w:t>
            </w:r>
          </w:p>
        </w:tc>
      </w:tr>
      <w:tr>
        <w:trPr>
          <w:trHeight w:val="275"/>
        </w:trPr>
        <w:tc>
          <w:tcPr>
            <w:tcW w:w="640" w:type="dxa"/>
            <w:vAlign w:val="bottom"/>
          </w:tcPr>
          <w:p>
            <w:pPr>
              <w:ind w:left="100"/>
              <w:spacing w:after="0"/>
              <w:rPr>
                <w:sz w:val="20"/>
                <w:szCs w:val="20"/>
                <w:color w:val="auto"/>
              </w:rPr>
            </w:pPr>
            <w:r>
              <w:rPr>
                <w:rFonts w:ascii="Arial" w:cs="Arial" w:eastAsia="Arial" w:hAnsi="Arial"/>
                <w:sz w:val="20"/>
                <w:szCs w:val="20"/>
                <w:color w:val="auto"/>
              </w:rPr>
              <w:t>3.06.</w:t>
            </w:r>
          </w:p>
        </w:tc>
        <w:tc>
          <w:tcPr>
            <w:tcW w:w="8340" w:type="dxa"/>
            <w:vAlign w:val="bottom"/>
          </w:tcPr>
          <w:p>
            <w:pPr>
              <w:ind w:left="200"/>
              <w:spacing w:after="0"/>
              <w:rPr>
                <w:sz w:val="20"/>
                <w:szCs w:val="20"/>
                <w:color w:val="auto"/>
              </w:rPr>
            </w:pPr>
            <w:r>
              <w:rPr>
                <w:rFonts w:ascii="Arial" w:cs="Arial" w:eastAsia="Arial" w:hAnsi="Arial"/>
                <w:sz w:val="20"/>
                <w:szCs w:val="20"/>
                <w:color w:val="auto"/>
              </w:rPr>
              <w:t>Mitigation Obligations; Replacement of Lenders</w:t>
            </w:r>
          </w:p>
        </w:tc>
        <w:tc>
          <w:tcPr>
            <w:tcW w:w="1560" w:type="dxa"/>
            <w:vAlign w:val="bottom"/>
          </w:tcPr>
          <w:p>
            <w:pPr>
              <w:ind w:left="1260"/>
              <w:spacing w:after="0"/>
              <w:rPr>
                <w:sz w:val="20"/>
                <w:szCs w:val="20"/>
                <w:color w:val="auto"/>
              </w:rPr>
            </w:pPr>
            <w:r>
              <w:rPr>
                <w:rFonts w:ascii="Arial" w:cs="Arial" w:eastAsia="Arial" w:hAnsi="Arial"/>
                <w:sz w:val="20"/>
                <w:szCs w:val="20"/>
                <w:color w:val="auto"/>
              </w:rPr>
              <w:t>93</w:t>
            </w:r>
          </w:p>
        </w:tc>
      </w:tr>
      <w:tr>
        <w:trPr>
          <w:trHeight w:val="275"/>
        </w:trPr>
        <w:tc>
          <w:tcPr>
            <w:tcW w:w="640" w:type="dxa"/>
            <w:vAlign w:val="bottom"/>
          </w:tcPr>
          <w:p>
            <w:pPr>
              <w:ind w:left="100"/>
              <w:spacing w:after="0"/>
              <w:rPr>
                <w:sz w:val="20"/>
                <w:szCs w:val="20"/>
                <w:color w:val="auto"/>
              </w:rPr>
            </w:pPr>
            <w:r>
              <w:rPr>
                <w:rFonts w:ascii="Arial" w:cs="Arial" w:eastAsia="Arial" w:hAnsi="Arial"/>
                <w:sz w:val="20"/>
                <w:szCs w:val="20"/>
                <w:color w:val="auto"/>
              </w:rPr>
              <w:t>3.07.</w:t>
            </w:r>
          </w:p>
        </w:tc>
        <w:tc>
          <w:tcPr>
            <w:tcW w:w="8340" w:type="dxa"/>
            <w:vAlign w:val="bottom"/>
          </w:tcPr>
          <w:p>
            <w:pPr>
              <w:ind w:left="200"/>
              <w:spacing w:after="0"/>
              <w:rPr>
                <w:sz w:val="20"/>
                <w:szCs w:val="20"/>
                <w:color w:val="auto"/>
              </w:rPr>
            </w:pPr>
            <w:r>
              <w:rPr>
                <w:rFonts w:ascii="Arial" w:cs="Arial" w:eastAsia="Arial" w:hAnsi="Arial"/>
                <w:sz w:val="20"/>
                <w:szCs w:val="20"/>
                <w:color w:val="auto"/>
              </w:rPr>
              <w:t>LIBOR Successor Rate</w:t>
            </w:r>
          </w:p>
        </w:tc>
        <w:tc>
          <w:tcPr>
            <w:tcW w:w="1560" w:type="dxa"/>
            <w:vAlign w:val="bottom"/>
          </w:tcPr>
          <w:p>
            <w:pPr>
              <w:ind w:left="1260"/>
              <w:spacing w:after="0"/>
              <w:rPr>
                <w:sz w:val="20"/>
                <w:szCs w:val="20"/>
                <w:color w:val="auto"/>
              </w:rPr>
            </w:pPr>
            <w:r>
              <w:rPr>
                <w:rFonts w:ascii="Arial" w:cs="Arial" w:eastAsia="Arial" w:hAnsi="Arial"/>
                <w:sz w:val="20"/>
                <w:szCs w:val="20"/>
                <w:color w:val="auto"/>
              </w:rPr>
              <w:t>94</w:t>
            </w:r>
          </w:p>
        </w:tc>
      </w:tr>
      <w:tr>
        <w:trPr>
          <w:trHeight w:val="275"/>
        </w:trPr>
        <w:tc>
          <w:tcPr>
            <w:tcW w:w="640" w:type="dxa"/>
            <w:vAlign w:val="bottom"/>
          </w:tcPr>
          <w:p>
            <w:pPr>
              <w:ind w:left="100"/>
              <w:spacing w:after="0"/>
              <w:rPr>
                <w:sz w:val="20"/>
                <w:szCs w:val="20"/>
                <w:color w:val="auto"/>
              </w:rPr>
            </w:pPr>
            <w:r>
              <w:rPr>
                <w:rFonts w:ascii="Arial" w:cs="Arial" w:eastAsia="Arial" w:hAnsi="Arial"/>
                <w:sz w:val="20"/>
                <w:szCs w:val="20"/>
                <w:color w:val="auto"/>
              </w:rPr>
              <w:t>3.08.</w:t>
            </w:r>
          </w:p>
        </w:tc>
        <w:tc>
          <w:tcPr>
            <w:tcW w:w="8340" w:type="dxa"/>
            <w:vAlign w:val="bottom"/>
          </w:tcPr>
          <w:p>
            <w:pPr>
              <w:ind w:left="200"/>
              <w:spacing w:after="0"/>
              <w:rPr>
                <w:sz w:val="20"/>
                <w:szCs w:val="20"/>
                <w:color w:val="auto"/>
              </w:rPr>
            </w:pPr>
            <w:r>
              <w:rPr>
                <w:rFonts w:ascii="Arial" w:cs="Arial" w:eastAsia="Arial" w:hAnsi="Arial"/>
                <w:sz w:val="20"/>
                <w:szCs w:val="20"/>
                <w:color w:val="auto"/>
              </w:rPr>
              <w:t>Survival</w:t>
            </w:r>
          </w:p>
        </w:tc>
        <w:tc>
          <w:tcPr>
            <w:tcW w:w="1560" w:type="dxa"/>
            <w:vAlign w:val="bottom"/>
          </w:tcPr>
          <w:p>
            <w:pPr>
              <w:ind w:left="1260"/>
              <w:spacing w:after="0"/>
              <w:rPr>
                <w:sz w:val="20"/>
                <w:szCs w:val="20"/>
                <w:color w:val="auto"/>
              </w:rPr>
            </w:pPr>
            <w:r>
              <w:rPr>
                <w:rFonts w:ascii="Arial" w:cs="Arial" w:eastAsia="Arial" w:hAnsi="Arial"/>
                <w:sz w:val="20"/>
                <w:szCs w:val="20"/>
                <w:color w:val="auto"/>
              </w:rPr>
              <w:t>95</w:t>
            </w:r>
          </w:p>
        </w:tc>
      </w:tr>
      <w:tr>
        <w:trPr>
          <w:trHeight w:val="624"/>
        </w:trPr>
        <w:tc>
          <w:tcPr>
            <w:tcW w:w="640" w:type="dxa"/>
            <w:vAlign w:val="bottom"/>
          </w:tcPr>
          <w:p>
            <w:pPr>
              <w:spacing w:after="0"/>
              <w:rPr>
                <w:sz w:val="24"/>
                <w:szCs w:val="24"/>
                <w:color w:val="auto"/>
              </w:rPr>
            </w:pPr>
          </w:p>
        </w:tc>
        <w:tc>
          <w:tcPr>
            <w:tcW w:w="8340" w:type="dxa"/>
            <w:vAlign w:val="bottom"/>
          </w:tcPr>
          <w:p>
            <w:pPr>
              <w:jc w:val="center"/>
              <w:ind w:left="900"/>
              <w:spacing w:after="0"/>
              <w:rPr>
                <w:sz w:val="20"/>
                <w:szCs w:val="20"/>
                <w:color w:val="auto"/>
              </w:rPr>
            </w:pPr>
            <w:r>
              <w:rPr>
                <w:rFonts w:ascii="Arial" w:cs="Arial" w:eastAsia="Arial" w:hAnsi="Arial"/>
                <w:sz w:val="20"/>
                <w:szCs w:val="20"/>
                <w:color w:val="auto"/>
              </w:rPr>
              <w:t>ARTICLE IV</w:t>
            </w:r>
          </w:p>
        </w:tc>
        <w:tc>
          <w:tcPr>
            <w:tcW w:w="1560" w:type="dxa"/>
            <w:vAlign w:val="bottom"/>
          </w:tcPr>
          <w:p>
            <w:pPr>
              <w:spacing w:after="0"/>
              <w:rPr>
                <w:sz w:val="24"/>
                <w:szCs w:val="24"/>
                <w:color w:val="auto"/>
              </w:rPr>
            </w:pPr>
          </w:p>
        </w:tc>
      </w:tr>
      <w:tr>
        <w:trPr>
          <w:trHeight w:val="275"/>
        </w:trPr>
        <w:tc>
          <w:tcPr>
            <w:tcW w:w="640" w:type="dxa"/>
            <w:vAlign w:val="bottom"/>
          </w:tcPr>
          <w:p>
            <w:pPr>
              <w:spacing w:after="0"/>
              <w:rPr>
                <w:sz w:val="23"/>
                <w:szCs w:val="23"/>
                <w:color w:val="auto"/>
              </w:rPr>
            </w:pPr>
          </w:p>
        </w:tc>
        <w:tc>
          <w:tcPr>
            <w:tcW w:w="8340" w:type="dxa"/>
            <w:vAlign w:val="bottom"/>
          </w:tcPr>
          <w:p>
            <w:pPr>
              <w:jc w:val="center"/>
              <w:ind w:left="920"/>
              <w:spacing w:after="0"/>
              <w:rPr>
                <w:sz w:val="20"/>
                <w:szCs w:val="20"/>
                <w:color w:val="auto"/>
              </w:rPr>
            </w:pPr>
            <w:r>
              <w:rPr>
                <w:rFonts w:ascii="Arial" w:cs="Arial" w:eastAsia="Arial" w:hAnsi="Arial"/>
                <w:sz w:val="20"/>
                <w:szCs w:val="20"/>
                <w:color w:val="auto"/>
                <w:w w:val="95"/>
              </w:rPr>
              <w:t>CONDITIONS PRECEDENT TO CREDIT EXTENSIONS</w:t>
            </w:r>
          </w:p>
        </w:tc>
        <w:tc>
          <w:tcPr>
            <w:tcW w:w="1560" w:type="dxa"/>
            <w:vAlign w:val="bottom"/>
          </w:tcPr>
          <w:p>
            <w:pPr>
              <w:spacing w:after="0"/>
              <w:rPr>
                <w:sz w:val="23"/>
                <w:szCs w:val="23"/>
                <w:color w:val="auto"/>
              </w:rPr>
            </w:pPr>
          </w:p>
        </w:tc>
      </w:tr>
      <w:tr>
        <w:trPr>
          <w:trHeight w:val="400"/>
        </w:trPr>
        <w:tc>
          <w:tcPr>
            <w:tcW w:w="640" w:type="dxa"/>
            <w:vAlign w:val="bottom"/>
          </w:tcPr>
          <w:p>
            <w:pPr>
              <w:ind w:left="100"/>
              <w:spacing w:after="0"/>
              <w:rPr>
                <w:sz w:val="20"/>
                <w:szCs w:val="20"/>
                <w:color w:val="auto"/>
              </w:rPr>
            </w:pPr>
            <w:r>
              <w:rPr>
                <w:rFonts w:ascii="Arial" w:cs="Arial" w:eastAsia="Arial" w:hAnsi="Arial"/>
                <w:sz w:val="20"/>
                <w:szCs w:val="20"/>
                <w:color w:val="auto"/>
              </w:rPr>
              <w:t>4.01.</w:t>
            </w:r>
          </w:p>
        </w:tc>
        <w:tc>
          <w:tcPr>
            <w:tcW w:w="8340" w:type="dxa"/>
            <w:vAlign w:val="bottom"/>
          </w:tcPr>
          <w:p>
            <w:pPr>
              <w:ind w:left="200"/>
              <w:spacing w:after="0"/>
              <w:rPr>
                <w:sz w:val="20"/>
                <w:szCs w:val="20"/>
                <w:color w:val="auto"/>
              </w:rPr>
            </w:pPr>
            <w:r>
              <w:rPr>
                <w:rFonts w:ascii="Arial" w:cs="Arial" w:eastAsia="Arial" w:hAnsi="Arial"/>
                <w:sz w:val="20"/>
                <w:szCs w:val="20"/>
                <w:color w:val="auto"/>
              </w:rPr>
              <w:t>Conditions of Effectiveness</w:t>
            </w:r>
          </w:p>
        </w:tc>
        <w:tc>
          <w:tcPr>
            <w:tcW w:w="1560" w:type="dxa"/>
            <w:vAlign w:val="bottom"/>
          </w:tcPr>
          <w:p>
            <w:pPr>
              <w:ind w:left="1260"/>
              <w:spacing w:after="0"/>
              <w:rPr>
                <w:sz w:val="20"/>
                <w:szCs w:val="20"/>
                <w:color w:val="auto"/>
              </w:rPr>
            </w:pPr>
            <w:r>
              <w:rPr>
                <w:rFonts w:ascii="Arial" w:cs="Arial" w:eastAsia="Arial" w:hAnsi="Arial"/>
                <w:sz w:val="20"/>
                <w:szCs w:val="20"/>
                <w:color w:val="auto"/>
              </w:rPr>
              <w:t>95</w:t>
            </w:r>
          </w:p>
        </w:tc>
      </w:tr>
      <w:tr>
        <w:trPr>
          <w:trHeight w:val="275"/>
        </w:trPr>
        <w:tc>
          <w:tcPr>
            <w:tcW w:w="640" w:type="dxa"/>
            <w:vAlign w:val="bottom"/>
          </w:tcPr>
          <w:p>
            <w:pPr>
              <w:ind w:left="100"/>
              <w:spacing w:after="0"/>
              <w:rPr>
                <w:sz w:val="20"/>
                <w:szCs w:val="20"/>
                <w:color w:val="auto"/>
              </w:rPr>
            </w:pPr>
            <w:r>
              <w:rPr>
                <w:rFonts w:ascii="Arial" w:cs="Arial" w:eastAsia="Arial" w:hAnsi="Arial"/>
                <w:sz w:val="20"/>
                <w:szCs w:val="20"/>
                <w:color w:val="auto"/>
              </w:rPr>
              <w:t>4.02.</w:t>
            </w:r>
          </w:p>
        </w:tc>
        <w:tc>
          <w:tcPr>
            <w:tcW w:w="8340" w:type="dxa"/>
            <w:vAlign w:val="bottom"/>
          </w:tcPr>
          <w:p>
            <w:pPr>
              <w:ind w:left="200"/>
              <w:spacing w:after="0"/>
              <w:rPr>
                <w:sz w:val="20"/>
                <w:szCs w:val="20"/>
                <w:color w:val="auto"/>
              </w:rPr>
            </w:pPr>
            <w:r>
              <w:rPr>
                <w:rFonts w:ascii="Arial" w:cs="Arial" w:eastAsia="Arial" w:hAnsi="Arial"/>
                <w:sz w:val="20"/>
                <w:szCs w:val="20"/>
                <w:color w:val="auto"/>
              </w:rPr>
              <w:t>Conditions to All Credit Extensions</w:t>
            </w:r>
          </w:p>
        </w:tc>
        <w:tc>
          <w:tcPr>
            <w:tcW w:w="1560" w:type="dxa"/>
            <w:vAlign w:val="bottom"/>
          </w:tcPr>
          <w:p>
            <w:pPr>
              <w:ind w:left="1260"/>
              <w:spacing w:after="0"/>
              <w:rPr>
                <w:sz w:val="20"/>
                <w:szCs w:val="20"/>
                <w:color w:val="auto"/>
              </w:rPr>
            </w:pPr>
            <w:r>
              <w:rPr>
                <w:rFonts w:ascii="Arial" w:cs="Arial" w:eastAsia="Arial" w:hAnsi="Arial"/>
                <w:sz w:val="20"/>
                <w:szCs w:val="20"/>
                <w:color w:val="auto"/>
              </w:rPr>
              <w:t>98</w:t>
            </w:r>
          </w:p>
        </w:tc>
      </w:tr>
      <w:tr>
        <w:trPr>
          <w:trHeight w:val="624"/>
        </w:trPr>
        <w:tc>
          <w:tcPr>
            <w:tcW w:w="640" w:type="dxa"/>
            <w:vAlign w:val="bottom"/>
          </w:tcPr>
          <w:p>
            <w:pPr>
              <w:spacing w:after="0"/>
              <w:rPr>
                <w:sz w:val="24"/>
                <w:szCs w:val="24"/>
                <w:color w:val="auto"/>
              </w:rPr>
            </w:pPr>
          </w:p>
        </w:tc>
        <w:tc>
          <w:tcPr>
            <w:tcW w:w="8340" w:type="dxa"/>
            <w:vAlign w:val="bottom"/>
          </w:tcPr>
          <w:p>
            <w:pPr>
              <w:jc w:val="center"/>
              <w:ind w:left="900"/>
              <w:spacing w:after="0"/>
              <w:rPr>
                <w:sz w:val="20"/>
                <w:szCs w:val="20"/>
                <w:color w:val="auto"/>
              </w:rPr>
            </w:pPr>
            <w:r>
              <w:rPr>
                <w:rFonts w:ascii="Arial" w:cs="Arial" w:eastAsia="Arial" w:hAnsi="Arial"/>
                <w:sz w:val="20"/>
                <w:szCs w:val="20"/>
                <w:color w:val="auto"/>
                <w:w w:val="98"/>
              </w:rPr>
              <w:t>ARTICLE V</w:t>
            </w:r>
          </w:p>
        </w:tc>
        <w:tc>
          <w:tcPr>
            <w:tcW w:w="1560" w:type="dxa"/>
            <w:vAlign w:val="bottom"/>
          </w:tcPr>
          <w:p>
            <w:pPr>
              <w:spacing w:after="0"/>
              <w:rPr>
                <w:sz w:val="24"/>
                <w:szCs w:val="24"/>
                <w:color w:val="auto"/>
              </w:rPr>
            </w:pPr>
          </w:p>
        </w:tc>
      </w:tr>
      <w:tr>
        <w:trPr>
          <w:trHeight w:val="275"/>
        </w:trPr>
        <w:tc>
          <w:tcPr>
            <w:tcW w:w="640" w:type="dxa"/>
            <w:vAlign w:val="bottom"/>
          </w:tcPr>
          <w:p>
            <w:pPr>
              <w:spacing w:after="0"/>
              <w:rPr>
                <w:sz w:val="23"/>
                <w:szCs w:val="23"/>
                <w:color w:val="auto"/>
              </w:rPr>
            </w:pPr>
          </w:p>
        </w:tc>
        <w:tc>
          <w:tcPr>
            <w:tcW w:w="8340" w:type="dxa"/>
            <w:vAlign w:val="bottom"/>
          </w:tcPr>
          <w:p>
            <w:pPr>
              <w:jc w:val="center"/>
              <w:ind w:left="920"/>
              <w:spacing w:after="0"/>
              <w:rPr>
                <w:sz w:val="20"/>
                <w:szCs w:val="20"/>
                <w:color w:val="auto"/>
              </w:rPr>
            </w:pPr>
            <w:r>
              <w:rPr>
                <w:rFonts w:ascii="Arial" w:cs="Arial" w:eastAsia="Arial" w:hAnsi="Arial"/>
                <w:sz w:val="20"/>
                <w:szCs w:val="20"/>
                <w:color w:val="auto"/>
                <w:w w:val="94"/>
              </w:rPr>
              <w:t>REPRESENTATIONS AND WARRANTIES</w:t>
            </w:r>
          </w:p>
        </w:tc>
        <w:tc>
          <w:tcPr>
            <w:tcW w:w="1560" w:type="dxa"/>
            <w:vAlign w:val="bottom"/>
          </w:tcPr>
          <w:p>
            <w:pPr>
              <w:spacing w:after="0"/>
              <w:rPr>
                <w:sz w:val="23"/>
                <w:szCs w:val="23"/>
                <w:color w:val="auto"/>
              </w:rPr>
            </w:pPr>
          </w:p>
        </w:tc>
      </w:tr>
      <w:tr>
        <w:trPr>
          <w:trHeight w:val="400"/>
        </w:trPr>
        <w:tc>
          <w:tcPr>
            <w:tcW w:w="640" w:type="dxa"/>
            <w:vAlign w:val="bottom"/>
          </w:tcPr>
          <w:p>
            <w:pPr>
              <w:spacing w:after="0"/>
              <w:rPr>
                <w:sz w:val="20"/>
                <w:szCs w:val="20"/>
                <w:color w:val="auto"/>
              </w:rPr>
            </w:pPr>
            <w:r>
              <w:rPr>
                <w:rFonts w:ascii="Arial" w:cs="Arial" w:eastAsia="Arial" w:hAnsi="Arial"/>
                <w:sz w:val="20"/>
                <w:szCs w:val="20"/>
                <w:color w:val="auto"/>
              </w:rPr>
              <w:t>5.01.</w:t>
            </w:r>
          </w:p>
        </w:tc>
        <w:tc>
          <w:tcPr>
            <w:tcW w:w="8340" w:type="dxa"/>
            <w:vAlign w:val="bottom"/>
          </w:tcPr>
          <w:p>
            <w:pPr>
              <w:ind w:left="120"/>
              <w:spacing w:after="0"/>
              <w:rPr>
                <w:sz w:val="20"/>
                <w:szCs w:val="20"/>
                <w:color w:val="auto"/>
              </w:rPr>
            </w:pPr>
            <w:r>
              <w:rPr>
                <w:rFonts w:ascii="Arial" w:cs="Arial" w:eastAsia="Arial" w:hAnsi="Arial"/>
                <w:sz w:val="20"/>
                <w:szCs w:val="20"/>
                <w:color w:val="auto"/>
              </w:rPr>
              <w:t>Existence, Qualification and Power</w:t>
            </w:r>
          </w:p>
        </w:tc>
        <w:tc>
          <w:tcPr>
            <w:tcW w:w="1560" w:type="dxa"/>
            <w:vAlign w:val="bottom"/>
          </w:tcPr>
          <w:p>
            <w:pPr>
              <w:ind w:left="1360"/>
              <w:spacing w:after="0"/>
              <w:rPr>
                <w:sz w:val="20"/>
                <w:szCs w:val="20"/>
                <w:color w:val="auto"/>
              </w:rPr>
            </w:pPr>
            <w:r>
              <w:rPr>
                <w:rFonts w:ascii="Arial" w:cs="Arial" w:eastAsia="Arial" w:hAnsi="Arial"/>
                <w:sz w:val="20"/>
                <w:szCs w:val="20"/>
                <w:color w:val="auto"/>
                <w:w w:val="80"/>
              </w:rPr>
              <w:t>99</w:t>
            </w:r>
          </w:p>
        </w:tc>
      </w:tr>
      <w:tr>
        <w:trPr>
          <w:trHeight w:val="275"/>
        </w:trPr>
        <w:tc>
          <w:tcPr>
            <w:tcW w:w="640" w:type="dxa"/>
            <w:vAlign w:val="bottom"/>
          </w:tcPr>
          <w:p>
            <w:pPr>
              <w:spacing w:after="0"/>
              <w:rPr>
                <w:sz w:val="20"/>
                <w:szCs w:val="20"/>
                <w:color w:val="auto"/>
              </w:rPr>
            </w:pPr>
            <w:r>
              <w:rPr>
                <w:rFonts w:ascii="Arial" w:cs="Arial" w:eastAsia="Arial" w:hAnsi="Arial"/>
                <w:sz w:val="20"/>
                <w:szCs w:val="20"/>
                <w:color w:val="auto"/>
              </w:rPr>
              <w:t>5.02.</w:t>
            </w:r>
          </w:p>
        </w:tc>
        <w:tc>
          <w:tcPr>
            <w:tcW w:w="8340" w:type="dxa"/>
            <w:vAlign w:val="bottom"/>
          </w:tcPr>
          <w:p>
            <w:pPr>
              <w:ind w:left="120"/>
              <w:spacing w:after="0"/>
              <w:rPr>
                <w:sz w:val="20"/>
                <w:szCs w:val="20"/>
                <w:color w:val="auto"/>
              </w:rPr>
            </w:pPr>
            <w:r>
              <w:rPr>
                <w:rFonts w:ascii="Arial" w:cs="Arial" w:eastAsia="Arial" w:hAnsi="Arial"/>
                <w:sz w:val="20"/>
                <w:szCs w:val="20"/>
                <w:color w:val="auto"/>
              </w:rPr>
              <w:t>Authorization; No Contravention</w:t>
            </w:r>
          </w:p>
        </w:tc>
        <w:tc>
          <w:tcPr>
            <w:tcW w:w="1560" w:type="dxa"/>
            <w:vAlign w:val="bottom"/>
          </w:tcPr>
          <w:p>
            <w:pPr>
              <w:ind w:left="1360"/>
              <w:spacing w:after="0"/>
              <w:rPr>
                <w:sz w:val="20"/>
                <w:szCs w:val="20"/>
                <w:color w:val="auto"/>
              </w:rPr>
            </w:pPr>
            <w:r>
              <w:rPr>
                <w:rFonts w:ascii="Arial" w:cs="Arial" w:eastAsia="Arial" w:hAnsi="Arial"/>
                <w:sz w:val="20"/>
                <w:szCs w:val="20"/>
                <w:color w:val="auto"/>
                <w:w w:val="80"/>
              </w:rPr>
              <w:t>99</w:t>
            </w:r>
          </w:p>
        </w:tc>
      </w:tr>
      <w:tr>
        <w:trPr>
          <w:trHeight w:val="275"/>
        </w:trPr>
        <w:tc>
          <w:tcPr>
            <w:tcW w:w="640" w:type="dxa"/>
            <w:vAlign w:val="bottom"/>
          </w:tcPr>
          <w:p>
            <w:pPr>
              <w:spacing w:after="0"/>
              <w:rPr>
                <w:sz w:val="20"/>
                <w:szCs w:val="20"/>
                <w:color w:val="auto"/>
              </w:rPr>
            </w:pPr>
            <w:r>
              <w:rPr>
                <w:rFonts w:ascii="Arial" w:cs="Arial" w:eastAsia="Arial" w:hAnsi="Arial"/>
                <w:sz w:val="20"/>
                <w:szCs w:val="20"/>
                <w:color w:val="auto"/>
              </w:rPr>
              <w:t>5.03.</w:t>
            </w:r>
          </w:p>
        </w:tc>
        <w:tc>
          <w:tcPr>
            <w:tcW w:w="8340" w:type="dxa"/>
            <w:vAlign w:val="bottom"/>
          </w:tcPr>
          <w:p>
            <w:pPr>
              <w:ind w:left="120"/>
              <w:spacing w:after="0"/>
              <w:rPr>
                <w:sz w:val="20"/>
                <w:szCs w:val="20"/>
                <w:color w:val="auto"/>
              </w:rPr>
            </w:pPr>
            <w:r>
              <w:rPr>
                <w:rFonts w:ascii="Arial" w:cs="Arial" w:eastAsia="Arial" w:hAnsi="Arial"/>
                <w:sz w:val="20"/>
                <w:szCs w:val="20"/>
                <w:color w:val="auto"/>
              </w:rPr>
              <w:t>Governmental Authorization; Other Consents</w:t>
            </w:r>
          </w:p>
        </w:tc>
        <w:tc>
          <w:tcPr>
            <w:tcW w:w="1560" w:type="dxa"/>
            <w:vAlign w:val="bottom"/>
          </w:tcPr>
          <w:p>
            <w:pPr>
              <w:ind w:left="1360"/>
              <w:spacing w:after="0"/>
              <w:rPr>
                <w:sz w:val="20"/>
                <w:szCs w:val="20"/>
                <w:color w:val="auto"/>
              </w:rPr>
            </w:pPr>
            <w:r>
              <w:rPr>
                <w:rFonts w:ascii="Arial" w:cs="Arial" w:eastAsia="Arial" w:hAnsi="Arial"/>
                <w:sz w:val="20"/>
                <w:szCs w:val="20"/>
                <w:color w:val="auto"/>
                <w:w w:val="80"/>
              </w:rPr>
              <w:t>99</w:t>
            </w:r>
          </w:p>
        </w:tc>
      </w:tr>
      <w:tr>
        <w:trPr>
          <w:trHeight w:val="275"/>
        </w:trPr>
        <w:tc>
          <w:tcPr>
            <w:tcW w:w="640" w:type="dxa"/>
            <w:vAlign w:val="bottom"/>
          </w:tcPr>
          <w:p>
            <w:pPr>
              <w:spacing w:after="0"/>
              <w:rPr>
                <w:sz w:val="20"/>
                <w:szCs w:val="20"/>
                <w:color w:val="auto"/>
              </w:rPr>
            </w:pPr>
            <w:r>
              <w:rPr>
                <w:rFonts w:ascii="Arial" w:cs="Arial" w:eastAsia="Arial" w:hAnsi="Arial"/>
                <w:sz w:val="20"/>
                <w:szCs w:val="20"/>
                <w:color w:val="auto"/>
              </w:rPr>
              <w:t>5.04.</w:t>
            </w:r>
          </w:p>
        </w:tc>
        <w:tc>
          <w:tcPr>
            <w:tcW w:w="8340" w:type="dxa"/>
            <w:vAlign w:val="bottom"/>
          </w:tcPr>
          <w:p>
            <w:pPr>
              <w:ind w:left="120"/>
              <w:spacing w:after="0"/>
              <w:rPr>
                <w:sz w:val="20"/>
                <w:szCs w:val="20"/>
                <w:color w:val="auto"/>
              </w:rPr>
            </w:pPr>
            <w:r>
              <w:rPr>
                <w:rFonts w:ascii="Arial" w:cs="Arial" w:eastAsia="Arial" w:hAnsi="Arial"/>
                <w:sz w:val="20"/>
                <w:szCs w:val="20"/>
                <w:color w:val="auto"/>
              </w:rPr>
              <w:t>Binding Effect</w:t>
            </w:r>
          </w:p>
        </w:tc>
        <w:tc>
          <w:tcPr>
            <w:tcW w:w="1560" w:type="dxa"/>
            <w:vAlign w:val="bottom"/>
          </w:tcPr>
          <w:p>
            <w:pPr>
              <w:ind w:left="1360"/>
              <w:spacing w:after="0"/>
              <w:rPr>
                <w:sz w:val="20"/>
                <w:szCs w:val="20"/>
                <w:color w:val="auto"/>
              </w:rPr>
            </w:pPr>
            <w:r>
              <w:rPr>
                <w:rFonts w:ascii="Arial" w:cs="Arial" w:eastAsia="Arial" w:hAnsi="Arial"/>
                <w:sz w:val="20"/>
                <w:szCs w:val="20"/>
                <w:color w:val="auto"/>
                <w:w w:val="80"/>
              </w:rPr>
              <w:t>99</w:t>
            </w:r>
          </w:p>
        </w:tc>
      </w:tr>
      <w:tr>
        <w:trPr>
          <w:trHeight w:val="275"/>
        </w:trPr>
        <w:tc>
          <w:tcPr>
            <w:tcW w:w="640" w:type="dxa"/>
            <w:vAlign w:val="bottom"/>
          </w:tcPr>
          <w:p>
            <w:pPr>
              <w:spacing w:after="0"/>
              <w:rPr>
                <w:sz w:val="20"/>
                <w:szCs w:val="20"/>
                <w:color w:val="auto"/>
              </w:rPr>
            </w:pPr>
            <w:r>
              <w:rPr>
                <w:rFonts w:ascii="Arial" w:cs="Arial" w:eastAsia="Arial" w:hAnsi="Arial"/>
                <w:sz w:val="20"/>
                <w:szCs w:val="20"/>
                <w:color w:val="auto"/>
              </w:rPr>
              <w:t>5.05.</w:t>
            </w:r>
          </w:p>
        </w:tc>
        <w:tc>
          <w:tcPr>
            <w:tcW w:w="8340" w:type="dxa"/>
            <w:vAlign w:val="bottom"/>
          </w:tcPr>
          <w:p>
            <w:pPr>
              <w:ind w:left="120"/>
              <w:spacing w:after="0"/>
              <w:rPr>
                <w:sz w:val="20"/>
                <w:szCs w:val="20"/>
                <w:color w:val="auto"/>
              </w:rPr>
            </w:pPr>
            <w:r>
              <w:rPr>
                <w:rFonts w:ascii="Arial" w:cs="Arial" w:eastAsia="Arial" w:hAnsi="Arial"/>
                <w:sz w:val="20"/>
                <w:szCs w:val="20"/>
                <w:color w:val="auto"/>
              </w:rPr>
              <w:t>Financial Statements; No Material Adverse Effect</w:t>
            </w:r>
          </w:p>
        </w:tc>
        <w:tc>
          <w:tcPr>
            <w:tcW w:w="1560" w:type="dxa"/>
            <w:vAlign w:val="bottom"/>
          </w:tcPr>
          <w:p>
            <w:pPr>
              <w:ind w:left="1260"/>
              <w:spacing w:after="0"/>
              <w:rPr>
                <w:sz w:val="20"/>
                <w:szCs w:val="20"/>
                <w:color w:val="auto"/>
              </w:rPr>
            </w:pPr>
            <w:r>
              <w:rPr>
                <w:rFonts w:ascii="Arial" w:cs="Arial" w:eastAsia="Arial" w:hAnsi="Arial"/>
                <w:sz w:val="20"/>
                <w:szCs w:val="20"/>
                <w:color w:val="auto"/>
                <w:w w:val="83"/>
              </w:rPr>
              <w:t>100</w:t>
            </w:r>
          </w:p>
        </w:tc>
      </w:tr>
      <w:tr>
        <w:trPr>
          <w:trHeight w:val="275"/>
        </w:trPr>
        <w:tc>
          <w:tcPr>
            <w:tcW w:w="640" w:type="dxa"/>
            <w:vAlign w:val="bottom"/>
          </w:tcPr>
          <w:p>
            <w:pPr>
              <w:spacing w:after="0"/>
              <w:rPr>
                <w:sz w:val="20"/>
                <w:szCs w:val="20"/>
                <w:color w:val="auto"/>
              </w:rPr>
            </w:pPr>
            <w:r>
              <w:rPr>
                <w:rFonts w:ascii="Arial" w:cs="Arial" w:eastAsia="Arial" w:hAnsi="Arial"/>
                <w:sz w:val="20"/>
                <w:szCs w:val="20"/>
                <w:color w:val="auto"/>
              </w:rPr>
              <w:t>5.06.</w:t>
            </w:r>
          </w:p>
        </w:tc>
        <w:tc>
          <w:tcPr>
            <w:tcW w:w="8340" w:type="dxa"/>
            <w:vAlign w:val="bottom"/>
          </w:tcPr>
          <w:p>
            <w:pPr>
              <w:ind w:left="120"/>
              <w:spacing w:after="0"/>
              <w:rPr>
                <w:sz w:val="20"/>
                <w:szCs w:val="20"/>
                <w:color w:val="auto"/>
              </w:rPr>
            </w:pPr>
            <w:r>
              <w:rPr>
                <w:rFonts w:ascii="Arial" w:cs="Arial" w:eastAsia="Arial" w:hAnsi="Arial"/>
                <w:sz w:val="20"/>
                <w:szCs w:val="20"/>
                <w:color w:val="auto"/>
              </w:rPr>
              <w:t>Litigation</w:t>
            </w:r>
          </w:p>
        </w:tc>
        <w:tc>
          <w:tcPr>
            <w:tcW w:w="1560" w:type="dxa"/>
            <w:vAlign w:val="bottom"/>
          </w:tcPr>
          <w:p>
            <w:pPr>
              <w:ind w:left="1260"/>
              <w:spacing w:after="0"/>
              <w:rPr>
                <w:sz w:val="20"/>
                <w:szCs w:val="20"/>
                <w:color w:val="auto"/>
              </w:rPr>
            </w:pPr>
            <w:r>
              <w:rPr>
                <w:rFonts w:ascii="Arial" w:cs="Arial" w:eastAsia="Arial" w:hAnsi="Arial"/>
                <w:sz w:val="20"/>
                <w:szCs w:val="20"/>
                <w:color w:val="auto"/>
                <w:w w:val="83"/>
              </w:rPr>
              <w:t>100</w:t>
            </w:r>
          </w:p>
        </w:tc>
      </w:tr>
      <w:tr>
        <w:trPr>
          <w:trHeight w:val="275"/>
        </w:trPr>
        <w:tc>
          <w:tcPr>
            <w:tcW w:w="640" w:type="dxa"/>
            <w:vAlign w:val="bottom"/>
          </w:tcPr>
          <w:p>
            <w:pPr>
              <w:spacing w:after="0"/>
              <w:rPr>
                <w:sz w:val="20"/>
                <w:szCs w:val="20"/>
                <w:color w:val="auto"/>
              </w:rPr>
            </w:pPr>
            <w:r>
              <w:rPr>
                <w:rFonts w:ascii="Arial" w:cs="Arial" w:eastAsia="Arial" w:hAnsi="Arial"/>
                <w:sz w:val="20"/>
                <w:szCs w:val="20"/>
                <w:color w:val="auto"/>
              </w:rPr>
              <w:t>5.07.</w:t>
            </w:r>
          </w:p>
        </w:tc>
        <w:tc>
          <w:tcPr>
            <w:tcW w:w="8340" w:type="dxa"/>
            <w:vAlign w:val="bottom"/>
          </w:tcPr>
          <w:p>
            <w:pPr>
              <w:ind w:left="120"/>
              <w:spacing w:after="0"/>
              <w:rPr>
                <w:sz w:val="20"/>
                <w:szCs w:val="20"/>
                <w:color w:val="auto"/>
              </w:rPr>
            </w:pPr>
            <w:r>
              <w:rPr>
                <w:rFonts w:ascii="Arial" w:cs="Arial" w:eastAsia="Arial" w:hAnsi="Arial"/>
                <w:sz w:val="20"/>
                <w:szCs w:val="20"/>
                <w:color w:val="auto"/>
              </w:rPr>
              <w:t>No Default</w:t>
            </w:r>
          </w:p>
        </w:tc>
        <w:tc>
          <w:tcPr>
            <w:tcW w:w="1560" w:type="dxa"/>
            <w:vAlign w:val="bottom"/>
          </w:tcPr>
          <w:p>
            <w:pPr>
              <w:ind w:left="1260"/>
              <w:spacing w:after="0"/>
              <w:rPr>
                <w:sz w:val="20"/>
                <w:szCs w:val="20"/>
                <w:color w:val="auto"/>
              </w:rPr>
            </w:pPr>
            <w:r>
              <w:rPr>
                <w:rFonts w:ascii="Arial" w:cs="Arial" w:eastAsia="Arial" w:hAnsi="Arial"/>
                <w:sz w:val="20"/>
                <w:szCs w:val="20"/>
                <w:color w:val="auto"/>
                <w:w w:val="83"/>
              </w:rPr>
              <w:t>100</w:t>
            </w:r>
          </w:p>
        </w:tc>
      </w:tr>
      <w:tr>
        <w:trPr>
          <w:trHeight w:val="275"/>
        </w:trPr>
        <w:tc>
          <w:tcPr>
            <w:tcW w:w="640" w:type="dxa"/>
            <w:vAlign w:val="bottom"/>
          </w:tcPr>
          <w:p>
            <w:pPr>
              <w:spacing w:after="0"/>
              <w:rPr>
                <w:sz w:val="20"/>
                <w:szCs w:val="20"/>
                <w:color w:val="auto"/>
              </w:rPr>
            </w:pPr>
            <w:r>
              <w:rPr>
                <w:rFonts w:ascii="Arial" w:cs="Arial" w:eastAsia="Arial" w:hAnsi="Arial"/>
                <w:sz w:val="20"/>
                <w:szCs w:val="20"/>
                <w:color w:val="auto"/>
              </w:rPr>
              <w:t>5.08.</w:t>
            </w:r>
          </w:p>
        </w:tc>
        <w:tc>
          <w:tcPr>
            <w:tcW w:w="8340" w:type="dxa"/>
            <w:vAlign w:val="bottom"/>
          </w:tcPr>
          <w:p>
            <w:pPr>
              <w:ind w:left="120"/>
              <w:spacing w:after="0"/>
              <w:rPr>
                <w:sz w:val="20"/>
                <w:szCs w:val="20"/>
                <w:color w:val="auto"/>
              </w:rPr>
            </w:pPr>
            <w:r>
              <w:rPr>
                <w:rFonts w:ascii="Arial" w:cs="Arial" w:eastAsia="Arial" w:hAnsi="Arial"/>
                <w:sz w:val="20"/>
                <w:szCs w:val="20"/>
                <w:color w:val="auto"/>
              </w:rPr>
              <w:t>Ownership of Property; Liens</w:t>
            </w:r>
          </w:p>
        </w:tc>
        <w:tc>
          <w:tcPr>
            <w:tcW w:w="1560" w:type="dxa"/>
            <w:vAlign w:val="bottom"/>
          </w:tcPr>
          <w:p>
            <w:pPr>
              <w:ind w:left="1260"/>
              <w:spacing w:after="0"/>
              <w:rPr>
                <w:sz w:val="20"/>
                <w:szCs w:val="20"/>
                <w:color w:val="auto"/>
              </w:rPr>
            </w:pPr>
            <w:r>
              <w:rPr>
                <w:rFonts w:ascii="Arial" w:cs="Arial" w:eastAsia="Arial" w:hAnsi="Arial"/>
                <w:sz w:val="20"/>
                <w:szCs w:val="20"/>
                <w:color w:val="auto"/>
                <w:w w:val="83"/>
              </w:rPr>
              <w:t>101</w:t>
            </w:r>
          </w:p>
        </w:tc>
      </w:tr>
      <w:tr>
        <w:trPr>
          <w:trHeight w:val="275"/>
        </w:trPr>
        <w:tc>
          <w:tcPr>
            <w:tcW w:w="640" w:type="dxa"/>
            <w:vAlign w:val="bottom"/>
          </w:tcPr>
          <w:p>
            <w:pPr>
              <w:spacing w:after="0"/>
              <w:rPr>
                <w:sz w:val="20"/>
                <w:szCs w:val="20"/>
                <w:color w:val="auto"/>
              </w:rPr>
            </w:pPr>
            <w:r>
              <w:rPr>
                <w:rFonts w:ascii="Arial" w:cs="Arial" w:eastAsia="Arial" w:hAnsi="Arial"/>
                <w:sz w:val="20"/>
                <w:szCs w:val="20"/>
                <w:color w:val="auto"/>
              </w:rPr>
              <w:t>5.09.</w:t>
            </w:r>
          </w:p>
        </w:tc>
        <w:tc>
          <w:tcPr>
            <w:tcW w:w="8340" w:type="dxa"/>
            <w:vAlign w:val="bottom"/>
          </w:tcPr>
          <w:p>
            <w:pPr>
              <w:ind w:left="120"/>
              <w:spacing w:after="0"/>
              <w:rPr>
                <w:sz w:val="20"/>
                <w:szCs w:val="20"/>
                <w:color w:val="auto"/>
              </w:rPr>
            </w:pPr>
            <w:r>
              <w:rPr>
                <w:rFonts w:ascii="Arial" w:cs="Arial" w:eastAsia="Arial" w:hAnsi="Arial"/>
                <w:sz w:val="20"/>
                <w:szCs w:val="20"/>
                <w:color w:val="auto"/>
              </w:rPr>
              <w:t>Environmental Compliance</w:t>
            </w:r>
          </w:p>
        </w:tc>
        <w:tc>
          <w:tcPr>
            <w:tcW w:w="1560" w:type="dxa"/>
            <w:vAlign w:val="bottom"/>
          </w:tcPr>
          <w:p>
            <w:pPr>
              <w:ind w:left="1260"/>
              <w:spacing w:after="0"/>
              <w:rPr>
                <w:sz w:val="20"/>
                <w:szCs w:val="20"/>
                <w:color w:val="auto"/>
              </w:rPr>
            </w:pPr>
            <w:r>
              <w:rPr>
                <w:rFonts w:ascii="Arial" w:cs="Arial" w:eastAsia="Arial" w:hAnsi="Arial"/>
                <w:sz w:val="20"/>
                <w:szCs w:val="20"/>
                <w:color w:val="auto"/>
                <w:w w:val="83"/>
              </w:rPr>
              <w:t>101</w:t>
            </w:r>
          </w:p>
        </w:tc>
      </w:tr>
      <w:tr>
        <w:trPr>
          <w:trHeight w:val="275"/>
        </w:trPr>
        <w:tc>
          <w:tcPr>
            <w:tcW w:w="640" w:type="dxa"/>
            <w:vAlign w:val="bottom"/>
          </w:tcPr>
          <w:p>
            <w:pPr>
              <w:spacing w:after="0"/>
              <w:rPr>
                <w:sz w:val="20"/>
                <w:szCs w:val="20"/>
                <w:color w:val="auto"/>
              </w:rPr>
            </w:pPr>
            <w:r>
              <w:rPr>
                <w:rFonts w:ascii="Arial" w:cs="Arial" w:eastAsia="Arial" w:hAnsi="Arial"/>
                <w:sz w:val="20"/>
                <w:szCs w:val="20"/>
                <w:color w:val="auto"/>
              </w:rPr>
              <w:t>5.10.</w:t>
            </w:r>
          </w:p>
        </w:tc>
        <w:tc>
          <w:tcPr>
            <w:tcW w:w="8340" w:type="dxa"/>
            <w:vAlign w:val="bottom"/>
          </w:tcPr>
          <w:p>
            <w:pPr>
              <w:ind w:left="120"/>
              <w:spacing w:after="0"/>
              <w:rPr>
                <w:sz w:val="20"/>
                <w:szCs w:val="20"/>
                <w:color w:val="auto"/>
              </w:rPr>
            </w:pPr>
            <w:r>
              <w:rPr>
                <w:rFonts w:ascii="Arial" w:cs="Arial" w:eastAsia="Arial" w:hAnsi="Arial"/>
                <w:sz w:val="20"/>
                <w:szCs w:val="20"/>
                <w:color w:val="auto"/>
              </w:rPr>
              <w:t>Insurance</w:t>
            </w:r>
          </w:p>
        </w:tc>
        <w:tc>
          <w:tcPr>
            <w:tcW w:w="1560" w:type="dxa"/>
            <w:vAlign w:val="bottom"/>
          </w:tcPr>
          <w:p>
            <w:pPr>
              <w:ind w:left="1260"/>
              <w:spacing w:after="0"/>
              <w:rPr>
                <w:sz w:val="20"/>
                <w:szCs w:val="20"/>
                <w:color w:val="auto"/>
              </w:rPr>
            </w:pPr>
            <w:r>
              <w:rPr>
                <w:rFonts w:ascii="Arial" w:cs="Arial" w:eastAsia="Arial" w:hAnsi="Arial"/>
                <w:sz w:val="20"/>
                <w:szCs w:val="20"/>
                <w:color w:val="auto"/>
                <w:w w:val="83"/>
              </w:rPr>
              <w:t>102</w:t>
            </w:r>
          </w:p>
        </w:tc>
      </w:tr>
      <w:tr>
        <w:trPr>
          <w:trHeight w:val="275"/>
        </w:trPr>
        <w:tc>
          <w:tcPr>
            <w:tcW w:w="640" w:type="dxa"/>
            <w:vAlign w:val="bottom"/>
          </w:tcPr>
          <w:p>
            <w:pPr>
              <w:spacing w:after="0"/>
              <w:rPr>
                <w:sz w:val="20"/>
                <w:szCs w:val="20"/>
                <w:color w:val="auto"/>
              </w:rPr>
            </w:pPr>
            <w:r>
              <w:rPr>
                <w:rFonts w:ascii="Arial" w:cs="Arial" w:eastAsia="Arial" w:hAnsi="Arial"/>
                <w:sz w:val="20"/>
                <w:szCs w:val="20"/>
                <w:color w:val="auto"/>
              </w:rPr>
              <w:t>5.11.</w:t>
            </w:r>
          </w:p>
        </w:tc>
        <w:tc>
          <w:tcPr>
            <w:tcW w:w="8340" w:type="dxa"/>
            <w:vAlign w:val="bottom"/>
          </w:tcPr>
          <w:p>
            <w:pPr>
              <w:ind w:left="120"/>
              <w:spacing w:after="0"/>
              <w:rPr>
                <w:sz w:val="20"/>
                <w:szCs w:val="20"/>
                <w:color w:val="auto"/>
              </w:rPr>
            </w:pPr>
            <w:r>
              <w:rPr>
                <w:rFonts w:ascii="Arial" w:cs="Arial" w:eastAsia="Arial" w:hAnsi="Arial"/>
                <w:sz w:val="20"/>
                <w:szCs w:val="20"/>
                <w:color w:val="auto"/>
              </w:rPr>
              <w:t>Taxes</w:t>
            </w:r>
          </w:p>
        </w:tc>
        <w:tc>
          <w:tcPr>
            <w:tcW w:w="1560" w:type="dxa"/>
            <w:vAlign w:val="bottom"/>
          </w:tcPr>
          <w:p>
            <w:pPr>
              <w:ind w:left="1260"/>
              <w:spacing w:after="0"/>
              <w:rPr>
                <w:sz w:val="20"/>
                <w:szCs w:val="20"/>
                <w:color w:val="auto"/>
              </w:rPr>
            </w:pPr>
            <w:r>
              <w:rPr>
                <w:rFonts w:ascii="Arial" w:cs="Arial" w:eastAsia="Arial" w:hAnsi="Arial"/>
                <w:sz w:val="20"/>
                <w:szCs w:val="20"/>
                <w:color w:val="auto"/>
                <w:w w:val="83"/>
              </w:rPr>
              <w:t>102</w:t>
            </w:r>
          </w:p>
        </w:tc>
      </w:tr>
      <w:tr>
        <w:trPr>
          <w:trHeight w:val="275"/>
        </w:trPr>
        <w:tc>
          <w:tcPr>
            <w:tcW w:w="640" w:type="dxa"/>
            <w:vAlign w:val="bottom"/>
          </w:tcPr>
          <w:p>
            <w:pPr>
              <w:spacing w:after="0"/>
              <w:rPr>
                <w:sz w:val="20"/>
                <w:szCs w:val="20"/>
                <w:color w:val="auto"/>
              </w:rPr>
            </w:pPr>
            <w:r>
              <w:rPr>
                <w:rFonts w:ascii="Arial" w:cs="Arial" w:eastAsia="Arial" w:hAnsi="Arial"/>
                <w:sz w:val="20"/>
                <w:szCs w:val="20"/>
                <w:color w:val="auto"/>
              </w:rPr>
              <w:t>5.12.</w:t>
            </w:r>
          </w:p>
        </w:tc>
        <w:tc>
          <w:tcPr>
            <w:tcW w:w="8340" w:type="dxa"/>
            <w:vAlign w:val="bottom"/>
          </w:tcPr>
          <w:p>
            <w:pPr>
              <w:ind w:left="120"/>
              <w:spacing w:after="0"/>
              <w:rPr>
                <w:sz w:val="20"/>
                <w:szCs w:val="20"/>
                <w:color w:val="auto"/>
              </w:rPr>
            </w:pPr>
            <w:r>
              <w:rPr>
                <w:rFonts w:ascii="Arial" w:cs="Arial" w:eastAsia="Arial" w:hAnsi="Arial"/>
                <w:sz w:val="20"/>
                <w:szCs w:val="20"/>
                <w:color w:val="auto"/>
              </w:rPr>
              <w:t>ERISA Compliance</w:t>
            </w:r>
          </w:p>
        </w:tc>
        <w:tc>
          <w:tcPr>
            <w:tcW w:w="1560" w:type="dxa"/>
            <w:vAlign w:val="bottom"/>
          </w:tcPr>
          <w:p>
            <w:pPr>
              <w:ind w:left="1260"/>
              <w:spacing w:after="0"/>
              <w:rPr>
                <w:sz w:val="20"/>
                <w:szCs w:val="20"/>
                <w:color w:val="auto"/>
              </w:rPr>
            </w:pPr>
            <w:r>
              <w:rPr>
                <w:rFonts w:ascii="Arial" w:cs="Arial" w:eastAsia="Arial" w:hAnsi="Arial"/>
                <w:sz w:val="20"/>
                <w:szCs w:val="20"/>
                <w:color w:val="auto"/>
                <w:w w:val="83"/>
              </w:rPr>
              <w:t>102</w:t>
            </w:r>
          </w:p>
        </w:tc>
      </w:tr>
      <w:tr>
        <w:trPr>
          <w:trHeight w:val="275"/>
        </w:trPr>
        <w:tc>
          <w:tcPr>
            <w:tcW w:w="640" w:type="dxa"/>
            <w:vAlign w:val="bottom"/>
          </w:tcPr>
          <w:p>
            <w:pPr>
              <w:spacing w:after="0"/>
              <w:rPr>
                <w:sz w:val="20"/>
                <w:szCs w:val="20"/>
                <w:color w:val="auto"/>
              </w:rPr>
            </w:pPr>
            <w:r>
              <w:rPr>
                <w:rFonts w:ascii="Arial" w:cs="Arial" w:eastAsia="Arial" w:hAnsi="Arial"/>
                <w:sz w:val="20"/>
                <w:szCs w:val="20"/>
                <w:color w:val="auto"/>
              </w:rPr>
              <w:t>5.13.</w:t>
            </w:r>
          </w:p>
        </w:tc>
        <w:tc>
          <w:tcPr>
            <w:tcW w:w="8340" w:type="dxa"/>
            <w:vAlign w:val="bottom"/>
          </w:tcPr>
          <w:p>
            <w:pPr>
              <w:ind w:left="120"/>
              <w:spacing w:after="0"/>
              <w:rPr>
                <w:sz w:val="20"/>
                <w:szCs w:val="20"/>
                <w:color w:val="auto"/>
              </w:rPr>
            </w:pPr>
            <w:r>
              <w:rPr>
                <w:rFonts w:ascii="Arial" w:cs="Arial" w:eastAsia="Arial" w:hAnsi="Arial"/>
                <w:sz w:val="20"/>
                <w:szCs w:val="20"/>
                <w:color w:val="auto"/>
              </w:rPr>
              <w:t>Subsidiaries; Equity Interests; Loan Parties</w:t>
            </w:r>
          </w:p>
        </w:tc>
        <w:tc>
          <w:tcPr>
            <w:tcW w:w="1560" w:type="dxa"/>
            <w:vAlign w:val="bottom"/>
          </w:tcPr>
          <w:p>
            <w:pPr>
              <w:ind w:left="1260"/>
              <w:spacing w:after="0"/>
              <w:rPr>
                <w:sz w:val="20"/>
                <w:szCs w:val="20"/>
                <w:color w:val="auto"/>
              </w:rPr>
            </w:pPr>
            <w:r>
              <w:rPr>
                <w:rFonts w:ascii="Arial" w:cs="Arial" w:eastAsia="Arial" w:hAnsi="Arial"/>
                <w:sz w:val="20"/>
                <w:szCs w:val="20"/>
                <w:color w:val="auto"/>
                <w:w w:val="83"/>
              </w:rPr>
              <w:t>103</w:t>
            </w:r>
          </w:p>
        </w:tc>
      </w:tr>
      <w:tr>
        <w:trPr>
          <w:trHeight w:val="275"/>
        </w:trPr>
        <w:tc>
          <w:tcPr>
            <w:tcW w:w="640" w:type="dxa"/>
            <w:vAlign w:val="bottom"/>
          </w:tcPr>
          <w:p>
            <w:pPr>
              <w:spacing w:after="0"/>
              <w:rPr>
                <w:sz w:val="20"/>
                <w:szCs w:val="20"/>
                <w:color w:val="auto"/>
              </w:rPr>
            </w:pPr>
            <w:r>
              <w:rPr>
                <w:rFonts w:ascii="Arial" w:cs="Arial" w:eastAsia="Arial" w:hAnsi="Arial"/>
                <w:sz w:val="20"/>
                <w:szCs w:val="20"/>
                <w:color w:val="auto"/>
              </w:rPr>
              <w:t>5.14.</w:t>
            </w:r>
          </w:p>
        </w:tc>
        <w:tc>
          <w:tcPr>
            <w:tcW w:w="8340" w:type="dxa"/>
            <w:vAlign w:val="bottom"/>
          </w:tcPr>
          <w:p>
            <w:pPr>
              <w:ind w:left="120"/>
              <w:spacing w:after="0"/>
              <w:rPr>
                <w:sz w:val="20"/>
                <w:szCs w:val="20"/>
                <w:color w:val="auto"/>
              </w:rPr>
            </w:pPr>
            <w:r>
              <w:rPr>
                <w:rFonts w:ascii="Arial" w:cs="Arial" w:eastAsia="Arial" w:hAnsi="Arial"/>
                <w:sz w:val="20"/>
                <w:szCs w:val="20"/>
                <w:color w:val="auto"/>
              </w:rPr>
              <w:t>Margin Regulations; Investment Company Act</w:t>
            </w:r>
          </w:p>
        </w:tc>
        <w:tc>
          <w:tcPr>
            <w:tcW w:w="1560" w:type="dxa"/>
            <w:vAlign w:val="bottom"/>
          </w:tcPr>
          <w:p>
            <w:pPr>
              <w:ind w:left="1260"/>
              <w:spacing w:after="0"/>
              <w:rPr>
                <w:sz w:val="20"/>
                <w:szCs w:val="20"/>
                <w:color w:val="auto"/>
              </w:rPr>
            </w:pPr>
            <w:r>
              <w:rPr>
                <w:rFonts w:ascii="Arial" w:cs="Arial" w:eastAsia="Arial" w:hAnsi="Arial"/>
                <w:sz w:val="20"/>
                <w:szCs w:val="20"/>
                <w:color w:val="auto"/>
                <w:w w:val="83"/>
              </w:rPr>
              <w:t>103</w:t>
            </w:r>
          </w:p>
        </w:tc>
      </w:tr>
      <w:tr>
        <w:trPr>
          <w:trHeight w:val="275"/>
        </w:trPr>
        <w:tc>
          <w:tcPr>
            <w:tcW w:w="640" w:type="dxa"/>
            <w:vAlign w:val="bottom"/>
          </w:tcPr>
          <w:p>
            <w:pPr>
              <w:spacing w:after="0"/>
              <w:rPr>
                <w:sz w:val="20"/>
                <w:szCs w:val="20"/>
                <w:color w:val="auto"/>
              </w:rPr>
            </w:pPr>
            <w:r>
              <w:rPr>
                <w:rFonts w:ascii="Arial" w:cs="Arial" w:eastAsia="Arial" w:hAnsi="Arial"/>
                <w:sz w:val="20"/>
                <w:szCs w:val="20"/>
                <w:color w:val="auto"/>
              </w:rPr>
              <w:t>5.15.</w:t>
            </w:r>
          </w:p>
        </w:tc>
        <w:tc>
          <w:tcPr>
            <w:tcW w:w="8340" w:type="dxa"/>
            <w:vAlign w:val="bottom"/>
          </w:tcPr>
          <w:p>
            <w:pPr>
              <w:ind w:left="120"/>
              <w:spacing w:after="0"/>
              <w:rPr>
                <w:sz w:val="20"/>
                <w:szCs w:val="20"/>
                <w:color w:val="auto"/>
              </w:rPr>
            </w:pPr>
            <w:r>
              <w:rPr>
                <w:rFonts w:ascii="Arial" w:cs="Arial" w:eastAsia="Arial" w:hAnsi="Arial"/>
                <w:sz w:val="20"/>
                <w:szCs w:val="20"/>
                <w:color w:val="auto"/>
              </w:rPr>
              <w:t>Disclosure</w:t>
            </w:r>
          </w:p>
        </w:tc>
        <w:tc>
          <w:tcPr>
            <w:tcW w:w="1560" w:type="dxa"/>
            <w:vAlign w:val="bottom"/>
          </w:tcPr>
          <w:p>
            <w:pPr>
              <w:ind w:left="1260"/>
              <w:spacing w:after="0"/>
              <w:rPr>
                <w:sz w:val="20"/>
                <w:szCs w:val="20"/>
                <w:color w:val="auto"/>
              </w:rPr>
            </w:pPr>
            <w:r>
              <w:rPr>
                <w:rFonts w:ascii="Arial" w:cs="Arial" w:eastAsia="Arial" w:hAnsi="Arial"/>
                <w:sz w:val="20"/>
                <w:szCs w:val="20"/>
                <w:color w:val="auto"/>
                <w:w w:val="83"/>
              </w:rPr>
              <w:t>104</w:t>
            </w:r>
          </w:p>
        </w:tc>
      </w:tr>
      <w:tr>
        <w:trPr>
          <w:trHeight w:val="275"/>
        </w:trPr>
        <w:tc>
          <w:tcPr>
            <w:tcW w:w="640" w:type="dxa"/>
            <w:vAlign w:val="bottom"/>
          </w:tcPr>
          <w:p>
            <w:pPr>
              <w:spacing w:after="0"/>
              <w:rPr>
                <w:sz w:val="20"/>
                <w:szCs w:val="20"/>
                <w:color w:val="auto"/>
              </w:rPr>
            </w:pPr>
            <w:r>
              <w:rPr>
                <w:rFonts w:ascii="Arial" w:cs="Arial" w:eastAsia="Arial" w:hAnsi="Arial"/>
                <w:sz w:val="20"/>
                <w:szCs w:val="20"/>
                <w:color w:val="auto"/>
              </w:rPr>
              <w:t>5.16.</w:t>
            </w:r>
          </w:p>
        </w:tc>
        <w:tc>
          <w:tcPr>
            <w:tcW w:w="8340" w:type="dxa"/>
            <w:vAlign w:val="bottom"/>
          </w:tcPr>
          <w:p>
            <w:pPr>
              <w:ind w:left="120"/>
              <w:spacing w:after="0"/>
              <w:rPr>
                <w:sz w:val="20"/>
                <w:szCs w:val="20"/>
                <w:color w:val="auto"/>
              </w:rPr>
            </w:pPr>
            <w:r>
              <w:rPr>
                <w:rFonts w:ascii="Arial" w:cs="Arial" w:eastAsia="Arial" w:hAnsi="Arial"/>
                <w:sz w:val="20"/>
                <w:szCs w:val="20"/>
                <w:color w:val="auto"/>
              </w:rPr>
              <w:t>Compliance with Laws</w:t>
            </w:r>
          </w:p>
        </w:tc>
        <w:tc>
          <w:tcPr>
            <w:tcW w:w="1560" w:type="dxa"/>
            <w:vAlign w:val="bottom"/>
          </w:tcPr>
          <w:p>
            <w:pPr>
              <w:ind w:left="1260"/>
              <w:spacing w:after="0"/>
              <w:rPr>
                <w:sz w:val="20"/>
                <w:szCs w:val="20"/>
                <w:color w:val="auto"/>
              </w:rPr>
            </w:pPr>
            <w:r>
              <w:rPr>
                <w:rFonts w:ascii="Arial" w:cs="Arial" w:eastAsia="Arial" w:hAnsi="Arial"/>
                <w:sz w:val="20"/>
                <w:szCs w:val="20"/>
                <w:color w:val="auto"/>
                <w:w w:val="83"/>
              </w:rPr>
              <w:t>104</w:t>
            </w:r>
          </w:p>
        </w:tc>
      </w:tr>
      <w:tr>
        <w:trPr>
          <w:trHeight w:val="275"/>
        </w:trPr>
        <w:tc>
          <w:tcPr>
            <w:tcW w:w="640" w:type="dxa"/>
            <w:vAlign w:val="bottom"/>
          </w:tcPr>
          <w:p>
            <w:pPr>
              <w:spacing w:after="0"/>
              <w:rPr>
                <w:sz w:val="20"/>
                <w:szCs w:val="20"/>
                <w:color w:val="auto"/>
              </w:rPr>
            </w:pPr>
            <w:r>
              <w:rPr>
                <w:rFonts w:ascii="Arial" w:cs="Arial" w:eastAsia="Arial" w:hAnsi="Arial"/>
                <w:sz w:val="20"/>
                <w:szCs w:val="20"/>
                <w:color w:val="auto"/>
              </w:rPr>
              <w:t>5.17.</w:t>
            </w:r>
          </w:p>
        </w:tc>
        <w:tc>
          <w:tcPr>
            <w:tcW w:w="8340" w:type="dxa"/>
            <w:vAlign w:val="bottom"/>
          </w:tcPr>
          <w:p>
            <w:pPr>
              <w:ind w:left="120"/>
              <w:spacing w:after="0"/>
              <w:rPr>
                <w:sz w:val="20"/>
                <w:szCs w:val="20"/>
                <w:color w:val="auto"/>
              </w:rPr>
            </w:pPr>
            <w:r>
              <w:rPr>
                <w:rFonts w:ascii="Arial" w:cs="Arial" w:eastAsia="Arial" w:hAnsi="Arial"/>
                <w:sz w:val="20"/>
                <w:szCs w:val="20"/>
                <w:color w:val="auto"/>
              </w:rPr>
              <w:t>Intentionally Omitted</w:t>
            </w:r>
          </w:p>
        </w:tc>
        <w:tc>
          <w:tcPr>
            <w:tcW w:w="1560" w:type="dxa"/>
            <w:vAlign w:val="bottom"/>
          </w:tcPr>
          <w:p>
            <w:pPr>
              <w:ind w:left="1260"/>
              <w:spacing w:after="0"/>
              <w:rPr>
                <w:sz w:val="20"/>
                <w:szCs w:val="20"/>
                <w:color w:val="auto"/>
              </w:rPr>
            </w:pPr>
            <w:r>
              <w:rPr>
                <w:rFonts w:ascii="Arial" w:cs="Arial" w:eastAsia="Arial" w:hAnsi="Arial"/>
                <w:sz w:val="20"/>
                <w:szCs w:val="20"/>
                <w:color w:val="auto"/>
                <w:w w:val="83"/>
              </w:rPr>
              <w:t>104</w:t>
            </w:r>
          </w:p>
        </w:tc>
      </w:tr>
      <w:tr>
        <w:trPr>
          <w:trHeight w:val="275"/>
        </w:trPr>
        <w:tc>
          <w:tcPr>
            <w:tcW w:w="640" w:type="dxa"/>
            <w:vAlign w:val="bottom"/>
          </w:tcPr>
          <w:p>
            <w:pPr>
              <w:spacing w:after="0"/>
              <w:rPr>
                <w:sz w:val="20"/>
                <w:szCs w:val="20"/>
                <w:color w:val="auto"/>
              </w:rPr>
            </w:pPr>
            <w:r>
              <w:rPr>
                <w:rFonts w:ascii="Arial" w:cs="Arial" w:eastAsia="Arial" w:hAnsi="Arial"/>
                <w:sz w:val="20"/>
                <w:szCs w:val="20"/>
                <w:color w:val="auto"/>
              </w:rPr>
              <w:t>5.18.</w:t>
            </w:r>
          </w:p>
        </w:tc>
        <w:tc>
          <w:tcPr>
            <w:tcW w:w="8340" w:type="dxa"/>
            <w:vAlign w:val="bottom"/>
          </w:tcPr>
          <w:p>
            <w:pPr>
              <w:ind w:left="120"/>
              <w:spacing w:after="0"/>
              <w:rPr>
                <w:sz w:val="20"/>
                <w:szCs w:val="20"/>
                <w:color w:val="auto"/>
              </w:rPr>
            </w:pPr>
            <w:r>
              <w:rPr>
                <w:rFonts w:ascii="Arial" w:cs="Arial" w:eastAsia="Arial" w:hAnsi="Arial"/>
                <w:sz w:val="20"/>
                <w:szCs w:val="20"/>
                <w:color w:val="auto"/>
              </w:rPr>
              <w:t>Intellectual Property; Licenses, Etc</w:t>
            </w:r>
          </w:p>
        </w:tc>
        <w:tc>
          <w:tcPr>
            <w:tcW w:w="1560" w:type="dxa"/>
            <w:vAlign w:val="bottom"/>
          </w:tcPr>
          <w:p>
            <w:pPr>
              <w:ind w:left="1260"/>
              <w:spacing w:after="0"/>
              <w:rPr>
                <w:sz w:val="20"/>
                <w:szCs w:val="20"/>
                <w:color w:val="auto"/>
              </w:rPr>
            </w:pPr>
            <w:r>
              <w:rPr>
                <w:rFonts w:ascii="Arial" w:cs="Arial" w:eastAsia="Arial" w:hAnsi="Arial"/>
                <w:sz w:val="20"/>
                <w:szCs w:val="20"/>
                <w:color w:val="auto"/>
                <w:w w:val="83"/>
              </w:rPr>
              <w:t>104</w:t>
            </w:r>
          </w:p>
        </w:tc>
      </w:tr>
      <w:tr>
        <w:trPr>
          <w:trHeight w:val="275"/>
        </w:trPr>
        <w:tc>
          <w:tcPr>
            <w:tcW w:w="640" w:type="dxa"/>
            <w:vAlign w:val="bottom"/>
          </w:tcPr>
          <w:p>
            <w:pPr>
              <w:spacing w:after="0"/>
              <w:rPr>
                <w:sz w:val="20"/>
                <w:szCs w:val="20"/>
                <w:color w:val="auto"/>
              </w:rPr>
            </w:pPr>
            <w:r>
              <w:rPr>
                <w:rFonts w:ascii="Arial" w:cs="Arial" w:eastAsia="Arial" w:hAnsi="Arial"/>
                <w:sz w:val="20"/>
                <w:szCs w:val="20"/>
                <w:color w:val="auto"/>
              </w:rPr>
              <w:t>5.19.</w:t>
            </w:r>
          </w:p>
        </w:tc>
        <w:tc>
          <w:tcPr>
            <w:tcW w:w="8340" w:type="dxa"/>
            <w:vAlign w:val="bottom"/>
          </w:tcPr>
          <w:p>
            <w:pPr>
              <w:ind w:left="120"/>
              <w:spacing w:after="0"/>
              <w:rPr>
                <w:sz w:val="20"/>
                <w:szCs w:val="20"/>
                <w:color w:val="auto"/>
              </w:rPr>
            </w:pPr>
            <w:r>
              <w:rPr>
                <w:rFonts w:ascii="Arial" w:cs="Arial" w:eastAsia="Arial" w:hAnsi="Arial"/>
                <w:sz w:val="20"/>
                <w:szCs w:val="20"/>
                <w:color w:val="auto"/>
              </w:rPr>
              <w:t>Solvency</w:t>
            </w:r>
          </w:p>
        </w:tc>
        <w:tc>
          <w:tcPr>
            <w:tcW w:w="1560" w:type="dxa"/>
            <w:vAlign w:val="bottom"/>
          </w:tcPr>
          <w:p>
            <w:pPr>
              <w:ind w:left="1260"/>
              <w:spacing w:after="0"/>
              <w:rPr>
                <w:sz w:val="20"/>
                <w:szCs w:val="20"/>
                <w:color w:val="auto"/>
              </w:rPr>
            </w:pPr>
            <w:r>
              <w:rPr>
                <w:rFonts w:ascii="Arial" w:cs="Arial" w:eastAsia="Arial" w:hAnsi="Arial"/>
                <w:sz w:val="20"/>
                <w:szCs w:val="20"/>
                <w:color w:val="auto"/>
                <w:w w:val="83"/>
              </w:rPr>
              <w:t>105</w:t>
            </w:r>
          </w:p>
        </w:tc>
      </w:tr>
      <w:tr>
        <w:trPr>
          <w:trHeight w:val="275"/>
        </w:trPr>
        <w:tc>
          <w:tcPr>
            <w:tcW w:w="640" w:type="dxa"/>
            <w:vAlign w:val="bottom"/>
          </w:tcPr>
          <w:p>
            <w:pPr>
              <w:spacing w:after="0"/>
              <w:rPr>
                <w:sz w:val="20"/>
                <w:szCs w:val="20"/>
                <w:color w:val="auto"/>
              </w:rPr>
            </w:pPr>
            <w:r>
              <w:rPr>
                <w:rFonts w:ascii="Arial" w:cs="Arial" w:eastAsia="Arial" w:hAnsi="Arial"/>
                <w:sz w:val="20"/>
                <w:szCs w:val="20"/>
                <w:color w:val="auto"/>
              </w:rPr>
              <w:t>5.20.</w:t>
            </w:r>
          </w:p>
        </w:tc>
        <w:tc>
          <w:tcPr>
            <w:tcW w:w="8340" w:type="dxa"/>
            <w:vAlign w:val="bottom"/>
          </w:tcPr>
          <w:p>
            <w:pPr>
              <w:ind w:left="120"/>
              <w:spacing w:after="0"/>
              <w:rPr>
                <w:sz w:val="20"/>
                <w:szCs w:val="20"/>
                <w:color w:val="auto"/>
              </w:rPr>
            </w:pPr>
            <w:r>
              <w:rPr>
                <w:rFonts w:ascii="Arial" w:cs="Arial" w:eastAsia="Arial" w:hAnsi="Arial"/>
                <w:sz w:val="20"/>
                <w:szCs w:val="20"/>
                <w:color w:val="auto"/>
              </w:rPr>
              <w:t>Casualty, Etc</w:t>
            </w:r>
          </w:p>
        </w:tc>
        <w:tc>
          <w:tcPr>
            <w:tcW w:w="1560" w:type="dxa"/>
            <w:vAlign w:val="bottom"/>
          </w:tcPr>
          <w:p>
            <w:pPr>
              <w:ind w:left="1260"/>
              <w:spacing w:after="0"/>
              <w:rPr>
                <w:sz w:val="20"/>
                <w:szCs w:val="20"/>
                <w:color w:val="auto"/>
              </w:rPr>
            </w:pPr>
            <w:r>
              <w:rPr>
                <w:rFonts w:ascii="Arial" w:cs="Arial" w:eastAsia="Arial" w:hAnsi="Arial"/>
                <w:sz w:val="20"/>
                <w:szCs w:val="20"/>
                <w:color w:val="auto"/>
                <w:w w:val="83"/>
              </w:rPr>
              <w:t>105</w:t>
            </w:r>
          </w:p>
        </w:tc>
      </w:tr>
      <w:tr>
        <w:trPr>
          <w:trHeight w:val="275"/>
        </w:trPr>
        <w:tc>
          <w:tcPr>
            <w:tcW w:w="640" w:type="dxa"/>
            <w:vAlign w:val="bottom"/>
          </w:tcPr>
          <w:p>
            <w:pPr>
              <w:spacing w:after="0"/>
              <w:rPr>
                <w:sz w:val="20"/>
                <w:szCs w:val="20"/>
                <w:color w:val="auto"/>
              </w:rPr>
            </w:pPr>
            <w:r>
              <w:rPr>
                <w:rFonts w:ascii="Arial" w:cs="Arial" w:eastAsia="Arial" w:hAnsi="Arial"/>
                <w:sz w:val="20"/>
                <w:szCs w:val="20"/>
                <w:color w:val="auto"/>
              </w:rPr>
              <w:t>5.21.</w:t>
            </w:r>
          </w:p>
        </w:tc>
        <w:tc>
          <w:tcPr>
            <w:tcW w:w="8340" w:type="dxa"/>
            <w:vAlign w:val="bottom"/>
          </w:tcPr>
          <w:p>
            <w:pPr>
              <w:ind w:left="120"/>
              <w:spacing w:after="0"/>
              <w:rPr>
                <w:sz w:val="20"/>
                <w:szCs w:val="20"/>
                <w:color w:val="auto"/>
              </w:rPr>
            </w:pPr>
            <w:r>
              <w:rPr>
                <w:rFonts w:ascii="Arial" w:cs="Arial" w:eastAsia="Arial" w:hAnsi="Arial"/>
                <w:sz w:val="20"/>
                <w:szCs w:val="20"/>
                <w:color w:val="auto"/>
              </w:rPr>
              <w:t>Labor Matters</w:t>
            </w:r>
          </w:p>
        </w:tc>
        <w:tc>
          <w:tcPr>
            <w:tcW w:w="1560" w:type="dxa"/>
            <w:vAlign w:val="bottom"/>
          </w:tcPr>
          <w:p>
            <w:pPr>
              <w:ind w:left="1260"/>
              <w:spacing w:after="0"/>
              <w:rPr>
                <w:sz w:val="20"/>
                <w:szCs w:val="20"/>
                <w:color w:val="auto"/>
              </w:rPr>
            </w:pPr>
            <w:r>
              <w:rPr>
                <w:rFonts w:ascii="Arial" w:cs="Arial" w:eastAsia="Arial" w:hAnsi="Arial"/>
                <w:sz w:val="20"/>
                <w:szCs w:val="20"/>
                <w:color w:val="auto"/>
                <w:w w:val="83"/>
              </w:rPr>
              <w:t>105</w:t>
            </w:r>
          </w:p>
        </w:tc>
      </w:tr>
      <w:tr>
        <w:trPr>
          <w:trHeight w:val="275"/>
        </w:trPr>
        <w:tc>
          <w:tcPr>
            <w:tcW w:w="640" w:type="dxa"/>
            <w:vAlign w:val="bottom"/>
          </w:tcPr>
          <w:p>
            <w:pPr>
              <w:spacing w:after="0"/>
              <w:rPr>
                <w:sz w:val="20"/>
                <w:szCs w:val="20"/>
                <w:color w:val="auto"/>
              </w:rPr>
            </w:pPr>
            <w:r>
              <w:rPr>
                <w:rFonts w:ascii="Arial" w:cs="Arial" w:eastAsia="Arial" w:hAnsi="Arial"/>
                <w:sz w:val="20"/>
                <w:szCs w:val="20"/>
                <w:color w:val="auto"/>
              </w:rPr>
              <w:t>5.22.</w:t>
            </w:r>
          </w:p>
        </w:tc>
        <w:tc>
          <w:tcPr>
            <w:tcW w:w="8340" w:type="dxa"/>
            <w:vAlign w:val="bottom"/>
          </w:tcPr>
          <w:p>
            <w:pPr>
              <w:ind w:left="120"/>
              <w:spacing w:after="0"/>
              <w:rPr>
                <w:sz w:val="20"/>
                <w:szCs w:val="20"/>
                <w:color w:val="auto"/>
              </w:rPr>
            </w:pPr>
            <w:r>
              <w:rPr>
                <w:rFonts w:ascii="Arial" w:cs="Arial" w:eastAsia="Arial" w:hAnsi="Arial"/>
                <w:sz w:val="20"/>
                <w:szCs w:val="20"/>
                <w:color w:val="auto"/>
              </w:rPr>
              <w:t>Anti-Corruption Laws</w:t>
            </w:r>
          </w:p>
        </w:tc>
        <w:tc>
          <w:tcPr>
            <w:tcW w:w="1560" w:type="dxa"/>
            <w:vAlign w:val="bottom"/>
          </w:tcPr>
          <w:p>
            <w:pPr>
              <w:ind w:left="1260"/>
              <w:spacing w:after="0"/>
              <w:rPr>
                <w:sz w:val="20"/>
                <w:szCs w:val="20"/>
                <w:color w:val="auto"/>
              </w:rPr>
            </w:pPr>
            <w:r>
              <w:rPr>
                <w:rFonts w:ascii="Arial" w:cs="Arial" w:eastAsia="Arial" w:hAnsi="Arial"/>
                <w:sz w:val="20"/>
                <w:szCs w:val="20"/>
                <w:color w:val="auto"/>
                <w:w w:val="83"/>
              </w:rPr>
              <w:t>105</w:t>
            </w:r>
          </w:p>
        </w:tc>
      </w:tr>
      <w:tr>
        <w:trPr>
          <w:trHeight w:val="275"/>
        </w:trPr>
        <w:tc>
          <w:tcPr>
            <w:tcW w:w="640" w:type="dxa"/>
            <w:vAlign w:val="bottom"/>
          </w:tcPr>
          <w:p>
            <w:pPr>
              <w:spacing w:after="0"/>
              <w:rPr>
                <w:sz w:val="20"/>
                <w:szCs w:val="20"/>
                <w:color w:val="auto"/>
              </w:rPr>
            </w:pPr>
            <w:r>
              <w:rPr>
                <w:rFonts w:ascii="Arial" w:cs="Arial" w:eastAsia="Arial" w:hAnsi="Arial"/>
                <w:sz w:val="20"/>
                <w:szCs w:val="20"/>
                <w:color w:val="auto"/>
              </w:rPr>
              <w:t>5.23.1</w:t>
            </w:r>
          </w:p>
        </w:tc>
        <w:tc>
          <w:tcPr>
            <w:tcW w:w="8340" w:type="dxa"/>
            <w:vAlign w:val="bottom"/>
          </w:tcPr>
          <w:p>
            <w:pPr>
              <w:ind w:left="120"/>
              <w:spacing w:after="0"/>
              <w:rPr>
                <w:sz w:val="20"/>
                <w:szCs w:val="20"/>
                <w:color w:val="auto"/>
              </w:rPr>
            </w:pPr>
            <w:r>
              <w:rPr>
                <w:rFonts w:ascii="Arial" w:cs="Arial" w:eastAsia="Arial" w:hAnsi="Arial"/>
                <w:sz w:val="20"/>
                <w:szCs w:val="20"/>
                <w:color w:val="auto"/>
              </w:rPr>
              <w:t>Sanctions</w:t>
            </w:r>
          </w:p>
        </w:tc>
        <w:tc>
          <w:tcPr>
            <w:tcW w:w="1560" w:type="dxa"/>
            <w:vAlign w:val="bottom"/>
          </w:tcPr>
          <w:p>
            <w:pPr>
              <w:ind w:left="1260"/>
              <w:spacing w:after="0"/>
              <w:rPr>
                <w:sz w:val="20"/>
                <w:szCs w:val="20"/>
                <w:color w:val="auto"/>
              </w:rPr>
            </w:pPr>
            <w:r>
              <w:rPr>
                <w:rFonts w:ascii="Arial" w:cs="Arial" w:eastAsia="Arial" w:hAnsi="Arial"/>
                <w:sz w:val="20"/>
                <w:szCs w:val="20"/>
                <w:color w:val="auto"/>
                <w:w w:val="83"/>
              </w:rPr>
              <w:t>105</w:t>
            </w:r>
          </w:p>
        </w:tc>
      </w:tr>
      <w:tr>
        <w:trPr>
          <w:trHeight w:val="275"/>
        </w:trPr>
        <w:tc>
          <w:tcPr>
            <w:tcW w:w="640" w:type="dxa"/>
            <w:vAlign w:val="bottom"/>
          </w:tcPr>
          <w:p>
            <w:pPr>
              <w:spacing w:after="0"/>
              <w:rPr>
                <w:sz w:val="20"/>
                <w:szCs w:val="20"/>
                <w:color w:val="auto"/>
              </w:rPr>
            </w:pPr>
            <w:r>
              <w:rPr>
                <w:rFonts w:ascii="Arial" w:cs="Arial" w:eastAsia="Arial" w:hAnsi="Arial"/>
                <w:sz w:val="20"/>
                <w:szCs w:val="20"/>
                <w:color w:val="auto"/>
              </w:rPr>
              <w:t>5.24.</w:t>
            </w:r>
          </w:p>
        </w:tc>
        <w:tc>
          <w:tcPr>
            <w:tcW w:w="8340" w:type="dxa"/>
            <w:vAlign w:val="bottom"/>
          </w:tcPr>
          <w:p>
            <w:pPr>
              <w:ind w:left="120"/>
              <w:spacing w:after="0"/>
              <w:rPr>
                <w:sz w:val="20"/>
                <w:szCs w:val="20"/>
                <w:color w:val="auto"/>
              </w:rPr>
            </w:pPr>
            <w:r>
              <w:rPr>
                <w:rFonts w:ascii="Arial" w:cs="Arial" w:eastAsia="Arial" w:hAnsi="Arial"/>
                <w:sz w:val="20"/>
                <w:szCs w:val="20"/>
                <w:color w:val="auto"/>
              </w:rPr>
              <w:t>REIT Status; Stock Exchange Listing</w:t>
            </w:r>
          </w:p>
        </w:tc>
        <w:tc>
          <w:tcPr>
            <w:tcW w:w="1560" w:type="dxa"/>
            <w:vAlign w:val="bottom"/>
          </w:tcPr>
          <w:p>
            <w:pPr>
              <w:ind w:left="1260"/>
              <w:spacing w:after="0"/>
              <w:rPr>
                <w:sz w:val="20"/>
                <w:szCs w:val="20"/>
                <w:color w:val="auto"/>
              </w:rPr>
            </w:pPr>
            <w:r>
              <w:rPr>
                <w:rFonts w:ascii="Arial" w:cs="Arial" w:eastAsia="Arial" w:hAnsi="Arial"/>
                <w:sz w:val="20"/>
                <w:szCs w:val="20"/>
                <w:color w:val="auto"/>
                <w:w w:val="83"/>
              </w:rPr>
              <w:t>106</w:t>
            </w:r>
          </w:p>
        </w:tc>
      </w:tr>
      <w:tr>
        <w:trPr>
          <w:trHeight w:val="275"/>
        </w:trPr>
        <w:tc>
          <w:tcPr>
            <w:tcW w:w="640" w:type="dxa"/>
            <w:vAlign w:val="bottom"/>
          </w:tcPr>
          <w:p>
            <w:pPr>
              <w:spacing w:after="0"/>
              <w:rPr>
                <w:sz w:val="20"/>
                <w:szCs w:val="20"/>
                <w:color w:val="auto"/>
              </w:rPr>
            </w:pPr>
            <w:r>
              <w:rPr>
                <w:rFonts w:ascii="Arial" w:cs="Arial" w:eastAsia="Arial" w:hAnsi="Arial"/>
                <w:sz w:val="20"/>
                <w:szCs w:val="20"/>
                <w:color w:val="auto"/>
              </w:rPr>
              <w:t>5.25.</w:t>
            </w:r>
          </w:p>
        </w:tc>
        <w:tc>
          <w:tcPr>
            <w:tcW w:w="8340" w:type="dxa"/>
            <w:vAlign w:val="bottom"/>
          </w:tcPr>
          <w:p>
            <w:pPr>
              <w:ind w:left="120"/>
              <w:spacing w:after="0"/>
              <w:rPr>
                <w:sz w:val="20"/>
                <w:szCs w:val="20"/>
                <w:color w:val="auto"/>
              </w:rPr>
            </w:pPr>
            <w:r>
              <w:rPr>
                <w:rFonts w:ascii="Arial" w:cs="Arial" w:eastAsia="Arial" w:hAnsi="Arial"/>
                <w:sz w:val="20"/>
                <w:szCs w:val="20"/>
                <w:color w:val="auto"/>
              </w:rPr>
              <w:t>EEA Financial Institution</w:t>
            </w:r>
          </w:p>
        </w:tc>
        <w:tc>
          <w:tcPr>
            <w:tcW w:w="1560" w:type="dxa"/>
            <w:vAlign w:val="bottom"/>
          </w:tcPr>
          <w:p>
            <w:pPr>
              <w:ind w:left="1260"/>
              <w:spacing w:after="0"/>
              <w:rPr>
                <w:sz w:val="20"/>
                <w:szCs w:val="20"/>
                <w:color w:val="auto"/>
              </w:rPr>
            </w:pPr>
            <w:r>
              <w:rPr>
                <w:rFonts w:ascii="Arial" w:cs="Arial" w:eastAsia="Arial" w:hAnsi="Arial"/>
                <w:sz w:val="20"/>
                <w:szCs w:val="20"/>
                <w:color w:val="auto"/>
                <w:w w:val="83"/>
              </w:rPr>
              <w:t>106</w:t>
            </w: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540"/>
          </w:cols>
          <w:pgMar w:left="640" w:top="920" w:right="7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4"/>
        </w:trPr>
        <w:tc>
          <w:tcPr>
            <w:tcW w:w="600" w:type="dxa"/>
            <w:vAlign w:val="bottom"/>
          </w:tcPr>
          <w:p>
            <w:pPr>
              <w:spacing w:after="0"/>
              <w:rPr>
                <w:sz w:val="22"/>
                <w:szCs w:val="22"/>
                <w:color w:val="auto"/>
              </w:rPr>
            </w:pPr>
          </w:p>
        </w:tc>
        <w:tc>
          <w:tcPr>
            <w:tcW w:w="8060" w:type="dxa"/>
            <w:vAlign w:val="bottom"/>
          </w:tcPr>
          <w:p>
            <w:pPr>
              <w:jc w:val="center"/>
              <w:ind w:left="1260"/>
              <w:spacing w:after="0"/>
              <w:rPr>
                <w:sz w:val="20"/>
                <w:szCs w:val="20"/>
                <w:color w:val="auto"/>
              </w:rPr>
            </w:pPr>
            <w:r>
              <w:rPr>
                <w:rFonts w:ascii="Arial" w:cs="Arial" w:eastAsia="Arial" w:hAnsi="Arial"/>
                <w:sz w:val="20"/>
                <w:szCs w:val="20"/>
                <w:color w:val="auto"/>
              </w:rPr>
              <w:t>ARTICLE VI</w:t>
            </w:r>
          </w:p>
        </w:tc>
        <w:tc>
          <w:tcPr>
            <w:tcW w:w="1880" w:type="dxa"/>
            <w:vAlign w:val="bottom"/>
          </w:tcPr>
          <w:p>
            <w:pPr>
              <w:spacing w:after="0"/>
              <w:rPr>
                <w:sz w:val="22"/>
                <w:szCs w:val="22"/>
                <w:color w:val="auto"/>
              </w:rPr>
            </w:pPr>
          </w:p>
        </w:tc>
      </w:tr>
      <w:tr>
        <w:trPr>
          <w:trHeight w:val="275"/>
        </w:trPr>
        <w:tc>
          <w:tcPr>
            <w:tcW w:w="600" w:type="dxa"/>
            <w:vAlign w:val="bottom"/>
          </w:tcPr>
          <w:p>
            <w:pPr>
              <w:spacing w:after="0"/>
              <w:rPr>
                <w:sz w:val="23"/>
                <w:szCs w:val="23"/>
                <w:color w:val="auto"/>
              </w:rPr>
            </w:pPr>
          </w:p>
        </w:tc>
        <w:tc>
          <w:tcPr>
            <w:tcW w:w="8060" w:type="dxa"/>
            <w:vAlign w:val="bottom"/>
          </w:tcPr>
          <w:p>
            <w:pPr>
              <w:jc w:val="center"/>
              <w:ind w:left="1260"/>
              <w:spacing w:after="0"/>
              <w:rPr>
                <w:sz w:val="20"/>
                <w:szCs w:val="20"/>
                <w:color w:val="auto"/>
              </w:rPr>
            </w:pPr>
            <w:r>
              <w:rPr>
                <w:rFonts w:ascii="Arial" w:cs="Arial" w:eastAsia="Arial" w:hAnsi="Arial"/>
                <w:sz w:val="20"/>
                <w:szCs w:val="20"/>
                <w:color w:val="auto"/>
                <w:w w:val="98"/>
              </w:rPr>
              <w:t>AFFIRMATIVE COVENANTS</w:t>
            </w:r>
          </w:p>
        </w:tc>
        <w:tc>
          <w:tcPr>
            <w:tcW w:w="1880" w:type="dxa"/>
            <w:vAlign w:val="bottom"/>
          </w:tcPr>
          <w:p>
            <w:pPr>
              <w:spacing w:after="0"/>
              <w:rPr>
                <w:sz w:val="23"/>
                <w:szCs w:val="23"/>
                <w:color w:val="auto"/>
              </w:rPr>
            </w:pPr>
          </w:p>
        </w:tc>
      </w:tr>
      <w:tr>
        <w:trPr>
          <w:trHeight w:val="624"/>
        </w:trPr>
        <w:tc>
          <w:tcPr>
            <w:tcW w:w="600" w:type="dxa"/>
            <w:vAlign w:val="bottom"/>
          </w:tcPr>
          <w:p>
            <w:pPr>
              <w:jc w:val="right"/>
              <w:ind w:right="80"/>
              <w:spacing w:after="0"/>
              <w:rPr>
                <w:sz w:val="20"/>
                <w:szCs w:val="20"/>
                <w:color w:val="auto"/>
              </w:rPr>
            </w:pPr>
            <w:r>
              <w:rPr>
                <w:rFonts w:ascii="Arial" w:cs="Arial" w:eastAsia="Arial" w:hAnsi="Arial"/>
                <w:sz w:val="20"/>
                <w:szCs w:val="20"/>
                <w:color w:val="auto"/>
                <w:w w:val="89"/>
              </w:rPr>
              <w:t>6.01.</w:t>
            </w:r>
          </w:p>
        </w:tc>
        <w:tc>
          <w:tcPr>
            <w:tcW w:w="8060" w:type="dxa"/>
            <w:vAlign w:val="bottom"/>
          </w:tcPr>
          <w:p>
            <w:pPr>
              <w:ind w:left="280"/>
              <w:spacing w:after="0"/>
              <w:rPr>
                <w:sz w:val="20"/>
                <w:szCs w:val="20"/>
                <w:color w:val="auto"/>
              </w:rPr>
            </w:pPr>
            <w:r>
              <w:rPr>
                <w:rFonts w:ascii="Arial" w:cs="Arial" w:eastAsia="Arial" w:hAnsi="Arial"/>
                <w:sz w:val="20"/>
                <w:szCs w:val="20"/>
                <w:color w:val="auto"/>
              </w:rPr>
              <w:t>Financial Statements</w:t>
            </w:r>
          </w:p>
        </w:tc>
        <w:tc>
          <w:tcPr>
            <w:tcW w:w="1880" w:type="dxa"/>
            <w:vAlign w:val="bottom"/>
          </w:tcPr>
          <w:p>
            <w:pPr>
              <w:jc w:val="right"/>
              <w:spacing w:after="0"/>
              <w:rPr>
                <w:sz w:val="20"/>
                <w:szCs w:val="20"/>
                <w:color w:val="auto"/>
              </w:rPr>
            </w:pPr>
            <w:r>
              <w:rPr>
                <w:rFonts w:ascii="Arial" w:cs="Arial" w:eastAsia="Arial" w:hAnsi="Arial"/>
                <w:sz w:val="20"/>
                <w:szCs w:val="20"/>
                <w:color w:val="auto"/>
              </w:rPr>
              <w:t>106</w:t>
            </w:r>
          </w:p>
        </w:tc>
      </w:tr>
      <w:tr>
        <w:trPr>
          <w:trHeight w:val="275"/>
        </w:trPr>
        <w:tc>
          <w:tcPr>
            <w:tcW w:w="600" w:type="dxa"/>
            <w:vAlign w:val="bottom"/>
          </w:tcPr>
          <w:p>
            <w:pPr>
              <w:jc w:val="right"/>
              <w:ind w:right="80"/>
              <w:spacing w:after="0"/>
              <w:rPr>
                <w:sz w:val="20"/>
                <w:szCs w:val="20"/>
                <w:color w:val="auto"/>
              </w:rPr>
            </w:pPr>
            <w:r>
              <w:rPr>
                <w:rFonts w:ascii="Arial" w:cs="Arial" w:eastAsia="Arial" w:hAnsi="Arial"/>
                <w:sz w:val="20"/>
                <w:szCs w:val="20"/>
                <w:color w:val="auto"/>
                <w:w w:val="89"/>
              </w:rPr>
              <w:t>6.02.</w:t>
            </w:r>
          </w:p>
        </w:tc>
        <w:tc>
          <w:tcPr>
            <w:tcW w:w="8060" w:type="dxa"/>
            <w:vAlign w:val="bottom"/>
          </w:tcPr>
          <w:p>
            <w:pPr>
              <w:ind w:left="280"/>
              <w:spacing w:after="0"/>
              <w:rPr>
                <w:sz w:val="20"/>
                <w:szCs w:val="20"/>
                <w:color w:val="auto"/>
              </w:rPr>
            </w:pPr>
            <w:r>
              <w:rPr>
                <w:rFonts w:ascii="Arial" w:cs="Arial" w:eastAsia="Arial" w:hAnsi="Arial"/>
                <w:sz w:val="20"/>
                <w:szCs w:val="20"/>
                <w:color w:val="auto"/>
              </w:rPr>
              <w:t>Certificates; Other Information</w:t>
            </w:r>
          </w:p>
        </w:tc>
        <w:tc>
          <w:tcPr>
            <w:tcW w:w="1880" w:type="dxa"/>
            <w:vAlign w:val="bottom"/>
          </w:tcPr>
          <w:p>
            <w:pPr>
              <w:jc w:val="right"/>
              <w:spacing w:after="0"/>
              <w:rPr>
                <w:sz w:val="20"/>
                <w:szCs w:val="20"/>
                <w:color w:val="auto"/>
              </w:rPr>
            </w:pPr>
            <w:r>
              <w:rPr>
                <w:rFonts w:ascii="Arial" w:cs="Arial" w:eastAsia="Arial" w:hAnsi="Arial"/>
                <w:sz w:val="20"/>
                <w:szCs w:val="20"/>
                <w:color w:val="auto"/>
              </w:rPr>
              <w:t>107</w:t>
            </w:r>
          </w:p>
        </w:tc>
      </w:tr>
      <w:tr>
        <w:trPr>
          <w:trHeight w:val="275"/>
        </w:trPr>
        <w:tc>
          <w:tcPr>
            <w:tcW w:w="600" w:type="dxa"/>
            <w:vAlign w:val="bottom"/>
          </w:tcPr>
          <w:p>
            <w:pPr>
              <w:jc w:val="right"/>
              <w:ind w:right="80"/>
              <w:spacing w:after="0"/>
              <w:rPr>
                <w:sz w:val="20"/>
                <w:szCs w:val="20"/>
                <w:color w:val="auto"/>
              </w:rPr>
            </w:pPr>
            <w:r>
              <w:rPr>
                <w:rFonts w:ascii="Arial" w:cs="Arial" w:eastAsia="Arial" w:hAnsi="Arial"/>
                <w:sz w:val="20"/>
                <w:szCs w:val="20"/>
                <w:color w:val="auto"/>
                <w:w w:val="89"/>
              </w:rPr>
              <w:t>6.03.</w:t>
            </w:r>
          </w:p>
        </w:tc>
        <w:tc>
          <w:tcPr>
            <w:tcW w:w="8060" w:type="dxa"/>
            <w:vAlign w:val="bottom"/>
          </w:tcPr>
          <w:p>
            <w:pPr>
              <w:ind w:left="280"/>
              <w:spacing w:after="0"/>
              <w:rPr>
                <w:sz w:val="20"/>
                <w:szCs w:val="20"/>
                <w:color w:val="auto"/>
              </w:rPr>
            </w:pPr>
            <w:r>
              <w:rPr>
                <w:rFonts w:ascii="Arial" w:cs="Arial" w:eastAsia="Arial" w:hAnsi="Arial"/>
                <w:sz w:val="20"/>
                <w:szCs w:val="20"/>
                <w:color w:val="auto"/>
              </w:rPr>
              <w:t>Notices</w:t>
            </w:r>
          </w:p>
        </w:tc>
        <w:tc>
          <w:tcPr>
            <w:tcW w:w="188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275"/>
        </w:trPr>
        <w:tc>
          <w:tcPr>
            <w:tcW w:w="600" w:type="dxa"/>
            <w:vAlign w:val="bottom"/>
          </w:tcPr>
          <w:p>
            <w:pPr>
              <w:jc w:val="right"/>
              <w:ind w:right="80"/>
              <w:spacing w:after="0"/>
              <w:rPr>
                <w:sz w:val="20"/>
                <w:szCs w:val="20"/>
                <w:color w:val="auto"/>
              </w:rPr>
            </w:pPr>
            <w:r>
              <w:rPr>
                <w:rFonts w:ascii="Arial" w:cs="Arial" w:eastAsia="Arial" w:hAnsi="Arial"/>
                <w:sz w:val="20"/>
                <w:szCs w:val="20"/>
                <w:color w:val="auto"/>
                <w:w w:val="89"/>
              </w:rPr>
              <w:t>6.04.</w:t>
            </w:r>
          </w:p>
        </w:tc>
        <w:tc>
          <w:tcPr>
            <w:tcW w:w="8060" w:type="dxa"/>
            <w:vAlign w:val="bottom"/>
          </w:tcPr>
          <w:p>
            <w:pPr>
              <w:ind w:left="280"/>
              <w:spacing w:after="0"/>
              <w:rPr>
                <w:sz w:val="20"/>
                <w:szCs w:val="20"/>
                <w:color w:val="auto"/>
              </w:rPr>
            </w:pPr>
            <w:r>
              <w:rPr>
                <w:rFonts w:ascii="Arial" w:cs="Arial" w:eastAsia="Arial" w:hAnsi="Arial"/>
                <w:sz w:val="20"/>
                <w:szCs w:val="20"/>
                <w:color w:val="auto"/>
              </w:rPr>
              <w:t>Payment of Obligations</w:t>
            </w:r>
          </w:p>
        </w:tc>
        <w:tc>
          <w:tcPr>
            <w:tcW w:w="188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275"/>
        </w:trPr>
        <w:tc>
          <w:tcPr>
            <w:tcW w:w="600" w:type="dxa"/>
            <w:vAlign w:val="bottom"/>
          </w:tcPr>
          <w:p>
            <w:pPr>
              <w:jc w:val="right"/>
              <w:ind w:right="80"/>
              <w:spacing w:after="0"/>
              <w:rPr>
                <w:sz w:val="20"/>
                <w:szCs w:val="20"/>
                <w:color w:val="auto"/>
              </w:rPr>
            </w:pPr>
            <w:r>
              <w:rPr>
                <w:rFonts w:ascii="Arial" w:cs="Arial" w:eastAsia="Arial" w:hAnsi="Arial"/>
                <w:sz w:val="20"/>
                <w:szCs w:val="20"/>
                <w:color w:val="auto"/>
                <w:w w:val="89"/>
              </w:rPr>
              <w:t>6.05.</w:t>
            </w:r>
          </w:p>
        </w:tc>
        <w:tc>
          <w:tcPr>
            <w:tcW w:w="8060" w:type="dxa"/>
            <w:vAlign w:val="bottom"/>
          </w:tcPr>
          <w:p>
            <w:pPr>
              <w:ind w:left="280"/>
              <w:spacing w:after="0"/>
              <w:rPr>
                <w:sz w:val="20"/>
                <w:szCs w:val="20"/>
                <w:color w:val="auto"/>
              </w:rPr>
            </w:pPr>
            <w:r>
              <w:rPr>
                <w:rFonts w:ascii="Arial" w:cs="Arial" w:eastAsia="Arial" w:hAnsi="Arial"/>
                <w:sz w:val="20"/>
                <w:szCs w:val="20"/>
                <w:color w:val="auto"/>
              </w:rPr>
              <w:t>Preservation of Existence, Etc</w:t>
            </w:r>
          </w:p>
        </w:tc>
        <w:tc>
          <w:tcPr>
            <w:tcW w:w="188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275"/>
        </w:trPr>
        <w:tc>
          <w:tcPr>
            <w:tcW w:w="600" w:type="dxa"/>
            <w:vAlign w:val="bottom"/>
          </w:tcPr>
          <w:p>
            <w:pPr>
              <w:jc w:val="right"/>
              <w:ind w:right="80"/>
              <w:spacing w:after="0"/>
              <w:rPr>
                <w:sz w:val="20"/>
                <w:szCs w:val="20"/>
                <w:color w:val="auto"/>
              </w:rPr>
            </w:pPr>
            <w:r>
              <w:rPr>
                <w:rFonts w:ascii="Arial" w:cs="Arial" w:eastAsia="Arial" w:hAnsi="Arial"/>
                <w:sz w:val="20"/>
                <w:szCs w:val="20"/>
                <w:color w:val="auto"/>
                <w:w w:val="89"/>
              </w:rPr>
              <w:t>6.06.</w:t>
            </w:r>
          </w:p>
        </w:tc>
        <w:tc>
          <w:tcPr>
            <w:tcW w:w="8060" w:type="dxa"/>
            <w:vAlign w:val="bottom"/>
          </w:tcPr>
          <w:p>
            <w:pPr>
              <w:ind w:left="280"/>
              <w:spacing w:after="0"/>
              <w:rPr>
                <w:sz w:val="20"/>
                <w:szCs w:val="20"/>
                <w:color w:val="auto"/>
              </w:rPr>
            </w:pPr>
            <w:r>
              <w:rPr>
                <w:rFonts w:ascii="Arial" w:cs="Arial" w:eastAsia="Arial" w:hAnsi="Arial"/>
                <w:sz w:val="20"/>
                <w:szCs w:val="20"/>
                <w:color w:val="auto"/>
              </w:rPr>
              <w:t>Maintenance of Properties</w:t>
            </w:r>
          </w:p>
        </w:tc>
        <w:tc>
          <w:tcPr>
            <w:tcW w:w="188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275"/>
        </w:trPr>
        <w:tc>
          <w:tcPr>
            <w:tcW w:w="600" w:type="dxa"/>
            <w:vAlign w:val="bottom"/>
          </w:tcPr>
          <w:p>
            <w:pPr>
              <w:jc w:val="right"/>
              <w:ind w:right="80"/>
              <w:spacing w:after="0"/>
              <w:rPr>
                <w:sz w:val="20"/>
                <w:szCs w:val="20"/>
                <w:color w:val="auto"/>
              </w:rPr>
            </w:pPr>
            <w:r>
              <w:rPr>
                <w:rFonts w:ascii="Arial" w:cs="Arial" w:eastAsia="Arial" w:hAnsi="Arial"/>
                <w:sz w:val="20"/>
                <w:szCs w:val="20"/>
                <w:color w:val="auto"/>
                <w:w w:val="89"/>
              </w:rPr>
              <w:t>6.07.</w:t>
            </w:r>
          </w:p>
        </w:tc>
        <w:tc>
          <w:tcPr>
            <w:tcW w:w="8060" w:type="dxa"/>
            <w:vAlign w:val="bottom"/>
          </w:tcPr>
          <w:p>
            <w:pPr>
              <w:ind w:left="280"/>
              <w:spacing w:after="0"/>
              <w:rPr>
                <w:sz w:val="20"/>
                <w:szCs w:val="20"/>
                <w:color w:val="auto"/>
              </w:rPr>
            </w:pPr>
            <w:r>
              <w:rPr>
                <w:rFonts w:ascii="Arial" w:cs="Arial" w:eastAsia="Arial" w:hAnsi="Arial"/>
                <w:sz w:val="20"/>
                <w:szCs w:val="20"/>
                <w:color w:val="auto"/>
              </w:rPr>
              <w:t>Maintenance of Insurance</w:t>
            </w:r>
          </w:p>
        </w:tc>
        <w:tc>
          <w:tcPr>
            <w:tcW w:w="188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275"/>
        </w:trPr>
        <w:tc>
          <w:tcPr>
            <w:tcW w:w="600" w:type="dxa"/>
            <w:vAlign w:val="bottom"/>
          </w:tcPr>
          <w:p>
            <w:pPr>
              <w:jc w:val="right"/>
              <w:ind w:right="80"/>
              <w:spacing w:after="0"/>
              <w:rPr>
                <w:sz w:val="20"/>
                <w:szCs w:val="20"/>
                <w:color w:val="auto"/>
              </w:rPr>
            </w:pPr>
            <w:r>
              <w:rPr>
                <w:rFonts w:ascii="Arial" w:cs="Arial" w:eastAsia="Arial" w:hAnsi="Arial"/>
                <w:sz w:val="20"/>
                <w:szCs w:val="20"/>
                <w:color w:val="auto"/>
                <w:w w:val="89"/>
              </w:rPr>
              <w:t>6.08.</w:t>
            </w:r>
          </w:p>
        </w:tc>
        <w:tc>
          <w:tcPr>
            <w:tcW w:w="8060" w:type="dxa"/>
            <w:vAlign w:val="bottom"/>
          </w:tcPr>
          <w:p>
            <w:pPr>
              <w:ind w:left="280"/>
              <w:spacing w:after="0"/>
              <w:rPr>
                <w:sz w:val="20"/>
                <w:szCs w:val="20"/>
                <w:color w:val="auto"/>
              </w:rPr>
            </w:pPr>
            <w:r>
              <w:rPr>
                <w:rFonts w:ascii="Arial" w:cs="Arial" w:eastAsia="Arial" w:hAnsi="Arial"/>
                <w:sz w:val="20"/>
                <w:szCs w:val="20"/>
                <w:color w:val="auto"/>
              </w:rPr>
              <w:t>Compliance with Laws</w:t>
            </w:r>
          </w:p>
        </w:tc>
        <w:tc>
          <w:tcPr>
            <w:tcW w:w="1880" w:type="dxa"/>
            <w:vAlign w:val="bottom"/>
          </w:tcPr>
          <w:p>
            <w:pPr>
              <w:jc w:val="right"/>
              <w:spacing w:after="0"/>
              <w:rPr>
                <w:sz w:val="20"/>
                <w:szCs w:val="20"/>
                <w:color w:val="auto"/>
              </w:rPr>
            </w:pPr>
            <w:r>
              <w:rPr>
                <w:rFonts w:ascii="Arial" w:cs="Arial" w:eastAsia="Arial" w:hAnsi="Arial"/>
                <w:sz w:val="20"/>
                <w:szCs w:val="20"/>
                <w:color w:val="auto"/>
              </w:rPr>
              <w:t>111</w:t>
            </w:r>
          </w:p>
        </w:tc>
      </w:tr>
      <w:tr>
        <w:trPr>
          <w:trHeight w:val="275"/>
        </w:trPr>
        <w:tc>
          <w:tcPr>
            <w:tcW w:w="600" w:type="dxa"/>
            <w:vAlign w:val="bottom"/>
          </w:tcPr>
          <w:p>
            <w:pPr>
              <w:jc w:val="right"/>
              <w:ind w:right="80"/>
              <w:spacing w:after="0"/>
              <w:rPr>
                <w:sz w:val="20"/>
                <w:szCs w:val="20"/>
                <w:color w:val="auto"/>
              </w:rPr>
            </w:pPr>
            <w:r>
              <w:rPr>
                <w:rFonts w:ascii="Arial" w:cs="Arial" w:eastAsia="Arial" w:hAnsi="Arial"/>
                <w:sz w:val="20"/>
                <w:szCs w:val="20"/>
                <w:color w:val="auto"/>
                <w:w w:val="89"/>
              </w:rPr>
              <w:t>6.09.</w:t>
            </w:r>
          </w:p>
        </w:tc>
        <w:tc>
          <w:tcPr>
            <w:tcW w:w="8060" w:type="dxa"/>
            <w:vAlign w:val="bottom"/>
          </w:tcPr>
          <w:p>
            <w:pPr>
              <w:ind w:left="280"/>
              <w:spacing w:after="0"/>
              <w:rPr>
                <w:sz w:val="20"/>
                <w:szCs w:val="20"/>
                <w:color w:val="auto"/>
              </w:rPr>
            </w:pPr>
            <w:r>
              <w:rPr>
                <w:rFonts w:ascii="Arial" w:cs="Arial" w:eastAsia="Arial" w:hAnsi="Arial"/>
                <w:sz w:val="20"/>
                <w:szCs w:val="20"/>
                <w:color w:val="auto"/>
              </w:rPr>
              <w:t>Books and Records</w:t>
            </w:r>
          </w:p>
        </w:tc>
        <w:tc>
          <w:tcPr>
            <w:tcW w:w="1880" w:type="dxa"/>
            <w:vAlign w:val="bottom"/>
          </w:tcPr>
          <w:p>
            <w:pPr>
              <w:jc w:val="right"/>
              <w:spacing w:after="0"/>
              <w:rPr>
                <w:sz w:val="20"/>
                <w:szCs w:val="20"/>
                <w:color w:val="auto"/>
              </w:rPr>
            </w:pPr>
            <w:r>
              <w:rPr>
                <w:rFonts w:ascii="Arial" w:cs="Arial" w:eastAsia="Arial" w:hAnsi="Arial"/>
                <w:sz w:val="20"/>
                <w:szCs w:val="20"/>
                <w:color w:val="auto"/>
              </w:rPr>
              <w:t>111</w:t>
            </w:r>
          </w:p>
        </w:tc>
      </w:tr>
      <w:tr>
        <w:trPr>
          <w:trHeight w:val="275"/>
        </w:trPr>
        <w:tc>
          <w:tcPr>
            <w:tcW w:w="600" w:type="dxa"/>
            <w:vAlign w:val="bottom"/>
          </w:tcPr>
          <w:p>
            <w:pPr>
              <w:jc w:val="right"/>
              <w:ind w:right="80"/>
              <w:spacing w:after="0"/>
              <w:rPr>
                <w:sz w:val="20"/>
                <w:szCs w:val="20"/>
                <w:color w:val="auto"/>
              </w:rPr>
            </w:pPr>
            <w:r>
              <w:rPr>
                <w:rFonts w:ascii="Arial" w:cs="Arial" w:eastAsia="Arial" w:hAnsi="Arial"/>
                <w:sz w:val="20"/>
                <w:szCs w:val="20"/>
                <w:color w:val="auto"/>
                <w:w w:val="89"/>
              </w:rPr>
              <w:t>6.10.</w:t>
            </w:r>
          </w:p>
        </w:tc>
        <w:tc>
          <w:tcPr>
            <w:tcW w:w="8060" w:type="dxa"/>
            <w:vAlign w:val="bottom"/>
          </w:tcPr>
          <w:p>
            <w:pPr>
              <w:ind w:left="280"/>
              <w:spacing w:after="0"/>
              <w:rPr>
                <w:sz w:val="20"/>
                <w:szCs w:val="20"/>
                <w:color w:val="auto"/>
              </w:rPr>
            </w:pPr>
            <w:r>
              <w:rPr>
                <w:rFonts w:ascii="Arial" w:cs="Arial" w:eastAsia="Arial" w:hAnsi="Arial"/>
                <w:sz w:val="20"/>
                <w:szCs w:val="20"/>
                <w:color w:val="auto"/>
              </w:rPr>
              <w:t>Inspection Rights</w:t>
            </w:r>
          </w:p>
        </w:tc>
        <w:tc>
          <w:tcPr>
            <w:tcW w:w="1880" w:type="dxa"/>
            <w:vAlign w:val="bottom"/>
          </w:tcPr>
          <w:p>
            <w:pPr>
              <w:jc w:val="right"/>
              <w:spacing w:after="0"/>
              <w:rPr>
                <w:sz w:val="20"/>
                <w:szCs w:val="20"/>
                <w:color w:val="auto"/>
              </w:rPr>
            </w:pPr>
            <w:r>
              <w:rPr>
                <w:rFonts w:ascii="Arial" w:cs="Arial" w:eastAsia="Arial" w:hAnsi="Arial"/>
                <w:sz w:val="20"/>
                <w:szCs w:val="20"/>
                <w:color w:val="auto"/>
              </w:rPr>
              <w:t>111</w:t>
            </w:r>
          </w:p>
        </w:tc>
      </w:tr>
      <w:tr>
        <w:trPr>
          <w:trHeight w:val="275"/>
        </w:trPr>
        <w:tc>
          <w:tcPr>
            <w:tcW w:w="600" w:type="dxa"/>
            <w:vAlign w:val="bottom"/>
          </w:tcPr>
          <w:p>
            <w:pPr>
              <w:jc w:val="right"/>
              <w:ind w:right="80"/>
              <w:spacing w:after="0"/>
              <w:rPr>
                <w:sz w:val="20"/>
                <w:szCs w:val="20"/>
                <w:color w:val="auto"/>
              </w:rPr>
            </w:pPr>
            <w:r>
              <w:rPr>
                <w:rFonts w:ascii="Arial" w:cs="Arial" w:eastAsia="Arial" w:hAnsi="Arial"/>
                <w:sz w:val="20"/>
                <w:szCs w:val="20"/>
                <w:color w:val="auto"/>
                <w:w w:val="89"/>
              </w:rPr>
              <w:t>6.11.</w:t>
            </w:r>
          </w:p>
        </w:tc>
        <w:tc>
          <w:tcPr>
            <w:tcW w:w="8060" w:type="dxa"/>
            <w:vAlign w:val="bottom"/>
          </w:tcPr>
          <w:p>
            <w:pPr>
              <w:ind w:left="280"/>
              <w:spacing w:after="0"/>
              <w:rPr>
                <w:sz w:val="20"/>
                <w:szCs w:val="20"/>
                <w:color w:val="auto"/>
              </w:rPr>
            </w:pPr>
            <w:r>
              <w:rPr>
                <w:rFonts w:ascii="Arial" w:cs="Arial" w:eastAsia="Arial" w:hAnsi="Arial"/>
                <w:sz w:val="20"/>
                <w:szCs w:val="20"/>
                <w:color w:val="auto"/>
              </w:rPr>
              <w:t>Use of Proceeds</w:t>
            </w:r>
          </w:p>
        </w:tc>
        <w:tc>
          <w:tcPr>
            <w:tcW w:w="1880" w:type="dxa"/>
            <w:vAlign w:val="bottom"/>
          </w:tcPr>
          <w:p>
            <w:pPr>
              <w:jc w:val="right"/>
              <w:spacing w:after="0"/>
              <w:rPr>
                <w:sz w:val="20"/>
                <w:szCs w:val="20"/>
                <w:color w:val="auto"/>
              </w:rPr>
            </w:pPr>
            <w:r>
              <w:rPr>
                <w:rFonts w:ascii="Arial" w:cs="Arial" w:eastAsia="Arial" w:hAnsi="Arial"/>
                <w:sz w:val="20"/>
                <w:szCs w:val="20"/>
                <w:color w:val="auto"/>
              </w:rPr>
              <w:t>111</w:t>
            </w:r>
          </w:p>
        </w:tc>
      </w:tr>
      <w:tr>
        <w:trPr>
          <w:trHeight w:val="275"/>
        </w:trPr>
        <w:tc>
          <w:tcPr>
            <w:tcW w:w="600" w:type="dxa"/>
            <w:vAlign w:val="bottom"/>
          </w:tcPr>
          <w:p>
            <w:pPr>
              <w:jc w:val="right"/>
              <w:ind w:right="80"/>
              <w:spacing w:after="0"/>
              <w:rPr>
                <w:sz w:val="20"/>
                <w:szCs w:val="20"/>
                <w:color w:val="auto"/>
              </w:rPr>
            </w:pPr>
            <w:r>
              <w:rPr>
                <w:rFonts w:ascii="Arial" w:cs="Arial" w:eastAsia="Arial" w:hAnsi="Arial"/>
                <w:sz w:val="20"/>
                <w:szCs w:val="20"/>
                <w:color w:val="auto"/>
                <w:w w:val="89"/>
              </w:rPr>
              <w:t>6.12.</w:t>
            </w:r>
          </w:p>
        </w:tc>
        <w:tc>
          <w:tcPr>
            <w:tcW w:w="8060" w:type="dxa"/>
            <w:vAlign w:val="bottom"/>
          </w:tcPr>
          <w:p>
            <w:pPr>
              <w:ind w:left="280"/>
              <w:spacing w:after="0"/>
              <w:rPr>
                <w:sz w:val="20"/>
                <w:szCs w:val="20"/>
                <w:color w:val="auto"/>
              </w:rPr>
            </w:pPr>
            <w:r>
              <w:rPr>
                <w:rFonts w:ascii="Arial" w:cs="Arial" w:eastAsia="Arial" w:hAnsi="Arial"/>
                <w:sz w:val="20"/>
                <w:szCs w:val="20"/>
                <w:color w:val="auto"/>
              </w:rPr>
              <w:t>Additional Guarantors</w:t>
            </w:r>
          </w:p>
        </w:tc>
        <w:tc>
          <w:tcPr>
            <w:tcW w:w="1880" w:type="dxa"/>
            <w:vAlign w:val="bottom"/>
          </w:tcPr>
          <w:p>
            <w:pPr>
              <w:jc w:val="right"/>
              <w:spacing w:after="0"/>
              <w:rPr>
                <w:sz w:val="20"/>
                <w:szCs w:val="20"/>
                <w:color w:val="auto"/>
              </w:rPr>
            </w:pPr>
            <w:r>
              <w:rPr>
                <w:rFonts w:ascii="Arial" w:cs="Arial" w:eastAsia="Arial" w:hAnsi="Arial"/>
                <w:sz w:val="20"/>
                <w:szCs w:val="20"/>
                <w:color w:val="auto"/>
              </w:rPr>
              <w:t>111</w:t>
            </w:r>
          </w:p>
        </w:tc>
      </w:tr>
      <w:tr>
        <w:trPr>
          <w:trHeight w:val="275"/>
        </w:trPr>
        <w:tc>
          <w:tcPr>
            <w:tcW w:w="600" w:type="dxa"/>
            <w:vAlign w:val="bottom"/>
          </w:tcPr>
          <w:p>
            <w:pPr>
              <w:jc w:val="right"/>
              <w:ind w:right="80"/>
              <w:spacing w:after="0"/>
              <w:rPr>
                <w:sz w:val="20"/>
                <w:szCs w:val="20"/>
                <w:color w:val="auto"/>
              </w:rPr>
            </w:pPr>
            <w:r>
              <w:rPr>
                <w:rFonts w:ascii="Arial" w:cs="Arial" w:eastAsia="Arial" w:hAnsi="Arial"/>
                <w:sz w:val="20"/>
                <w:szCs w:val="20"/>
                <w:color w:val="auto"/>
                <w:w w:val="89"/>
              </w:rPr>
              <w:t>6.13.</w:t>
            </w:r>
          </w:p>
        </w:tc>
        <w:tc>
          <w:tcPr>
            <w:tcW w:w="8060" w:type="dxa"/>
            <w:vAlign w:val="bottom"/>
          </w:tcPr>
          <w:p>
            <w:pPr>
              <w:ind w:left="280"/>
              <w:spacing w:after="0"/>
              <w:rPr>
                <w:sz w:val="20"/>
                <w:szCs w:val="20"/>
                <w:color w:val="auto"/>
              </w:rPr>
            </w:pPr>
            <w:r>
              <w:rPr>
                <w:rFonts w:ascii="Arial" w:cs="Arial" w:eastAsia="Arial" w:hAnsi="Arial"/>
                <w:sz w:val="20"/>
                <w:szCs w:val="20"/>
                <w:color w:val="auto"/>
              </w:rPr>
              <w:t>Compliance with Environmental Laws</w:t>
            </w:r>
          </w:p>
        </w:tc>
        <w:tc>
          <w:tcPr>
            <w:tcW w:w="1880" w:type="dxa"/>
            <w:vAlign w:val="bottom"/>
          </w:tcPr>
          <w:p>
            <w:pPr>
              <w:jc w:val="right"/>
              <w:spacing w:after="0"/>
              <w:rPr>
                <w:sz w:val="20"/>
                <w:szCs w:val="20"/>
                <w:color w:val="auto"/>
              </w:rPr>
            </w:pPr>
            <w:r>
              <w:rPr>
                <w:rFonts w:ascii="Arial" w:cs="Arial" w:eastAsia="Arial" w:hAnsi="Arial"/>
                <w:sz w:val="20"/>
                <w:szCs w:val="20"/>
                <w:color w:val="auto"/>
              </w:rPr>
              <w:t>112</w:t>
            </w:r>
          </w:p>
        </w:tc>
      </w:tr>
      <w:tr>
        <w:trPr>
          <w:trHeight w:val="275"/>
        </w:trPr>
        <w:tc>
          <w:tcPr>
            <w:tcW w:w="600" w:type="dxa"/>
            <w:vAlign w:val="bottom"/>
          </w:tcPr>
          <w:p>
            <w:pPr>
              <w:jc w:val="right"/>
              <w:ind w:right="80"/>
              <w:spacing w:after="0"/>
              <w:rPr>
                <w:sz w:val="20"/>
                <w:szCs w:val="20"/>
                <w:color w:val="auto"/>
              </w:rPr>
            </w:pPr>
            <w:r>
              <w:rPr>
                <w:rFonts w:ascii="Arial" w:cs="Arial" w:eastAsia="Arial" w:hAnsi="Arial"/>
                <w:sz w:val="20"/>
                <w:szCs w:val="20"/>
                <w:color w:val="auto"/>
                <w:w w:val="89"/>
              </w:rPr>
              <w:t>6.14.</w:t>
            </w:r>
          </w:p>
        </w:tc>
        <w:tc>
          <w:tcPr>
            <w:tcW w:w="8060" w:type="dxa"/>
            <w:vAlign w:val="bottom"/>
          </w:tcPr>
          <w:p>
            <w:pPr>
              <w:ind w:left="280"/>
              <w:spacing w:after="0"/>
              <w:rPr>
                <w:sz w:val="20"/>
                <w:szCs w:val="20"/>
                <w:color w:val="auto"/>
              </w:rPr>
            </w:pPr>
            <w:r>
              <w:rPr>
                <w:rFonts w:ascii="Arial" w:cs="Arial" w:eastAsia="Arial" w:hAnsi="Arial"/>
                <w:sz w:val="20"/>
                <w:szCs w:val="20"/>
                <w:color w:val="auto"/>
              </w:rPr>
              <w:t>Further Assurances</w:t>
            </w:r>
          </w:p>
        </w:tc>
        <w:tc>
          <w:tcPr>
            <w:tcW w:w="1880" w:type="dxa"/>
            <w:vAlign w:val="bottom"/>
          </w:tcPr>
          <w:p>
            <w:pPr>
              <w:jc w:val="right"/>
              <w:spacing w:after="0"/>
              <w:rPr>
                <w:sz w:val="20"/>
                <w:szCs w:val="20"/>
                <w:color w:val="auto"/>
              </w:rPr>
            </w:pPr>
            <w:r>
              <w:rPr>
                <w:rFonts w:ascii="Arial" w:cs="Arial" w:eastAsia="Arial" w:hAnsi="Arial"/>
                <w:sz w:val="20"/>
                <w:szCs w:val="20"/>
                <w:color w:val="auto"/>
              </w:rPr>
              <w:t>112</w:t>
            </w:r>
          </w:p>
        </w:tc>
      </w:tr>
      <w:tr>
        <w:trPr>
          <w:trHeight w:val="275"/>
        </w:trPr>
        <w:tc>
          <w:tcPr>
            <w:tcW w:w="600" w:type="dxa"/>
            <w:vAlign w:val="bottom"/>
          </w:tcPr>
          <w:p>
            <w:pPr>
              <w:jc w:val="right"/>
              <w:ind w:right="80"/>
              <w:spacing w:after="0"/>
              <w:rPr>
                <w:sz w:val="20"/>
                <w:szCs w:val="20"/>
                <w:color w:val="auto"/>
              </w:rPr>
            </w:pPr>
            <w:r>
              <w:rPr>
                <w:rFonts w:ascii="Arial" w:cs="Arial" w:eastAsia="Arial" w:hAnsi="Arial"/>
                <w:sz w:val="20"/>
                <w:szCs w:val="20"/>
                <w:color w:val="auto"/>
                <w:w w:val="89"/>
              </w:rPr>
              <w:t>6.15.</w:t>
            </w:r>
          </w:p>
        </w:tc>
        <w:tc>
          <w:tcPr>
            <w:tcW w:w="8060" w:type="dxa"/>
            <w:vAlign w:val="bottom"/>
          </w:tcPr>
          <w:p>
            <w:pPr>
              <w:ind w:left="280"/>
              <w:spacing w:after="0"/>
              <w:rPr>
                <w:sz w:val="20"/>
                <w:szCs w:val="20"/>
                <w:color w:val="auto"/>
              </w:rPr>
            </w:pPr>
            <w:r>
              <w:rPr>
                <w:rFonts w:ascii="Arial" w:cs="Arial" w:eastAsia="Arial" w:hAnsi="Arial"/>
                <w:sz w:val="20"/>
                <w:szCs w:val="20"/>
                <w:color w:val="auto"/>
              </w:rPr>
              <w:t>New York Stock Exchange Listing</w:t>
            </w:r>
          </w:p>
        </w:tc>
        <w:tc>
          <w:tcPr>
            <w:tcW w:w="1880" w:type="dxa"/>
            <w:vAlign w:val="bottom"/>
          </w:tcPr>
          <w:p>
            <w:pPr>
              <w:jc w:val="right"/>
              <w:spacing w:after="0"/>
              <w:rPr>
                <w:sz w:val="20"/>
                <w:szCs w:val="20"/>
                <w:color w:val="auto"/>
              </w:rPr>
            </w:pPr>
            <w:r>
              <w:rPr>
                <w:rFonts w:ascii="Arial" w:cs="Arial" w:eastAsia="Arial" w:hAnsi="Arial"/>
                <w:sz w:val="20"/>
                <w:szCs w:val="20"/>
                <w:color w:val="auto"/>
              </w:rPr>
              <w:t>113</w:t>
            </w:r>
          </w:p>
        </w:tc>
      </w:tr>
      <w:tr>
        <w:trPr>
          <w:trHeight w:val="275"/>
        </w:trPr>
        <w:tc>
          <w:tcPr>
            <w:tcW w:w="600" w:type="dxa"/>
            <w:vAlign w:val="bottom"/>
          </w:tcPr>
          <w:p>
            <w:pPr>
              <w:jc w:val="right"/>
              <w:ind w:right="80"/>
              <w:spacing w:after="0"/>
              <w:rPr>
                <w:sz w:val="20"/>
                <w:szCs w:val="20"/>
                <w:color w:val="auto"/>
              </w:rPr>
            </w:pPr>
            <w:r>
              <w:rPr>
                <w:rFonts w:ascii="Arial" w:cs="Arial" w:eastAsia="Arial" w:hAnsi="Arial"/>
                <w:sz w:val="20"/>
                <w:szCs w:val="20"/>
                <w:color w:val="auto"/>
                <w:w w:val="89"/>
              </w:rPr>
              <w:t>6.16.</w:t>
            </w:r>
          </w:p>
        </w:tc>
        <w:tc>
          <w:tcPr>
            <w:tcW w:w="8060" w:type="dxa"/>
            <w:vAlign w:val="bottom"/>
          </w:tcPr>
          <w:p>
            <w:pPr>
              <w:ind w:left="280"/>
              <w:spacing w:after="0"/>
              <w:rPr>
                <w:sz w:val="20"/>
                <w:szCs w:val="20"/>
                <w:color w:val="auto"/>
              </w:rPr>
            </w:pPr>
            <w:r>
              <w:rPr>
                <w:rFonts w:ascii="Arial" w:cs="Arial" w:eastAsia="Arial" w:hAnsi="Arial"/>
                <w:sz w:val="20"/>
                <w:szCs w:val="20"/>
                <w:color w:val="auto"/>
              </w:rPr>
              <w:t>Material Contracts</w:t>
            </w:r>
          </w:p>
        </w:tc>
        <w:tc>
          <w:tcPr>
            <w:tcW w:w="1880" w:type="dxa"/>
            <w:vAlign w:val="bottom"/>
          </w:tcPr>
          <w:p>
            <w:pPr>
              <w:jc w:val="right"/>
              <w:spacing w:after="0"/>
              <w:rPr>
                <w:sz w:val="20"/>
                <w:szCs w:val="20"/>
                <w:color w:val="auto"/>
              </w:rPr>
            </w:pPr>
            <w:r>
              <w:rPr>
                <w:rFonts w:ascii="Arial" w:cs="Arial" w:eastAsia="Arial" w:hAnsi="Arial"/>
                <w:sz w:val="20"/>
                <w:szCs w:val="20"/>
                <w:color w:val="auto"/>
              </w:rPr>
              <w:t>113</w:t>
            </w:r>
          </w:p>
        </w:tc>
      </w:tr>
      <w:tr>
        <w:trPr>
          <w:trHeight w:val="624"/>
        </w:trPr>
        <w:tc>
          <w:tcPr>
            <w:tcW w:w="600" w:type="dxa"/>
            <w:vAlign w:val="bottom"/>
          </w:tcPr>
          <w:p>
            <w:pPr>
              <w:spacing w:after="0"/>
              <w:rPr>
                <w:sz w:val="24"/>
                <w:szCs w:val="24"/>
                <w:color w:val="auto"/>
              </w:rPr>
            </w:pPr>
          </w:p>
        </w:tc>
        <w:tc>
          <w:tcPr>
            <w:tcW w:w="8060" w:type="dxa"/>
            <w:vAlign w:val="bottom"/>
          </w:tcPr>
          <w:p>
            <w:pPr>
              <w:jc w:val="center"/>
              <w:ind w:left="1280"/>
              <w:spacing w:after="0"/>
              <w:rPr>
                <w:sz w:val="20"/>
                <w:szCs w:val="20"/>
                <w:color w:val="auto"/>
              </w:rPr>
            </w:pPr>
            <w:r>
              <w:rPr>
                <w:rFonts w:ascii="Arial" w:cs="Arial" w:eastAsia="Arial" w:hAnsi="Arial"/>
                <w:sz w:val="20"/>
                <w:szCs w:val="20"/>
                <w:color w:val="auto"/>
              </w:rPr>
              <w:t>ARTICLE VII</w:t>
            </w:r>
          </w:p>
        </w:tc>
        <w:tc>
          <w:tcPr>
            <w:tcW w:w="1880" w:type="dxa"/>
            <w:vAlign w:val="bottom"/>
          </w:tcPr>
          <w:p>
            <w:pPr>
              <w:spacing w:after="0"/>
              <w:rPr>
                <w:sz w:val="24"/>
                <w:szCs w:val="24"/>
                <w:color w:val="auto"/>
              </w:rPr>
            </w:pPr>
          </w:p>
        </w:tc>
      </w:tr>
      <w:tr>
        <w:trPr>
          <w:trHeight w:val="275"/>
        </w:trPr>
        <w:tc>
          <w:tcPr>
            <w:tcW w:w="600" w:type="dxa"/>
            <w:vAlign w:val="bottom"/>
          </w:tcPr>
          <w:p>
            <w:pPr>
              <w:spacing w:after="0"/>
              <w:rPr>
                <w:sz w:val="23"/>
                <w:szCs w:val="23"/>
                <w:color w:val="auto"/>
              </w:rPr>
            </w:pPr>
          </w:p>
        </w:tc>
        <w:tc>
          <w:tcPr>
            <w:tcW w:w="8060" w:type="dxa"/>
            <w:vAlign w:val="bottom"/>
          </w:tcPr>
          <w:p>
            <w:pPr>
              <w:jc w:val="center"/>
              <w:ind w:left="1280"/>
              <w:spacing w:after="0"/>
              <w:rPr>
                <w:sz w:val="20"/>
                <w:szCs w:val="20"/>
                <w:color w:val="auto"/>
              </w:rPr>
            </w:pPr>
            <w:r>
              <w:rPr>
                <w:rFonts w:ascii="Arial" w:cs="Arial" w:eastAsia="Arial" w:hAnsi="Arial"/>
                <w:sz w:val="20"/>
                <w:szCs w:val="20"/>
                <w:color w:val="auto"/>
                <w:w w:val="96"/>
              </w:rPr>
              <w:t>NEGATIVE COVENANTS</w:t>
            </w:r>
          </w:p>
        </w:tc>
        <w:tc>
          <w:tcPr>
            <w:tcW w:w="1880" w:type="dxa"/>
            <w:vAlign w:val="bottom"/>
          </w:tcPr>
          <w:p>
            <w:pPr>
              <w:spacing w:after="0"/>
              <w:rPr>
                <w:sz w:val="23"/>
                <w:szCs w:val="23"/>
                <w:color w:val="auto"/>
              </w:rPr>
            </w:pPr>
          </w:p>
        </w:tc>
      </w:tr>
      <w:tr>
        <w:trPr>
          <w:trHeight w:val="849"/>
        </w:trPr>
        <w:tc>
          <w:tcPr>
            <w:tcW w:w="600" w:type="dxa"/>
            <w:vAlign w:val="bottom"/>
          </w:tcPr>
          <w:p>
            <w:pPr>
              <w:jc w:val="right"/>
              <w:ind w:right="60"/>
              <w:spacing w:after="0"/>
              <w:rPr>
                <w:sz w:val="20"/>
                <w:szCs w:val="20"/>
                <w:color w:val="auto"/>
              </w:rPr>
            </w:pPr>
            <w:r>
              <w:rPr>
                <w:rFonts w:ascii="Arial" w:cs="Arial" w:eastAsia="Arial" w:hAnsi="Arial"/>
                <w:sz w:val="20"/>
                <w:szCs w:val="20"/>
                <w:color w:val="auto"/>
                <w:w w:val="94"/>
              </w:rPr>
              <w:t>7.01.</w:t>
            </w:r>
          </w:p>
        </w:tc>
        <w:tc>
          <w:tcPr>
            <w:tcW w:w="8060" w:type="dxa"/>
            <w:vAlign w:val="bottom"/>
          </w:tcPr>
          <w:p>
            <w:pPr>
              <w:ind w:left="300"/>
              <w:spacing w:after="0"/>
              <w:rPr>
                <w:sz w:val="20"/>
                <w:szCs w:val="20"/>
                <w:color w:val="auto"/>
              </w:rPr>
            </w:pPr>
            <w:r>
              <w:rPr>
                <w:rFonts w:ascii="Arial" w:cs="Arial" w:eastAsia="Arial" w:hAnsi="Arial"/>
                <w:sz w:val="20"/>
                <w:szCs w:val="20"/>
                <w:color w:val="auto"/>
              </w:rPr>
              <w:t>Liens</w:t>
            </w:r>
          </w:p>
        </w:tc>
        <w:tc>
          <w:tcPr>
            <w:tcW w:w="1880" w:type="dxa"/>
            <w:vAlign w:val="bottom"/>
          </w:tcPr>
          <w:p>
            <w:pPr>
              <w:jc w:val="right"/>
              <w:spacing w:after="0"/>
              <w:rPr>
                <w:sz w:val="20"/>
                <w:szCs w:val="20"/>
                <w:color w:val="auto"/>
              </w:rPr>
            </w:pPr>
            <w:r>
              <w:rPr>
                <w:rFonts w:ascii="Arial" w:cs="Arial" w:eastAsia="Arial" w:hAnsi="Arial"/>
                <w:sz w:val="20"/>
                <w:szCs w:val="20"/>
                <w:color w:val="auto"/>
              </w:rPr>
              <w:t>113</w:t>
            </w:r>
          </w:p>
        </w:tc>
      </w:tr>
      <w:tr>
        <w:trPr>
          <w:trHeight w:val="275"/>
        </w:trPr>
        <w:tc>
          <w:tcPr>
            <w:tcW w:w="600" w:type="dxa"/>
            <w:vAlign w:val="bottom"/>
          </w:tcPr>
          <w:p>
            <w:pPr>
              <w:jc w:val="right"/>
              <w:ind w:right="60"/>
              <w:spacing w:after="0"/>
              <w:rPr>
                <w:sz w:val="20"/>
                <w:szCs w:val="20"/>
                <w:color w:val="auto"/>
              </w:rPr>
            </w:pPr>
            <w:r>
              <w:rPr>
                <w:rFonts w:ascii="Arial" w:cs="Arial" w:eastAsia="Arial" w:hAnsi="Arial"/>
                <w:sz w:val="20"/>
                <w:szCs w:val="20"/>
                <w:color w:val="auto"/>
                <w:w w:val="94"/>
              </w:rPr>
              <w:t>7.02.</w:t>
            </w:r>
          </w:p>
        </w:tc>
        <w:tc>
          <w:tcPr>
            <w:tcW w:w="8060" w:type="dxa"/>
            <w:vAlign w:val="bottom"/>
          </w:tcPr>
          <w:p>
            <w:pPr>
              <w:ind w:left="300"/>
              <w:spacing w:after="0"/>
              <w:rPr>
                <w:sz w:val="20"/>
                <w:szCs w:val="20"/>
                <w:color w:val="auto"/>
              </w:rPr>
            </w:pPr>
            <w:r>
              <w:rPr>
                <w:rFonts w:ascii="Arial" w:cs="Arial" w:eastAsia="Arial" w:hAnsi="Arial"/>
                <w:sz w:val="20"/>
                <w:szCs w:val="20"/>
                <w:color w:val="auto"/>
              </w:rPr>
              <w:t>Indebtedness</w:t>
            </w:r>
          </w:p>
        </w:tc>
        <w:tc>
          <w:tcPr>
            <w:tcW w:w="1880" w:type="dxa"/>
            <w:vAlign w:val="bottom"/>
          </w:tcPr>
          <w:p>
            <w:pPr>
              <w:jc w:val="right"/>
              <w:spacing w:after="0"/>
              <w:rPr>
                <w:sz w:val="20"/>
                <w:szCs w:val="20"/>
                <w:color w:val="auto"/>
              </w:rPr>
            </w:pPr>
            <w:r>
              <w:rPr>
                <w:rFonts w:ascii="Arial" w:cs="Arial" w:eastAsia="Arial" w:hAnsi="Arial"/>
                <w:sz w:val="20"/>
                <w:szCs w:val="20"/>
                <w:color w:val="auto"/>
              </w:rPr>
              <w:t>115</w:t>
            </w:r>
          </w:p>
        </w:tc>
      </w:tr>
      <w:tr>
        <w:trPr>
          <w:trHeight w:val="275"/>
        </w:trPr>
        <w:tc>
          <w:tcPr>
            <w:tcW w:w="600" w:type="dxa"/>
            <w:vAlign w:val="bottom"/>
          </w:tcPr>
          <w:p>
            <w:pPr>
              <w:jc w:val="right"/>
              <w:ind w:right="60"/>
              <w:spacing w:after="0"/>
              <w:rPr>
                <w:sz w:val="20"/>
                <w:szCs w:val="20"/>
                <w:color w:val="auto"/>
              </w:rPr>
            </w:pPr>
            <w:r>
              <w:rPr>
                <w:rFonts w:ascii="Arial" w:cs="Arial" w:eastAsia="Arial" w:hAnsi="Arial"/>
                <w:sz w:val="20"/>
                <w:szCs w:val="20"/>
                <w:color w:val="auto"/>
                <w:w w:val="94"/>
              </w:rPr>
              <w:t>7.03.</w:t>
            </w:r>
          </w:p>
        </w:tc>
        <w:tc>
          <w:tcPr>
            <w:tcW w:w="8060" w:type="dxa"/>
            <w:vAlign w:val="bottom"/>
          </w:tcPr>
          <w:p>
            <w:pPr>
              <w:ind w:left="300"/>
              <w:spacing w:after="0"/>
              <w:rPr>
                <w:sz w:val="20"/>
                <w:szCs w:val="20"/>
                <w:color w:val="auto"/>
              </w:rPr>
            </w:pPr>
            <w:r>
              <w:rPr>
                <w:rFonts w:ascii="Arial" w:cs="Arial" w:eastAsia="Arial" w:hAnsi="Arial"/>
                <w:sz w:val="20"/>
                <w:szCs w:val="20"/>
                <w:color w:val="auto"/>
              </w:rPr>
              <w:t>Investments</w:t>
            </w:r>
          </w:p>
        </w:tc>
        <w:tc>
          <w:tcPr>
            <w:tcW w:w="188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275"/>
        </w:trPr>
        <w:tc>
          <w:tcPr>
            <w:tcW w:w="600" w:type="dxa"/>
            <w:vAlign w:val="bottom"/>
          </w:tcPr>
          <w:p>
            <w:pPr>
              <w:jc w:val="right"/>
              <w:ind w:right="60"/>
              <w:spacing w:after="0"/>
              <w:rPr>
                <w:sz w:val="20"/>
                <w:szCs w:val="20"/>
                <w:color w:val="auto"/>
              </w:rPr>
            </w:pPr>
            <w:r>
              <w:rPr>
                <w:rFonts w:ascii="Arial" w:cs="Arial" w:eastAsia="Arial" w:hAnsi="Arial"/>
                <w:sz w:val="20"/>
                <w:szCs w:val="20"/>
                <w:color w:val="auto"/>
                <w:w w:val="94"/>
              </w:rPr>
              <w:t>7.04.</w:t>
            </w:r>
          </w:p>
        </w:tc>
        <w:tc>
          <w:tcPr>
            <w:tcW w:w="8060" w:type="dxa"/>
            <w:vAlign w:val="bottom"/>
          </w:tcPr>
          <w:p>
            <w:pPr>
              <w:ind w:left="300"/>
              <w:spacing w:after="0"/>
              <w:rPr>
                <w:sz w:val="20"/>
                <w:szCs w:val="20"/>
                <w:color w:val="auto"/>
              </w:rPr>
            </w:pPr>
            <w:r>
              <w:rPr>
                <w:rFonts w:ascii="Arial" w:cs="Arial" w:eastAsia="Arial" w:hAnsi="Arial"/>
                <w:sz w:val="20"/>
                <w:szCs w:val="20"/>
                <w:color w:val="auto"/>
              </w:rPr>
              <w:t>Fundamental Changes</w:t>
            </w:r>
          </w:p>
        </w:tc>
        <w:tc>
          <w:tcPr>
            <w:tcW w:w="188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275"/>
        </w:trPr>
        <w:tc>
          <w:tcPr>
            <w:tcW w:w="600" w:type="dxa"/>
            <w:vAlign w:val="bottom"/>
          </w:tcPr>
          <w:p>
            <w:pPr>
              <w:jc w:val="right"/>
              <w:ind w:right="60"/>
              <w:spacing w:after="0"/>
              <w:rPr>
                <w:sz w:val="20"/>
                <w:szCs w:val="20"/>
                <w:color w:val="auto"/>
              </w:rPr>
            </w:pPr>
            <w:r>
              <w:rPr>
                <w:rFonts w:ascii="Arial" w:cs="Arial" w:eastAsia="Arial" w:hAnsi="Arial"/>
                <w:sz w:val="20"/>
                <w:szCs w:val="20"/>
                <w:color w:val="auto"/>
                <w:w w:val="94"/>
              </w:rPr>
              <w:t>7.05.</w:t>
            </w:r>
          </w:p>
        </w:tc>
        <w:tc>
          <w:tcPr>
            <w:tcW w:w="8060" w:type="dxa"/>
            <w:vAlign w:val="bottom"/>
          </w:tcPr>
          <w:p>
            <w:pPr>
              <w:ind w:left="300"/>
              <w:spacing w:after="0"/>
              <w:rPr>
                <w:sz w:val="20"/>
                <w:szCs w:val="20"/>
                <w:color w:val="auto"/>
              </w:rPr>
            </w:pPr>
            <w:r>
              <w:rPr>
                <w:rFonts w:ascii="Arial" w:cs="Arial" w:eastAsia="Arial" w:hAnsi="Arial"/>
                <w:sz w:val="20"/>
                <w:szCs w:val="20"/>
                <w:color w:val="auto"/>
              </w:rPr>
              <w:t>Dispositions</w:t>
            </w:r>
          </w:p>
        </w:tc>
        <w:tc>
          <w:tcPr>
            <w:tcW w:w="188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275"/>
        </w:trPr>
        <w:tc>
          <w:tcPr>
            <w:tcW w:w="600" w:type="dxa"/>
            <w:vAlign w:val="bottom"/>
          </w:tcPr>
          <w:p>
            <w:pPr>
              <w:jc w:val="right"/>
              <w:ind w:right="60"/>
              <w:spacing w:after="0"/>
              <w:rPr>
                <w:sz w:val="20"/>
                <w:szCs w:val="20"/>
                <w:color w:val="auto"/>
              </w:rPr>
            </w:pPr>
            <w:r>
              <w:rPr>
                <w:rFonts w:ascii="Arial" w:cs="Arial" w:eastAsia="Arial" w:hAnsi="Arial"/>
                <w:sz w:val="20"/>
                <w:szCs w:val="20"/>
                <w:color w:val="auto"/>
                <w:w w:val="94"/>
              </w:rPr>
              <w:t>7.06.</w:t>
            </w:r>
          </w:p>
        </w:tc>
        <w:tc>
          <w:tcPr>
            <w:tcW w:w="8060" w:type="dxa"/>
            <w:vAlign w:val="bottom"/>
          </w:tcPr>
          <w:p>
            <w:pPr>
              <w:ind w:left="300"/>
              <w:spacing w:after="0"/>
              <w:rPr>
                <w:sz w:val="20"/>
                <w:szCs w:val="20"/>
                <w:color w:val="auto"/>
              </w:rPr>
            </w:pPr>
            <w:r>
              <w:rPr>
                <w:rFonts w:ascii="Arial" w:cs="Arial" w:eastAsia="Arial" w:hAnsi="Arial"/>
                <w:sz w:val="20"/>
                <w:szCs w:val="20"/>
                <w:color w:val="auto"/>
              </w:rPr>
              <w:t>Restricted Payments</w:t>
            </w:r>
          </w:p>
        </w:tc>
        <w:tc>
          <w:tcPr>
            <w:tcW w:w="188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275"/>
        </w:trPr>
        <w:tc>
          <w:tcPr>
            <w:tcW w:w="600" w:type="dxa"/>
            <w:vAlign w:val="bottom"/>
          </w:tcPr>
          <w:p>
            <w:pPr>
              <w:jc w:val="right"/>
              <w:ind w:right="60"/>
              <w:spacing w:after="0"/>
              <w:rPr>
                <w:sz w:val="20"/>
                <w:szCs w:val="20"/>
                <w:color w:val="auto"/>
              </w:rPr>
            </w:pPr>
            <w:r>
              <w:rPr>
                <w:rFonts w:ascii="Arial" w:cs="Arial" w:eastAsia="Arial" w:hAnsi="Arial"/>
                <w:sz w:val="20"/>
                <w:szCs w:val="20"/>
                <w:color w:val="auto"/>
                <w:w w:val="94"/>
              </w:rPr>
              <w:t>7.07.</w:t>
            </w:r>
          </w:p>
        </w:tc>
        <w:tc>
          <w:tcPr>
            <w:tcW w:w="8060" w:type="dxa"/>
            <w:vAlign w:val="bottom"/>
          </w:tcPr>
          <w:p>
            <w:pPr>
              <w:ind w:left="300"/>
              <w:spacing w:after="0"/>
              <w:rPr>
                <w:sz w:val="20"/>
                <w:szCs w:val="20"/>
                <w:color w:val="auto"/>
              </w:rPr>
            </w:pPr>
            <w:r>
              <w:rPr>
                <w:rFonts w:ascii="Arial" w:cs="Arial" w:eastAsia="Arial" w:hAnsi="Arial"/>
                <w:sz w:val="20"/>
                <w:szCs w:val="20"/>
                <w:color w:val="auto"/>
              </w:rPr>
              <w:t>Change in Nature of Business</w:t>
            </w:r>
          </w:p>
        </w:tc>
        <w:tc>
          <w:tcPr>
            <w:tcW w:w="1880" w:type="dxa"/>
            <w:vAlign w:val="bottom"/>
          </w:tcPr>
          <w:p>
            <w:pPr>
              <w:jc w:val="right"/>
              <w:spacing w:after="0"/>
              <w:rPr>
                <w:sz w:val="20"/>
                <w:szCs w:val="20"/>
                <w:color w:val="auto"/>
              </w:rPr>
            </w:pPr>
            <w:r>
              <w:rPr>
                <w:rFonts w:ascii="Arial" w:cs="Arial" w:eastAsia="Arial" w:hAnsi="Arial"/>
                <w:sz w:val="20"/>
                <w:szCs w:val="20"/>
                <w:color w:val="auto"/>
              </w:rPr>
              <w:t>117</w:t>
            </w:r>
          </w:p>
        </w:tc>
      </w:tr>
      <w:tr>
        <w:trPr>
          <w:trHeight w:val="275"/>
        </w:trPr>
        <w:tc>
          <w:tcPr>
            <w:tcW w:w="600" w:type="dxa"/>
            <w:vAlign w:val="bottom"/>
          </w:tcPr>
          <w:p>
            <w:pPr>
              <w:jc w:val="right"/>
              <w:ind w:right="60"/>
              <w:spacing w:after="0"/>
              <w:rPr>
                <w:sz w:val="20"/>
                <w:szCs w:val="20"/>
                <w:color w:val="auto"/>
              </w:rPr>
            </w:pPr>
            <w:r>
              <w:rPr>
                <w:rFonts w:ascii="Arial" w:cs="Arial" w:eastAsia="Arial" w:hAnsi="Arial"/>
                <w:sz w:val="20"/>
                <w:szCs w:val="20"/>
                <w:color w:val="auto"/>
                <w:w w:val="94"/>
              </w:rPr>
              <w:t>7.08.</w:t>
            </w:r>
          </w:p>
        </w:tc>
        <w:tc>
          <w:tcPr>
            <w:tcW w:w="8060" w:type="dxa"/>
            <w:vAlign w:val="bottom"/>
          </w:tcPr>
          <w:p>
            <w:pPr>
              <w:ind w:left="300"/>
              <w:spacing w:after="0"/>
              <w:rPr>
                <w:sz w:val="20"/>
                <w:szCs w:val="20"/>
                <w:color w:val="auto"/>
              </w:rPr>
            </w:pPr>
            <w:r>
              <w:rPr>
                <w:rFonts w:ascii="Arial" w:cs="Arial" w:eastAsia="Arial" w:hAnsi="Arial"/>
                <w:sz w:val="20"/>
                <w:szCs w:val="20"/>
                <w:color w:val="auto"/>
              </w:rPr>
              <w:t>Transactions with Affiliates</w:t>
            </w:r>
          </w:p>
        </w:tc>
        <w:tc>
          <w:tcPr>
            <w:tcW w:w="1880" w:type="dxa"/>
            <w:vAlign w:val="bottom"/>
          </w:tcPr>
          <w:p>
            <w:pPr>
              <w:jc w:val="right"/>
              <w:spacing w:after="0"/>
              <w:rPr>
                <w:sz w:val="20"/>
                <w:szCs w:val="20"/>
                <w:color w:val="auto"/>
              </w:rPr>
            </w:pPr>
            <w:r>
              <w:rPr>
                <w:rFonts w:ascii="Arial" w:cs="Arial" w:eastAsia="Arial" w:hAnsi="Arial"/>
                <w:sz w:val="20"/>
                <w:szCs w:val="20"/>
                <w:color w:val="auto"/>
              </w:rPr>
              <w:t>117</w:t>
            </w:r>
          </w:p>
        </w:tc>
      </w:tr>
      <w:tr>
        <w:trPr>
          <w:trHeight w:val="275"/>
        </w:trPr>
        <w:tc>
          <w:tcPr>
            <w:tcW w:w="600" w:type="dxa"/>
            <w:vAlign w:val="bottom"/>
          </w:tcPr>
          <w:p>
            <w:pPr>
              <w:jc w:val="right"/>
              <w:ind w:right="60"/>
              <w:spacing w:after="0"/>
              <w:rPr>
                <w:sz w:val="20"/>
                <w:szCs w:val="20"/>
                <w:color w:val="auto"/>
              </w:rPr>
            </w:pPr>
            <w:r>
              <w:rPr>
                <w:rFonts w:ascii="Arial" w:cs="Arial" w:eastAsia="Arial" w:hAnsi="Arial"/>
                <w:sz w:val="20"/>
                <w:szCs w:val="20"/>
                <w:color w:val="auto"/>
                <w:w w:val="94"/>
              </w:rPr>
              <w:t>7.09.</w:t>
            </w:r>
          </w:p>
        </w:tc>
        <w:tc>
          <w:tcPr>
            <w:tcW w:w="8060" w:type="dxa"/>
            <w:vAlign w:val="bottom"/>
          </w:tcPr>
          <w:p>
            <w:pPr>
              <w:ind w:left="300"/>
              <w:spacing w:after="0"/>
              <w:rPr>
                <w:sz w:val="20"/>
                <w:szCs w:val="20"/>
                <w:color w:val="auto"/>
              </w:rPr>
            </w:pPr>
            <w:r>
              <w:rPr>
                <w:rFonts w:ascii="Arial" w:cs="Arial" w:eastAsia="Arial" w:hAnsi="Arial"/>
                <w:sz w:val="20"/>
                <w:szCs w:val="20"/>
                <w:color w:val="auto"/>
              </w:rPr>
              <w:t>Burdensome Agreements</w:t>
            </w:r>
          </w:p>
        </w:tc>
        <w:tc>
          <w:tcPr>
            <w:tcW w:w="1880" w:type="dxa"/>
            <w:vAlign w:val="bottom"/>
          </w:tcPr>
          <w:p>
            <w:pPr>
              <w:jc w:val="right"/>
              <w:spacing w:after="0"/>
              <w:rPr>
                <w:sz w:val="20"/>
                <w:szCs w:val="20"/>
                <w:color w:val="auto"/>
              </w:rPr>
            </w:pPr>
            <w:r>
              <w:rPr>
                <w:rFonts w:ascii="Arial" w:cs="Arial" w:eastAsia="Arial" w:hAnsi="Arial"/>
                <w:sz w:val="20"/>
                <w:szCs w:val="20"/>
                <w:color w:val="auto"/>
              </w:rPr>
              <w:t>118</w:t>
            </w:r>
          </w:p>
        </w:tc>
      </w:tr>
      <w:tr>
        <w:trPr>
          <w:trHeight w:val="275"/>
        </w:trPr>
        <w:tc>
          <w:tcPr>
            <w:tcW w:w="600" w:type="dxa"/>
            <w:vAlign w:val="bottom"/>
          </w:tcPr>
          <w:p>
            <w:pPr>
              <w:jc w:val="right"/>
              <w:ind w:right="60"/>
              <w:spacing w:after="0"/>
              <w:rPr>
                <w:sz w:val="20"/>
                <w:szCs w:val="20"/>
                <w:color w:val="auto"/>
              </w:rPr>
            </w:pPr>
            <w:r>
              <w:rPr>
                <w:rFonts w:ascii="Arial" w:cs="Arial" w:eastAsia="Arial" w:hAnsi="Arial"/>
                <w:sz w:val="20"/>
                <w:szCs w:val="20"/>
                <w:color w:val="auto"/>
                <w:w w:val="94"/>
              </w:rPr>
              <w:t>7.10.</w:t>
            </w:r>
          </w:p>
        </w:tc>
        <w:tc>
          <w:tcPr>
            <w:tcW w:w="8060" w:type="dxa"/>
            <w:vAlign w:val="bottom"/>
          </w:tcPr>
          <w:p>
            <w:pPr>
              <w:ind w:left="300"/>
              <w:spacing w:after="0"/>
              <w:rPr>
                <w:sz w:val="20"/>
                <w:szCs w:val="20"/>
                <w:color w:val="auto"/>
              </w:rPr>
            </w:pPr>
            <w:r>
              <w:rPr>
                <w:rFonts w:ascii="Arial" w:cs="Arial" w:eastAsia="Arial" w:hAnsi="Arial"/>
                <w:sz w:val="20"/>
                <w:szCs w:val="20"/>
                <w:color w:val="auto"/>
              </w:rPr>
              <w:t>Use of Proceeds</w:t>
            </w:r>
          </w:p>
        </w:tc>
        <w:tc>
          <w:tcPr>
            <w:tcW w:w="1880" w:type="dxa"/>
            <w:vAlign w:val="bottom"/>
          </w:tcPr>
          <w:p>
            <w:pPr>
              <w:jc w:val="right"/>
              <w:spacing w:after="0"/>
              <w:rPr>
                <w:sz w:val="20"/>
                <w:szCs w:val="20"/>
                <w:color w:val="auto"/>
              </w:rPr>
            </w:pPr>
            <w:r>
              <w:rPr>
                <w:rFonts w:ascii="Arial" w:cs="Arial" w:eastAsia="Arial" w:hAnsi="Arial"/>
                <w:sz w:val="20"/>
                <w:szCs w:val="20"/>
                <w:color w:val="auto"/>
              </w:rPr>
              <w:t>118</w:t>
            </w:r>
          </w:p>
        </w:tc>
      </w:tr>
      <w:tr>
        <w:trPr>
          <w:trHeight w:val="275"/>
        </w:trPr>
        <w:tc>
          <w:tcPr>
            <w:tcW w:w="600" w:type="dxa"/>
            <w:vAlign w:val="bottom"/>
          </w:tcPr>
          <w:p>
            <w:pPr>
              <w:jc w:val="right"/>
              <w:ind w:right="80"/>
              <w:spacing w:after="0"/>
              <w:rPr>
                <w:sz w:val="20"/>
                <w:szCs w:val="20"/>
                <w:color w:val="auto"/>
              </w:rPr>
            </w:pPr>
            <w:r>
              <w:rPr>
                <w:rFonts w:ascii="Arial" w:cs="Arial" w:eastAsia="Arial" w:hAnsi="Arial"/>
                <w:sz w:val="20"/>
                <w:szCs w:val="20"/>
                <w:color w:val="auto"/>
                <w:w w:val="89"/>
              </w:rPr>
              <w:t>7.11.</w:t>
            </w:r>
          </w:p>
        </w:tc>
        <w:tc>
          <w:tcPr>
            <w:tcW w:w="8060" w:type="dxa"/>
            <w:vAlign w:val="bottom"/>
          </w:tcPr>
          <w:p>
            <w:pPr>
              <w:ind w:left="300"/>
              <w:spacing w:after="0"/>
              <w:rPr>
                <w:sz w:val="20"/>
                <w:szCs w:val="20"/>
                <w:color w:val="auto"/>
              </w:rPr>
            </w:pPr>
            <w:r>
              <w:rPr>
                <w:rFonts w:ascii="Arial" w:cs="Arial" w:eastAsia="Arial" w:hAnsi="Arial"/>
                <w:sz w:val="20"/>
                <w:szCs w:val="20"/>
                <w:color w:val="auto"/>
              </w:rPr>
              <w:t>Financial Covenants</w:t>
            </w:r>
          </w:p>
        </w:tc>
        <w:tc>
          <w:tcPr>
            <w:tcW w:w="1880" w:type="dxa"/>
            <w:vAlign w:val="bottom"/>
          </w:tcPr>
          <w:p>
            <w:pPr>
              <w:jc w:val="right"/>
              <w:spacing w:after="0"/>
              <w:rPr>
                <w:sz w:val="20"/>
                <w:szCs w:val="20"/>
                <w:color w:val="auto"/>
              </w:rPr>
            </w:pPr>
            <w:r>
              <w:rPr>
                <w:rFonts w:ascii="Arial" w:cs="Arial" w:eastAsia="Arial" w:hAnsi="Arial"/>
                <w:sz w:val="20"/>
                <w:szCs w:val="20"/>
                <w:color w:val="auto"/>
              </w:rPr>
              <w:t>118</w:t>
            </w:r>
          </w:p>
        </w:tc>
      </w:tr>
      <w:tr>
        <w:trPr>
          <w:trHeight w:val="275"/>
        </w:trPr>
        <w:tc>
          <w:tcPr>
            <w:tcW w:w="600" w:type="dxa"/>
            <w:vAlign w:val="bottom"/>
          </w:tcPr>
          <w:p>
            <w:pPr>
              <w:jc w:val="right"/>
              <w:ind w:right="60"/>
              <w:spacing w:after="0"/>
              <w:rPr>
                <w:sz w:val="20"/>
                <w:szCs w:val="20"/>
                <w:color w:val="auto"/>
              </w:rPr>
            </w:pPr>
            <w:r>
              <w:rPr>
                <w:rFonts w:ascii="Arial" w:cs="Arial" w:eastAsia="Arial" w:hAnsi="Arial"/>
                <w:sz w:val="20"/>
                <w:szCs w:val="20"/>
                <w:color w:val="auto"/>
                <w:w w:val="94"/>
              </w:rPr>
              <w:t>7.12.</w:t>
            </w:r>
          </w:p>
        </w:tc>
        <w:tc>
          <w:tcPr>
            <w:tcW w:w="8060" w:type="dxa"/>
            <w:vAlign w:val="bottom"/>
          </w:tcPr>
          <w:p>
            <w:pPr>
              <w:ind w:left="300"/>
              <w:spacing w:after="0"/>
              <w:rPr>
                <w:sz w:val="20"/>
                <w:szCs w:val="20"/>
                <w:color w:val="auto"/>
              </w:rPr>
            </w:pPr>
            <w:r>
              <w:rPr>
                <w:rFonts w:ascii="Arial" w:cs="Arial" w:eastAsia="Arial" w:hAnsi="Arial"/>
                <w:sz w:val="20"/>
                <w:szCs w:val="20"/>
                <w:color w:val="auto"/>
              </w:rPr>
              <w:t>Accounting Changes</w:t>
            </w:r>
          </w:p>
        </w:tc>
        <w:tc>
          <w:tcPr>
            <w:tcW w:w="1880" w:type="dxa"/>
            <w:vAlign w:val="bottom"/>
          </w:tcPr>
          <w:p>
            <w:pPr>
              <w:jc w:val="right"/>
              <w:spacing w:after="0"/>
              <w:rPr>
                <w:sz w:val="20"/>
                <w:szCs w:val="20"/>
                <w:color w:val="auto"/>
              </w:rPr>
            </w:pPr>
            <w:r>
              <w:rPr>
                <w:rFonts w:ascii="Arial" w:cs="Arial" w:eastAsia="Arial" w:hAnsi="Arial"/>
                <w:sz w:val="20"/>
                <w:szCs w:val="20"/>
                <w:color w:val="auto"/>
              </w:rPr>
              <w:t>119</w:t>
            </w:r>
          </w:p>
        </w:tc>
      </w:tr>
      <w:tr>
        <w:trPr>
          <w:trHeight w:val="275"/>
        </w:trPr>
        <w:tc>
          <w:tcPr>
            <w:tcW w:w="600" w:type="dxa"/>
            <w:vAlign w:val="bottom"/>
          </w:tcPr>
          <w:p>
            <w:pPr>
              <w:jc w:val="right"/>
              <w:ind w:right="60"/>
              <w:spacing w:after="0"/>
              <w:rPr>
                <w:sz w:val="20"/>
                <w:szCs w:val="20"/>
                <w:color w:val="auto"/>
              </w:rPr>
            </w:pPr>
            <w:r>
              <w:rPr>
                <w:rFonts w:ascii="Arial" w:cs="Arial" w:eastAsia="Arial" w:hAnsi="Arial"/>
                <w:sz w:val="20"/>
                <w:szCs w:val="20"/>
                <w:color w:val="auto"/>
                <w:w w:val="94"/>
              </w:rPr>
              <w:t>7.13.</w:t>
            </w:r>
          </w:p>
        </w:tc>
        <w:tc>
          <w:tcPr>
            <w:tcW w:w="8060" w:type="dxa"/>
            <w:vAlign w:val="bottom"/>
          </w:tcPr>
          <w:p>
            <w:pPr>
              <w:ind w:left="300"/>
              <w:spacing w:after="0"/>
              <w:rPr>
                <w:sz w:val="20"/>
                <w:szCs w:val="20"/>
                <w:color w:val="auto"/>
              </w:rPr>
            </w:pPr>
            <w:r>
              <w:rPr>
                <w:rFonts w:ascii="Arial" w:cs="Arial" w:eastAsia="Arial" w:hAnsi="Arial"/>
                <w:sz w:val="20"/>
                <w:szCs w:val="20"/>
                <w:color w:val="auto"/>
              </w:rPr>
              <w:t>Amendment, Waivers and Terminations of Certain Agreements</w:t>
            </w:r>
          </w:p>
        </w:tc>
        <w:tc>
          <w:tcPr>
            <w:tcW w:w="1880" w:type="dxa"/>
            <w:vAlign w:val="bottom"/>
          </w:tcPr>
          <w:p>
            <w:pPr>
              <w:jc w:val="right"/>
              <w:spacing w:after="0"/>
              <w:rPr>
                <w:sz w:val="20"/>
                <w:szCs w:val="20"/>
                <w:color w:val="auto"/>
              </w:rPr>
            </w:pPr>
            <w:r>
              <w:rPr>
                <w:rFonts w:ascii="Arial" w:cs="Arial" w:eastAsia="Arial" w:hAnsi="Arial"/>
                <w:sz w:val="20"/>
                <w:szCs w:val="20"/>
                <w:color w:val="auto"/>
              </w:rPr>
              <w:t>119</w:t>
            </w:r>
          </w:p>
        </w:tc>
      </w:tr>
      <w:tr>
        <w:trPr>
          <w:trHeight w:val="275"/>
        </w:trPr>
        <w:tc>
          <w:tcPr>
            <w:tcW w:w="600" w:type="dxa"/>
            <w:vAlign w:val="bottom"/>
          </w:tcPr>
          <w:p>
            <w:pPr>
              <w:jc w:val="right"/>
              <w:ind w:right="60"/>
              <w:spacing w:after="0"/>
              <w:rPr>
                <w:sz w:val="20"/>
                <w:szCs w:val="20"/>
                <w:color w:val="auto"/>
              </w:rPr>
            </w:pPr>
            <w:r>
              <w:rPr>
                <w:rFonts w:ascii="Arial" w:cs="Arial" w:eastAsia="Arial" w:hAnsi="Arial"/>
                <w:sz w:val="20"/>
                <w:szCs w:val="20"/>
                <w:color w:val="auto"/>
                <w:w w:val="94"/>
              </w:rPr>
              <w:t>7.14.</w:t>
            </w:r>
          </w:p>
        </w:tc>
        <w:tc>
          <w:tcPr>
            <w:tcW w:w="8060" w:type="dxa"/>
            <w:vAlign w:val="bottom"/>
          </w:tcPr>
          <w:p>
            <w:pPr>
              <w:ind w:left="300"/>
              <w:spacing w:after="0"/>
              <w:rPr>
                <w:sz w:val="20"/>
                <w:szCs w:val="20"/>
                <w:color w:val="auto"/>
              </w:rPr>
            </w:pPr>
            <w:r>
              <w:rPr>
                <w:rFonts w:ascii="Arial" w:cs="Arial" w:eastAsia="Arial" w:hAnsi="Arial"/>
                <w:sz w:val="20"/>
                <w:szCs w:val="20"/>
                <w:color w:val="auto"/>
              </w:rPr>
              <w:t>Tax Sharing and Indemnification Agreements</w:t>
            </w:r>
          </w:p>
        </w:tc>
        <w:tc>
          <w:tcPr>
            <w:tcW w:w="1880" w:type="dxa"/>
            <w:vAlign w:val="bottom"/>
          </w:tcPr>
          <w:p>
            <w:pPr>
              <w:jc w:val="right"/>
              <w:spacing w:after="0"/>
              <w:rPr>
                <w:sz w:val="20"/>
                <w:szCs w:val="20"/>
                <w:color w:val="auto"/>
              </w:rPr>
            </w:pPr>
            <w:r>
              <w:rPr>
                <w:rFonts w:ascii="Arial" w:cs="Arial" w:eastAsia="Arial" w:hAnsi="Arial"/>
                <w:sz w:val="20"/>
                <w:szCs w:val="20"/>
                <w:color w:val="auto"/>
              </w:rPr>
              <w:t>119</w:t>
            </w:r>
          </w:p>
        </w:tc>
      </w:tr>
      <w:tr>
        <w:trPr>
          <w:trHeight w:val="275"/>
        </w:trPr>
        <w:tc>
          <w:tcPr>
            <w:tcW w:w="600" w:type="dxa"/>
            <w:vAlign w:val="bottom"/>
          </w:tcPr>
          <w:p>
            <w:pPr>
              <w:jc w:val="right"/>
              <w:ind w:right="60"/>
              <w:spacing w:after="0"/>
              <w:rPr>
                <w:sz w:val="20"/>
                <w:szCs w:val="20"/>
                <w:color w:val="auto"/>
              </w:rPr>
            </w:pPr>
            <w:r>
              <w:rPr>
                <w:rFonts w:ascii="Arial" w:cs="Arial" w:eastAsia="Arial" w:hAnsi="Arial"/>
                <w:sz w:val="20"/>
                <w:szCs w:val="20"/>
                <w:color w:val="auto"/>
                <w:w w:val="94"/>
              </w:rPr>
              <w:t>7.15.</w:t>
            </w:r>
          </w:p>
        </w:tc>
        <w:tc>
          <w:tcPr>
            <w:tcW w:w="8060" w:type="dxa"/>
            <w:vAlign w:val="bottom"/>
          </w:tcPr>
          <w:p>
            <w:pPr>
              <w:ind w:left="300"/>
              <w:spacing w:after="0"/>
              <w:rPr>
                <w:sz w:val="20"/>
                <w:szCs w:val="20"/>
                <w:color w:val="auto"/>
              </w:rPr>
            </w:pPr>
            <w:r>
              <w:rPr>
                <w:rFonts w:ascii="Arial" w:cs="Arial" w:eastAsia="Arial" w:hAnsi="Arial"/>
                <w:sz w:val="20"/>
                <w:szCs w:val="20"/>
                <w:color w:val="auto"/>
              </w:rPr>
              <w:t>Sanctions</w:t>
            </w:r>
          </w:p>
        </w:tc>
        <w:tc>
          <w:tcPr>
            <w:tcW w:w="1880" w:type="dxa"/>
            <w:vAlign w:val="bottom"/>
          </w:tcPr>
          <w:p>
            <w:pPr>
              <w:jc w:val="right"/>
              <w:spacing w:after="0"/>
              <w:rPr>
                <w:sz w:val="20"/>
                <w:szCs w:val="20"/>
                <w:color w:val="auto"/>
              </w:rPr>
            </w:pPr>
            <w:r>
              <w:rPr>
                <w:rFonts w:ascii="Arial" w:cs="Arial" w:eastAsia="Arial" w:hAnsi="Arial"/>
                <w:sz w:val="20"/>
                <w:szCs w:val="20"/>
                <w:color w:val="auto"/>
              </w:rPr>
              <w:t>119</w:t>
            </w:r>
          </w:p>
        </w:tc>
      </w:tr>
      <w:tr>
        <w:trPr>
          <w:trHeight w:val="624"/>
        </w:trPr>
        <w:tc>
          <w:tcPr>
            <w:tcW w:w="600" w:type="dxa"/>
            <w:vAlign w:val="bottom"/>
          </w:tcPr>
          <w:p>
            <w:pPr>
              <w:spacing w:after="0"/>
              <w:rPr>
                <w:sz w:val="24"/>
                <w:szCs w:val="24"/>
                <w:color w:val="auto"/>
              </w:rPr>
            </w:pPr>
          </w:p>
        </w:tc>
        <w:tc>
          <w:tcPr>
            <w:tcW w:w="8060" w:type="dxa"/>
            <w:vAlign w:val="bottom"/>
          </w:tcPr>
          <w:p>
            <w:pPr>
              <w:jc w:val="center"/>
              <w:ind w:left="1260"/>
              <w:spacing w:after="0"/>
              <w:rPr>
                <w:sz w:val="20"/>
                <w:szCs w:val="20"/>
                <w:color w:val="auto"/>
              </w:rPr>
            </w:pPr>
            <w:r>
              <w:rPr>
                <w:rFonts w:ascii="Arial" w:cs="Arial" w:eastAsia="Arial" w:hAnsi="Arial"/>
                <w:sz w:val="20"/>
                <w:szCs w:val="20"/>
                <w:color w:val="auto"/>
              </w:rPr>
              <w:t>ARTICLE VIII</w:t>
            </w:r>
          </w:p>
        </w:tc>
        <w:tc>
          <w:tcPr>
            <w:tcW w:w="1880" w:type="dxa"/>
            <w:vAlign w:val="bottom"/>
          </w:tcPr>
          <w:p>
            <w:pPr>
              <w:spacing w:after="0"/>
              <w:rPr>
                <w:sz w:val="24"/>
                <w:szCs w:val="24"/>
                <w:color w:val="auto"/>
              </w:rPr>
            </w:pPr>
          </w:p>
        </w:tc>
      </w:tr>
      <w:tr>
        <w:trPr>
          <w:trHeight w:val="275"/>
        </w:trPr>
        <w:tc>
          <w:tcPr>
            <w:tcW w:w="600" w:type="dxa"/>
            <w:vAlign w:val="bottom"/>
          </w:tcPr>
          <w:p>
            <w:pPr>
              <w:spacing w:after="0"/>
              <w:rPr>
                <w:sz w:val="23"/>
                <w:szCs w:val="23"/>
                <w:color w:val="auto"/>
              </w:rPr>
            </w:pPr>
          </w:p>
        </w:tc>
        <w:tc>
          <w:tcPr>
            <w:tcW w:w="8060" w:type="dxa"/>
            <w:vAlign w:val="bottom"/>
          </w:tcPr>
          <w:p>
            <w:pPr>
              <w:jc w:val="center"/>
              <w:ind w:left="1260"/>
              <w:spacing w:after="0"/>
              <w:rPr>
                <w:sz w:val="20"/>
                <w:szCs w:val="20"/>
                <w:color w:val="auto"/>
              </w:rPr>
            </w:pPr>
            <w:r>
              <w:rPr>
                <w:rFonts w:ascii="Arial" w:cs="Arial" w:eastAsia="Arial" w:hAnsi="Arial"/>
                <w:sz w:val="20"/>
                <w:szCs w:val="20"/>
                <w:color w:val="auto"/>
                <w:w w:val="96"/>
              </w:rPr>
              <w:t>EVENTS OF DEFAULT AND REMEDIES</w:t>
            </w:r>
          </w:p>
        </w:tc>
        <w:tc>
          <w:tcPr>
            <w:tcW w:w="1880" w:type="dxa"/>
            <w:vAlign w:val="bottom"/>
          </w:tcPr>
          <w:p>
            <w:pPr>
              <w:spacing w:after="0"/>
              <w:rPr>
                <w:sz w:val="23"/>
                <w:szCs w:val="23"/>
                <w:color w:val="auto"/>
              </w:rPr>
            </w:pPr>
          </w:p>
        </w:tc>
      </w:tr>
      <w:tr>
        <w:trPr>
          <w:trHeight w:val="1074"/>
        </w:trPr>
        <w:tc>
          <w:tcPr>
            <w:tcW w:w="600" w:type="dxa"/>
            <w:vAlign w:val="bottom"/>
          </w:tcPr>
          <w:p>
            <w:pPr>
              <w:jc w:val="right"/>
              <w:ind w:right="100"/>
              <w:spacing w:after="0"/>
              <w:rPr>
                <w:sz w:val="20"/>
                <w:szCs w:val="20"/>
                <w:color w:val="auto"/>
              </w:rPr>
            </w:pPr>
            <w:r>
              <w:rPr>
                <w:rFonts w:ascii="Arial" w:cs="Arial" w:eastAsia="Arial" w:hAnsi="Arial"/>
                <w:sz w:val="20"/>
                <w:szCs w:val="20"/>
                <w:color w:val="auto"/>
                <w:w w:val="85"/>
              </w:rPr>
              <w:t>8.01.</w:t>
            </w:r>
          </w:p>
        </w:tc>
        <w:tc>
          <w:tcPr>
            <w:tcW w:w="8060" w:type="dxa"/>
            <w:vAlign w:val="bottom"/>
          </w:tcPr>
          <w:p>
            <w:pPr>
              <w:ind w:left="160"/>
              <w:spacing w:after="0"/>
              <w:rPr>
                <w:sz w:val="20"/>
                <w:szCs w:val="20"/>
                <w:color w:val="auto"/>
              </w:rPr>
            </w:pPr>
            <w:r>
              <w:rPr>
                <w:rFonts w:ascii="Arial" w:cs="Arial" w:eastAsia="Arial" w:hAnsi="Arial"/>
                <w:sz w:val="20"/>
                <w:szCs w:val="20"/>
                <w:color w:val="auto"/>
              </w:rPr>
              <w:t>Events of Default</w:t>
            </w:r>
          </w:p>
        </w:tc>
        <w:tc>
          <w:tcPr>
            <w:tcW w:w="188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275"/>
        </w:trPr>
        <w:tc>
          <w:tcPr>
            <w:tcW w:w="600" w:type="dxa"/>
            <w:vAlign w:val="bottom"/>
          </w:tcPr>
          <w:p>
            <w:pPr>
              <w:jc w:val="right"/>
              <w:ind w:right="100"/>
              <w:spacing w:after="0"/>
              <w:rPr>
                <w:sz w:val="20"/>
                <w:szCs w:val="20"/>
                <w:color w:val="auto"/>
              </w:rPr>
            </w:pPr>
            <w:r>
              <w:rPr>
                <w:rFonts w:ascii="Arial" w:cs="Arial" w:eastAsia="Arial" w:hAnsi="Arial"/>
                <w:sz w:val="20"/>
                <w:szCs w:val="20"/>
                <w:color w:val="auto"/>
                <w:w w:val="85"/>
              </w:rPr>
              <w:t>8.02.</w:t>
            </w:r>
          </w:p>
        </w:tc>
        <w:tc>
          <w:tcPr>
            <w:tcW w:w="8060" w:type="dxa"/>
            <w:vAlign w:val="bottom"/>
          </w:tcPr>
          <w:p>
            <w:pPr>
              <w:ind w:left="160"/>
              <w:spacing w:after="0"/>
              <w:rPr>
                <w:sz w:val="20"/>
                <w:szCs w:val="20"/>
                <w:color w:val="auto"/>
              </w:rPr>
            </w:pPr>
            <w:r>
              <w:rPr>
                <w:rFonts w:ascii="Arial" w:cs="Arial" w:eastAsia="Arial" w:hAnsi="Arial"/>
                <w:sz w:val="20"/>
                <w:szCs w:val="20"/>
                <w:color w:val="auto"/>
              </w:rPr>
              <w:t>Remedies upon Event of Default</w:t>
            </w:r>
          </w:p>
        </w:tc>
        <w:tc>
          <w:tcPr>
            <w:tcW w:w="1880" w:type="dxa"/>
            <w:vAlign w:val="bottom"/>
          </w:tcPr>
          <w:p>
            <w:pPr>
              <w:jc w:val="right"/>
              <w:spacing w:after="0"/>
              <w:rPr>
                <w:sz w:val="20"/>
                <w:szCs w:val="20"/>
                <w:color w:val="auto"/>
              </w:rPr>
            </w:pPr>
            <w:r>
              <w:rPr>
                <w:rFonts w:ascii="Arial" w:cs="Arial" w:eastAsia="Arial" w:hAnsi="Arial"/>
                <w:sz w:val="20"/>
                <w:szCs w:val="20"/>
                <w:color w:val="auto"/>
              </w:rPr>
              <w:t>122</w:t>
            </w:r>
          </w:p>
        </w:tc>
      </w:tr>
      <w:tr>
        <w:trPr>
          <w:trHeight w:val="275"/>
        </w:trPr>
        <w:tc>
          <w:tcPr>
            <w:tcW w:w="600" w:type="dxa"/>
            <w:vAlign w:val="bottom"/>
          </w:tcPr>
          <w:p>
            <w:pPr>
              <w:jc w:val="right"/>
              <w:ind w:right="100"/>
              <w:spacing w:after="0"/>
              <w:rPr>
                <w:sz w:val="20"/>
                <w:szCs w:val="20"/>
                <w:color w:val="auto"/>
              </w:rPr>
            </w:pPr>
            <w:r>
              <w:rPr>
                <w:rFonts w:ascii="Arial" w:cs="Arial" w:eastAsia="Arial" w:hAnsi="Arial"/>
                <w:sz w:val="20"/>
                <w:szCs w:val="20"/>
                <w:color w:val="auto"/>
                <w:w w:val="85"/>
              </w:rPr>
              <w:t>8.03.</w:t>
            </w:r>
          </w:p>
        </w:tc>
        <w:tc>
          <w:tcPr>
            <w:tcW w:w="8060" w:type="dxa"/>
            <w:vAlign w:val="bottom"/>
          </w:tcPr>
          <w:p>
            <w:pPr>
              <w:ind w:left="160"/>
              <w:spacing w:after="0"/>
              <w:rPr>
                <w:sz w:val="20"/>
                <w:szCs w:val="20"/>
                <w:color w:val="auto"/>
              </w:rPr>
            </w:pPr>
            <w:r>
              <w:rPr>
                <w:rFonts w:ascii="Arial" w:cs="Arial" w:eastAsia="Arial" w:hAnsi="Arial"/>
                <w:sz w:val="20"/>
                <w:szCs w:val="20"/>
                <w:color w:val="auto"/>
              </w:rPr>
              <w:t>Application of Funds</w:t>
            </w:r>
          </w:p>
        </w:tc>
        <w:tc>
          <w:tcPr>
            <w:tcW w:w="1880" w:type="dxa"/>
            <w:vAlign w:val="bottom"/>
          </w:tcPr>
          <w:p>
            <w:pPr>
              <w:jc w:val="right"/>
              <w:spacing w:after="0"/>
              <w:rPr>
                <w:sz w:val="20"/>
                <w:szCs w:val="20"/>
                <w:color w:val="auto"/>
              </w:rPr>
            </w:pPr>
            <w:r>
              <w:rPr>
                <w:rFonts w:ascii="Arial" w:cs="Arial" w:eastAsia="Arial" w:hAnsi="Arial"/>
                <w:sz w:val="20"/>
                <w:szCs w:val="20"/>
                <w:color w:val="auto"/>
              </w:rPr>
              <w:t>122</w:t>
            </w:r>
          </w:p>
        </w:tc>
      </w:tr>
    </w:tbl>
    <w:p>
      <w:pPr>
        <w:spacing w:after="0" w:line="200" w:lineRule="exact"/>
        <w:rPr>
          <w:sz w:val="20"/>
          <w:szCs w:val="20"/>
          <w:color w:val="auto"/>
        </w:rPr>
      </w:pPr>
    </w:p>
    <w:p>
      <w:pPr>
        <w:sectPr>
          <w:pgSz w:w="11900" w:h="16838" w:orient="portrait"/>
          <w:cols w:equalWidth="0" w:num="1">
            <w:col w:w="10540"/>
          </w:cols>
          <w:pgMar w:left="640" w:top="920" w:right="719" w:bottom="1440" w:gutter="0" w:footer="0" w:header="0"/>
        </w:sectPr>
      </w:pP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540"/>
          </w:cols>
          <w:pgMar w:left="640" w:top="920" w:right="71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54"/>
        </w:trPr>
        <w:tc>
          <w:tcPr>
            <w:tcW w:w="660" w:type="dxa"/>
            <w:vAlign w:val="bottom"/>
          </w:tcPr>
          <w:p>
            <w:pPr>
              <w:spacing w:after="0"/>
              <w:rPr>
                <w:sz w:val="22"/>
                <w:szCs w:val="22"/>
                <w:color w:val="auto"/>
              </w:rPr>
            </w:pPr>
          </w:p>
        </w:tc>
        <w:tc>
          <w:tcPr>
            <w:tcW w:w="7760" w:type="dxa"/>
            <w:vAlign w:val="bottom"/>
          </w:tcPr>
          <w:p>
            <w:pPr>
              <w:jc w:val="center"/>
              <w:ind w:left="1480"/>
              <w:spacing w:after="0"/>
              <w:rPr>
                <w:sz w:val="20"/>
                <w:szCs w:val="20"/>
                <w:color w:val="auto"/>
              </w:rPr>
            </w:pPr>
            <w:r>
              <w:rPr>
                <w:rFonts w:ascii="Arial" w:cs="Arial" w:eastAsia="Arial" w:hAnsi="Arial"/>
                <w:sz w:val="20"/>
                <w:szCs w:val="20"/>
                <w:color w:val="auto"/>
              </w:rPr>
              <w:t>ARTICLE IX</w:t>
            </w:r>
          </w:p>
        </w:tc>
        <w:tc>
          <w:tcPr>
            <w:tcW w:w="2180" w:type="dxa"/>
            <w:vAlign w:val="bottom"/>
          </w:tcPr>
          <w:p>
            <w:pPr>
              <w:spacing w:after="0"/>
              <w:rPr>
                <w:sz w:val="22"/>
                <w:szCs w:val="22"/>
                <w:color w:val="auto"/>
              </w:rPr>
            </w:pPr>
          </w:p>
        </w:tc>
      </w:tr>
      <w:tr>
        <w:trPr>
          <w:trHeight w:val="275"/>
        </w:trPr>
        <w:tc>
          <w:tcPr>
            <w:tcW w:w="660" w:type="dxa"/>
            <w:vAlign w:val="bottom"/>
          </w:tcPr>
          <w:p>
            <w:pPr>
              <w:spacing w:after="0"/>
              <w:rPr>
                <w:sz w:val="23"/>
                <w:szCs w:val="23"/>
                <w:color w:val="auto"/>
              </w:rPr>
            </w:pPr>
          </w:p>
        </w:tc>
        <w:tc>
          <w:tcPr>
            <w:tcW w:w="7760" w:type="dxa"/>
            <w:vAlign w:val="bottom"/>
          </w:tcPr>
          <w:p>
            <w:pPr>
              <w:jc w:val="center"/>
              <w:ind w:left="1480"/>
              <w:spacing w:after="0"/>
              <w:rPr>
                <w:sz w:val="20"/>
                <w:szCs w:val="20"/>
                <w:color w:val="auto"/>
              </w:rPr>
            </w:pPr>
            <w:r>
              <w:rPr>
                <w:rFonts w:ascii="Arial" w:cs="Arial" w:eastAsia="Arial" w:hAnsi="Arial"/>
                <w:sz w:val="20"/>
                <w:szCs w:val="20"/>
                <w:color w:val="auto"/>
                <w:w w:val="99"/>
              </w:rPr>
              <w:t>ADMINISTRATIVE AGENT</w:t>
            </w:r>
          </w:p>
        </w:tc>
        <w:tc>
          <w:tcPr>
            <w:tcW w:w="2180" w:type="dxa"/>
            <w:vAlign w:val="bottom"/>
          </w:tcPr>
          <w:p>
            <w:pPr>
              <w:spacing w:after="0"/>
              <w:rPr>
                <w:sz w:val="23"/>
                <w:szCs w:val="23"/>
                <w:color w:val="auto"/>
              </w:rPr>
            </w:pPr>
          </w:p>
        </w:tc>
      </w:tr>
      <w:tr>
        <w:trPr>
          <w:trHeight w:val="400"/>
        </w:trPr>
        <w:tc>
          <w:tcPr>
            <w:tcW w:w="660" w:type="dxa"/>
            <w:vAlign w:val="bottom"/>
          </w:tcPr>
          <w:p>
            <w:pPr>
              <w:ind w:left="60"/>
              <w:spacing w:after="0"/>
              <w:rPr>
                <w:sz w:val="20"/>
                <w:szCs w:val="20"/>
                <w:color w:val="auto"/>
              </w:rPr>
            </w:pPr>
            <w:r>
              <w:rPr>
                <w:rFonts w:ascii="Arial" w:cs="Arial" w:eastAsia="Arial" w:hAnsi="Arial"/>
                <w:sz w:val="20"/>
                <w:szCs w:val="20"/>
                <w:color w:val="auto"/>
              </w:rPr>
              <w:t>9.01.</w:t>
            </w:r>
          </w:p>
        </w:tc>
        <w:tc>
          <w:tcPr>
            <w:tcW w:w="7760" w:type="dxa"/>
            <w:vAlign w:val="bottom"/>
          </w:tcPr>
          <w:p>
            <w:pPr>
              <w:ind w:left="160"/>
              <w:spacing w:after="0"/>
              <w:rPr>
                <w:sz w:val="20"/>
                <w:szCs w:val="20"/>
                <w:color w:val="auto"/>
              </w:rPr>
            </w:pPr>
            <w:r>
              <w:rPr>
                <w:rFonts w:ascii="Arial" w:cs="Arial" w:eastAsia="Arial" w:hAnsi="Arial"/>
                <w:sz w:val="20"/>
                <w:szCs w:val="20"/>
                <w:color w:val="auto"/>
              </w:rPr>
              <w:t>Appointment and Authority</w:t>
            </w:r>
          </w:p>
        </w:tc>
        <w:tc>
          <w:tcPr>
            <w:tcW w:w="2180" w:type="dxa"/>
            <w:vAlign w:val="bottom"/>
          </w:tcPr>
          <w:p>
            <w:pPr>
              <w:jc w:val="right"/>
              <w:spacing w:after="0"/>
              <w:rPr>
                <w:sz w:val="20"/>
                <w:szCs w:val="20"/>
                <w:color w:val="auto"/>
              </w:rPr>
            </w:pPr>
            <w:r>
              <w:rPr>
                <w:rFonts w:ascii="Arial" w:cs="Arial" w:eastAsia="Arial" w:hAnsi="Arial"/>
                <w:sz w:val="20"/>
                <w:szCs w:val="20"/>
                <w:color w:val="auto"/>
              </w:rPr>
              <w:t>124</w:t>
            </w:r>
          </w:p>
        </w:tc>
      </w:tr>
      <w:tr>
        <w:trPr>
          <w:trHeight w:val="275"/>
        </w:trPr>
        <w:tc>
          <w:tcPr>
            <w:tcW w:w="660" w:type="dxa"/>
            <w:vAlign w:val="bottom"/>
          </w:tcPr>
          <w:p>
            <w:pPr>
              <w:ind w:left="60"/>
              <w:spacing w:after="0"/>
              <w:rPr>
                <w:sz w:val="20"/>
                <w:szCs w:val="20"/>
                <w:color w:val="auto"/>
              </w:rPr>
            </w:pPr>
            <w:r>
              <w:rPr>
                <w:rFonts w:ascii="Arial" w:cs="Arial" w:eastAsia="Arial" w:hAnsi="Arial"/>
                <w:sz w:val="20"/>
                <w:szCs w:val="20"/>
                <w:color w:val="auto"/>
              </w:rPr>
              <w:t>9.02.</w:t>
            </w:r>
          </w:p>
        </w:tc>
        <w:tc>
          <w:tcPr>
            <w:tcW w:w="7760" w:type="dxa"/>
            <w:vAlign w:val="bottom"/>
          </w:tcPr>
          <w:p>
            <w:pPr>
              <w:ind w:left="160"/>
              <w:spacing w:after="0"/>
              <w:rPr>
                <w:sz w:val="20"/>
                <w:szCs w:val="20"/>
                <w:color w:val="auto"/>
              </w:rPr>
            </w:pPr>
            <w:r>
              <w:rPr>
                <w:rFonts w:ascii="Arial" w:cs="Arial" w:eastAsia="Arial" w:hAnsi="Arial"/>
                <w:sz w:val="20"/>
                <w:szCs w:val="20"/>
                <w:color w:val="auto"/>
              </w:rPr>
              <w:t>Rights as a Lender</w:t>
            </w:r>
          </w:p>
        </w:tc>
        <w:tc>
          <w:tcPr>
            <w:tcW w:w="2180" w:type="dxa"/>
            <w:vAlign w:val="bottom"/>
          </w:tcPr>
          <w:p>
            <w:pPr>
              <w:jc w:val="right"/>
              <w:spacing w:after="0"/>
              <w:rPr>
                <w:sz w:val="20"/>
                <w:szCs w:val="20"/>
                <w:color w:val="auto"/>
              </w:rPr>
            </w:pPr>
            <w:r>
              <w:rPr>
                <w:rFonts w:ascii="Arial" w:cs="Arial" w:eastAsia="Arial" w:hAnsi="Arial"/>
                <w:sz w:val="20"/>
                <w:szCs w:val="20"/>
                <w:color w:val="auto"/>
              </w:rPr>
              <w:t>124</w:t>
            </w:r>
          </w:p>
        </w:tc>
      </w:tr>
      <w:tr>
        <w:trPr>
          <w:trHeight w:val="275"/>
        </w:trPr>
        <w:tc>
          <w:tcPr>
            <w:tcW w:w="660" w:type="dxa"/>
            <w:vAlign w:val="bottom"/>
          </w:tcPr>
          <w:p>
            <w:pPr>
              <w:ind w:left="60"/>
              <w:spacing w:after="0"/>
              <w:rPr>
                <w:sz w:val="20"/>
                <w:szCs w:val="20"/>
                <w:color w:val="auto"/>
              </w:rPr>
            </w:pPr>
            <w:r>
              <w:rPr>
                <w:rFonts w:ascii="Arial" w:cs="Arial" w:eastAsia="Arial" w:hAnsi="Arial"/>
                <w:sz w:val="20"/>
                <w:szCs w:val="20"/>
                <w:color w:val="auto"/>
              </w:rPr>
              <w:t>9.03.</w:t>
            </w:r>
          </w:p>
        </w:tc>
        <w:tc>
          <w:tcPr>
            <w:tcW w:w="7760" w:type="dxa"/>
            <w:vAlign w:val="bottom"/>
          </w:tcPr>
          <w:p>
            <w:pPr>
              <w:ind w:left="160"/>
              <w:spacing w:after="0"/>
              <w:rPr>
                <w:sz w:val="20"/>
                <w:szCs w:val="20"/>
                <w:color w:val="auto"/>
              </w:rPr>
            </w:pPr>
            <w:r>
              <w:rPr>
                <w:rFonts w:ascii="Arial" w:cs="Arial" w:eastAsia="Arial" w:hAnsi="Arial"/>
                <w:sz w:val="20"/>
                <w:szCs w:val="20"/>
                <w:color w:val="auto"/>
              </w:rPr>
              <w:t>Exculpatory Provisions</w:t>
            </w:r>
          </w:p>
        </w:tc>
        <w:tc>
          <w:tcPr>
            <w:tcW w:w="2180" w:type="dxa"/>
            <w:vAlign w:val="bottom"/>
          </w:tcPr>
          <w:p>
            <w:pPr>
              <w:jc w:val="right"/>
              <w:spacing w:after="0"/>
              <w:rPr>
                <w:sz w:val="20"/>
                <w:szCs w:val="20"/>
                <w:color w:val="auto"/>
              </w:rPr>
            </w:pPr>
            <w:r>
              <w:rPr>
                <w:rFonts w:ascii="Arial" w:cs="Arial" w:eastAsia="Arial" w:hAnsi="Arial"/>
                <w:sz w:val="20"/>
                <w:szCs w:val="20"/>
                <w:color w:val="auto"/>
              </w:rPr>
              <w:t>124</w:t>
            </w:r>
          </w:p>
        </w:tc>
      </w:tr>
      <w:tr>
        <w:trPr>
          <w:trHeight w:val="275"/>
        </w:trPr>
        <w:tc>
          <w:tcPr>
            <w:tcW w:w="660" w:type="dxa"/>
            <w:vAlign w:val="bottom"/>
          </w:tcPr>
          <w:p>
            <w:pPr>
              <w:ind w:left="60"/>
              <w:spacing w:after="0"/>
              <w:rPr>
                <w:sz w:val="20"/>
                <w:szCs w:val="20"/>
                <w:color w:val="auto"/>
              </w:rPr>
            </w:pPr>
            <w:r>
              <w:rPr>
                <w:rFonts w:ascii="Arial" w:cs="Arial" w:eastAsia="Arial" w:hAnsi="Arial"/>
                <w:sz w:val="20"/>
                <w:szCs w:val="20"/>
                <w:color w:val="auto"/>
              </w:rPr>
              <w:t>9.04.</w:t>
            </w:r>
          </w:p>
        </w:tc>
        <w:tc>
          <w:tcPr>
            <w:tcW w:w="7760" w:type="dxa"/>
            <w:vAlign w:val="bottom"/>
          </w:tcPr>
          <w:p>
            <w:pPr>
              <w:ind w:left="160"/>
              <w:spacing w:after="0"/>
              <w:rPr>
                <w:sz w:val="20"/>
                <w:szCs w:val="20"/>
                <w:color w:val="auto"/>
              </w:rPr>
            </w:pPr>
            <w:r>
              <w:rPr>
                <w:rFonts w:ascii="Arial" w:cs="Arial" w:eastAsia="Arial" w:hAnsi="Arial"/>
                <w:sz w:val="20"/>
                <w:szCs w:val="20"/>
                <w:color w:val="auto"/>
              </w:rPr>
              <w:t>Reliance by Administrative Agent</w:t>
            </w:r>
          </w:p>
        </w:tc>
        <w:tc>
          <w:tcPr>
            <w:tcW w:w="2180" w:type="dxa"/>
            <w:vAlign w:val="bottom"/>
          </w:tcPr>
          <w:p>
            <w:pPr>
              <w:jc w:val="right"/>
              <w:spacing w:after="0"/>
              <w:rPr>
                <w:sz w:val="20"/>
                <w:szCs w:val="20"/>
                <w:color w:val="auto"/>
              </w:rPr>
            </w:pPr>
            <w:r>
              <w:rPr>
                <w:rFonts w:ascii="Arial" w:cs="Arial" w:eastAsia="Arial" w:hAnsi="Arial"/>
                <w:sz w:val="20"/>
                <w:szCs w:val="20"/>
                <w:color w:val="auto"/>
              </w:rPr>
              <w:t>125</w:t>
            </w:r>
          </w:p>
        </w:tc>
      </w:tr>
      <w:tr>
        <w:trPr>
          <w:trHeight w:val="275"/>
        </w:trPr>
        <w:tc>
          <w:tcPr>
            <w:tcW w:w="660" w:type="dxa"/>
            <w:vAlign w:val="bottom"/>
          </w:tcPr>
          <w:p>
            <w:pPr>
              <w:ind w:left="60"/>
              <w:spacing w:after="0"/>
              <w:rPr>
                <w:sz w:val="20"/>
                <w:szCs w:val="20"/>
                <w:color w:val="auto"/>
              </w:rPr>
            </w:pPr>
            <w:r>
              <w:rPr>
                <w:rFonts w:ascii="Arial" w:cs="Arial" w:eastAsia="Arial" w:hAnsi="Arial"/>
                <w:sz w:val="20"/>
                <w:szCs w:val="20"/>
                <w:color w:val="auto"/>
              </w:rPr>
              <w:t>9.05.</w:t>
            </w:r>
          </w:p>
        </w:tc>
        <w:tc>
          <w:tcPr>
            <w:tcW w:w="7760" w:type="dxa"/>
            <w:vAlign w:val="bottom"/>
          </w:tcPr>
          <w:p>
            <w:pPr>
              <w:ind w:left="160"/>
              <w:spacing w:after="0"/>
              <w:rPr>
                <w:sz w:val="20"/>
                <w:szCs w:val="20"/>
                <w:color w:val="auto"/>
              </w:rPr>
            </w:pPr>
            <w:r>
              <w:rPr>
                <w:rFonts w:ascii="Arial" w:cs="Arial" w:eastAsia="Arial" w:hAnsi="Arial"/>
                <w:sz w:val="20"/>
                <w:szCs w:val="20"/>
                <w:color w:val="auto"/>
              </w:rPr>
              <w:t>Delegation of Duties</w:t>
            </w:r>
          </w:p>
        </w:tc>
        <w:tc>
          <w:tcPr>
            <w:tcW w:w="2180" w:type="dxa"/>
            <w:vAlign w:val="bottom"/>
          </w:tcPr>
          <w:p>
            <w:pPr>
              <w:jc w:val="right"/>
              <w:spacing w:after="0"/>
              <w:rPr>
                <w:sz w:val="20"/>
                <w:szCs w:val="20"/>
                <w:color w:val="auto"/>
              </w:rPr>
            </w:pPr>
            <w:r>
              <w:rPr>
                <w:rFonts w:ascii="Arial" w:cs="Arial" w:eastAsia="Arial" w:hAnsi="Arial"/>
                <w:sz w:val="20"/>
                <w:szCs w:val="20"/>
                <w:color w:val="auto"/>
              </w:rPr>
              <w:t>126</w:t>
            </w:r>
          </w:p>
        </w:tc>
      </w:tr>
      <w:tr>
        <w:trPr>
          <w:trHeight w:val="275"/>
        </w:trPr>
        <w:tc>
          <w:tcPr>
            <w:tcW w:w="660" w:type="dxa"/>
            <w:vAlign w:val="bottom"/>
          </w:tcPr>
          <w:p>
            <w:pPr>
              <w:ind w:left="60"/>
              <w:spacing w:after="0"/>
              <w:rPr>
                <w:sz w:val="20"/>
                <w:szCs w:val="20"/>
                <w:color w:val="auto"/>
              </w:rPr>
            </w:pPr>
            <w:r>
              <w:rPr>
                <w:rFonts w:ascii="Arial" w:cs="Arial" w:eastAsia="Arial" w:hAnsi="Arial"/>
                <w:sz w:val="20"/>
                <w:szCs w:val="20"/>
                <w:color w:val="auto"/>
              </w:rPr>
              <w:t>9.06.</w:t>
            </w:r>
          </w:p>
        </w:tc>
        <w:tc>
          <w:tcPr>
            <w:tcW w:w="7760" w:type="dxa"/>
            <w:vAlign w:val="bottom"/>
          </w:tcPr>
          <w:p>
            <w:pPr>
              <w:ind w:left="160"/>
              <w:spacing w:after="0"/>
              <w:rPr>
                <w:sz w:val="20"/>
                <w:szCs w:val="20"/>
                <w:color w:val="auto"/>
              </w:rPr>
            </w:pPr>
            <w:r>
              <w:rPr>
                <w:rFonts w:ascii="Arial" w:cs="Arial" w:eastAsia="Arial" w:hAnsi="Arial"/>
                <w:sz w:val="20"/>
                <w:szCs w:val="20"/>
                <w:color w:val="auto"/>
              </w:rPr>
              <w:t>Resignation of Administrative Agent</w:t>
            </w:r>
          </w:p>
        </w:tc>
        <w:tc>
          <w:tcPr>
            <w:tcW w:w="2180" w:type="dxa"/>
            <w:vAlign w:val="bottom"/>
          </w:tcPr>
          <w:p>
            <w:pPr>
              <w:jc w:val="right"/>
              <w:spacing w:after="0"/>
              <w:rPr>
                <w:sz w:val="20"/>
                <w:szCs w:val="20"/>
                <w:color w:val="auto"/>
              </w:rPr>
            </w:pPr>
            <w:r>
              <w:rPr>
                <w:rFonts w:ascii="Arial" w:cs="Arial" w:eastAsia="Arial" w:hAnsi="Arial"/>
                <w:sz w:val="20"/>
                <w:szCs w:val="20"/>
                <w:color w:val="auto"/>
              </w:rPr>
              <w:t>126</w:t>
            </w:r>
          </w:p>
        </w:tc>
      </w:tr>
      <w:tr>
        <w:trPr>
          <w:trHeight w:val="275"/>
        </w:trPr>
        <w:tc>
          <w:tcPr>
            <w:tcW w:w="660" w:type="dxa"/>
            <w:vAlign w:val="bottom"/>
          </w:tcPr>
          <w:p>
            <w:pPr>
              <w:ind w:left="60"/>
              <w:spacing w:after="0"/>
              <w:rPr>
                <w:sz w:val="20"/>
                <w:szCs w:val="20"/>
                <w:color w:val="auto"/>
              </w:rPr>
            </w:pPr>
            <w:r>
              <w:rPr>
                <w:rFonts w:ascii="Arial" w:cs="Arial" w:eastAsia="Arial" w:hAnsi="Arial"/>
                <w:sz w:val="20"/>
                <w:szCs w:val="20"/>
                <w:color w:val="auto"/>
              </w:rPr>
              <w:t>9.07.</w:t>
            </w:r>
          </w:p>
        </w:tc>
        <w:tc>
          <w:tcPr>
            <w:tcW w:w="7760" w:type="dxa"/>
            <w:vAlign w:val="bottom"/>
          </w:tcPr>
          <w:p>
            <w:pPr>
              <w:ind w:left="160"/>
              <w:spacing w:after="0"/>
              <w:rPr>
                <w:sz w:val="20"/>
                <w:szCs w:val="20"/>
                <w:color w:val="auto"/>
              </w:rPr>
            </w:pPr>
            <w:r>
              <w:rPr>
                <w:rFonts w:ascii="Arial" w:cs="Arial" w:eastAsia="Arial" w:hAnsi="Arial"/>
                <w:sz w:val="20"/>
                <w:szCs w:val="20"/>
                <w:color w:val="auto"/>
              </w:rPr>
              <w:t>Non-Reliance on Administrative Agent and Other Lenders</w:t>
            </w:r>
          </w:p>
        </w:tc>
        <w:tc>
          <w:tcPr>
            <w:tcW w:w="2180" w:type="dxa"/>
            <w:vAlign w:val="bottom"/>
          </w:tcPr>
          <w:p>
            <w:pPr>
              <w:jc w:val="right"/>
              <w:spacing w:after="0"/>
              <w:rPr>
                <w:sz w:val="20"/>
                <w:szCs w:val="20"/>
                <w:color w:val="auto"/>
              </w:rPr>
            </w:pPr>
            <w:r>
              <w:rPr>
                <w:rFonts w:ascii="Arial" w:cs="Arial" w:eastAsia="Arial" w:hAnsi="Arial"/>
                <w:sz w:val="20"/>
                <w:szCs w:val="20"/>
                <w:color w:val="auto"/>
              </w:rPr>
              <w:t>128</w:t>
            </w:r>
          </w:p>
        </w:tc>
      </w:tr>
      <w:tr>
        <w:trPr>
          <w:trHeight w:val="275"/>
        </w:trPr>
        <w:tc>
          <w:tcPr>
            <w:tcW w:w="660" w:type="dxa"/>
            <w:vAlign w:val="bottom"/>
          </w:tcPr>
          <w:p>
            <w:pPr>
              <w:ind w:left="60"/>
              <w:spacing w:after="0"/>
              <w:rPr>
                <w:sz w:val="20"/>
                <w:szCs w:val="20"/>
                <w:color w:val="auto"/>
              </w:rPr>
            </w:pPr>
            <w:r>
              <w:rPr>
                <w:rFonts w:ascii="Arial" w:cs="Arial" w:eastAsia="Arial" w:hAnsi="Arial"/>
                <w:sz w:val="20"/>
                <w:szCs w:val="20"/>
                <w:color w:val="auto"/>
              </w:rPr>
              <w:t>9.08.</w:t>
            </w:r>
          </w:p>
        </w:tc>
        <w:tc>
          <w:tcPr>
            <w:tcW w:w="7760" w:type="dxa"/>
            <w:vAlign w:val="bottom"/>
          </w:tcPr>
          <w:p>
            <w:pPr>
              <w:ind w:left="160"/>
              <w:spacing w:after="0"/>
              <w:rPr>
                <w:sz w:val="20"/>
                <w:szCs w:val="20"/>
                <w:color w:val="auto"/>
              </w:rPr>
            </w:pPr>
            <w:r>
              <w:rPr>
                <w:rFonts w:ascii="Arial" w:cs="Arial" w:eastAsia="Arial" w:hAnsi="Arial"/>
                <w:sz w:val="20"/>
                <w:szCs w:val="20"/>
                <w:color w:val="auto"/>
              </w:rPr>
              <w:t>No Other Duties, Etc</w:t>
            </w:r>
          </w:p>
        </w:tc>
        <w:tc>
          <w:tcPr>
            <w:tcW w:w="2180" w:type="dxa"/>
            <w:vAlign w:val="bottom"/>
          </w:tcPr>
          <w:p>
            <w:pPr>
              <w:jc w:val="right"/>
              <w:spacing w:after="0"/>
              <w:rPr>
                <w:sz w:val="20"/>
                <w:szCs w:val="20"/>
                <w:color w:val="auto"/>
              </w:rPr>
            </w:pPr>
            <w:r>
              <w:rPr>
                <w:rFonts w:ascii="Arial" w:cs="Arial" w:eastAsia="Arial" w:hAnsi="Arial"/>
                <w:sz w:val="20"/>
                <w:szCs w:val="20"/>
                <w:color w:val="auto"/>
              </w:rPr>
              <w:t>128</w:t>
            </w:r>
          </w:p>
        </w:tc>
      </w:tr>
      <w:tr>
        <w:trPr>
          <w:trHeight w:val="275"/>
        </w:trPr>
        <w:tc>
          <w:tcPr>
            <w:tcW w:w="660" w:type="dxa"/>
            <w:vAlign w:val="bottom"/>
          </w:tcPr>
          <w:p>
            <w:pPr>
              <w:ind w:left="60"/>
              <w:spacing w:after="0"/>
              <w:rPr>
                <w:sz w:val="20"/>
                <w:szCs w:val="20"/>
                <w:color w:val="auto"/>
              </w:rPr>
            </w:pPr>
            <w:r>
              <w:rPr>
                <w:rFonts w:ascii="Arial" w:cs="Arial" w:eastAsia="Arial" w:hAnsi="Arial"/>
                <w:sz w:val="20"/>
                <w:szCs w:val="20"/>
                <w:color w:val="auto"/>
              </w:rPr>
              <w:t>9.09.</w:t>
            </w:r>
          </w:p>
        </w:tc>
        <w:tc>
          <w:tcPr>
            <w:tcW w:w="7760" w:type="dxa"/>
            <w:vAlign w:val="bottom"/>
          </w:tcPr>
          <w:p>
            <w:pPr>
              <w:ind w:left="160"/>
              <w:spacing w:after="0"/>
              <w:rPr>
                <w:sz w:val="20"/>
                <w:szCs w:val="20"/>
                <w:color w:val="auto"/>
              </w:rPr>
            </w:pPr>
            <w:r>
              <w:rPr>
                <w:rFonts w:ascii="Arial" w:cs="Arial" w:eastAsia="Arial" w:hAnsi="Arial"/>
                <w:sz w:val="20"/>
                <w:szCs w:val="20"/>
                <w:color w:val="auto"/>
              </w:rPr>
              <w:t>Administrative Agent May File Proofs of Claim</w:t>
            </w:r>
          </w:p>
        </w:tc>
        <w:tc>
          <w:tcPr>
            <w:tcW w:w="2180" w:type="dxa"/>
            <w:vAlign w:val="bottom"/>
          </w:tcPr>
          <w:p>
            <w:pPr>
              <w:jc w:val="right"/>
              <w:spacing w:after="0"/>
              <w:rPr>
                <w:sz w:val="20"/>
                <w:szCs w:val="20"/>
                <w:color w:val="auto"/>
              </w:rPr>
            </w:pPr>
            <w:r>
              <w:rPr>
                <w:rFonts w:ascii="Arial" w:cs="Arial" w:eastAsia="Arial" w:hAnsi="Arial"/>
                <w:sz w:val="20"/>
                <w:szCs w:val="20"/>
                <w:color w:val="auto"/>
              </w:rPr>
              <w:t>128</w:t>
            </w:r>
          </w:p>
        </w:tc>
      </w:tr>
      <w:tr>
        <w:trPr>
          <w:trHeight w:val="275"/>
        </w:trPr>
        <w:tc>
          <w:tcPr>
            <w:tcW w:w="660" w:type="dxa"/>
            <w:vAlign w:val="bottom"/>
          </w:tcPr>
          <w:p>
            <w:pPr>
              <w:ind w:left="60"/>
              <w:spacing w:after="0"/>
              <w:rPr>
                <w:sz w:val="20"/>
                <w:szCs w:val="20"/>
                <w:color w:val="auto"/>
              </w:rPr>
            </w:pPr>
            <w:r>
              <w:rPr>
                <w:rFonts w:ascii="Arial" w:cs="Arial" w:eastAsia="Arial" w:hAnsi="Arial"/>
                <w:sz w:val="20"/>
                <w:szCs w:val="20"/>
                <w:color w:val="auto"/>
              </w:rPr>
              <w:t>9.10.</w:t>
            </w:r>
          </w:p>
        </w:tc>
        <w:tc>
          <w:tcPr>
            <w:tcW w:w="7760" w:type="dxa"/>
            <w:vAlign w:val="bottom"/>
          </w:tcPr>
          <w:p>
            <w:pPr>
              <w:ind w:left="160"/>
              <w:spacing w:after="0"/>
              <w:rPr>
                <w:sz w:val="20"/>
                <w:szCs w:val="20"/>
                <w:color w:val="auto"/>
              </w:rPr>
            </w:pPr>
            <w:r>
              <w:rPr>
                <w:rFonts w:ascii="Arial" w:cs="Arial" w:eastAsia="Arial" w:hAnsi="Arial"/>
                <w:sz w:val="20"/>
                <w:szCs w:val="20"/>
                <w:color w:val="auto"/>
              </w:rPr>
              <w:t>Guaranty Matters</w:t>
            </w:r>
          </w:p>
        </w:tc>
        <w:tc>
          <w:tcPr>
            <w:tcW w:w="2180" w:type="dxa"/>
            <w:vAlign w:val="bottom"/>
          </w:tcPr>
          <w:p>
            <w:pPr>
              <w:jc w:val="right"/>
              <w:spacing w:after="0"/>
              <w:rPr>
                <w:sz w:val="20"/>
                <w:szCs w:val="20"/>
                <w:color w:val="auto"/>
              </w:rPr>
            </w:pPr>
            <w:r>
              <w:rPr>
                <w:rFonts w:ascii="Arial" w:cs="Arial" w:eastAsia="Arial" w:hAnsi="Arial"/>
                <w:sz w:val="20"/>
                <w:szCs w:val="20"/>
                <w:color w:val="auto"/>
              </w:rPr>
              <w:t>129</w:t>
            </w:r>
          </w:p>
        </w:tc>
      </w:tr>
      <w:tr>
        <w:trPr>
          <w:trHeight w:val="275"/>
        </w:trPr>
        <w:tc>
          <w:tcPr>
            <w:tcW w:w="660" w:type="dxa"/>
            <w:vAlign w:val="bottom"/>
          </w:tcPr>
          <w:p>
            <w:pPr>
              <w:ind w:left="60"/>
              <w:spacing w:after="0"/>
              <w:rPr>
                <w:sz w:val="20"/>
                <w:szCs w:val="20"/>
                <w:color w:val="auto"/>
              </w:rPr>
            </w:pPr>
            <w:r>
              <w:rPr>
                <w:rFonts w:ascii="Arial" w:cs="Arial" w:eastAsia="Arial" w:hAnsi="Arial"/>
                <w:sz w:val="20"/>
                <w:szCs w:val="20"/>
                <w:color w:val="auto"/>
              </w:rPr>
              <w:t>9.11.</w:t>
            </w:r>
          </w:p>
        </w:tc>
        <w:tc>
          <w:tcPr>
            <w:tcW w:w="7760" w:type="dxa"/>
            <w:vAlign w:val="bottom"/>
          </w:tcPr>
          <w:p>
            <w:pPr>
              <w:ind w:left="160"/>
              <w:spacing w:after="0"/>
              <w:rPr>
                <w:sz w:val="20"/>
                <w:szCs w:val="20"/>
                <w:color w:val="auto"/>
              </w:rPr>
            </w:pPr>
            <w:r>
              <w:rPr>
                <w:rFonts w:ascii="Arial" w:cs="Arial" w:eastAsia="Arial" w:hAnsi="Arial"/>
                <w:sz w:val="20"/>
                <w:szCs w:val="20"/>
                <w:color w:val="auto"/>
              </w:rPr>
              <w:t>Lender Representations Regarding ERISA</w:t>
            </w:r>
          </w:p>
        </w:tc>
        <w:tc>
          <w:tcPr>
            <w:tcW w:w="2180" w:type="dxa"/>
            <w:vAlign w:val="bottom"/>
          </w:tcPr>
          <w:p>
            <w:pPr>
              <w:jc w:val="right"/>
              <w:spacing w:after="0"/>
              <w:rPr>
                <w:sz w:val="20"/>
                <w:szCs w:val="20"/>
                <w:color w:val="auto"/>
              </w:rPr>
            </w:pPr>
            <w:r>
              <w:rPr>
                <w:rFonts w:ascii="Arial" w:cs="Arial" w:eastAsia="Arial" w:hAnsi="Arial"/>
                <w:sz w:val="20"/>
                <w:szCs w:val="20"/>
                <w:color w:val="auto"/>
              </w:rPr>
              <w:t>129</w:t>
            </w:r>
          </w:p>
        </w:tc>
      </w:tr>
      <w:tr>
        <w:trPr>
          <w:trHeight w:val="624"/>
        </w:trPr>
        <w:tc>
          <w:tcPr>
            <w:tcW w:w="660" w:type="dxa"/>
            <w:vAlign w:val="bottom"/>
          </w:tcPr>
          <w:p>
            <w:pPr>
              <w:spacing w:after="0"/>
              <w:rPr>
                <w:sz w:val="24"/>
                <w:szCs w:val="24"/>
                <w:color w:val="auto"/>
              </w:rPr>
            </w:pPr>
          </w:p>
        </w:tc>
        <w:tc>
          <w:tcPr>
            <w:tcW w:w="7760" w:type="dxa"/>
            <w:vAlign w:val="bottom"/>
          </w:tcPr>
          <w:p>
            <w:pPr>
              <w:jc w:val="center"/>
              <w:ind w:left="1480"/>
              <w:spacing w:after="0"/>
              <w:rPr>
                <w:sz w:val="20"/>
                <w:szCs w:val="20"/>
                <w:color w:val="auto"/>
              </w:rPr>
            </w:pPr>
            <w:r>
              <w:rPr>
                <w:rFonts w:ascii="Arial" w:cs="Arial" w:eastAsia="Arial" w:hAnsi="Arial"/>
                <w:sz w:val="20"/>
                <w:szCs w:val="20"/>
                <w:color w:val="auto"/>
                <w:w w:val="98"/>
              </w:rPr>
              <w:t>ARTICLE X</w:t>
            </w:r>
          </w:p>
        </w:tc>
        <w:tc>
          <w:tcPr>
            <w:tcW w:w="2180" w:type="dxa"/>
            <w:vAlign w:val="bottom"/>
          </w:tcPr>
          <w:p>
            <w:pPr>
              <w:spacing w:after="0"/>
              <w:rPr>
                <w:sz w:val="24"/>
                <w:szCs w:val="24"/>
                <w:color w:val="auto"/>
              </w:rPr>
            </w:pPr>
          </w:p>
        </w:tc>
      </w:tr>
      <w:tr>
        <w:trPr>
          <w:trHeight w:val="275"/>
        </w:trPr>
        <w:tc>
          <w:tcPr>
            <w:tcW w:w="660" w:type="dxa"/>
            <w:vAlign w:val="bottom"/>
          </w:tcPr>
          <w:p>
            <w:pPr>
              <w:spacing w:after="0"/>
              <w:rPr>
                <w:sz w:val="23"/>
                <w:szCs w:val="23"/>
                <w:color w:val="auto"/>
              </w:rPr>
            </w:pPr>
          </w:p>
        </w:tc>
        <w:tc>
          <w:tcPr>
            <w:tcW w:w="7760" w:type="dxa"/>
            <w:vAlign w:val="bottom"/>
          </w:tcPr>
          <w:p>
            <w:pPr>
              <w:jc w:val="center"/>
              <w:ind w:left="1480"/>
              <w:spacing w:after="0"/>
              <w:rPr>
                <w:sz w:val="20"/>
                <w:szCs w:val="20"/>
                <w:color w:val="auto"/>
              </w:rPr>
            </w:pPr>
            <w:r>
              <w:rPr>
                <w:rFonts w:ascii="Arial" w:cs="Arial" w:eastAsia="Arial" w:hAnsi="Arial"/>
                <w:sz w:val="20"/>
                <w:szCs w:val="20"/>
                <w:color w:val="auto"/>
                <w:w w:val="97"/>
              </w:rPr>
              <w:t>MISCELLANEOUS</w:t>
            </w:r>
          </w:p>
        </w:tc>
        <w:tc>
          <w:tcPr>
            <w:tcW w:w="2180" w:type="dxa"/>
            <w:vAlign w:val="bottom"/>
          </w:tcPr>
          <w:p>
            <w:pPr>
              <w:spacing w:after="0"/>
              <w:rPr>
                <w:sz w:val="23"/>
                <w:szCs w:val="23"/>
                <w:color w:val="auto"/>
              </w:rPr>
            </w:pPr>
          </w:p>
        </w:tc>
      </w:tr>
      <w:tr>
        <w:trPr>
          <w:trHeight w:val="400"/>
        </w:trPr>
        <w:tc>
          <w:tcPr>
            <w:tcW w:w="660" w:type="dxa"/>
            <w:vAlign w:val="bottom"/>
          </w:tcPr>
          <w:p>
            <w:pPr>
              <w:spacing w:after="0"/>
              <w:rPr>
                <w:sz w:val="20"/>
                <w:szCs w:val="20"/>
                <w:color w:val="auto"/>
              </w:rPr>
            </w:pPr>
            <w:r>
              <w:rPr>
                <w:rFonts w:ascii="Arial" w:cs="Arial" w:eastAsia="Arial" w:hAnsi="Arial"/>
                <w:sz w:val="20"/>
                <w:szCs w:val="20"/>
                <w:color w:val="auto"/>
              </w:rPr>
              <w:t>10.01.</w:t>
            </w:r>
          </w:p>
        </w:tc>
        <w:tc>
          <w:tcPr>
            <w:tcW w:w="7760" w:type="dxa"/>
            <w:vAlign w:val="bottom"/>
          </w:tcPr>
          <w:p>
            <w:pPr>
              <w:ind w:left="200"/>
              <w:spacing w:after="0"/>
              <w:rPr>
                <w:sz w:val="20"/>
                <w:szCs w:val="20"/>
                <w:color w:val="auto"/>
              </w:rPr>
            </w:pPr>
            <w:r>
              <w:rPr>
                <w:rFonts w:ascii="Arial" w:cs="Arial" w:eastAsia="Arial" w:hAnsi="Arial"/>
                <w:sz w:val="20"/>
                <w:szCs w:val="20"/>
                <w:color w:val="auto"/>
              </w:rPr>
              <w:t>Amendments, Etc</w:t>
            </w:r>
          </w:p>
        </w:tc>
        <w:tc>
          <w:tcPr>
            <w:tcW w:w="2180" w:type="dxa"/>
            <w:vAlign w:val="bottom"/>
          </w:tcPr>
          <w:p>
            <w:pPr>
              <w:jc w:val="right"/>
              <w:spacing w:after="0"/>
              <w:rPr>
                <w:sz w:val="20"/>
                <w:szCs w:val="20"/>
                <w:color w:val="auto"/>
              </w:rPr>
            </w:pPr>
            <w:r>
              <w:rPr>
                <w:rFonts w:ascii="Arial" w:cs="Arial" w:eastAsia="Arial" w:hAnsi="Arial"/>
                <w:sz w:val="20"/>
                <w:szCs w:val="20"/>
                <w:color w:val="auto"/>
              </w:rPr>
              <w:t>131</w:t>
            </w:r>
          </w:p>
        </w:tc>
      </w:tr>
      <w:tr>
        <w:trPr>
          <w:trHeight w:val="275"/>
        </w:trPr>
        <w:tc>
          <w:tcPr>
            <w:tcW w:w="660" w:type="dxa"/>
            <w:vAlign w:val="bottom"/>
          </w:tcPr>
          <w:p>
            <w:pPr>
              <w:spacing w:after="0"/>
              <w:rPr>
                <w:sz w:val="20"/>
                <w:szCs w:val="20"/>
                <w:color w:val="auto"/>
              </w:rPr>
            </w:pPr>
            <w:r>
              <w:rPr>
                <w:rFonts w:ascii="Arial" w:cs="Arial" w:eastAsia="Arial" w:hAnsi="Arial"/>
                <w:sz w:val="20"/>
                <w:szCs w:val="20"/>
                <w:color w:val="auto"/>
              </w:rPr>
              <w:t>10.02.</w:t>
            </w:r>
          </w:p>
        </w:tc>
        <w:tc>
          <w:tcPr>
            <w:tcW w:w="7760" w:type="dxa"/>
            <w:vAlign w:val="bottom"/>
          </w:tcPr>
          <w:p>
            <w:pPr>
              <w:ind w:left="200"/>
              <w:spacing w:after="0"/>
              <w:rPr>
                <w:sz w:val="20"/>
                <w:szCs w:val="20"/>
                <w:color w:val="auto"/>
              </w:rPr>
            </w:pPr>
            <w:r>
              <w:rPr>
                <w:rFonts w:ascii="Arial" w:cs="Arial" w:eastAsia="Arial" w:hAnsi="Arial"/>
                <w:sz w:val="20"/>
                <w:szCs w:val="20"/>
                <w:color w:val="auto"/>
              </w:rPr>
              <w:t>Notices; Effectiveness; Electronic Communications</w:t>
            </w:r>
          </w:p>
        </w:tc>
        <w:tc>
          <w:tcPr>
            <w:tcW w:w="2180" w:type="dxa"/>
            <w:vAlign w:val="bottom"/>
          </w:tcPr>
          <w:p>
            <w:pPr>
              <w:jc w:val="right"/>
              <w:spacing w:after="0"/>
              <w:rPr>
                <w:sz w:val="20"/>
                <w:szCs w:val="20"/>
                <w:color w:val="auto"/>
              </w:rPr>
            </w:pPr>
            <w:r>
              <w:rPr>
                <w:rFonts w:ascii="Arial" w:cs="Arial" w:eastAsia="Arial" w:hAnsi="Arial"/>
                <w:sz w:val="20"/>
                <w:szCs w:val="20"/>
                <w:color w:val="auto"/>
              </w:rPr>
              <w:t>134</w:t>
            </w:r>
          </w:p>
        </w:tc>
      </w:tr>
      <w:tr>
        <w:trPr>
          <w:trHeight w:val="275"/>
        </w:trPr>
        <w:tc>
          <w:tcPr>
            <w:tcW w:w="660" w:type="dxa"/>
            <w:vAlign w:val="bottom"/>
          </w:tcPr>
          <w:p>
            <w:pPr>
              <w:spacing w:after="0"/>
              <w:rPr>
                <w:sz w:val="20"/>
                <w:szCs w:val="20"/>
                <w:color w:val="auto"/>
              </w:rPr>
            </w:pPr>
            <w:r>
              <w:rPr>
                <w:rFonts w:ascii="Arial" w:cs="Arial" w:eastAsia="Arial" w:hAnsi="Arial"/>
                <w:sz w:val="20"/>
                <w:szCs w:val="20"/>
                <w:color w:val="auto"/>
              </w:rPr>
              <w:t>10.03.</w:t>
            </w:r>
          </w:p>
        </w:tc>
        <w:tc>
          <w:tcPr>
            <w:tcW w:w="7760" w:type="dxa"/>
            <w:vAlign w:val="bottom"/>
          </w:tcPr>
          <w:p>
            <w:pPr>
              <w:ind w:left="200"/>
              <w:spacing w:after="0"/>
              <w:rPr>
                <w:sz w:val="20"/>
                <w:szCs w:val="20"/>
                <w:color w:val="auto"/>
              </w:rPr>
            </w:pPr>
            <w:r>
              <w:rPr>
                <w:rFonts w:ascii="Arial" w:cs="Arial" w:eastAsia="Arial" w:hAnsi="Arial"/>
                <w:sz w:val="20"/>
                <w:szCs w:val="20"/>
                <w:color w:val="auto"/>
              </w:rPr>
              <w:t>No Waiver; Cumulative Remedies; Enforcement</w:t>
            </w:r>
          </w:p>
        </w:tc>
        <w:tc>
          <w:tcPr>
            <w:tcW w:w="2180" w:type="dxa"/>
            <w:vAlign w:val="bottom"/>
          </w:tcPr>
          <w:p>
            <w:pPr>
              <w:jc w:val="right"/>
              <w:spacing w:after="0"/>
              <w:rPr>
                <w:sz w:val="20"/>
                <w:szCs w:val="20"/>
                <w:color w:val="auto"/>
              </w:rPr>
            </w:pPr>
            <w:r>
              <w:rPr>
                <w:rFonts w:ascii="Arial" w:cs="Arial" w:eastAsia="Arial" w:hAnsi="Arial"/>
                <w:sz w:val="20"/>
                <w:szCs w:val="20"/>
                <w:color w:val="auto"/>
              </w:rPr>
              <w:t>136</w:t>
            </w:r>
          </w:p>
        </w:tc>
      </w:tr>
      <w:tr>
        <w:trPr>
          <w:trHeight w:val="275"/>
        </w:trPr>
        <w:tc>
          <w:tcPr>
            <w:tcW w:w="660" w:type="dxa"/>
            <w:vAlign w:val="bottom"/>
          </w:tcPr>
          <w:p>
            <w:pPr>
              <w:spacing w:after="0"/>
              <w:rPr>
                <w:sz w:val="20"/>
                <w:szCs w:val="20"/>
                <w:color w:val="auto"/>
              </w:rPr>
            </w:pPr>
            <w:r>
              <w:rPr>
                <w:rFonts w:ascii="Arial" w:cs="Arial" w:eastAsia="Arial" w:hAnsi="Arial"/>
                <w:sz w:val="20"/>
                <w:szCs w:val="20"/>
                <w:color w:val="auto"/>
              </w:rPr>
              <w:t>10.04.</w:t>
            </w:r>
          </w:p>
        </w:tc>
        <w:tc>
          <w:tcPr>
            <w:tcW w:w="7760" w:type="dxa"/>
            <w:vAlign w:val="bottom"/>
          </w:tcPr>
          <w:p>
            <w:pPr>
              <w:ind w:left="200"/>
              <w:spacing w:after="0"/>
              <w:rPr>
                <w:sz w:val="20"/>
                <w:szCs w:val="20"/>
                <w:color w:val="auto"/>
              </w:rPr>
            </w:pPr>
            <w:r>
              <w:rPr>
                <w:rFonts w:ascii="Arial" w:cs="Arial" w:eastAsia="Arial" w:hAnsi="Arial"/>
                <w:sz w:val="20"/>
                <w:szCs w:val="20"/>
                <w:color w:val="auto"/>
              </w:rPr>
              <w:t>Expenses; Indemnity; Damage Waiver</w:t>
            </w:r>
          </w:p>
        </w:tc>
        <w:tc>
          <w:tcPr>
            <w:tcW w:w="2180" w:type="dxa"/>
            <w:vAlign w:val="bottom"/>
          </w:tcPr>
          <w:p>
            <w:pPr>
              <w:jc w:val="right"/>
              <w:spacing w:after="0"/>
              <w:rPr>
                <w:sz w:val="20"/>
                <w:szCs w:val="20"/>
                <w:color w:val="auto"/>
              </w:rPr>
            </w:pPr>
            <w:r>
              <w:rPr>
                <w:rFonts w:ascii="Arial" w:cs="Arial" w:eastAsia="Arial" w:hAnsi="Arial"/>
                <w:sz w:val="20"/>
                <w:szCs w:val="20"/>
                <w:color w:val="auto"/>
              </w:rPr>
              <w:t>137</w:t>
            </w:r>
          </w:p>
        </w:tc>
      </w:tr>
      <w:tr>
        <w:trPr>
          <w:trHeight w:val="275"/>
        </w:trPr>
        <w:tc>
          <w:tcPr>
            <w:tcW w:w="660" w:type="dxa"/>
            <w:vAlign w:val="bottom"/>
          </w:tcPr>
          <w:p>
            <w:pPr>
              <w:spacing w:after="0"/>
              <w:rPr>
                <w:sz w:val="20"/>
                <w:szCs w:val="20"/>
                <w:color w:val="auto"/>
              </w:rPr>
            </w:pPr>
            <w:r>
              <w:rPr>
                <w:rFonts w:ascii="Arial" w:cs="Arial" w:eastAsia="Arial" w:hAnsi="Arial"/>
                <w:sz w:val="20"/>
                <w:szCs w:val="20"/>
                <w:color w:val="auto"/>
              </w:rPr>
              <w:t>10.05.</w:t>
            </w:r>
          </w:p>
        </w:tc>
        <w:tc>
          <w:tcPr>
            <w:tcW w:w="7760" w:type="dxa"/>
            <w:vAlign w:val="bottom"/>
          </w:tcPr>
          <w:p>
            <w:pPr>
              <w:ind w:left="200"/>
              <w:spacing w:after="0"/>
              <w:rPr>
                <w:sz w:val="20"/>
                <w:szCs w:val="20"/>
                <w:color w:val="auto"/>
              </w:rPr>
            </w:pPr>
            <w:r>
              <w:rPr>
                <w:rFonts w:ascii="Arial" w:cs="Arial" w:eastAsia="Arial" w:hAnsi="Arial"/>
                <w:sz w:val="20"/>
                <w:szCs w:val="20"/>
                <w:color w:val="auto"/>
              </w:rPr>
              <w:t>Payments Set Aside</w:t>
            </w:r>
          </w:p>
        </w:tc>
        <w:tc>
          <w:tcPr>
            <w:tcW w:w="2180" w:type="dxa"/>
            <w:vAlign w:val="bottom"/>
          </w:tcPr>
          <w:p>
            <w:pPr>
              <w:jc w:val="right"/>
              <w:spacing w:after="0"/>
              <w:rPr>
                <w:sz w:val="20"/>
                <w:szCs w:val="20"/>
                <w:color w:val="auto"/>
              </w:rPr>
            </w:pPr>
            <w:r>
              <w:rPr>
                <w:rFonts w:ascii="Arial" w:cs="Arial" w:eastAsia="Arial" w:hAnsi="Arial"/>
                <w:sz w:val="20"/>
                <w:szCs w:val="20"/>
                <w:color w:val="auto"/>
              </w:rPr>
              <w:t>140</w:t>
            </w:r>
          </w:p>
        </w:tc>
      </w:tr>
      <w:tr>
        <w:trPr>
          <w:trHeight w:val="275"/>
        </w:trPr>
        <w:tc>
          <w:tcPr>
            <w:tcW w:w="660" w:type="dxa"/>
            <w:vAlign w:val="bottom"/>
          </w:tcPr>
          <w:p>
            <w:pPr>
              <w:spacing w:after="0"/>
              <w:rPr>
                <w:sz w:val="20"/>
                <w:szCs w:val="20"/>
                <w:color w:val="auto"/>
              </w:rPr>
            </w:pPr>
            <w:r>
              <w:rPr>
                <w:rFonts w:ascii="Arial" w:cs="Arial" w:eastAsia="Arial" w:hAnsi="Arial"/>
                <w:sz w:val="20"/>
                <w:szCs w:val="20"/>
                <w:color w:val="auto"/>
              </w:rPr>
              <w:t>10.06.</w:t>
            </w:r>
          </w:p>
        </w:tc>
        <w:tc>
          <w:tcPr>
            <w:tcW w:w="7760" w:type="dxa"/>
            <w:vAlign w:val="bottom"/>
          </w:tcPr>
          <w:p>
            <w:pPr>
              <w:ind w:left="200"/>
              <w:spacing w:after="0"/>
              <w:rPr>
                <w:sz w:val="20"/>
                <w:szCs w:val="20"/>
                <w:color w:val="auto"/>
              </w:rPr>
            </w:pPr>
            <w:r>
              <w:rPr>
                <w:rFonts w:ascii="Arial" w:cs="Arial" w:eastAsia="Arial" w:hAnsi="Arial"/>
                <w:sz w:val="20"/>
                <w:szCs w:val="20"/>
                <w:color w:val="auto"/>
              </w:rPr>
              <w:t>Successors and Assigns</w:t>
            </w:r>
          </w:p>
        </w:tc>
        <w:tc>
          <w:tcPr>
            <w:tcW w:w="2180" w:type="dxa"/>
            <w:vAlign w:val="bottom"/>
          </w:tcPr>
          <w:p>
            <w:pPr>
              <w:jc w:val="right"/>
              <w:spacing w:after="0"/>
              <w:rPr>
                <w:sz w:val="20"/>
                <w:szCs w:val="20"/>
                <w:color w:val="auto"/>
              </w:rPr>
            </w:pPr>
            <w:r>
              <w:rPr>
                <w:rFonts w:ascii="Arial" w:cs="Arial" w:eastAsia="Arial" w:hAnsi="Arial"/>
                <w:sz w:val="20"/>
                <w:szCs w:val="20"/>
                <w:color w:val="auto"/>
              </w:rPr>
              <w:t>140</w:t>
            </w:r>
          </w:p>
        </w:tc>
      </w:tr>
      <w:tr>
        <w:trPr>
          <w:trHeight w:val="275"/>
        </w:trPr>
        <w:tc>
          <w:tcPr>
            <w:tcW w:w="660" w:type="dxa"/>
            <w:vAlign w:val="bottom"/>
          </w:tcPr>
          <w:p>
            <w:pPr>
              <w:spacing w:after="0"/>
              <w:rPr>
                <w:sz w:val="20"/>
                <w:szCs w:val="20"/>
                <w:color w:val="auto"/>
              </w:rPr>
            </w:pPr>
            <w:r>
              <w:rPr>
                <w:rFonts w:ascii="Arial" w:cs="Arial" w:eastAsia="Arial" w:hAnsi="Arial"/>
                <w:sz w:val="20"/>
                <w:szCs w:val="20"/>
                <w:color w:val="auto"/>
              </w:rPr>
              <w:t>10.07.</w:t>
            </w:r>
          </w:p>
        </w:tc>
        <w:tc>
          <w:tcPr>
            <w:tcW w:w="7760" w:type="dxa"/>
            <w:vAlign w:val="bottom"/>
          </w:tcPr>
          <w:p>
            <w:pPr>
              <w:ind w:left="200"/>
              <w:spacing w:after="0"/>
              <w:rPr>
                <w:sz w:val="20"/>
                <w:szCs w:val="20"/>
                <w:color w:val="auto"/>
              </w:rPr>
            </w:pPr>
            <w:r>
              <w:rPr>
                <w:rFonts w:ascii="Arial" w:cs="Arial" w:eastAsia="Arial" w:hAnsi="Arial"/>
                <w:sz w:val="20"/>
                <w:szCs w:val="20"/>
                <w:color w:val="auto"/>
              </w:rPr>
              <w:t>Treatment of Certain Information; Confidentiality</w:t>
            </w:r>
          </w:p>
        </w:tc>
        <w:tc>
          <w:tcPr>
            <w:tcW w:w="2180" w:type="dxa"/>
            <w:vAlign w:val="bottom"/>
          </w:tcPr>
          <w:p>
            <w:pPr>
              <w:jc w:val="right"/>
              <w:spacing w:after="0"/>
              <w:rPr>
                <w:sz w:val="20"/>
                <w:szCs w:val="20"/>
                <w:color w:val="auto"/>
              </w:rPr>
            </w:pPr>
            <w:r>
              <w:rPr>
                <w:rFonts w:ascii="Arial" w:cs="Arial" w:eastAsia="Arial" w:hAnsi="Arial"/>
                <w:sz w:val="20"/>
                <w:szCs w:val="20"/>
                <w:color w:val="auto"/>
              </w:rPr>
              <w:t>145</w:t>
            </w:r>
          </w:p>
        </w:tc>
      </w:tr>
      <w:tr>
        <w:trPr>
          <w:trHeight w:val="275"/>
        </w:trPr>
        <w:tc>
          <w:tcPr>
            <w:tcW w:w="660" w:type="dxa"/>
            <w:vAlign w:val="bottom"/>
          </w:tcPr>
          <w:p>
            <w:pPr>
              <w:spacing w:after="0"/>
              <w:rPr>
                <w:sz w:val="20"/>
                <w:szCs w:val="20"/>
                <w:color w:val="auto"/>
              </w:rPr>
            </w:pPr>
            <w:r>
              <w:rPr>
                <w:rFonts w:ascii="Arial" w:cs="Arial" w:eastAsia="Arial" w:hAnsi="Arial"/>
                <w:sz w:val="20"/>
                <w:szCs w:val="20"/>
                <w:color w:val="auto"/>
              </w:rPr>
              <w:t>10.08.</w:t>
            </w:r>
          </w:p>
        </w:tc>
        <w:tc>
          <w:tcPr>
            <w:tcW w:w="7760" w:type="dxa"/>
            <w:vAlign w:val="bottom"/>
          </w:tcPr>
          <w:p>
            <w:pPr>
              <w:ind w:left="200"/>
              <w:spacing w:after="0"/>
              <w:rPr>
                <w:sz w:val="20"/>
                <w:szCs w:val="20"/>
                <w:color w:val="auto"/>
              </w:rPr>
            </w:pPr>
            <w:r>
              <w:rPr>
                <w:rFonts w:ascii="Arial" w:cs="Arial" w:eastAsia="Arial" w:hAnsi="Arial"/>
                <w:sz w:val="20"/>
                <w:szCs w:val="20"/>
                <w:color w:val="auto"/>
              </w:rPr>
              <w:t>Right of Setoff</w:t>
            </w:r>
          </w:p>
        </w:tc>
        <w:tc>
          <w:tcPr>
            <w:tcW w:w="2180" w:type="dxa"/>
            <w:vAlign w:val="bottom"/>
          </w:tcPr>
          <w:p>
            <w:pPr>
              <w:jc w:val="right"/>
              <w:spacing w:after="0"/>
              <w:rPr>
                <w:sz w:val="20"/>
                <w:szCs w:val="20"/>
                <w:color w:val="auto"/>
              </w:rPr>
            </w:pPr>
            <w:r>
              <w:rPr>
                <w:rFonts w:ascii="Arial" w:cs="Arial" w:eastAsia="Arial" w:hAnsi="Arial"/>
                <w:sz w:val="20"/>
                <w:szCs w:val="20"/>
                <w:color w:val="auto"/>
              </w:rPr>
              <w:t>146</w:t>
            </w:r>
          </w:p>
        </w:tc>
      </w:tr>
      <w:tr>
        <w:trPr>
          <w:trHeight w:val="275"/>
        </w:trPr>
        <w:tc>
          <w:tcPr>
            <w:tcW w:w="660" w:type="dxa"/>
            <w:vAlign w:val="bottom"/>
          </w:tcPr>
          <w:p>
            <w:pPr>
              <w:spacing w:after="0"/>
              <w:rPr>
                <w:sz w:val="20"/>
                <w:szCs w:val="20"/>
                <w:color w:val="auto"/>
              </w:rPr>
            </w:pPr>
            <w:r>
              <w:rPr>
                <w:rFonts w:ascii="Arial" w:cs="Arial" w:eastAsia="Arial" w:hAnsi="Arial"/>
                <w:sz w:val="20"/>
                <w:szCs w:val="20"/>
                <w:color w:val="auto"/>
              </w:rPr>
              <w:t>10.09.</w:t>
            </w:r>
          </w:p>
        </w:tc>
        <w:tc>
          <w:tcPr>
            <w:tcW w:w="7760" w:type="dxa"/>
            <w:vAlign w:val="bottom"/>
          </w:tcPr>
          <w:p>
            <w:pPr>
              <w:ind w:left="200"/>
              <w:spacing w:after="0"/>
              <w:rPr>
                <w:sz w:val="20"/>
                <w:szCs w:val="20"/>
                <w:color w:val="auto"/>
              </w:rPr>
            </w:pPr>
            <w:r>
              <w:rPr>
                <w:rFonts w:ascii="Arial" w:cs="Arial" w:eastAsia="Arial" w:hAnsi="Arial"/>
                <w:sz w:val="20"/>
                <w:szCs w:val="20"/>
                <w:color w:val="auto"/>
              </w:rPr>
              <w:t>Interest Rate Limitation</w:t>
            </w:r>
          </w:p>
        </w:tc>
        <w:tc>
          <w:tcPr>
            <w:tcW w:w="2180" w:type="dxa"/>
            <w:vAlign w:val="bottom"/>
          </w:tcPr>
          <w:p>
            <w:pPr>
              <w:jc w:val="right"/>
              <w:spacing w:after="0"/>
              <w:rPr>
                <w:sz w:val="20"/>
                <w:szCs w:val="20"/>
                <w:color w:val="auto"/>
              </w:rPr>
            </w:pPr>
            <w:r>
              <w:rPr>
                <w:rFonts w:ascii="Arial" w:cs="Arial" w:eastAsia="Arial" w:hAnsi="Arial"/>
                <w:sz w:val="20"/>
                <w:szCs w:val="20"/>
                <w:color w:val="auto"/>
              </w:rPr>
              <w:t>147</w:t>
            </w:r>
          </w:p>
        </w:tc>
      </w:tr>
      <w:tr>
        <w:trPr>
          <w:trHeight w:val="275"/>
        </w:trPr>
        <w:tc>
          <w:tcPr>
            <w:tcW w:w="660" w:type="dxa"/>
            <w:vAlign w:val="bottom"/>
          </w:tcPr>
          <w:p>
            <w:pPr>
              <w:spacing w:after="0"/>
              <w:rPr>
                <w:sz w:val="20"/>
                <w:szCs w:val="20"/>
                <w:color w:val="auto"/>
              </w:rPr>
            </w:pPr>
            <w:r>
              <w:rPr>
                <w:rFonts w:ascii="Arial" w:cs="Arial" w:eastAsia="Arial" w:hAnsi="Arial"/>
                <w:sz w:val="20"/>
                <w:szCs w:val="20"/>
                <w:color w:val="auto"/>
              </w:rPr>
              <w:t>10.10.</w:t>
            </w:r>
          </w:p>
        </w:tc>
        <w:tc>
          <w:tcPr>
            <w:tcW w:w="7760" w:type="dxa"/>
            <w:vAlign w:val="bottom"/>
          </w:tcPr>
          <w:p>
            <w:pPr>
              <w:ind w:left="200"/>
              <w:spacing w:after="0"/>
              <w:rPr>
                <w:sz w:val="20"/>
                <w:szCs w:val="20"/>
                <w:color w:val="auto"/>
              </w:rPr>
            </w:pPr>
            <w:r>
              <w:rPr>
                <w:rFonts w:ascii="Arial" w:cs="Arial" w:eastAsia="Arial" w:hAnsi="Arial"/>
                <w:sz w:val="20"/>
                <w:szCs w:val="20"/>
                <w:color w:val="auto"/>
              </w:rPr>
              <w:t>Counterparts; Integration; Effectiveness</w:t>
            </w:r>
          </w:p>
        </w:tc>
        <w:tc>
          <w:tcPr>
            <w:tcW w:w="2180" w:type="dxa"/>
            <w:vAlign w:val="bottom"/>
          </w:tcPr>
          <w:p>
            <w:pPr>
              <w:jc w:val="right"/>
              <w:spacing w:after="0"/>
              <w:rPr>
                <w:sz w:val="20"/>
                <w:szCs w:val="20"/>
                <w:color w:val="auto"/>
              </w:rPr>
            </w:pPr>
            <w:r>
              <w:rPr>
                <w:rFonts w:ascii="Arial" w:cs="Arial" w:eastAsia="Arial" w:hAnsi="Arial"/>
                <w:sz w:val="20"/>
                <w:szCs w:val="20"/>
                <w:color w:val="auto"/>
              </w:rPr>
              <w:t>147</w:t>
            </w:r>
          </w:p>
        </w:tc>
      </w:tr>
      <w:tr>
        <w:trPr>
          <w:trHeight w:val="275"/>
        </w:trPr>
        <w:tc>
          <w:tcPr>
            <w:tcW w:w="660" w:type="dxa"/>
            <w:vAlign w:val="bottom"/>
          </w:tcPr>
          <w:p>
            <w:pPr>
              <w:spacing w:after="0"/>
              <w:rPr>
                <w:sz w:val="20"/>
                <w:szCs w:val="20"/>
                <w:color w:val="auto"/>
              </w:rPr>
            </w:pPr>
            <w:r>
              <w:rPr>
                <w:rFonts w:ascii="Arial" w:cs="Arial" w:eastAsia="Arial" w:hAnsi="Arial"/>
                <w:sz w:val="20"/>
                <w:szCs w:val="20"/>
                <w:color w:val="auto"/>
              </w:rPr>
              <w:t>10.11.</w:t>
            </w:r>
          </w:p>
        </w:tc>
        <w:tc>
          <w:tcPr>
            <w:tcW w:w="7760" w:type="dxa"/>
            <w:vAlign w:val="bottom"/>
          </w:tcPr>
          <w:p>
            <w:pPr>
              <w:ind w:left="200"/>
              <w:spacing w:after="0"/>
              <w:rPr>
                <w:sz w:val="20"/>
                <w:szCs w:val="20"/>
                <w:color w:val="auto"/>
              </w:rPr>
            </w:pPr>
            <w:r>
              <w:rPr>
                <w:rFonts w:ascii="Arial" w:cs="Arial" w:eastAsia="Arial" w:hAnsi="Arial"/>
                <w:sz w:val="20"/>
                <w:szCs w:val="20"/>
                <w:color w:val="auto"/>
              </w:rPr>
              <w:t>Survival of Representations and Warranties</w:t>
            </w:r>
          </w:p>
        </w:tc>
        <w:tc>
          <w:tcPr>
            <w:tcW w:w="2180" w:type="dxa"/>
            <w:vAlign w:val="bottom"/>
          </w:tcPr>
          <w:p>
            <w:pPr>
              <w:jc w:val="right"/>
              <w:spacing w:after="0"/>
              <w:rPr>
                <w:sz w:val="20"/>
                <w:szCs w:val="20"/>
                <w:color w:val="auto"/>
              </w:rPr>
            </w:pPr>
            <w:r>
              <w:rPr>
                <w:rFonts w:ascii="Arial" w:cs="Arial" w:eastAsia="Arial" w:hAnsi="Arial"/>
                <w:sz w:val="20"/>
                <w:szCs w:val="20"/>
                <w:color w:val="auto"/>
              </w:rPr>
              <w:t>148</w:t>
            </w:r>
          </w:p>
        </w:tc>
      </w:tr>
      <w:tr>
        <w:trPr>
          <w:trHeight w:val="275"/>
        </w:trPr>
        <w:tc>
          <w:tcPr>
            <w:tcW w:w="660" w:type="dxa"/>
            <w:vAlign w:val="bottom"/>
          </w:tcPr>
          <w:p>
            <w:pPr>
              <w:spacing w:after="0"/>
              <w:rPr>
                <w:sz w:val="20"/>
                <w:szCs w:val="20"/>
                <w:color w:val="auto"/>
              </w:rPr>
            </w:pPr>
            <w:r>
              <w:rPr>
                <w:rFonts w:ascii="Arial" w:cs="Arial" w:eastAsia="Arial" w:hAnsi="Arial"/>
                <w:sz w:val="20"/>
                <w:szCs w:val="20"/>
                <w:color w:val="auto"/>
              </w:rPr>
              <w:t>10.12.</w:t>
            </w:r>
          </w:p>
        </w:tc>
        <w:tc>
          <w:tcPr>
            <w:tcW w:w="7760" w:type="dxa"/>
            <w:vAlign w:val="bottom"/>
          </w:tcPr>
          <w:p>
            <w:pPr>
              <w:ind w:left="200"/>
              <w:spacing w:after="0"/>
              <w:rPr>
                <w:sz w:val="20"/>
                <w:szCs w:val="20"/>
                <w:color w:val="auto"/>
              </w:rPr>
            </w:pPr>
            <w:r>
              <w:rPr>
                <w:rFonts w:ascii="Arial" w:cs="Arial" w:eastAsia="Arial" w:hAnsi="Arial"/>
                <w:sz w:val="20"/>
                <w:szCs w:val="20"/>
                <w:color w:val="auto"/>
              </w:rPr>
              <w:t>Severability</w:t>
            </w:r>
          </w:p>
        </w:tc>
        <w:tc>
          <w:tcPr>
            <w:tcW w:w="2180" w:type="dxa"/>
            <w:vAlign w:val="bottom"/>
          </w:tcPr>
          <w:p>
            <w:pPr>
              <w:jc w:val="right"/>
              <w:spacing w:after="0"/>
              <w:rPr>
                <w:sz w:val="20"/>
                <w:szCs w:val="20"/>
                <w:color w:val="auto"/>
              </w:rPr>
            </w:pPr>
            <w:r>
              <w:rPr>
                <w:rFonts w:ascii="Arial" w:cs="Arial" w:eastAsia="Arial" w:hAnsi="Arial"/>
                <w:sz w:val="20"/>
                <w:szCs w:val="20"/>
                <w:color w:val="auto"/>
              </w:rPr>
              <w:t>148</w:t>
            </w:r>
          </w:p>
        </w:tc>
      </w:tr>
      <w:tr>
        <w:trPr>
          <w:trHeight w:val="275"/>
        </w:trPr>
        <w:tc>
          <w:tcPr>
            <w:tcW w:w="660" w:type="dxa"/>
            <w:vAlign w:val="bottom"/>
          </w:tcPr>
          <w:p>
            <w:pPr>
              <w:spacing w:after="0"/>
              <w:rPr>
                <w:sz w:val="20"/>
                <w:szCs w:val="20"/>
                <w:color w:val="auto"/>
              </w:rPr>
            </w:pPr>
            <w:r>
              <w:rPr>
                <w:rFonts w:ascii="Arial" w:cs="Arial" w:eastAsia="Arial" w:hAnsi="Arial"/>
                <w:sz w:val="20"/>
                <w:szCs w:val="20"/>
                <w:color w:val="auto"/>
              </w:rPr>
              <w:t>10.13.</w:t>
            </w:r>
          </w:p>
        </w:tc>
        <w:tc>
          <w:tcPr>
            <w:tcW w:w="7760" w:type="dxa"/>
            <w:vAlign w:val="bottom"/>
          </w:tcPr>
          <w:p>
            <w:pPr>
              <w:ind w:left="200"/>
              <w:spacing w:after="0"/>
              <w:rPr>
                <w:sz w:val="20"/>
                <w:szCs w:val="20"/>
                <w:color w:val="auto"/>
              </w:rPr>
            </w:pPr>
            <w:r>
              <w:rPr>
                <w:rFonts w:ascii="Arial" w:cs="Arial" w:eastAsia="Arial" w:hAnsi="Arial"/>
                <w:sz w:val="20"/>
                <w:szCs w:val="20"/>
                <w:color w:val="auto"/>
              </w:rPr>
              <w:t>Replacement of Lenders</w:t>
            </w:r>
          </w:p>
        </w:tc>
        <w:tc>
          <w:tcPr>
            <w:tcW w:w="2180" w:type="dxa"/>
            <w:vAlign w:val="bottom"/>
          </w:tcPr>
          <w:p>
            <w:pPr>
              <w:jc w:val="right"/>
              <w:spacing w:after="0"/>
              <w:rPr>
                <w:sz w:val="20"/>
                <w:szCs w:val="20"/>
                <w:color w:val="auto"/>
              </w:rPr>
            </w:pPr>
            <w:r>
              <w:rPr>
                <w:rFonts w:ascii="Arial" w:cs="Arial" w:eastAsia="Arial" w:hAnsi="Arial"/>
                <w:sz w:val="20"/>
                <w:szCs w:val="20"/>
                <w:color w:val="auto"/>
              </w:rPr>
              <w:t>148</w:t>
            </w:r>
          </w:p>
        </w:tc>
      </w:tr>
      <w:tr>
        <w:trPr>
          <w:trHeight w:val="275"/>
        </w:trPr>
        <w:tc>
          <w:tcPr>
            <w:tcW w:w="660" w:type="dxa"/>
            <w:vAlign w:val="bottom"/>
          </w:tcPr>
          <w:p>
            <w:pPr>
              <w:spacing w:after="0"/>
              <w:rPr>
                <w:sz w:val="20"/>
                <w:szCs w:val="20"/>
                <w:color w:val="auto"/>
              </w:rPr>
            </w:pPr>
            <w:r>
              <w:rPr>
                <w:rFonts w:ascii="Arial" w:cs="Arial" w:eastAsia="Arial" w:hAnsi="Arial"/>
                <w:sz w:val="20"/>
                <w:szCs w:val="20"/>
                <w:color w:val="auto"/>
              </w:rPr>
              <w:t>10.14.</w:t>
            </w:r>
          </w:p>
        </w:tc>
        <w:tc>
          <w:tcPr>
            <w:tcW w:w="7760" w:type="dxa"/>
            <w:vAlign w:val="bottom"/>
          </w:tcPr>
          <w:p>
            <w:pPr>
              <w:ind w:left="200"/>
              <w:spacing w:after="0"/>
              <w:rPr>
                <w:sz w:val="20"/>
                <w:szCs w:val="20"/>
                <w:color w:val="auto"/>
              </w:rPr>
            </w:pPr>
            <w:r>
              <w:rPr>
                <w:rFonts w:ascii="Arial" w:cs="Arial" w:eastAsia="Arial" w:hAnsi="Arial"/>
                <w:sz w:val="20"/>
                <w:szCs w:val="20"/>
                <w:color w:val="auto"/>
              </w:rPr>
              <w:t>Governing Law; Jurisdiction; Etc</w:t>
            </w:r>
          </w:p>
        </w:tc>
        <w:tc>
          <w:tcPr>
            <w:tcW w:w="2180" w:type="dxa"/>
            <w:vAlign w:val="bottom"/>
          </w:tcPr>
          <w:p>
            <w:pPr>
              <w:jc w:val="right"/>
              <w:spacing w:after="0"/>
              <w:rPr>
                <w:sz w:val="20"/>
                <w:szCs w:val="20"/>
                <w:color w:val="auto"/>
              </w:rPr>
            </w:pPr>
            <w:r>
              <w:rPr>
                <w:rFonts w:ascii="Arial" w:cs="Arial" w:eastAsia="Arial" w:hAnsi="Arial"/>
                <w:sz w:val="20"/>
                <w:szCs w:val="20"/>
                <w:color w:val="auto"/>
              </w:rPr>
              <w:t>149</w:t>
            </w:r>
          </w:p>
        </w:tc>
      </w:tr>
      <w:tr>
        <w:trPr>
          <w:trHeight w:val="275"/>
        </w:trPr>
        <w:tc>
          <w:tcPr>
            <w:tcW w:w="660" w:type="dxa"/>
            <w:vAlign w:val="bottom"/>
          </w:tcPr>
          <w:p>
            <w:pPr>
              <w:spacing w:after="0"/>
              <w:rPr>
                <w:sz w:val="20"/>
                <w:szCs w:val="20"/>
                <w:color w:val="auto"/>
              </w:rPr>
            </w:pPr>
            <w:r>
              <w:rPr>
                <w:rFonts w:ascii="Arial" w:cs="Arial" w:eastAsia="Arial" w:hAnsi="Arial"/>
                <w:sz w:val="20"/>
                <w:szCs w:val="20"/>
                <w:color w:val="auto"/>
              </w:rPr>
              <w:t>10.15.</w:t>
            </w:r>
          </w:p>
        </w:tc>
        <w:tc>
          <w:tcPr>
            <w:tcW w:w="7760" w:type="dxa"/>
            <w:vAlign w:val="bottom"/>
          </w:tcPr>
          <w:p>
            <w:pPr>
              <w:ind w:left="200"/>
              <w:spacing w:after="0"/>
              <w:rPr>
                <w:sz w:val="20"/>
                <w:szCs w:val="20"/>
                <w:color w:val="auto"/>
              </w:rPr>
            </w:pPr>
            <w:r>
              <w:rPr>
                <w:rFonts w:ascii="Arial" w:cs="Arial" w:eastAsia="Arial" w:hAnsi="Arial"/>
                <w:sz w:val="20"/>
                <w:szCs w:val="20"/>
                <w:color w:val="auto"/>
              </w:rPr>
              <w:t>WAIVER OF JURY TRIAL</w:t>
            </w:r>
          </w:p>
        </w:tc>
        <w:tc>
          <w:tcPr>
            <w:tcW w:w="2180" w:type="dxa"/>
            <w:vAlign w:val="bottom"/>
          </w:tcPr>
          <w:p>
            <w:pPr>
              <w:jc w:val="right"/>
              <w:spacing w:after="0"/>
              <w:rPr>
                <w:sz w:val="20"/>
                <w:szCs w:val="20"/>
                <w:color w:val="auto"/>
              </w:rPr>
            </w:pPr>
            <w:r>
              <w:rPr>
                <w:rFonts w:ascii="Arial" w:cs="Arial" w:eastAsia="Arial" w:hAnsi="Arial"/>
                <w:sz w:val="20"/>
                <w:szCs w:val="20"/>
                <w:color w:val="auto"/>
              </w:rPr>
              <w:t>150</w:t>
            </w:r>
          </w:p>
        </w:tc>
      </w:tr>
      <w:tr>
        <w:trPr>
          <w:trHeight w:val="275"/>
        </w:trPr>
        <w:tc>
          <w:tcPr>
            <w:tcW w:w="660" w:type="dxa"/>
            <w:vAlign w:val="bottom"/>
          </w:tcPr>
          <w:p>
            <w:pPr>
              <w:spacing w:after="0"/>
              <w:rPr>
                <w:sz w:val="20"/>
                <w:szCs w:val="20"/>
                <w:color w:val="auto"/>
              </w:rPr>
            </w:pPr>
            <w:r>
              <w:rPr>
                <w:rFonts w:ascii="Arial" w:cs="Arial" w:eastAsia="Arial" w:hAnsi="Arial"/>
                <w:sz w:val="20"/>
                <w:szCs w:val="20"/>
                <w:color w:val="auto"/>
              </w:rPr>
              <w:t>10.16.</w:t>
            </w:r>
          </w:p>
        </w:tc>
        <w:tc>
          <w:tcPr>
            <w:tcW w:w="7760" w:type="dxa"/>
            <w:vAlign w:val="bottom"/>
          </w:tcPr>
          <w:p>
            <w:pPr>
              <w:ind w:left="200"/>
              <w:spacing w:after="0"/>
              <w:rPr>
                <w:sz w:val="20"/>
                <w:szCs w:val="20"/>
                <w:color w:val="auto"/>
              </w:rPr>
            </w:pPr>
            <w:r>
              <w:rPr>
                <w:rFonts w:ascii="Arial" w:cs="Arial" w:eastAsia="Arial" w:hAnsi="Arial"/>
                <w:sz w:val="20"/>
                <w:szCs w:val="20"/>
                <w:color w:val="auto"/>
              </w:rPr>
              <w:t>No Advisory or Fiduciary Responsibility</w:t>
            </w:r>
          </w:p>
        </w:tc>
        <w:tc>
          <w:tcPr>
            <w:tcW w:w="2180" w:type="dxa"/>
            <w:vAlign w:val="bottom"/>
          </w:tcPr>
          <w:p>
            <w:pPr>
              <w:jc w:val="right"/>
              <w:spacing w:after="0"/>
              <w:rPr>
                <w:sz w:val="20"/>
                <w:szCs w:val="20"/>
                <w:color w:val="auto"/>
              </w:rPr>
            </w:pPr>
            <w:r>
              <w:rPr>
                <w:rFonts w:ascii="Arial" w:cs="Arial" w:eastAsia="Arial" w:hAnsi="Arial"/>
                <w:sz w:val="20"/>
                <w:szCs w:val="20"/>
                <w:color w:val="auto"/>
              </w:rPr>
              <w:t>150</w:t>
            </w:r>
          </w:p>
        </w:tc>
      </w:tr>
      <w:tr>
        <w:trPr>
          <w:trHeight w:val="275"/>
        </w:trPr>
        <w:tc>
          <w:tcPr>
            <w:tcW w:w="660" w:type="dxa"/>
            <w:vAlign w:val="bottom"/>
          </w:tcPr>
          <w:p>
            <w:pPr>
              <w:spacing w:after="0"/>
              <w:rPr>
                <w:sz w:val="20"/>
                <w:szCs w:val="20"/>
                <w:color w:val="auto"/>
              </w:rPr>
            </w:pPr>
            <w:r>
              <w:rPr>
                <w:rFonts w:ascii="Arial" w:cs="Arial" w:eastAsia="Arial" w:hAnsi="Arial"/>
                <w:sz w:val="20"/>
                <w:szCs w:val="20"/>
                <w:color w:val="auto"/>
              </w:rPr>
              <w:t>10.17.</w:t>
            </w:r>
          </w:p>
        </w:tc>
        <w:tc>
          <w:tcPr>
            <w:tcW w:w="7760" w:type="dxa"/>
            <w:vAlign w:val="bottom"/>
          </w:tcPr>
          <w:p>
            <w:pPr>
              <w:ind w:left="200"/>
              <w:spacing w:after="0"/>
              <w:rPr>
                <w:sz w:val="20"/>
                <w:szCs w:val="20"/>
                <w:color w:val="auto"/>
              </w:rPr>
            </w:pPr>
            <w:r>
              <w:rPr>
                <w:rFonts w:ascii="Arial" w:cs="Arial" w:eastAsia="Arial" w:hAnsi="Arial"/>
                <w:sz w:val="20"/>
                <w:szCs w:val="20"/>
                <w:color w:val="auto"/>
              </w:rPr>
              <w:t>Electronic Execution of Assignments and Certain Other Documents</w:t>
            </w:r>
          </w:p>
        </w:tc>
        <w:tc>
          <w:tcPr>
            <w:tcW w:w="2180" w:type="dxa"/>
            <w:vAlign w:val="bottom"/>
          </w:tcPr>
          <w:p>
            <w:pPr>
              <w:jc w:val="right"/>
              <w:spacing w:after="0"/>
              <w:rPr>
                <w:sz w:val="20"/>
                <w:szCs w:val="20"/>
                <w:color w:val="auto"/>
              </w:rPr>
            </w:pPr>
            <w:r>
              <w:rPr>
                <w:rFonts w:ascii="Arial" w:cs="Arial" w:eastAsia="Arial" w:hAnsi="Arial"/>
                <w:sz w:val="20"/>
                <w:szCs w:val="20"/>
                <w:color w:val="auto"/>
              </w:rPr>
              <w:t>151</w:t>
            </w:r>
          </w:p>
        </w:tc>
      </w:tr>
      <w:tr>
        <w:trPr>
          <w:trHeight w:val="275"/>
        </w:trPr>
        <w:tc>
          <w:tcPr>
            <w:tcW w:w="660" w:type="dxa"/>
            <w:vAlign w:val="bottom"/>
          </w:tcPr>
          <w:p>
            <w:pPr>
              <w:spacing w:after="0"/>
              <w:rPr>
                <w:sz w:val="20"/>
                <w:szCs w:val="20"/>
                <w:color w:val="auto"/>
              </w:rPr>
            </w:pPr>
            <w:r>
              <w:rPr>
                <w:rFonts w:ascii="Arial" w:cs="Arial" w:eastAsia="Arial" w:hAnsi="Arial"/>
                <w:sz w:val="20"/>
                <w:szCs w:val="20"/>
                <w:color w:val="auto"/>
              </w:rPr>
              <w:t>10.18.</w:t>
            </w:r>
          </w:p>
        </w:tc>
        <w:tc>
          <w:tcPr>
            <w:tcW w:w="7760" w:type="dxa"/>
            <w:vAlign w:val="bottom"/>
          </w:tcPr>
          <w:p>
            <w:pPr>
              <w:ind w:left="200"/>
              <w:spacing w:after="0"/>
              <w:rPr>
                <w:sz w:val="20"/>
                <w:szCs w:val="20"/>
                <w:color w:val="auto"/>
              </w:rPr>
            </w:pPr>
            <w:r>
              <w:rPr>
                <w:rFonts w:ascii="Arial" w:cs="Arial" w:eastAsia="Arial" w:hAnsi="Arial"/>
                <w:sz w:val="20"/>
                <w:szCs w:val="20"/>
                <w:color w:val="auto"/>
              </w:rPr>
              <w:t>USA PATRIOT Act</w:t>
            </w:r>
          </w:p>
        </w:tc>
        <w:tc>
          <w:tcPr>
            <w:tcW w:w="2180" w:type="dxa"/>
            <w:vAlign w:val="bottom"/>
          </w:tcPr>
          <w:p>
            <w:pPr>
              <w:jc w:val="right"/>
              <w:spacing w:after="0"/>
              <w:rPr>
                <w:sz w:val="20"/>
                <w:szCs w:val="20"/>
                <w:color w:val="auto"/>
              </w:rPr>
            </w:pPr>
            <w:r>
              <w:rPr>
                <w:rFonts w:ascii="Arial" w:cs="Arial" w:eastAsia="Arial" w:hAnsi="Arial"/>
                <w:sz w:val="20"/>
                <w:szCs w:val="20"/>
                <w:color w:val="auto"/>
              </w:rPr>
              <w:t>151</w:t>
            </w:r>
          </w:p>
        </w:tc>
      </w:tr>
      <w:tr>
        <w:trPr>
          <w:trHeight w:val="275"/>
        </w:trPr>
        <w:tc>
          <w:tcPr>
            <w:tcW w:w="660" w:type="dxa"/>
            <w:vAlign w:val="bottom"/>
          </w:tcPr>
          <w:p>
            <w:pPr>
              <w:spacing w:after="0"/>
              <w:rPr>
                <w:sz w:val="20"/>
                <w:szCs w:val="20"/>
                <w:color w:val="auto"/>
              </w:rPr>
            </w:pPr>
            <w:r>
              <w:rPr>
                <w:rFonts w:ascii="Arial" w:cs="Arial" w:eastAsia="Arial" w:hAnsi="Arial"/>
                <w:sz w:val="20"/>
                <w:szCs w:val="20"/>
                <w:color w:val="auto"/>
              </w:rPr>
              <w:t>10.19.</w:t>
            </w:r>
          </w:p>
        </w:tc>
        <w:tc>
          <w:tcPr>
            <w:tcW w:w="7760" w:type="dxa"/>
            <w:vAlign w:val="bottom"/>
          </w:tcPr>
          <w:p>
            <w:pPr>
              <w:ind w:left="200"/>
              <w:spacing w:after="0"/>
              <w:rPr>
                <w:sz w:val="20"/>
                <w:szCs w:val="20"/>
                <w:color w:val="auto"/>
              </w:rPr>
            </w:pPr>
            <w:r>
              <w:rPr>
                <w:rFonts w:ascii="Arial" w:cs="Arial" w:eastAsia="Arial" w:hAnsi="Arial"/>
                <w:sz w:val="20"/>
                <w:szCs w:val="20"/>
                <w:color w:val="auto"/>
              </w:rPr>
              <w:t>Acknowledgement and Consent to Bail-in of EEA Financial Institutions</w:t>
            </w:r>
          </w:p>
        </w:tc>
        <w:tc>
          <w:tcPr>
            <w:tcW w:w="2180" w:type="dxa"/>
            <w:vAlign w:val="bottom"/>
          </w:tcPr>
          <w:p>
            <w:pPr>
              <w:jc w:val="right"/>
              <w:spacing w:after="0"/>
              <w:rPr>
                <w:sz w:val="20"/>
                <w:szCs w:val="20"/>
                <w:color w:val="auto"/>
              </w:rPr>
            </w:pPr>
            <w:r>
              <w:rPr>
                <w:rFonts w:ascii="Arial" w:cs="Arial" w:eastAsia="Arial" w:hAnsi="Arial"/>
                <w:sz w:val="20"/>
                <w:szCs w:val="20"/>
                <w:color w:val="auto"/>
              </w:rPr>
              <w:t>152</w:t>
            </w:r>
          </w:p>
        </w:tc>
      </w:tr>
      <w:tr>
        <w:trPr>
          <w:trHeight w:val="275"/>
        </w:trPr>
        <w:tc>
          <w:tcPr>
            <w:tcW w:w="660" w:type="dxa"/>
            <w:vAlign w:val="bottom"/>
          </w:tcPr>
          <w:p>
            <w:pPr>
              <w:spacing w:after="0"/>
              <w:rPr>
                <w:sz w:val="20"/>
                <w:szCs w:val="20"/>
                <w:color w:val="auto"/>
              </w:rPr>
            </w:pPr>
            <w:r>
              <w:rPr>
                <w:rFonts w:ascii="Arial" w:cs="Arial" w:eastAsia="Arial" w:hAnsi="Arial"/>
                <w:sz w:val="20"/>
                <w:szCs w:val="20"/>
                <w:color w:val="auto"/>
              </w:rPr>
              <w:t>10.20.</w:t>
            </w:r>
          </w:p>
        </w:tc>
        <w:tc>
          <w:tcPr>
            <w:tcW w:w="7760" w:type="dxa"/>
            <w:vAlign w:val="bottom"/>
          </w:tcPr>
          <w:p>
            <w:pPr>
              <w:ind w:left="200"/>
              <w:spacing w:after="0"/>
              <w:rPr>
                <w:sz w:val="20"/>
                <w:szCs w:val="20"/>
                <w:color w:val="auto"/>
              </w:rPr>
            </w:pPr>
            <w:r>
              <w:rPr>
                <w:rFonts w:ascii="Arial" w:cs="Arial" w:eastAsia="Arial" w:hAnsi="Arial"/>
                <w:sz w:val="20"/>
                <w:szCs w:val="20"/>
                <w:color w:val="auto"/>
              </w:rPr>
              <w:t>No Novation</w:t>
            </w:r>
          </w:p>
        </w:tc>
        <w:tc>
          <w:tcPr>
            <w:tcW w:w="2180" w:type="dxa"/>
            <w:vAlign w:val="bottom"/>
          </w:tcPr>
          <w:p>
            <w:pPr>
              <w:jc w:val="right"/>
              <w:spacing w:after="0"/>
              <w:rPr>
                <w:sz w:val="20"/>
                <w:szCs w:val="20"/>
                <w:color w:val="auto"/>
              </w:rPr>
            </w:pPr>
            <w:r>
              <w:rPr>
                <w:rFonts w:ascii="Arial" w:cs="Arial" w:eastAsia="Arial" w:hAnsi="Arial"/>
                <w:sz w:val="20"/>
                <w:szCs w:val="20"/>
                <w:color w:val="auto"/>
              </w:rPr>
              <w:t>152</w:t>
            </w:r>
          </w:p>
        </w:tc>
      </w:tr>
      <w:tr>
        <w:trPr>
          <w:trHeight w:val="275"/>
        </w:trPr>
        <w:tc>
          <w:tcPr>
            <w:tcW w:w="660" w:type="dxa"/>
            <w:vAlign w:val="bottom"/>
          </w:tcPr>
          <w:p>
            <w:pPr>
              <w:spacing w:after="0"/>
              <w:rPr>
                <w:sz w:val="20"/>
                <w:szCs w:val="20"/>
                <w:color w:val="auto"/>
              </w:rPr>
            </w:pPr>
            <w:r>
              <w:rPr>
                <w:rFonts w:ascii="Arial" w:cs="Arial" w:eastAsia="Arial" w:hAnsi="Arial"/>
                <w:sz w:val="20"/>
                <w:szCs w:val="20"/>
                <w:color w:val="auto"/>
              </w:rPr>
              <w:t>10.21.</w:t>
            </w:r>
          </w:p>
        </w:tc>
        <w:tc>
          <w:tcPr>
            <w:tcW w:w="7760" w:type="dxa"/>
            <w:vAlign w:val="bottom"/>
          </w:tcPr>
          <w:p>
            <w:pPr>
              <w:ind w:left="200"/>
              <w:spacing w:after="0"/>
              <w:rPr>
                <w:sz w:val="20"/>
                <w:szCs w:val="20"/>
                <w:color w:val="auto"/>
              </w:rPr>
            </w:pPr>
            <w:r>
              <w:rPr>
                <w:rFonts w:ascii="Arial" w:cs="Arial" w:eastAsia="Arial" w:hAnsi="Arial"/>
                <w:sz w:val="20"/>
                <w:szCs w:val="20"/>
                <w:color w:val="auto"/>
              </w:rPr>
              <w:t>Exiting Lenders</w:t>
            </w:r>
          </w:p>
        </w:tc>
        <w:tc>
          <w:tcPr>
            <w:tcW w:w="2180" w:type="dxa"/>
            <w:vAlign w:val="bottom"/>
          </w:tcPr>
          <w:p>
            <w:pPr>
              <w:jc w:val="right"/>
              <w:spacing w:after="0"/>
              <w:rPr>
                <w:sz w:val="20"/>
                <w:szCs w:val="20"/>
                <w:color w:val="auto"/>
              </w:rPr>
            </w:pPr>
            <w:r>
              <w:rPr>
                <w:rFonts w:ascii="Arial" w:cs="Arial" w:eastAsia="Arial" w:hAnsi="Arial"/>
                <w:sz w:val="20"/>
                <w:szCs w:val="20"/>
                <w:color w:val="auto"/>
              </w:rPr>
              <w:t>153</w:t>
            </w:r>
          </w:p>
        </w:tc>
      </w:tr>
      <w:tr>
        <w:trPr>
          <w:trHeight w:val="275"/>
        </w:trPr>
        <w:tc>
          <w:tcPr>
            <w:tcW w:w="660" w:type="dxa"/>
            <w:vAlign w:val="bottom"/>
          </w:tcPr>
          <w:p>
            <w:pPr>
              <w:spacing w:after="0"/>
              <w:rPr>
                <w:sz w:val="20"/>
                <w:szCs w:val="20"/>
                <w:color w:val="auto"/>
              </w:rPr>
            </w:pPr>
            <w:r>
              <w:rPr>
                <w:rFonts w:ascii="Arial" w:cs="Arial" w:eastAsia="Arial" w:hAnsi="Arial"/>
                <w:sz w:val="20"/>
                <w:szCs w:val="20"/>
                <w:color w:val="auto"/>
              </w:rPr>
              <w:t>10.22.</w:t>
            </w:r>
          </w:p>
        </w:tc>
        <w:tc>
          <w:tcPr>
            <w:tcW w:w="7760" w:type="dxa"/>
            <w:vAlign w:val="bottom"/>
          </w:tcPr>
          <w:p>
            <w:pPr>
              <w:ind w:left="200"/>
              <w:spacing w:after="0"/>
              <w:rPr>
                <w:sz w:val="20"/>
                <w:szCs w:val="20"/>
                <w:color w:val="auto"/>
              </w:rPr>
            </w:pPr>
            <w:r>
              <w:rPr>
                <w:rFonts w:ascii="Arial" w:cs="Arial" w:eastAsia="Arial" w:hAnsi="Arial"/>
                <w:sz w:val="20"/>
                <w:szCs w:val="20"/>
                <w:color w:val="auto"/>
              </w:rPr>
              <w:t>Release of Guarantors on Restatement Effective Date</w:t>
            </w:r>
          </w:p>
        </w:tc>
        <w:tc>
          <w:tcPr>
            <w:tcW w:w="2180" w:type="dxa"/>
            <w:vAlign w:val="bottom"/>
          </w:tcPr>
          <w:p>
            <w:pPr>
              <w:jc w:val="right"/>
              <w:spacing w:after="0"/>
              <w:rPr>
                <w:sz w:val="20"/>
                <w:szCs w:val="20"/>
                <w:color w:val="auto"/>
              </w:rPr>
            </w:pPr>
            <w:r>
              <w:rPr>
                <w:rFonts w:ascii="Arial" w:cs="Arial" w:eastAsia="Arial" w:hAnsi="Arial"/>
                <w:sz w:val="20"/>
                <w:szCs w:val="20"/>
                <w:color w:val="auto"/>
              </w:rPr>
              <w:t>153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600"/>
          </w:cols>
          <w:pgMar w:left="620" w:top="920" w:right="6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4"/>
        </w:trPr>
        <w:tc>
          <w:tcPr>
            <w:tcW w:w="1440" w:type="dxa"/>
            <w:vAlign w:val="bottom"/>
          </w:tcPr>
          <w:p>
            <w:pPr>
              <w:spacing w:after="0"/>
              <w:rPr>
                <w:sz w:val="20"/>
                <w:szCs w:val="20"/>
                <w:color w:val="auto"/>
              </w:rPr>
            </w:pPr>
            <w:r>
              <w:rPr>
                <w:rFonts w:ascii="Arial" w:cs="Arial" w:eastAsia="Arial" w:hAnsi="Arial"/>
                <w:sz w:val="20"/>
                <w:szCs w:val="20"/>
                <w:color w:val="auto"/>
              </w:rPr>
              <w:t>SCHEDULES</w:t>
            </w:r>
          </w:p>
        </w:tc>
        <w:tc>
          <w:tcPr>
            <w:tcW w:w="5220" w:type="dxa"/>
            <w:vAlign w:val="bottom"/>
          </w:tcPr>
          <w:p>
            <w:pPr>
              <w:spacing w:after="0"/>
              <w:rPr>
                <w:sz w:val="22"/>
                <w:szCs w:val="22"/>
                <w:color w:val="auto"/>
              </w:rPr>
            </w:pPr>
          </w:p>
        </w:tc>
      </w:tr>
      <w:tr>
        <w:trPr>
          <w:trHeight w:val="275"/>
        </w:trPr>
        <w:tc>
          <w:tcPr>
            <w:tcW w:w="1440" w:type="dxa"/>
            <w:vAlign w:val="bottom"/>
          </w:tcPr>
          <w:p>
            <w:pPr>
              <w:spacing w:after="0"/>
              <w:rPr>
                <w:sz w:val="20"/>
                <w:szCs w:val="20"/>
                <w:color w:val="auto"/>
              </w:rPr>
            </w:pPr>
            <w:r>
              <w:rPr>
                <w:rFonts w:ascii="Arial" w:cs="Arial" w:eastAsia="Arial" w:hAnsi="Arial"/>
                <w:sz w:val="20"/>
                <w:szCs w:val="20"/>
                <w:color w:val="auto"/>
              </w:rPr>
              <w:t>I</w:t>
            </w:r>
          </w:p>
        </w:tc>
        <w:tc>
          <w:tcPr>
            <w:tcW w:w="5220" w:type="dxa"/>
            <w:vAlign w:val="bottom"/>
          </w:tcPr>
          <w:p>
            <w:pPr>
              <w:ind w:left="280"/>
              <w:spacing w:after="0"/>
              <w:rPr>
                <w:sz w:val="20"/>
                <w:szCs w:val="20"/>
                <w:color w:val="auto"/>
              </w:rPr>
            </w:pPr>
            <w:r>
              <w:rPr>
                <w:rFonts w:ascii="Arial" w:cs="Arial" w:eastAsia="Arial" w:hAnsi="Arial"/>
                <w:sz w:val="20"/>
                <w:szCs w:val="20"/>
                <w:color w:val="auto"/>
              </w:rPr>
              <w:t>[Reserved]</w:t>
            </w:r>
          </w:p>
        </w:tc>
      </w:tr>
      <w:tr>
        <w:trPr>
          <w:trHeight w:val="275"/>
        </w:trPr>
        <w:tc>
          <w:tcPr>
            <w:tcW w:w="1440" w:type="dxa"/>
            <w:vAlign w:val="bottom"/>
          </w:tcPr>
          <w:p>
            <w:pPr>
              <w:spacing w:after="0"/>
              <w:rPr>
                <w:sz w:val="20"/>
                <w:szCs w:val="20"/>
                <w:color w:val="auto"/>
              </w:rPr>
            </w:pPr>
            <w:r>
              <w:rPr>
                <w:rFonts w:ascii="Arial" w:cs="Arial" w:eastAsia="Arial" w:hAnsi="Arial"/>
                <w:sz w:val="20"/>
                <w:szCs w:val="20"/>
                <w:color w:val="auto"/>
              </w:rPr>
              <w:t>II</w:t>
            </w:r>
          </w:p>
        </w:tc>
        <w:tc>
          <w:tcPr>
            <w:tcW w:w="5220" w:type="dxa"/>
            <w:vAlign w:val="bottom"/>
          </w:tcPr>
          <w:p>
            <w:pPr>
              <w:ind w:left="280"/>
              <w:spacing w:after="0"/>
              <w:rPr>
                <w:sz w:val="20"/>
                <w:szCs w:val="20"/>
                <w:color w:val="auto"/>
              </w:rPr>
            </w:pPr>
            <w:r>
              <w:rPr>
                <w:rFonts w:ascii="Arial" w:cs="Arial" w:eastAsia="Arial" w:hAnsi="Arial"/>
                <w:sz w:val="20"/>
                <w:szCs w:val="20"/>
                <w:color w:val="auto"/>
              </w:rPr>
              <w:t>Exceptions to Recourse Liability</w:t>
            </w:r>
          </w:p>
        </w:tc>
      </w:tr>
      <w:tr>
        <w:trPr>
          <w:trHeight w:val="275"/>
        </w:trPr>
        <w:tc>
          <w:tcPr>
            <w:tcW w:w="1440" w:type="dxa"/>
            <w:vAlign w:val="bottom"/>
          </w:tcPr>
          <w:p>
            <w:pPr>
              <w:spacing w:after="0"/>
              <w:rPr>
                <w:sz w:val="20"/>
                <w:szCs w:val="20"/>
                <w:color w:val="auto"/>
              </w:rPr>
            </w:pPr>
            <w:r>
              <w:rPr>
                <w:rFonts w:ascii="Arial" w:cs="Arial" w:eastAsia="Arial" w:hAnsi="Arial"/>
                <w:sz w:val="20"/>
                <w:szCs w:val="20"/>
                <w:color w:val="auto"/>
              </w:rPr>
              <w:t>III</w:t>
            </w:r>
          </w:p>
        </w:tc>
        <w:tc>
          <w:tcPr>
            <w:tcW w:w="5220" w:type="dxa"/>
            <w:vAlign w:val="bottom"/>
          </w:tcPr>
          <w:p>
            <w:pPr>
              <w:ind w:left="280"/>
              <w:spacing w:after="0"/>
              <w:rPr>
                <w:sz w:val="20"/>
                <w:szCs w:val="20"/>
                <w:color w:val="auto"/>
              </w:rPr>
            </w:pPr>
            <w:r>
              <w:rPr>
                <w:rFonts w:ascii="Arial" w:cs="Arial" w:eastAsia="Arial" w:hAnsi="Arial"/>
                <w:sz w:val="20"/>
                <w:szCs w:val="20"/>
                <w:color w:val="auto"/>
              </w:rPr>
              <w:t>Initial Unencumbered Eligible Properties</w:t>
            </w:r>
          </w:p>
        </w:tc>
      </w:tr>
      <w:tr>
        <w:trPr>
          <w:trHeight w:val="275"/>
        </w:trPr>
        <w:tc>
          <w:tcPr>
            <w:tcW w:w="1440" w:type="dxa"/>
            <w:vAlign w:val="bottom"/>
          </w:tcPr>
          <w:p>
            <w:pPr>
              <w:spacing w:after="0"/>
              <w:rPr>
                <w:sz w:val="20"/>
                <w:szCs w:val="20"/>
                <w:color w:val="auto"/>
              </w:rPr>
            </w:pPr>
            <w:r>
              <w:rPr>
                <w:rFonts w:ascii="Arial" w:cs="Arial" w:eastAsia="Arial" w:hAnsi="Arial"/>
                <w:sz w:val="20"/>
                <w:szCs w:val="20"/>
                <w:color w:val="auto"/>
              </w:rPr>
              <w:t>2.01</w:t>
            </w:r>
          </w:p>
        </w:tc>
        <w:tc>
          <w:tcPr>
            <w:tcW w:w="5220" w:type="dxa"/>
            <w:vAlign w:val="bottom"/>
          </w:tcPr>
          <w:p>
            <w:pPr>
              <w:ind w:left="280"/>
              <w:spacing w:after="0"/>
              <w:rPr>
                <w:sz w:val="20"/>
                <w:szCs w:val="20"/>
                <w:color w:val="auto"/>
              </w:rPr>
            </w:pPr>
            <w:r>
              <w:rPr>
                <w:rFonts w:ascii="Arial" w:cs="Arial" w:eastAsia="Arial" w:hAnsi="Arial"/>
                <w:sz w:val="20"/>
                <w:szCs w:val="20"/>
                <w:color w:val="auto"/>
              </w:rPr>
              <w:t>Commitments, Applicable Percentages and Sublimits</w:t>
            </w:r>
          </w:p>
        </w:tc>
      </w:tr>
      <w:tr>
        <w:trPr>
          <w:trHeight w:val="275"/>
        </w:trPr>
        <w:tc>
          <w:tcPr>
            <w:tcW w:w="1440" w:type="dxa"/>
            <w:vAlign w:val="bottom"/>
          </w:tcPr>
          <w:p>
            <w:pPr>
              <w:spacing w:after="0"/>
              <w:rPr>
                <w:sz w:val="20"/>
                <w:szCs w:val="20"/>
                <w:color w:val="auto"/>
              </w:rPr>
            </w:pPr>
            <w:r>
              <w:rPr>
                <w:rFonts w:ascii="Arial" w:cs="Arial" w:eastAsia="Arial" w:hAnsi="Arial"/>
                <w:sz w:val="20"/>
                <w:szCs w:val="20"/>
                <w:color w:val="auto"/>
              </w:rPr>
              <w:t>5.09(c)</w:t>
            </w:r>
          </w:p>
        </w:tc>
        <w:tc>
          <w:tcPr>
            <w:tcW w:w="5220" w:type="dxa"/>
            <w:vAlign w:val="bottom"/>
          </w:tcPr>
          <w:p>
            <w:pPr>
              <w:ind w:left="280"/>
              <w:spacing w:after="0"/>
              <w:rPr>
                <w:sz w:val="20"/>
                <w:szCs w:val="20"/>
                <w:color w:val="auto"/>
              </w:rPr>
            </w:pPr>
            <w:r>
              <w:rPr>
                <w:rFonts w:ascii="Arial" w:cs="Arial" w:eastAsia="Arial" w:hAnsi="Arial"/>
                <w:sz w:val="20"/>
                <w:szCs w:val="20"/>
                <w:color w:val="auto"/>
              </w:rPr>
              <w:t>Releases of Hazardous Materials</w:t>
            </w:r>
          </w:p>
        </w:tc>
      </w:tr>
      <w:tr>
        <w:trPr>
          <w:trHeight w:val="275"/>
        </w:trPr>
        <w:tc>
          <w:tcPr>
            <w:tcW w:w="1440" w:type="dxa"/>
            <w:vAlign w:val="bottom"/>
          </w:tcPr>
          <w:p>
            <w:pPr>
              <w:spacing w:after="0"/>
              <w:rPr>
                <w:sz w:val="20"/>
                <w:szCs w:val="20"/>
                <w:color w:val="auto"/>
              </w:rPr>
            </w:pPr>
            <w:r>
              <w:rPr>
                <w:rFonts w:ascii="Arial" w:cs="Arial" w:eastAsia="Arial" w:hAnsi="Arial"/>
                <w:sz w:val="20"/>
                <w:szCs w:val="20"/>
                <w:color w:val="auto"/>
              </w:rPr>
              <w:t>5.09(d)</w:t>
            </w:r>
          </w:p>
        </w:tc>
        <w:tc>
          <w:tcPr>
            <w:tcW w:w="5220" w:type="dxa"/>
            <w:vAlign w:val="bottom"/>
          </w:tcPr>
          <w:p>
            <w:pPr>
              <w:ind w:left="280"/>
              <w:spacing w:after="0"/>
              <w:rPr>
                <w:sz w:val="20"/>
                <w:szCs w:val="20"/>
                <w:color w:val="auto"/>
              </w:rPr>
            </w:pPr>
            <w:r>
              <w:rPr>
                <w:rFonts w:ascii="Arial" w:cs="Arial" w:eastAsia="Arial" w:hAnsi="Arial"/>
                <w:sz w:val="20"/>
                <w:szCs w:val="20"/>
                <w:color w:val="auto"/>
              </w:rPr>
              <w:t>Environmental Compliance</w:t>
            </w:r>
          </w:p>
        </w:tc>
      </w:tr>
      <w:tr>
        <w:trPr>
          <w:trHeight w:val="275"/>
        </w:trPr>
        <w:tc>
          <w:tcPr>
            <w:tcW w:w="1440" w:type="dxa"/>
            <w:vAlign w:val="bottom"/>
          </w:tcPr>
          <w:p>
            <w:pPr>
              <w:spacing w:after="0"/>
              <w:rPr>
                <w:sz w:val="20"/>
                <w:szCs w:val="20"/>
                <w:color w:val="auto"/>
              </w:rPr>
            </w:pPr>
            <w:r>
              <w:rPr>
                <w:rFonts w:ascii="Arial" w:cs="Arial" w:eastAsia="Arial" w:hAnsi="Arial"/>
                <w:sz w:val="20"/>
                <w:szCs w:val="20"/>
                <w:color w:val="auto"/>
              </w:rPr>
              <w:t>5.11</w:t>
            </w:r>
          </w:p>
        </w:tc>
        <w:tc>
          <w:tcPr>
            <w:tcW w:w="5220" w:type="dxa"/>
            <w:vAlign w:val="bottom"/>
          </w:tcPr>
          <w:p>
            <w:pPr>
              <w:ind w:left="280"/>
              <w:spacing w:after="0"/>
              <w:rPr>
                <w:sz w:val="20"/>
                <w:szCs w:val="20"/>
                <w:color w:val="auto"/>
              </w:rPr>
            </w:pPr>
            <w:r>
              <w:rPr>
                <w:rFonts w:ascii="Arial" w:cs="Arial" w:eastAsia="Arial" w:hAnsi="Arial"/>
                <w:sz w:val="20"/>
                <w:szCs w:val="20"/>
                <w:color w:val="auto"/>
              </w:rPr>
              <w:t>Tax Sharing Agreements</w:t>
            </w:r>
          </w:p>
        </w:tc>
      </w:tr>
      <w:tr>
        <w:trPr>
          <w:trHeight w:val="275"/>
        </w:trPr>
        <w:tc>
          <w:tcPr>
            <w:tcW w:w="1440" w:type="dxa"/>
            <w:vAlign w:val="bottom"/>
          </w:tcPr>
          <w:p>
            <w:pPr>
              <w:spacing w:after="0"/>
              <w:rPr>
                <w:sz w:val="20"/>
                <w:szCs w:val="20"/>
                <w:color w:val="auto"/>
              </w:rPr>
            </w:pPr>
            <w:r>
              <w:rPr>
                <w:rFonts w:ascii="Arial" w:cs="Arial" w:eastAsia="Arial" w:hAnsi="Arial"/>
                <w:sz w:val="20"/>
                <w:szCs w:val="20"/>
                <w:color w:val="auto"/>
              </w:rPr>
              <w:t>5.12(d)</w:t>
            </w:r>
          </w:p>
        </w:tc>
        <w:tc>
          <w:tcPr>
            <w:tcW w:w="5220" w:type="dxa"/>
            <w:vAlign w:val="bottom"/>
          </w:tcPr>
          <w:p>
            <w:pPr>
              <w:ind w:left="280"/>
              <w:spacing w:after="0"/>
              <w:rPr>
                <w:sz w:val="20"/>
                <w:szCs w:val="20"/>
                <w:color w:val="auto"/>
              </w:rPr>
            </w:pPr>
            <w:r>
              <w:rPr>
                <w:rFonts w:ascii="Arial" w:cs="Arial" w:eastAsia="Arial" w:hAnsi="Arial"/>
                <w:sz w:val="20"/>
                <w:szCs w:val="20"/>
                <w:color w:val="auto"/>
              </w:rPr>
              <w:t>Pension Plans</w:t>
            </w:r>
          </w:p>
        </w:tc>
      </w:tr>
      <w:tr>
        <w:trPr>
          <w:trHeight w:val="275"/>
        </w:trPr>
        <w:tc>
          <w:tcPr>
            <w:tcW w:w="1440" w:type="dxa"/>
            <w:vAlign w:val="bottom"/>
          </w:tcPr>
          <w:p>
            <w:pPr>
              <w:spacing w:after="0"/>
              <w:rPr>
                <w:sz w:val="20"/>
                <w:szCs w:val="20"/>
                <w:color w:val="auto"/>
              </w:rPr>
            </w:pPr>
            <w:r>
              <w:rPr>
                <w:rFonts w:ascii="Arial" w:cs="Arial" w:eastAsia="Arial" w:hAnsi="Arial"/>
                <w:sz w:val="20"/>
                <w:szCs w:val="20"/>
                <w:color w:val="auto"/>
              </w:rPr>
              <w:t>5.13</w:t>
            </w:r>
          </w:p>
        </w:tc>
        <w:tc>
          <w:tcPr>
            <w:tcW w:w="5220" w:type="dxa"/>
            <w:vAlign w:val="bottom"/>
          </w:tcPr>
          <w:p>
            <w:pPr>
              <w:ind w:left="280"/>
              <w:spacing w:after="0"/>
              <w:rPr>
                <w:sz w:val="20"/>
                <w:szCs w:val="20"/>
                <w:color w:val="auto"/>
              </w:rPr>
            </w:pPr>
            <w:r>
              <w:rPr>
                <w:rFonts w:ascii="Arial" w:cs="Arial" w:eastAsia="Arial" w:hAnsi="Arial"/>
                <w:sz w:val="20"/>
                <w:szCs w:val="20"/>
                <w:color w:val="auto"/>
              </w:rPr>
              <w:t>Subsidiaries; Loan Parties</w:t>
            </w:r>
          </w:p>
        </w:tc>
      </w:tr>
      <w:tr>
        <w:trPr>
          <w:trHeight w:val="275"/>
        </w:trPr>
        <w:tc>
          <w:tcPr>
            <w:tcW w:w="1440" w:type="dxa"/>
            <w:vAlign w:val="bottom"/>
          </w:tcPr>
          <w:p>
            <w:pPr>
              <w:spacing w:after="0"/>
              <w:rPr>
                <w:sz w:val="20"/>
                <w:szCs w:val="20"/>
                <w:color w:val="auto"/>
              </w:rPr>
            </w:pPr>
            <w:r>
              <w:rPr>
                <w:rFonts w:ascii="Arial" w:cs="Arial" w:eastAsia="Arial" w:hAnsi="Arial"/>
                <w:sz w:val="20"/>
                <w:szCs w:val="20"/>
                <w:color w:val="auto"/>
              </w:rPr>
              <w:t>7.01(m)</w:t>
            </w:r>
          </w:p>
        </w:tc>
        <w:tc>
          <w:tcPr>
            <w:tcW w:w="5220" w:type="dxa"/>
            <w:vAlign w:val="bottom"/>
          </w:tcPr>
          <w:p>
            <w:pPr>
              <w:ind w:left="280"/>
              <w:spacing w:after="0"/>
              <w:rPr>
                <w:sz w:val="20"/>
                <w:szCs w:val="20"/>
                <w:color w:val="auto"/>
              </w:rPr>
            </w:pPr>
            <w:r>
              <w:rPr>
                <w:rFonts w:ascii="Arial" w:cs="Arial" w:eastAsia="Arial" w:hAnsi="Arial"/>
                <w:sz w:val="20"/>
                <w:szCs w:val="20"/>
                <w:color w:val="auto"/>
              </w:rPr>
              <w:t>Existing Liens</w:t>
            </w:r>
          </w:p>
        </w:tc>
      </w:tr>
      <w:tr>
        <w:trPr>
          <w:trHeight w:val="275"/>
        </w:trPr>
        <w:tc>
          <w:tcPr>
            <w:tcW w:w="1440" w:type="dxa"/>
            <w:vAlign w:val="bottom"/>
          </w:tcPr>
          <w:p>
            <w:pPr>
              <w:spacing w:after="0"/>
              <w:rPr>
                <w:sz w:val="20"/>
                <w:szCs w:val="20"/>
                <w:color w:val="auto"/>
              </w:rPr>
            </w:pPr>
            <w:r>
              <w:rPr>
                <w:rFonts w:ascii="Arial" w:cs="Arial" w:eastAsia="Arial" w:hAnsi="Arial"/>
                <w:sz w:val="20"/>
                <w:szCs w:val="20"/>
                <w:color w:val="auto"/>
              </w:rPr>
              <w:t>7.03</w:t>
            </w:r>
          </w:p>
        </w:tc>
        <w:tc>
          <w:tcPr>
            <w:tcW w:w="5220" w:type="dxa"/>
            <w:vAlign w:val="bottom"/>
          </w:tcPr>
          <w:p>
            <w:pPr>
              <w:ind w:left="280"/>
              <w:spacing w:after="0"/>
              <w:rPr>
                <w:sz w:val="20"/>
                <w:szCs w:val="20"/>
                <w:color w:val="auto"/>
              </w:rPr>
            </w:pPr>
            <w:r>
              <w:rPr>
                <w:rFonts w:ascii="Arial" w:cs="Arial" w:eastAsia="Arial" w:hAnsi="Arial"/>
                <w:sz w:val="20"/>
                <w:szCs w:val="20"/>
                <w:color w:val="auto"/>
              </w:rPr>
              <w:t>Existing Investments</w:t>
            </w:r>
          </w:p>
        </w:tc>
      </w:tr>
      <w:tr>
        <w:trPr>
          <w:trHeight w:val="275"/>
        </w:trPr>
        <w:tc>
          <w:tcPr>
            <w:tcW w:w="1440" w:type="dxa"/>
            <w:vAlign w:val="bottom"/>
          </w:tcPr>
          <w:p>
            <w:pPr>
              <w:spacing w:after="0"/>
              <w:rPr>
                <w:sz w:val="20"/>
                <w:szCs w:val="20"/>
                <w:color w:val="auto"/>
              </w:rPr>
            </w:pPr>
            <w:r>
              <w:rPr>
                <w:rFonts w:ascii="Arial" w:cs="Arial" w:eastAsia="Arial" w:hAnsi="Arial"/>
                <w:sz w:val="20"/>
                <w:szCs w:val="20"/>
                <w:color w:val="auto"/>
              </w:rPr>
              <w:t>10.02</w:t>
            </w:r>
          </w:p>
        </w:tc>
        <w:tc>
          <w:tcPr>
            <w:tcW w:w="5220" w:type="dxa"/>
            <w:vAlign w:val="bottom"/>
          </w:tcPr>
          <w:p>
            <w:pPr>
              <w:ind w:left="280"/>
              <w:spacing w:after="0"/>
              <w:rPr>
                <w:sz w:val="20"/>
                <w:szCs w:val="20"/>
                <w:color w:val="auto"/>
              </w:rPr>
            </w:pPr>
            <w:r>
              <w:rPr>
                <w:rFonts w:ascii="Arial" w:cs="Arial" w:eastAsia="Arial" w:hAnsi="Arial"/>
                <w:sz w:val="20"/>
                <w:szCs w:val="20"/>
                <w:color w:val="auto"/>
                <w:w w:val="92"/>
              </w:rPr>
              <w:t>Administrative Agent’s Office, Certain Addresses for Notices</w:t>
            </w:r>
          </w:p>
        </w:tc>
      </w:tr>
      <w:tr>
        <w:trPr>
          <w:trHeight w:val="600"/>
        </w:trPr>
        <w:tc>
          <w:tcPr>
            <w:tcW w:w="1440" w:type="dxa"/>
            <w:vAlign w:val="bottom"/>
          </w:tcPr>
          <w:p>
            <w:pPr>
              <w:spacing w:after="0"/>
              <w:rPr>
                <w:sz w:val="20"/>
                <w:szCs w:val="20"/>
                <w:color w:val="auto"/>
              </w:rPr>
            </w:pPr>
            <w:r>
              <w:rPr>
                <w:rFonts w:ascii="Arial" w:cs="Arial" w:eastAsia="Arial" w:hAnsi="Arial"/>
                <w:sz w:val="20"/>
                <w:szCs w:val="20"/>
                <w:color w:val="auto"/>
              </w:rPr>
              <w:t>EXHIBITS</w:t>
            </w:r>
          </w:p>
        </w:tc>
        <w:tc>
          <w:tcPr>
            <w:tcW w:w="5220" w:type="dxa"/>
            <w:vAlign w:val="bottom"/>
          </w:tcPr>
          <w:p>
            <w:pPr>
              <w:spacing w:after="0"/>
              <w:rPr>
                <w:sz w:val="24"/>
                <w:szCs w:val="24"/>
                <w:color w:val="auto"/>
              </w:rPr>
            </w:pPr>
          </w:p>
        </w:tc>
      </w:tr>
      <w:tr>
        <w:trPr>
          <w:trHeight w:val="575"/>
        </w:trPr>
        <w:tc>
          <w:tcPr>
            <w:tcW w:w="1440" w:type="dxa"/>
            <w:vAlign w:val="bottom"/>
          </w:tcPr>
          <w:p>
            <w:pPr>
              <w:spacing w:after="0"/>
              <w:rPr>
                <w:sz w:val="20"/>
                <w:szCs w:val="20"/>
                <w:color w:val="auto"/>
              </w:rPr>
            </w:pPr>
            <w:r>
              <w:rPr>
                <w:rFonts w:ascii="Arial" w:cs="Arial" w:eastAsia="Arial" w:hAnsi="Arial"/>
                <w:sz w:val="20"/>
                <w:szCs w:val="20"/>
                <w:b w:val="1"/>
                <w:bCs w:val="1"/>
                <w:i w:val="1"/>
                <w:iCs w:val="1"/>
                <w:color w:val="auto"/>
              </w:rPr>
              <w:t>Form of</w:t>
            </w:r>
          </w:p>
        </w:tc>
        <w:tc>
          <w:tcPr>
            <w:tcW w:w="5220" w:type="dxa"/>
            <w:vAlign w:val="bottom"/>
          </w:tcPr>
          <w:p>
            <w:pPr>
              <w:spacing w:after="0"/>
              <w:rPr>
                <w:sz w:val="24"/>
                <w:szCs w:val="24"/>
                <w:color w:val="auto"/>
              </w:rPr>
            </w:pPr>
          </w:p>
        </w:tc>
      </w:tr>
      <w:tr>
        <w:trPr>
          <w:trHeight w:val="575"/>
        </w:trPr>
        <w:tc>
          <w:tcPr>
            <w:tcW w:w="1440" w:type="dxa"/>
            <w:vAlign w:val="bottom"/>
          </w:tcPr>
          <w:p>
            <w:pPr>
              <w:spacing w:after="0"/>
              <w:rPr>
                <w:sz w:val="20"/>
                <w:szCs w:val="20"/>
                <w:color w:val="auto"/>
              </w:rPr>
            </w:pPr>
            <w:r>
              <w:rPr>
                <w:rFonts w:ascii="Arial" w:cs="Arial" w:eastAsia="Arial" w:hAnsi="Arial"/>
                <w:sz w:val="20"/>
                <w:szCs w:val="20"/>
                <w:color w:val="auto"/>
              </w:rPr>
              <w:t>A</w:t>
            </w:r>
          </w:p>
        </w:tc>
        <w:tc>
          <w:tcPr>
            <w:tcW w:w="5220" w:type="dxa"/>
            <w:vAlign w:val="bottom"/>
          </w:tcPr>
          <w:p>
            <w:pPr>
              <w:ind w:left="280"/>
              <w:spacing w:after="0"/>
              <w:rPr>
                <w:sz w:val="20"/>
                <w:szCs w:val="20"/>
                <w:color w:val="auto"/>
              </w:rPr>
            </w:pPr>
            <w:r>
              <w:rPr>
                <w:rFonts w:ascii="Arial" w:cs="Arial" w:eastAsia="Arial" w:hAnsi="Arial"/>
                <w:sz w:val="20"/>
                <w:szCs w:val="20"/>
                <w:color w:val="auto"/>
              </w:rPr>
              <w:t>Loan Notice</w:t>
            </w:r>
          </w:p>
        </w:tc>
      </w:tr>
      <w:tr>
        <w:trPr>
          <w:trHeight w:val="275"/>
        </w:trPr>
        <w:tc>
          <w:tcPr>
            <w:tcW w:w="1440" w:type="dxa"/>
            <w:vAlign w:val="bottom"/>
          </w:tcPr>
          <w:p>
            <w:pPr>
              <w:spacing w:after="0"/>
              <w:rPr>
                <w:sz w:val="20"/>
                <w:szCs w:val="20"/>
                <w:color w:val="auto"/>
              </w:rPr>
            </w:pPr>
            <w:r>
              <w:rPr>
                <w:rFonts w:ascii="Arial" w:cs="Arial" w:eastAsia="Arial" w:hAnsi="Arial"/>
                <w:sz w:val="20"/>
                <w:szCs w:val="20"/>
                <w:color w:val="auto"/>
              </w:rPr>
              <w:t>B</w:t>
            </w:r>
          </w:p>
        </w:tc>
        <w:tc>
          <w:tcPr>
            <w:tcW w:w="5220" w:type="dxa"/>
            <w:vAlign w:val="bottom"/>
          </w:tcPr>
          <w:p>
            <w:pPr>
              <w:ind w:left="280"/>
              <w:spacing w:after="0"/>
              <w:rPr>
                <w:sz w:val="20"/>
                <w:szCs w:val="20"/>
                <w:color w:val="auto"/>
              </w:rPr>
            </w:pPr>
            <w:r>
              <w:rPr>
                <w:rFonts w:ascii="Arial" w:cs="Arial" w:eastAsia="Arial" w:hAnsi="Arial"/>
                <w:sz w:val="20"/>
                <w:szCs w:val="20"/>
                <w:color w:val="auto"/>
              </w:rPr>
              <w:t>Swing Line Loan Notice</w:t>
            </w:r>
          </w:p>
        </w:tc>
      </w:tr>
      <w:tr>
        <w:trPr>
          <w:trHeight w:val="275"/>
        </w:trPr>
        <w:tc>
          <w:tcPr>
            <w:tcW w:w="1440" w:type="dxa"/>
            <w:vAlign w:val="bottom"/>
          </w:tcPr>
          <w:p>
            <w:pPr>
              <w:spacing w:after="0"/>
              <w:rPr>
                <w:sz w:val="20"/>
                <w:szCs w:val="20"/>
                <w:color w:val="auto"/>
              </w:rPr>
            </w:pPr>
            <w:r>
              <w:rPr>
                <w:rFonts w:ascii="Arial" w:cs="Arial" w:eastAsia="Arial" w:hAnsi="Arial"/>
                <w:sz w:val="20"/>
                <w:szCs w:val="20"/>
                <w:color w:val="auto"/>
              </w:rPr>
              <w:t>C-1</w:t>
            </w:r>
          </w:p>
        </w:tc>
        <w:tc>
          <w:tcPr>
            <w:tcW w:w="5220" w:type="dxa"/>
            <w:vAlign w:val="bottom"/>
          </w:tcPr>
          <w:p>
            <w:pPr>
              <w:ind w:left="280"/>
              <w:spacing w:after="0"/>
              <w:rPr>
                <w:sz w:val="20"/>
                <w:szCs w:val="20"/>
                <w:color w:val="auto"/>
              </w:rPr>
            </w:pPr>
            <w:r>
              <w:rPr>
                <w:rFonts w:ascii="Arial" w:cs="Arial" w:eastAsia="Arial" w:hAnsi="Arial"/>
                <w:sz w:val="20"/>
                <w:szCs w:val="20"/>
                <w:color w:val="auto"/>
              </w:rPr>
              <w:t>Revolving Credit Note</w:t>
            </w:r>
          </w:p>
        </w:tc>
      </w:tr>
      <w:tr>
        <w:trPr>
          <w:trHeight w:val="275"/>
        </w:trPr>
        <w:tc>
          <w:tcPr>
            <w:tcW w:w="1440" w:type="dxa"/>
            <w:vAlign w:val="bottom"/>
          </w:tcPr>
          <w:p>
            <w:pPr>
              <w:spacing w:after="0"/>
              <w:rPr>
                <w:sz w:val="20"/>
                <w:szCs w:val="20"/>
                <w:color w:val="auto"/>
              </w:rPr>
            </w:pPr>
            <w:r>
              <w:rPr>
                <w:rFonts w:ascii="Arial" w:cs="Arial" w:eastAsia="Arial" w:hAnsi="Arial"/>
                <w:sz w:val="20"/>
                <w:szCs w:val="20"/>
                <w:color w:val="auto"/>
              </w:rPr>
              <w:t>C-2</w:t>
            </w:r>
          </w:p>
        </w:tc>
        <w:tc>
          <w:tcPr>
            <w:tcW w:w="5220" w:type="dxa"/>
            <w:vAlign w:val="bottom"/>
          </w:tcPr>
          <w:p>
            <w:pPr>
              <w:ind w:left="280"/>
              <w:spacing w:after="0"/>
              <w:rPr>
                <w:sz w:val="20"/>
                <w:szCs w:val="20"/>
                <w:color w:val="auto"/>
              </w:rPr>
            </w:pPr>
            <w:r>
              <w:rPr>
                <w:rFonts w:ascii="Arial" w:cs="Arial" w:eastAsia="Arial" w:hAnsi="Arial"/>
                <w:sz w:val="20"/>
                <w:szCs w:val="20"/>
                <w:color w:val="auto"/>
              </w:rPr>
              <w:t>Term Note</w:t>
            </w:r>
          </w:p>
        </w:tc>
      </w:tr>
      <w:tr>
        <w:trPr>
          <w:trHeight w:val="275"/>
        </w:trPr>
        <w:tc>
          <w:tcPr>
            <w:tcW w:w="1440" w:type="dxa"/>
            <w:vAlign w:val="bottom"/>
          </w:tcPr>
          <w:p>
            <w:pPr>
              <w:spacing w:after="0"/>
              <w:rPr>
                <w:sz w:val="20"/>
                <w:szCs w:val="20"/>
                <w:color w:val="auto"/>
              </w:rPr>
            </w:pPr>
            <w:r>
              <w:rPr>
                <w:rFonts w:ascii="Arial" w:cs="Arial" w:eastAsia="Arial" w:hAnsi="Arial"/>
                <w:sz w:val="20"/>
                <w:szCs w:val="20"/>
                <w:color w:val="auto"/>
              </w:rPr>
              <w:t>D</w:t>
            </w:r>
          </w:p>
        </w:tc>
        <w:tc>
          <w:tcPr>
            <w:tcW w:w="5220" w:type="dxa"/>
            <w:vAlign w:val="bottom"/>
          </w:tcPr>
          <w:p>
            <w:pPr>
              <w:ind w:left="280"/>
              <w:spacing w:after="0"/>
              <w:rPr>
                <w:sz w:val="20"/>
                <w:szCs w:val="20"/>
                <w:color w:val="auto"/>
              </w:rPr>
            </w:pPr>
            <w:r>
              <w:rPr>
                <w:rFonts w:ascii="Arial" w:cs="Arial" w:eastAsia="Arial" w:hAnsi="Arial"/>
                <w:sz w:val="20"/>
                <w:szCs w:val="20"/>
                <w:color w:val="auto"/>
              </w:rPr>
              <w:t>Compliance Certificate</w:t>
            </w:r>
          </w:p>
        </w:tc>
      </w:tr>
      <w:tr>
        <w:trPr>
          <w:trHeight w:val="275"/>
        </w:trPr>
        <w:tc>
          <w:tcPr>
            <w:tcW w:w="1440" w:type="dxa"/>
            <w:vAlign w:val="bottom"/>
          </w:tcPr>
          <w:p>
            <w:pPr>
              <w:spacing w:after="0"/>
              <w:rPr>
                <w:sz w:val="20"/>
                <w:szCs w:val="20"/>
                <w:color w:val="auto"/>
              </w:rPr>
            </w:pPr>
            <w:r>
              <w:rPr>
                <w:rFonts w:ascii="Arial" w:cs="Arial" w:eastAsia="Arial" w:hAnsi="Arial"/>
                <w:sz w:val="20"/>
                <w:szCs w:val="20"/>
                <w:color w:val="auto"/>
              </w:rPr>
              <w:t>E-1</w:t>
            </w:r>
          </w:p>
        </w:tc>
        <w:tc>
          <w:tcPr>
            <w:tcW w:w="5220" w:type="dxa"/>
            <w:vAlign w:val="bottom"/>
          </w:tcPr>
          <w:p>
            <w:pPr>
              <w:ind w:left="280"/>
              <w:spacing w:after="0"/>
              <w:rPr>
                <w:sz w:val="20"/>
                <w:szCs w:val="20"/>
                <w:color w:val="auto"/>
              </w:rPr>
            </w:pPr>
            <w:r>
              <w:rPr>
                <w:rFonts w:ascii="Arial" w:cs="Arial" w:eastAsia="Arial" w:hAnsi="Arial"/>
                <w:sz w:val="20"/>
                <w:szCs w:val="20"/>
                <w:color w:val="auto"/>
              </w:rPr>
              <w:t>Assignment and Assumption</w:t>
            </w:r>
          </w:p>
        </w:tc>
      </w:tr>
      <w:tr>
        <w:trPr>
          <w:trHeight w:val="275"/>
        </w:trPr>
        <w:tc>
          <w:tcPr>
            <w:tcW w:w="1440" w:type="dxa"/>
            <w:vAlign w:val="bottom"/>
          </w:tcPr>
          <w:p>
            <w:pPr>
              <w:spacing w:after="0"/>
              <w:rPr>
                <w:sz w:val="20"/>
                <w:szCs w:val="20"/>
                <w:color w:val="auto"/>
              </w:rPr>
            </w:pPr>
            <w:r>
              <w:rPr>
                <w:rFonts w:ascii="Arial" w:cs="Arial" w:eastAsia="Arial" w:hAnsi="Arial"/>
                <w:sz w:val="20"/>
                <w:szCs w:val="20"/>
                <w:color w:val="auto"/>
              </w:rPr>
              <w:t>E-2</w:t>
            </w:r>
          </w:p>
        </w:tc>
        <w:tc>
          <w:tcPr>
            <w:tcW w:w="5220" w:type="dxa"/>
            <w:vAlign w:val="bottom"/>
          </w:tcPr>
          <w:p>
            <w:pPr>
              <w:ind w:left="280"/>
              <w:spacing w:after="0"/>
              <w:rPr>
                <w:sz w:val="20"/>
                <w:szCs w:val="20"/>
                <w:color w:val="auto"/>
              </w:rPr>
            </w:pPr>
            <w:r>
              <w:rPr>
                <w:rFonts w:ascii="Arial" w:cs="Arial" w:eastAsia="Arial" w:hAnsi="Arial"/>
                <w:sz w:val="20"/>
                <w:szCs w:val="20"/>
                <w:color w:val="auto"/>
              </w:rPr>
              <w:t>Administrative Questionnaire</w:t>
            </w:r>
          </w:p>
        </w:tc>
      </w:tr>
      <w:tr>
        <w:trPr>
          <w:trHeight w:val="275"/>
        </w:trPr>
        <w:tc>
          <w:tcPr>
            <w:tcW w:w="1440" w:type="dxa"/>
            <w:vAlign w:val="bottom"/>
          </w:tcPr>
          <w:p>
            <w:pPr>
              <w:spacing w:after="0"/>
              <w:rPr>
                <w:sz w:val="20"/>
                <w:szCs w:val="20"/>
                <w:color w:val="auto"/>
              </w:rPr>
            </w:pPr>
            <w:r>
              <w:rPr>
                <w:rFonts w:ascii="Arial" w:cs="Arial" w:eastAsia="Arial" w:hAnsi="Arial"/>
                <w:sz w:val="20"/>
                <w:szCs w:val="20"/>
                <w:color w:val="auto"/>
              </w:rPr>
              <w:t>F</w:t>
            </w:r>
          </w:p>
        </w:tc>
        <w:tc>
          <w:tcPr>
            <w:tcW w:w="5220" w:type="dxa"/>
            <w:vAlign w:val="bottom"/>
          </w:tcPr>
          <w:p>
            <w:pPr>
              <w:ind w:left="280"/>
              <w:spacing w:after="0"/>
              <w:rPr>
                <w:sz w:val="20"/>
                <w:szCs w:val="20"/>
                <w:color w:val="auto"/>
              </w:rPr>
            </w:pPr>
            <w:r>
              <w:rPr>
                <w:rFonts w:ascii="Arial" w:cs="Arial" w:eastAsia="Arial" w:hAnsi="Arial"/>
                <w:sz w:val="20"/>
                <w:szCs w:val="20"/>
                <w:color w:val="auto"/>
              </w:rPr>
              <w:t>Guaranty Agreement</w:t>
            </w:r>
          </w:p>
        </w:tc>
      </w:tr>
      <w:tr>
        <w:trPr>
          <w:trHeight w:val="275"/>
        </w:trPr>
        <w:tc>
          <w:tcPr>
            <w:tcW w:w="1440" w:type="dxa"/>
            <w:vAlign w:val="bottom"/>
          </w:tcPr>
          <w:p>
            <w:pPr>
              <w:spacing w:after="0"/>
              <w:rPr>
                <w:sz w:val="20"/>
                <w:szCs w:val="20"/>
                <w:color w:val="auto"/>
              </w:rPr>
            </w:pPr>
            <w:r>
              <w:rPr>
                <w:rFonts w:ascii="Arial" w:cs="Arial" w:eastAsia="Arial" w:hAnsi="Arial"/>
                <w:sz w:val="20"/>
                <w:szCs w:val="20"/>
                <w:color w:val="auto"/>
              </w:rPr>
              <w:t>G</w:t>
            </w:r>
          </w:p>
        </w:tc>
        <w:tc>
          <w:tcPr>
            <w:tcW w:w="5220" w:type="dxa"/>
            <w:vAlign w:val="bottom"/>
          </w:tcPr>
          <w:p>
            <w:pPr>
              <w:ind w:left="280"/>
              <w:spacing w:after="0"/>
              <w:rPr>
                <w:sz w:val="20"/>
                <w:szCs w:val="20"/>
                <w:color w:val="auto"/>
              </w:rPr>
            </w:pPr>
            <w:r>
              <w:rPr>
                <w:rFonts w:ascii="Arial" w:cs="Arial" w:eastAsia="Arial" w:hAnsi="Arial"/>
                <w:sz w:val="20"/>
                <w:szCs w:val="20"/>
                <w:color w:val="auto"/>
              </w:rPr>
              <w:t>Solvency Certificate</w:t>
            </w:r>
          </w:p>
        </w:tc>
      </w:tr>
      <w:tr>
        <w:trPr>
          <w:trHeight w:val="275"/>
        </w:trPr>
        <w:tc>
          <w:tcPr>
            <w:tcW w:w="1440" w:type="dxa"/>
            <w:vAlign w:val="bottom"/>
          </w:tcPr>
          <w:p>
            <w:pPr>
              <w:spacing w:after="0"/>
              <w:rPr>
                <w:sz w:val="20"/>
                <w:szCs w:val="20"/>
                <w:color w:val="auto"/>
              </w:rPr>
            </w:pPr>
            <w:r>
              <w:rPr>
                <w:rFonts w:ascii="Arial" w:cs="Arial" w:eastAsia="Arial" w:hAnsi="Arial"/>
                <w:sz w:val="20"/>
                <w:szCs w:val="20"/>
                <w:color w:val="auto"/>
              </w:rPr>
              <w:t>H</w:t>
            </w:r>
          </w:p>
        </w:tc>
        <w:tc>
          <w:tcPr>
            <w:tcW w:w="5220" w:type="dxa"/>
            <w:vAlign w:val="bottom"/>
          </w:tcPr>
          <w:p>
            <w:pPr>
              <w:ind w:left="280"/>
              <w:spacing w:after="0"/>
              <w:rPr>
                <w:sz w:val="20"/>
                <w:szCs w:val="20"/>
                <w:color w:val="auto"/>
              </w:rPr>
            </w:pPr>
            <w:r>
              <w:rPr>
                <w:rFonts w:ascii="Arial" w:cs="Arial" w:eastAsia="Arial" w:hAnsi="Arial"/>
                <w:sz w:val="20"/>
                <w:szCs w:val="20"/>
                <w:color w:val="auto"/>
              </w:rPr>
              <w:t>United States Tax Compliance Certificate</w:t>
            </w: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199"/>
          </w:cols>
          <w:pgMar w:left="260" w:top="695"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color w:val="auto"/>
        </w:rPr>
        <w:t>SECOND AMENDED AND RESTATED CREDIT AGREEMENT</w:t>
      </w:r>
    </w:p>
    <w:p>
      <w:pPr>
        <w:spacing w:after="0" w:line="207"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This SECOND AMENDED AND RESTATED CREDIT AGREEMENT (“</w:t>
      </w:r>
      <w:r>
        <w:rPr>
          <w:rFonts w:ascii="Arial" w:cs="Arial" w:eastAsia="Arial" w:hAnsi="Arial"/>
          <w:sz w:val="20"/>
          <w:szCs w:val="20"/>
          <w:u w:val="single" w:color="auto"/>
          <w:color w:val="auto"/>
        </w:rPr>
        <w:t>Agreement</w:t>
      </w:r>
      <w:r>
        <w:rPr>
          <w:rFonts w:ascii="Arial" w:cs="Arial" w:eastAsia="Arial" w:hAnsi="Arial"/>
          <w:sz w:val="20"/>
          <w:szCs w:val="20"/>
          <w:color w:val="auto"/>
        </w:rPr>
        <w:t xml:space="preserve">”) is entered into as of January 9, 2018 among AMERICAN ASSETS TRUST, L.P., a Maryland limited partnership </w:t>
      </w:r>
      <w:r>
        <w:rPr>
          <w:rFonts w:ascii="Arial" w:cs="Arial" w:eastAsia="Arial" w:hAnsi="Arial"/>
          <w:sz w:val="20"/>
          <w:szCs w:val="20"/>
          <w:b w:val="1"/>
          <w:bCs w:val="1"/>
          <w:color w:val="auto"/>
        </w:rPr>
        <w:t>(</w:t>
      </w:r>
      <w:r>
        <w:rPr>
          <w:rFonts w:ascii="Arial" w:cs="Arial" w:eastAsia="Arial" w:hAnsi="Arial"/>
          <w:sz w:val="20"/>
          <w:szCs w:val="20"/>
          <w:color w:val="auto"/>
        </w:rPr>
        <w:t>the “</w:t>
      </w:r>
      <w:r>
        <w:rPr>
          <w:rFonts w:ascii="Arial" w:cs="Arial" w:eastAsia="Arial" w:hAnsi="Arial"/>
          <w:sz w:val="20"/>
          <w:szCs w:val="20"/>
          <w:u w:val="single" w:color="auto"/>
          <w:color w:val="auto"/>
        </w:rPr>
        <w:t>Borrower</w:t>
      </w:r>
      <w:r>
        <w:rPr>
          <w:rFonts w:ascii="Arial" w:cs="Arial" w:eastAsia="Arial" w:hAnsi="Arial"/>
          <w:sz w:val="20"/>
          <w:szCs w:val="20"/>
          <w:color w:val="auto"/>
        </w:rPr>
        <w:t>”), AMERICAN ASSETS TRUST, INC. a Maryland corporation (the “</w:t>
      </w:r>
      <w:r>
        <w:rPr>
          <w:rFonts w:ascii="Arial" w:cs="Arial" w:eastAsia="Arial" w:hAnsi="Arial"/>
          <w:sz w:val="20"/>
          <w:szCs w:val="20"/>
          <w:u w:val="single" w:color="auto"/>
          <w:color w:val="auto"/>
        </w:rPr>
        <w:t>REIT</w:t>
      </w:r>
      <w:r>
        <w:rPr>
          <w:rFonts w:ascii="Arial" w:cs="Arial" w:eastAsia="Arial" w:hAnsi="Arial"/>
          <w:sz w:val="20"/>
          <w:szCs w:val="20"/>
          <w:color w:val="auto"/>
        </w:rPr>
        <w:t>”), each Lender from time to time party hereto, each Swing Line Lender from time to time party hereto, each L/C Issuer from time to time party hereto, and BANK OF AMERICA, N.A., as Administrative Agent.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PRELIMINARY STATEMENTS</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The Borrower, the REIT, the lenders party thereto, the swing line lender party thereto, the letter of credit issuer party thereto and the Administrative Agent are parties to that certain Amended and Restated Credit Agreement, dated as of January 9, 2014 (as amended or otherwise modified prior to the date hereof, the “</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w:t>
      </w:r>
    </w:p>
    <w:p>
      <w:pPr>
        <w:spacing w:after="0" w:line="164"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The parties hereto desire to amend and restate the Existing Credit Agreement in its entirety, but not as a novation, on the terms and subject to the conditions hereinafter set forth.</w:t>
      </w:r>
    </w:p>
    <w:p>
      <w:pPr>
        <w:spacing w:after="0" w:line="153" w:lineRule="exact"/>
        <w:rPr>
          <w:sz w:val="20"/>
          <w:szCs w:val="20"/>
          <w:color w:val="auto"/>
        </w:rPr>
      </w:pPr>
    </w:p>
    <w:p>
      <w:pPr>
        <w:jc w:val="both"/>
        <w:ind w:firstLine="599"/>
        <w:spacing w:after="0" w:line="280" w:lineRule="auto"/>
        <w:rPr>
          <w:sz w:val="20"/>
          <w:szCs w:val="20"/>
          <w:color w:val="auto"/>
        </w:rPr>
      </w:pPr>
      <w:r>
        <w:rPr>
          <w:rFonts w:ascii="Arial" w:cs="Arial" w:eastAsia="Arial" w:hAnsi="Arial"/>
          <w:sz w:val="19"/>
          <w:szCs w:val="19"/>
          <w:color w:val="auto"/>
        </w:rPr>
        <w:t>In consideration of the mutual covenants and agreements set forth in this Agreement, and for good and valuable consideration, the receipt of which is hereby acknowledged, the parties hereto hereby agree that the Existing Credit Agreement shall be, and hereby is, amended and restated in its entirety as follows, effective on and as of the Restatement Effective Date (as defined below):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DEFINITIONS AND ACCOUNTING TERMS</w:t>
      </w:r>
    </w:p>
    <w:p>
      <w:pPr>
        <w:spacing w:after="0" w:line="229" w:lineRule="exact"/>
        <w:rPr>
          <w:sz w:val="20"/>
          <w:szCs w:val="20"/>
          <w:color w:val="auto"/>
        </w:rPr>
      </w:pPr>
    </w:p>
    <w:p>
      <w:pPr>
        <w:ind w:left="600"/>
        <w:spacing w:after="0"/>
        <w:tabs>
          <w:tab w:leader="none" w:pos="112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shall have the meanings set forth below:</w:t>
      </w:r>
    </w:p>
    <w:p>
      <w:pPr>
        <w:spacing w:after="0" w:line="24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10.18</w:t>
      </w:r>
      <w:r>
        <w:rPr>
          <w:rFonts w:ascii="Arial" w:cs="Arial" w:eastAsia="Arial" w:hAnsi="Arial"/>
          <w:sz w:val="20"/>
          <w:szCs w:val="20"/>
          <w:color w:val="auto"/>
        </w:rPr>
        <w: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TL Tranche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2.16</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TL Tranche Documents</w:t>
      </w:r>
      <w:r>
        <w:rPr>
          <w:rFonts w:ascii="Arial" w:cs="Arial" w:eastAsia="Arial" w:hAnsi="Arial"/>
          <w:sz w:val="20"/>
          <w:szCs w:val="20"/>
          <w:color w:val="auto"/>
        </w:rPr>
        <w:t>” means, with respect to any Additional TL Tranche, each agreement, instrument and other document evidencing, securing, guaranteeing, or otherwise relating to such Additional TL Tranche, including any applicable Joinder Agreement.</w:t>
      </w:r>
    </w:p>
    <w:p>
      <w:pPr>
        <w:spacing w:after="0" w:line="164"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Bank of America in its capacity as administrative agent under any of the Loan Documents, or any successor administrative agent.</w:t>
      </w:r>
    </w:p>
    <w:p>
      <w:pPr>
        <w:spacing w:after="0" w:line="153" w:lineRule="exact"/>
        <w:rPr>
          <w:sz w:val="20"/>
          <w:szCs w:val="20"/>
          <w:color w:val="auto"/>
        </w:rPr>
      </w:pPr>
    </w:p>
    <w:p>
      <w:pPr>
        <w:jc w:val="both"/>
        <w:ind w:firstLine="599"/>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Agent’s Office</w:t>
      </w:r>
      <w:r>
        <w:rPr>
          <w:rFonts w:ascii="Arial" w:cs="Arial" w:eastAsia="Arial" w:hAnsi="Arial"/>
          <w:sz w:val="19"/>
          <w:szCs w:val="19"/>
          <w:color w:val="auto"/>
        </w:rPr>
        <w:t xml:space="preserve">” means the Administrative Agent’s address and, as appropriate, account as set forth on </w:t>
      </w:r>
      <w:r>
        <w:rPr>
          <w:rFonts w:ascii="Arial" w:cs="Arial" w:eastAsia="Arial" w:hAnsi="Arial"/>
          <w:sz w:val="19"/>
          <w:szCs w:val="19"/>
          <w:u w:val="single" w:color="auto"/>
          <w:color w:val="auto"/>
        </w:rPr>
        <w:t>Schedule 10.02</w:t>
      </w:r>
      <w:r>
        <w:rPr>
          <w:rFonts w:ascii="Arial" w:cs="Arial" w:eastAsia="Arial" w:hAnsi="Arial"/>
          <w:sz w:val="19"/>
          <w:szCs w:val="19"/>
          <w:color w:val="auto"/>
        </w:rPr>
        <w:t>, or such other address or account as the Administrative Agent may from time to time notify the Borrower and the Lenders.</w:t>
      </w:r>
    </w:p>
    <w:p>
      <w:pPr>
        <w:spacing w:after="0" w:line="130"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xml:space="preserve">” means an Administrative Questionnaire in substantially the form of </w:t>
      </w:r>
      <w:r>
        <w:rPr>
          <w:rFonts w:ascii="Arial" w:cs="Arial" w:eastAsia="Arial" w:hAnsi="Arial"/>
          <w:sz w:val="20"/>
          <w:szCs w:val="20"/>
          <w:u w:val="single" w:color="auto"/>
          <w:color w:val="auto"/>
        </w:rPr>
        <w:t>Exhibit E-2</w:t>
      </w:r>
      <w:r>
        <w:rPr>
          <w:rFonts w:ascii="Arial" w:cs="Arial" w:eastAsia="Arial" w:hAnsi="Arial"/>
          <w:sz w:val="20"/>
          <w:szCs w:val="20"/>
          <w:color w:val="auto"/>
        </w:rPr>
        <w:t xml:space="preserve"> or any other form approved by the Administrative Agent.</w:t>
      </w:r>
    </w:p>
    <w:p>
      <w:pPr>
        <w:spacing w:after="0" w:line="153" w:lineRule="exact"/>
        <w:rPr>
          <w:sz w:val="20"/>
          <w:szCs w:val="20"/>
          <w:color w:val="auto"/>
        </w:rPr>
      </w:pPr>
    </w:p>
    <w:p>
      <w:pPr>
        <w:jc w:val="both"/>
        <w:ind w:firstLine="599"/>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means, with respect to any Person, another Person that directly, or indirectly through one or more intermediaries, Controls or is Controlled by or is under common Control with the Person specified;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in no event shall the Administrative Agent or any Lender or any of their respective Affiliates be deemed an Affiliate of the REIT or any Subsidiary thereof.</w:t>
      </w:r>
    </w:p>
    <w:p>
      <w:pPr>
        <w:sectPr>
          <w:pgSz w:w="11900" w:h="16838" w:orient="portrait"/>
          <w:cols w:equalWidth="0" w:num="1">
            <w:col w:w="11420"/>
          </w:cols>
          <w:pgMar w:left="240" w:top="557" w:right="239" w:bottom="1440" w:gutter="0" w:footer="0" w:header="0"/>
        </w:sectPr>
      </w:pPr>
    </w:p>
    <w:bookmarkStart w:id="13" w:name="page14"/>
    <w:bookmarkEnd w:id="13"/>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specified in the introductory paragraph hereto.</w:t>
      </w:r>
    </w:p>
    <w:p>
      <w:pPr>
        <w:spacing w:after="0" w:line="207" w:lineRule="exact"/>
        <w:rPr>
          <w:sz w:val="20"/>
          <w:szCs w:val="20"/>
          <w:color w:val="auto"/>
        </w:rPr>
      </w:pPr>
    </w:p>
    <w:p>
      <w:pPr>
        <w:jc w:val="both"/>
        <w:ind w:firstLine="59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Capital Expenditure Adjustment</w:t>
      </w:r>
      <w:r>
        <w:rPr>
          <w:rFonts w:ascii="Arial" w:cs="Arial" w:eastAsia="Arial" w:hAnsi="Arial"/>
          <w:sz w:val="18"/>
          <w:szCs w:val="18"/>
          <w:color w:val="auto"/>
        </w:rPr>
        <w:t xml:space="preserve">” means (i) in the case of a Portfolio Property consisting of a Hotel Property, an office property or a retail property (x) if such Portfolio Property has been owned, or ground leased pursuant to an Eligible Ground Lease, by one or more Subsidiaries of the Borrower for at least four consecutive full fiscal quarters for which financial statements have been provided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4% of the average of the quarterly gross revenues from such Portfolio Property as set forth in the financial statements for the then most recently ended four consecutive fiscal quarter period of the REIT delivered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(y) if such Portfolio Property has not been owned, or ground leased pursuant to an Eligible Ground Lease, by one or more Subsidiaries of the Borrower for at least four consecutive full fiscal quarters for which financial statements have been provided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4% of the average of the quarterly gross revenues from such Portfolio Property for the period consisting of all of the full fiscal quarters of the REIT commencing after the date such Portfolio Property was acquired (or after an Eligible Ground Lease is entered into with respect to such Portfolio Property, if applicable) by a Subsidiary of the Borrower for which financial statements have been provided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(ii) in the case of any Portfolio Property consisting of a residential property, an amount equal to $125 multiplied by the number of units in such residential property. For purposes of clause (i)(y) of this definition, in the case of any Portfolio Property consisting of a Portfolio Property that is owned, or ground leased pursuant to an Eligible Ground Lease, by one or more Subsidiaries of the Borrower for at least one full fiscal month of the REIT but less than one full fiscal quarter for which financial statements have been provided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the Annual Capital Expenditure Adjustment for such Portfolio Property shall equal (x) if such Portfolio Property is owned, or ground leased pursuant to an Eligible Ground Lease, for less than two full fiscal months of the REIT, the Annual Capital Expenditure Adjustment that would apply to such Portfolio Property if calculated in accordance with the applicable clause of this definition above (but for only the then most recently ended one fiscal month period of the REIT instead of for the period specified in such applicable clause above), multiplied by 3 and (y) if such Portfolio Property is owned, or ground leased pursuant to an Eligible Ground Lease, for at least two full fiscal months of the REIT, the Annual Capital Expenditure Adjustment that would apply to such Portfolio Property if calculated in accordance with the applicable clause of this definition above (but for only the then most recently ended two fiscal month period of the REIT instead of for the period specified in such applicable clause above), multiplied by 3/2.</w:t>
      </w:r>
    </w:p>
    <w:p>
      <w:pPr>
        <w:spacing w:after="0" w:line="163" w:lineRule="exact"/>
        <w:rPr>
          <w:sz w:val="20"/>
          <w:szCs w:val="20"/>
          <w:color w:val="auto"/>
        </w:rPr>
      </w:pPr>
    </w:p>
    <w:p>
      <w:pPr>
        <w:jc w:val="both"/>
        <w:ind w:firstLine="59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Capitalization Rate</w:t>
      </w:r>
      <w:r>
        <w:rPr>
          <w:rFonts w:ascii="Arial" w:cs="Arial" w:eastAsia="Arial" w:hAnsi="Arial"/>
          <w:sz w:val="19"/>
          <w:szCs w:val="19"/>
          <w:color w:val="auto"/>
        </w:rPr>
        <w:t xml:space="preserve">” means, (i) in the case of any Portfolio Property consisting of a traditional multi-family property (which, for example, shall include a multi-family apartment, duplex or condo complex), 6.00%, (ii) in the case of any Portfolio Property consisting of a non-traditional multi-family property (which, for example, shall include a recreational vehicle (RV) park), 7.00%, (iii) in the case of any Portfolio Property consisting of a retail property,6.25%, (iv) in the case of any Portfolio Property consisting of an office property, 6.00% and (v) in the case of a Hotel Property, 7.50%, in each case as such percentage may be increased by the Required Lenders pursuant to </w:t>
      </w:r>
      <w:r>
        <w:rPr>
          <w:rFonts w:ascii="Arial" w:cs="Arial" w:eastAsia="Arial" w:hAnsi="Arial"/>
          <w:sz w:val="19"/>
          <w:szCs w:val="19"/>
          <w:u w:val="single" w:color="auto"/>
          <w:color w:val="auto"/>
        </w:rPr>
        <w:t>Section 2.14(c)</w:t>
      </w:r>
      <w:r>
        <w:rPr>
          <w:rFonts w:ascii="Arial" w:cs="Arial" w:eastAsia="Arial" w:hAnsi="Arial"/>
          <w:sz w:val="19"/>
          <w:szCs w:val="19"/>
          <w:color w:val="auto"/>
        </w:rPr>
        <w:t xml:space="preserve"> in connection with an extension of the Maturity Date of the Revolving Credit Facility.</w:t>
      </w:r>
    </w:p>
    <w:p>
      <w:pPr>
        <w:spacing w:after="0" w:line="160" w:lineRule="exact"/>
        <w:rPr>
          <w:sz w:val="20"/>
          <w:szCs w:val="20"/>
          <w:color w:val="auto"/>
        </w:rPr>
      </w:pPr>
    </w:p>
    <w:p>
      <w:pPr>
        <w:jc w:val="both"/>
        <w:ind w:firstLine="59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Percentage</w:t>
      </w:r>
      <w:r>
        <w:rPr>
          <w:rFonts w:ascii="Arial" w:cs="Arial" w:eastAsia="Arial" w:hAnsi="Arial"/>
          <w:sz w:val="20"/>
          <w:szCs w:val="20"/>
          <w:color w:val="auto"/>
        </w:rPr>
        <w:t>” means (a) in respect of the Closing Date Term Facility, with respect to any Closing Date Term Lender at any time, the percentage (carried out to the ninth decimal place) of the Closing Date Term Facility represented by the principal amount of the Closing Date Term Loan held by such Term Lender at such time, (b) in respect of each Additional TL Tranche, with respect to any Term Lender at any time, the percentage (carried out to the ninth decimal place) of such Additional TL Tranche represented by the principal amount of the Term Loans made under such Additional TL Tranche and held by such Term Lender at such time, (c) in respect of the Revolving Credit Facility, with respect to any Revolving Credit</w:t>
      </w:r>
    </w:p>
    <w:p>
      <w:pPr>
        <w:spacing w:after="0" w:line="200" w:lineRule="exact"/>
        <w:rPr>
          <w:sz w:val="20"/>
          <w:szCs w:val="20"/>
          <w:color w:val="auto"/>
        </w:rPr>
      </w:pPr>
    </w:p>
    <w:p>
      <w:pPr>
        <w:spacing w:after="0" w:line="21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2</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4" w:name="page15"/>
    <w:bookmarkEnd w:id="14"/>
    <w:p>
      <w:pPr>
        <w:jc w:val="both"/>
        <w:spacing w:after="0" w:line="278" w:lineRule="auto"/>
        <w:rPr>
          <w:sz w:val="20"/>
          <w:szCs w:val="20"/>
          <w:color w:val="auto"/>
        </w:rPr>
      </w:pPr>
      <w:r>
        <w:rPr>
          <w:rFonts w:ascii="Arial" w:cs="Arial" w:eastAsia="Arial" w:hAnsi="Arial"/>
          <w:sz w:val="18"/>
          <w:szCs w:val="18"/>
          <w:color w:val="auto"/>
        </w:rPr>
        <w:t xml:space="preserve">Lender at any time, the percentage (carried out to the ninth decimal place) of the Revolving Credit Facility represented by such Revolving Credit Lender’s Revolving Credit Commitment at such time, provided, that if the commitment of each Revolving Credit Lender to make Revolving Credit Loans and the obligation of the L/C Issuers to make L/C Credit Extensions have been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if the Revolving Credit Commitments have expired, then the Applicable Percentage of each Revolving Credit Lender in respect of the Revolving Credit Facility shall be determined based on the Applicable Percentage of such Revolving Credit Lender in respect of the Revolving Credit Facility most recently in effect, giving effect to any subsequent assignments made in accordance with the terms of this Agreement, and (d) in respect of all Facilities, with respect to any Lender at any time, the percentage (carried out to the ninth decimal place) of the Facilities represented by (i) on or prior to the Restatement Effective Date, the sum of (x) such Lender’s Term Loans at such time and (y) such Lender’s Revolving Credit Commitment at such time and (ii) thereafter, the sum of (x) the aggregate principal amount of such Lender’s Term Loans at such time and (y) such Lender’s Revolving Credit Commitment at such time, provided, that if the commitment of each Revolving Credit Lender to make Revolving Credit Loans and the obligation of the L/C Issuers to make L/C Credit Extensions have been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if the Revolving Credit Commitments have expired, then the Applicable Percentage of each Lender in respect of all Facilities shall be determined based on the Applicable Percentage of such Lender in respect of all Facilities most recently in effect, giving effect to any subsequent assignments made in accordance with the terms of this Agreement. The initial Applicable Percentage of each Lender in respect of each Facility and all Facilities is set forth opposite the name of such Lender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or Joinder Agreement pursuant to which such Lender becomes a party hereto, as applicable.</w:t>
      </w:r>
    </w:p>
    <w:p>
      <w:pPr>
        <w:spacing w:after="0" w:line="161"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Rate</w:t>
      </w:r>
      <w:r>
        <w:rPr>
          <w:rFonts w:ascii="Arial" w:cs="Arial" w:eastAsia="Arial" w:hAnsi="Arial"/>
          <w:sz w:val="19"/>
          <w:szCs w:val="19"/>
          <w:color w:val="auto"/>
        </w:rPr>
        <w:t xml:space="preserve">” means (a) with respect to the Revolving Credit Facility and the Closing Date Term Facility, (i) at any time prior to the Investment Grade Pricing Effective Date, the Leverage-Based Applicable Rate in effect at such time and (ii) at any time on and after the Investment Grade Pricing Effective Date, the Ratings-Based Applicable Rate in effect at such time and (b) with respect to any Additional TL Tranche, the applicable rate per annum in effect at such time with respect to such Additional TL Tranche as agreed by the Borrower, the Administrative Agent and the Appropriate Lenders in the Additional TL Tranche Documents with respect to such Additional TL Tranche;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if the applicable rate with respect to any Additional TL Tranche is based on the Consolidated Total Leverage Ratio, such applicable rate shall be subject to the paragraph immediately following the Pricing Grid for the Closing Date Term Facility in the definition of Leverage-Based Applicable Rate and the provisions of </w:t>
      </w:r>
      <w:r>
        <w:rPr>
          <w:rFonts w:ascii="Arial" w:cs="Arial" w:eastAsia="Arial" w:hAnsi="Arial"/>
          <w:sz w:val="19"/>
          <w:szCs w:val="19"/>
          <w:u w:val="single" w:color="auto"/>
          <w:color w:val="auto"/>
        </w:rPr>
        <w:t>Section 2.10(b)</w:t>
      </w:r>
      <w:r>
        <w:rPr>
          <w:rFonts w:ascii="Arial" w:cs="Arial" w:eastAsia="Arial" w:hAnsi="Arial"/>
          <w:sz w:val="19"/>
          <w:szCs w:val="19"/>
          <w:color w:val="auto"/>
        </w:rPr>
        <w:t xml:space="preserve"> and (y) if the applicable rate with respect to any Additional TL Tranche is based on the Borrower’s Debt Rating, such applicable rate shall be subject to the paragraph immediately following the Pricing Grid for the Closing Date Term Facility in the definition of Ratings-Based Applicable Rate.</w:t>
      </w:r>
    </w:p>
    <w:p>
      <w:pPr>
        <w:spacing w:after="0" w:line="160"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Revolving Credit Percentage</w:t>
      </w:r>
      <w:r>
        <w:rPr>
          <w:rFonts w:ascii="Arial" w:cs="Arial" w:eastAsia="Arial" w:hAnsi="Arial"/>
          <w:sz w:val="20"/>
          <w:szCs w:val="20"/>
          <w:color w:val="auto"/>
        </w:rPr>
        <w:t>” means, with respect to any Revolving Credit Lender at any time, such Revolving Credit Lender’s Applicable Percentage in respect of the Revolving Credit Facility at such time.</w:t>
      </w:r>
    </w:p>
    <w:p>
      <w:pPr>
        <w:spacing w:after="0" w:line="153" w:lineRule="exact"/>
        <w:rPr>
          <w:sz w:val="20"/>
          <w:szCs w:val="20"/>
          <w:color w:val="auto"/>
        </w:rPr>
      </w:pPr>
    </w:p>
    <w:p>
      <w:pPr>
        <w:jc w:val="both"/>
        <w:ind w:firstLine="599"/>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Appropriate Lender</w:t>
      </w:r>
      <w:r>
        <w:rPr>
          <w:rFonts w:ascii="Arial" w:cs="Arial" w:eastAsia="Arial" w:hAnsi="Arial"/>
          <w:sz w:val="19"/>
          <w:szCs w:val="19"/>
          <w:color w:val="auto"/>
        </w:rPr>
        <w:t xml:space="preserve">” means, at any time, (a) with respect to the Closing Date Term Facility, a Closing Date Term Lender, (b) with respect to the Revolving Credit Facility, a Revolving Credit Lender, (c) with respect to any Additional TL Tranche, a Lender holding Term Loans of such Additional TL Tranche, (d) with respect to the Letter of Credit Subfacility, (i) the L/C Issuers and (ii) if any Letters of Credit have been issued pursuant to </w:t>
      </w:r>
      <w:r>
        <w:rPr>
          <w:rFonts w:ascii="Arial" w:cs="Arial" w:eastAsia="Arial" w:hAnsi="Arial"/>
          <w:sz w:val="19"/>
          <w:szCs w:val="19"/>
          <w:u w:val="single" w:color="auto"/>
          <w:color w:val="auto"/>
        </w:rPr>
        <w:t>Section 2.03(a)</w:t>
      </w:r>
      <w:r>
        <w:rPr>
          <w:rFonts w:ascii="Arial" w:cs="Arial" w:eastAsia="Arial" w:hAnsi="Arial"/>
          <w:sz w:val="19"/>
          <w:szCs w:val="19"/>
          <w:color w:val="auto"/>
        </w:rPr>
        <w:t xml:space="preserve">, the Revolving Credit Lenders and (e) with respect to the Swing Line Subfacility, (i) the Swing Line Lenders and (ii) if any Swing Line Loans are outstanding pursuant to </w:t>
      </w:r>
      <w:r>
        <w:rPr>
          <w:rFonts w:ascii="Arial" w:cs="Arial" w:eastAsia="Arial" w:hAnsi="Arial"/>
          <w:sz w:val="19"/>
          <w:szCs w:val="19"/>
          <w:u w:val="single" w:color="auto"/>
          <w:color w:val="auto"/>
        </w:rPr>
        <w:t>Section 2.04(a)</w:t>
      </w:r>
      <w:r>
        <w:rPr>
          <w:rFonts w:ascii="Arial" w:cs="Arial" w:eastAsia="Arial" w:hAnsi="Arial"/>
          <w:sz w:val="19"/>
          <w:szCs w:val="19"/>
          <w:color w:val="auto"/>
        </w:rPr>
        <w:t>, the Revolving Credit Lenders.</w:t>
      </w:r>
    </w:p>
    <w:p>
      <w:pPr>
        <w:spacing w:after="0" w:line="15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390"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3</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5" w:name="page16"/>
    <w:bookmarkEnd w:id="15"/>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Arrangers</w:t>
      </w:r>
      <w:r>
        <w:rPr>
          <w:rFonts w:ascii="Arial" w:cs="Arial" w:eastAsia="Arial" w:hAnsi="Arial"/>
          <w:sz w:val="20"/>
          <w:szCs w:val="20"/>
          <w:color w:val="auto"/>
        </w:rPr>
        <w:t>” means, collectively, Wells Fargo Securities, LLC, MLPFS, PNC Capital Markets, LLC and U.S. Bank in their capacities as joint lead arrangers for the Facilities.</w:t>
      </w:r>
    </w:p>
    <w:p>
      <w:pPr>
        <w:spacing w:after="0" w:line="153"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 Group</w:t>
      </w:r>
      <w:r>
        <w:rPr>
          <w:rFonts w:ascii="Arial" w:cs="Arial" w:eastAsia="Arial" w:hAnsi="Arial"/>
          <w:sz w:val="20"/>
          <w:szCs w:val="20"/>
          <w:color w:val="auto"/>
        </w:rPr>
        <w:t>” means two or more Eligible Assignees that are Affiliates of one another or two or more Approved Funds managed by the same investment advisor (or by investment advisors that are Affiliates of one another).</w:t>
      </w:r>
    </w:p>
    <w:p>
      <w:pPr>
        <w:spacing w:after="0" w:line="153"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10.06(b)</w:t>
      </w:r>
      <w:r>
        <w:rPr>
          <w:rFonts w:ascii="Arial" w:cs="Arial" w:eastAsia="Arial" w:hAnsi="Arial"/>
          <w:sz w:val="20"/>
          <w:szCs w:val="20"/>
          <w:color w:val="auto"/>
        </w:rPr>
        <w:t xml:space="preserve">), and accepted by the Administrative Agent, in substantially the form of </w:t>
      </w:r>
      <w:r>
        <w:rPr>
          <w:rFonts w:ascii="Arial" w:cs="Arial" w:eastAsia="Arial" w:hAnsi="Arial"/>
          <w:sz w:val="20"/>
          <w:szCs w:val="20"/>
          <w:u w:val="single" w:color="auto"/>
          <w:color w:val="auto"/>
        </w:rPr>
        <w:t>Exhibit F-1</w:t>
      </w:r>
      <w:r>
        <w:rPr>
          <w:rFonts w:ascii="Arial" w:cs="Arial" w:eastAsia="Arial" w:hAnsi="Arial"/>
          <w:sz w:val="20"/>
          <w:szCs w:val="20"/>
          <w:color w:val="auto"/>
        </w:rPr>
        <w:t xml:space="preserve"> or any other form (including electronic documentation generated by use of an electronic platform) approved by the Administrative Agent.</w:t>
      </w:r>
    </w:p>
    <w:p>
      <w:pPr>
        <w:spacing w:after="0" w:line="168" w:lineRule="exact"/>
        <w:rPr>
          <w:sz w:val="20"/>
          <w:szCs w:val="20"/>
          <w:color w:val="auto"/>
        </w:rPr>
      </w:pPr>
    </w:p>
    <w:p>
      <w:pPr>
        <w:jc w:val="both"/>
        <w:ind w:firstLine="599"/>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without duplication,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and (c) all Synthetic Debt of such Person.</w:t>
      </w:r>
    </w:p>
    <w:p>
      <w:pPr>
        <w:spacing w:after="0" w:line="144"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Audited Financial Statements</w:t>
      </w:r>
      <w:r>
        <w:rPr>
          <w:rFonts w:ascii="Arial" w:cs="Arial" w:eastAsia="Arial" w:hAnsi="Arial"/>
          <w:sz w:val="20"/>
          <w:szCs w:val="20"/>
          <w:color w:val="auto"/>
        </w:rPr>
        <w:t>” means the audited consolidated balance sheet of the Consolidated Group for the fiscal year ended December 31, 2016, and the related consolidated statements of income or operations, shareholders’ equity and cash flows for such fiscal year of the REIT, including the notes thereto.</w:t>
      </w:r>
    </w:p>
    <w:p>
      <w:pPr>
        <w:spacing w:after="0" w:line="164"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 Period</w:t>
      </w:r>
      <w:r>
        <w:rPr>
          <w:rFonts w:ascii="Arial" w:cs="Arial" w:eastAsia="Arial" w:hAnsi="Arial"/>
          <w:sz w:val="20"/>
          <w:szCs w:val="20"/>
          <w:color w:val="auto"/>
        </w:rPr>
        <w:t xml:space="preserve">” means the period from and including the Restatement Effective Date to the earliest of (i) the Maturity Date for the Revolving Credit Facility, (ii) the date of termination of the Revolving Credit Commitments pursuant to </w:t>
      </w:r>
      <w:r>
        <w:rPr>
          <w:rFonts w:ascii="Arial" w:cs="Arial" w:eastAsia="Arial" w:hAnsi="Arial"/>
          <w:sz w:val="20"/>
          <w:szCs w:val="20"/>
          <w:u w:val="single" w:color="auto"/>
          <w:color w:val="auto"/>
        </w:rPr>
        <w:t>Section 2.06</w:t>
      </w:r>
      <w:r>
        <w:rPr>
          <w:rFonts w:ascii="Arial" w:cs="Arial" w:eastAsia="Arial" w:hAnsi="Arial"/>
          <w:sz w:val="20"/>
          <w:szCs w:val="20"/>
          <w:color w:val="auto"/>
        </w:rPr>
        <w:t xml:space="preserve">, and (iii) the date of termination of the commitment of each Revolving Credit Lender to make Revolving Credit Loans and of the obligation of each L/C Issuer to make L/C Credit Extensions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w:t>
      </w:r>
    </w:p>
    <w:p>
      <w:pPr>
        <w:spacing w:after="0" w:line="168"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EEA Resolution Authority in respect of any liability of an EEA Financial Institution.</w:t>
      </w:r>
    </w:p>
    <w:p>
      <w:pPr>
        <w:spacing w:after="0" w:line="153"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of America</w:t>
      </w:r>
      <w:r>
        <w:rPr>
          <w:rFonts w:ascii="Arial" w:cs="Arial" w:eastAsia="Arial" w:hAnsi="Arial"/>
          <w:sz w:val="20"/>
          <w:szCs w:val="20"/>
          <w:color w:val="auto"/>
        </w:rPr>
        <w:t>” means Bank of America, N.A.</w:t>
      </w:r>
    </w:p>
    <w:p>
      <w:pPr>
        <w:spacing w:after="0" w:line="207" w:lineRule="exact"/>
        <w:rPr>
          <w:sz w:val="20"/>
          <w:szCs w:val="20"/>
          <w:color w:val="auto"/>
        </w:rPr>
      </w:pPr>
    </w:p>
    <w:p>
      <w:pPr>
        <w:jc w:val="both"/>
        <w:ind w:firstLine="599"/>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means for any day a fluctuating rate per annum equal to the highest of (a) the Federal Funds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1/2 of 1%, (b) the rate of interest in effect for such day as publicly announced from time to time by Bank of America as its “prime rate,” and (c) the Eurodollar Rate (as defined in clause (b) of the definition thereof)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means a Loan that bears interest based on the Base Rate.</w:t>
      </w:r>
    </w:p>
    <w:p>
      <w:pPr>
        <w:spacing w:after="0" w:line="200" w:lineRule="exact"/>
        <w:rPr>
          <w:sz w:val="20"/>
          <w:szCs w:val="20"/>
          <w:color w:val="auto"/>
        </w:rPr>
      </w:pPr>
    </w:p>
    <w:p>
      <w:pPr>
        <w:spacing w:after="0" w:line="244"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4</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6" w:name="page17"/>
    <w:bookmarkEnd w:id="16"/>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Revolving Credit Loan</w:t>
      </w:r>
      <w:r>
        <w:rPr>
          <w:rFonts w:ascii="Arial" w:cs="Arial" w:eastAsia="Arial" w:hAnsi="Arial"/>
          <w:sz w:val="20"/>
          <w:szCs w:val="20"/>
          <w:color w:val="auto"/>
        </w:rPr>
        <w:t>” means a Revolving Credit Loan that is a Base Rate Loan.</w:t>
      </w:r>
    </w:p>
    <w:p>
      <w:pPr>
        <w:spacing w:after="0" w:line="207"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Plan</w:t>
      </w:r>
      <w:r>
        <w:rPr>
          <w:rFonts w:ascii="Arial" w:cs="Arial" w:eastAsia="Arial" w:hAnsi="Arial"/>
          <w:sz w:val="20"/>
          <w:szCs w:val="20"/>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Bookrunners</w:t>
      </w:r>
      <w:r>
        <w:rPr>
          <w:rFonts w:ascii="Arial" w:cs="Arial" w:eastAsia="Arial" w:hAnsi="Arial"/>
          <w:sz w:val="18"/>
          <w:szCs w:val="18"/>
          <w:color w:val="auto"/>
        </w:rPr>
        <w:t>” means, collectively, Wells Fargo Securities, LLC and MLPFS in their capacities as joint bookrunners for the Facilities.</w:t>
      </w:r>
    </w:p>
    <w:p>
      <w:pPr>
        <w:spacing w:after="0" w:line="23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has the meaning specified in the introductory paragraph hereto.</w:t>
      </w:r>
    </w:p>
    <w:p>
      <w:pPr>
        <w:spacing w:after="0" w:line="207" w:lineRule="exact"/>
        <w:rPr>
          <w:sz w:val="20"/>
          <w:szCs w:val="20"/>
          <w:color w:val="auto"/>
        </w:rPr>
      </w:pPr>
    </w:p>
    <w:p>
      <w:pPr>
        <w:jc w:val="both"/>
        <w:ind w:firstLine="599"/>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 Limited Partnership Agreement</w:t>
      </w:r>
      <w:r>
        <w:rPr>
          <w:rFonts w:ascii="Arial" w:cs="Arial" w:eastAsia="Arial" w:hAnsi="Arial"/>
          <w:sz w:val="19"/>
          <w:szCs w:val="19"/>
          <w:color w:val="auto"/>
        </w:rPr>
        <w:t>” means the Amended and Restated Limited Partnership Agreement of the Borrower, dated as of January 19, 2011, among the REIT, as general partner, and the limited partners from time to time party thereto.</w:t>
      </w:r>
    </w:p>
    <w:p>
      <w:pPr>
        <w:spacing w:after="0" w:line="13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means a Revolving Credit Borrowing or a Term Borrowing, as the context may require.</w:t>
      </w:r>
    </w:p>
    <w:p>
      <w:pPr>
        <w:spacing w:after="0" w:line="207"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that is also a London Banking Day.</w:t>
      </w:r>
    </w:p>
    <w:p>
      <w:pPr>
        <w:spacing w:after="0" w:line="164"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Capitalized Leases</w:t>
      </w:r>
      <w:r>
        <w:rPr>
          <w:rFonts w:ascii="Arial" w:cs="Arial" w:eastAsia="Arial" w:hAnsi="Arial"/>
          <w:sz w:val="20"/>
          <w:szCs w:val="20"/>
          <w:color w:val="auto"/>
        </w:rPr>
        <w:t xml:space="preserve">” means all leases that have been or should be, in accordance with GAAP (for the avoidance of doubt, subject to the last sentence of </w:t>
      </w:r>
      <w:r>
        <w:rPr>
          <w:rFonts w:ascii="Arial" w:cs="Arial" w:eastAsia="Arial" w:hAnsi="Arial"/>
          <w:sz w:val="20"/>
          <w:szCs w:val="20"/>
          <w:u w:val="single" w:color="auto"/>
          <w:color w:val="auto"/>
        </w:rPr>
        <w:t>Section 1.03(b)</w:t>
      </w:r>
      <w:r>
        <w:rPr>
          <w:rFonts w:ascii="Arial" w:cs="Arial" w:eastAsia="Arial" w:hAnsi="Arial"/>
          <w:sz w:val="20"/>
          <w:szCs w:val="20"/>
          <w:color w:val="auto"/>
        </w:rPr>
        <w:t>), recorded as capitalized leases.</w:t>
      </w:r>
    </w:p>
    <w:p>
      <w:pPr>
        <w:spacing w:after="0" w:line="153" w:lineRule="exact"/>
        <w:rPr>
          <w:sz w:val="20"/>
          <w:szCs w:val="20"/>
          <w:color w:val="auto"/>
        </w:rPr>
      </w:pPr>
    </w:p>
    <w:p>
      <w:pPr>
        <w:jc w:val="both"/>
        <w:ind w:firstLine="599"/>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Collateralize</w:t>
      </w:r>
      <w:r>
        <w:rPr>
          <w:rFonts w:ascii="Arial" w:cs="Arial" w:eastAsia="Arial" w:hAnsi="Arial"/>
          <w:sz w:val="19"/>
          <w:szCs w:val="19"/>
          <w:color w:val="auto"/>
        </w:rPr>
        <w:t>” means to pledge and deposit with or deliver to the Administrative Agent, for the benefit of the Administrative Agent, the L/C Issuers or the Swing Line Lenders (as applicable) and the Revolving Credit Lenders, as collateral for L/C Obligations, Obligations in respect of Swing Line Loans, or obligations of Revolving Credit Lenders to fund participations in respect thereof (as the context may require), cash or deposit account balances or, if the L/C Issuers or the Swing Line Lenders benefitting from such collateral shall agree in their sole discretion, other credit support, in each case pursuant to documentation in form and substance reasonably satisfactory to (a) the Administrative Agent and (b) the L/C Issuers or the Swing Line Lenders (as applicable). “Cash Collateral” shall have a meaning correlative to the foregoing and shall include the proceeds of such cash collateral and other credit support.</w:t>
      </w:r>
    </w:p>
    <w:p>
      <w:pPr>
        <w:spacing w:after="0" w:line="16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Equivalents</w:t>
      </w:r>
      <w:r>
        <w:rPr>
          <w:rFonts w:ascii="Arial" w:cs="Arial" w:eastAsia="Arial" w:hAnsi="Arial"/>
          <w:sz w:val="20"/>
          <w:szCs w:val="20"/>
          <w:color w:val="auto"/>
        </w:rPr>
        <w:t>” means any of the following types of Investments:</w:t>
      </w:r>
    </w:p>
    <w:p>
      <w:pPr>
        <w:spacing w:after="0" w:line="207" w:lineRule="exact"/>
        <w:rPr>
          <w:sz w:val="20"/>
          <w:szCs w:val="20"/>
          <w:color w:val="auto"/>
        </w:rPr>
      </w:pPr>
    </w:p>
    <w:p>
      <w:pPr>
        <w:jc w:val="both"/>
        <w:ind w:left="600" w:firstLine="599"/>
        <w:spacing w:after="0" w:line="266" w:lineRule="auto"/>
        <w:tabs>
          <w:tab w:leader="none" w:pos="1625"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full faith and credit of the United States of America is pledged in support thereof;</w:t>
      </w:r>
    </w:p>
    <w:p>
      <w:pPr>
        <w:spacing w:after="0" w:line="159" w:lineRule="exact"/>
        <w:rPr>
          <w:rFonts w:ascii="Arial" w:cs="Arial" w:eastAsia="Arial" w:hAnsi="Arial"/>
          <w:sz w:val="20"/>
          <w:szCs w:val="20"/>
          <w:color w:val="auto"/>
        </w:rPr>
      </w:pPr>
    </w:p>
    <w:p>
      <w:pPr>
        <w:jc w:val="both"/>
        <w:ind w:left="600" w:firstLine="599"/>
        <w:spacing w:after="0" w:line="257" w:lineRule="auto"/>
        <w:tabs>
          <w:tab w:leader="none" w:pos="1674" w:val="left"/>
        </w:tabs>
        <w:numPr>
          <w:ilvl w:val="0"/>
          <w:numId w:val="2"/>
        </w:numPr>
        <w:rPr>
          <w:rFonts w:ascii="Arial" w:cs="Arial" w:eastAsia="Arial" w:hAnsi="Arial"/>
          <w:sz w:val="20"/>
          <w:szCs w:val="20"/>
          <w:color w:val="auto"/>
        </w:rPr>
      </w:pPr>
      <w:r>
        <w:rPr>
          <w:rFonts w:ascii="Arial" w:cs="Arial" w:eastAsia="Arial" w:hAnsi="Arial"/>
          <w:sz w:val="20"/>
          <w:szCs w:val="20"/>
          <w:color w:val="auto"/>
        </w:rPr>
        <w:t>time deposits with, or insured certificates of deposit or bankers’ acceptances of,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clause (c) of this definition and (iii) has combined</w:t>
      </w:r>
    </w:p>
    <w:p>
      <w:pPr>
        <w:spacing w:after="0" w:line="200" w:lineRule="exact"/>
        <w:rPr>
          <w:sz w:val="20"/>
          <w:szCs w:val="20"/>
          <w:color w:val="auto"/>
        </w:rPr>
      </w:pPr>
    </w:p>
    <w:p>
      <w:pPr>
        <w:spacing w:after="0" w:line="20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5</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7" w:name="page18"/>
    <w:bookmarkEnd w:id="17"/>
    <w:p>
      <w:pPr>
        <w:ind w:left="600"/>
        <w:spacing w:after="0" w:line="272" w:lineRule="auto"/>
        <w:rPr>
          <w:sz w:val="20"/>
          <w:szCs w:val="20"/>
          <w:color w:val="auto"/>
        </w:rPr>
      </w:pPr>
      <w:r>
        <w:rPr>
          <w:rFonts w:ascii="Arial" w:cs="Arial" w:eastAsia="Arial" w:hAnsi="Arial"/>
          <w:sz w:val="20"/>
          <w:szCs w:val="20"/>
          <w:color w:val="auto"/>
        </w:rPr>
        <w:t>capital and surplus of at least $500,000,000, in each case with maturities of not more than one year from the date of acquisition thereof;</w:t>
      </w:r>
    </w:p>
    <w:p>
      <w:pPr>
        <w:spacing w:after="0" w:line="153" w:lineRule="exact"/>
        <w:rPr>
          <w:sz w:val="20"/>
          <w:szCs w:val="20"/>
          <w:color w:val="auto"/>
        </w:rPr>
      </w:pPr>
    </w:p>
    <w:p>
      <w:pPr>
        <w:jc w:val="both"/>
        <w:ind w:left="600" w:firstLine="599"/>
        <w:spacing w:after="0" w:line="266" w:lineRule="auto"/>
        <w:tabs>
          <w:tab w:leader="none" w:pos="1600" w:val="left"/>
        </w:tabs>
        <w:numPr>
          <w:ilvl w:val="0"/>
          <w:numId w:val="3"/>
        </w:numPr>
        <w:rPr>
          <w:rFonts w:ascii="Arial" w:cs="Arial" w:eastAsia="Arial" w:hAnsi="Arial"/>
          <w:sz w:val="20"/>
          <w:szCs w:val="20"/>
          <w:color w:val="auto"/>
        </w:rPr>
      </w:pPr>
      <w:r>
        <w:rPr>
          <w:rFonts w:ascii="Arial" w:cs="Arial" w:eastAsia="Arial" w:hAnsi="Arial"/>
          <w:sz w:val="20"/>
          <w:szCs w:val="20"/>
          <w:color w:val="auto"/>
        </w:rPr>
        <w:t>commercial paper issued by any Person organized under the laws of any state of the United States of America and rated at least “Prime-2” (or the then equivalent grade) by Moody’s or at least “A-2” (or the then equivalent grade) by S&amp;P, in each case with maturities of not more than 270 days from the date of acquisition thereof;</w:t>
      </w:r>
    </w:p>
    <w:p>
      <w:pPr>
        <w:spacing w:after="0" w:line="159" w:lineRule="exact"/>
        <w:rPr>
          <w:rFonts w:ascii="Arial" w:cs="Arial" w:eastAsia="Arial" w:hAnsi="Arial"/>
          <w:sz w:val="20"/>
          <w:szCs w:val="20"/>
          <w:color w:val="auto"/>
        </w:rPr>
      </w:pPr>
    </w:p>
    <w:p>
      <w:pPr>
        <w:jc w:val="both"/>
        <w:ind w:left="600" w:firstLine="599"/>
        <w:spacing w:after="0" w:line="278" w:lineRule="auto"/>
        <w:tabs>
          <w:tab w:leader="none" w:pos="1649" w:val="left"/>
        </w:tabs>
        <w:numPr>
          <w:ilvl w:val="0"/>
          <w:numId w:val="3"/>
        </w:numPr>
        <w:rPr>
          <w:rFonts w:ascii="Arial" w:cs="Arial" w:eastAsia="Arial" w:hAnsi="Arial"/>
          <w:sz w:val="19"/>
          <w:szCs w:val="19"/>
          <w:color w:val="auto"/>
        </w:rPr>
      </w:pPr>
      <w:r>
        <w:rPr>
          <w:rFonts w:ascii="Arial" w:cs="Arial" w:eastAsia="Arial" w:hAnsi="Arial"/>
          <w:sz w:val="19"/>
          <w:szCs w:val="19"/>
          <w:color w:val="auto"/>
        </w:rPr>
        <w:t>Investments, classified in accordance with GAAP as current assets of the Borrower or any of its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clauses (a), (b) and (c) of this definition; and</w:t>
      </w:r>
    </w:p>
    <w:p>
      <w:pPr>
        <w:spacing w:after="0" w:line="149" w:lineRule="exact"/>
        <w:rPr>
          <w:rFonts w:ascii="Arial" w:cs="Arial" w:eastAsia="Arial" w:hAnsi="Arial"/>
          <w:sz w:val="19"/>
          <w:szCs w:val="19"/>
          <w:color w:val="auto"/>
        </w:rPr>
      </w:pPr>
    </w:p>
    <w:p>
      <w:pPr>
        <w:jc w:val="both"/>
        <w:ind w:left="600" w:firstLine="599"/>
        <w:spacing w:after="0" w:line="287" w:lineRule="auto"/>
        <w:tabs>
          <w:tab w:leader="none" w:pos="1600"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Mortgage backed securities that are issued by the Government National Mortgage Association and fully guaranteed by the United States of America having maturities of not more than 30 years from the date of acquisition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full faith and credit of the United States of America is pledged in support thereof (“</w:t>
      </w:r>
      <w:r>
        <w:rPr>
          <w:rFonts w:ascii="Arial" w:cs="Arial" w:eastAsia="Arial" w:hAnsi="Arial"/>
          <w:sz w:val="19"/>
          <w:szCs w:val="19"/>
          <w:u w:val="single" w:color="auto"/>
          <w:color w:val="auto"/>
        </w:rPr>
        <w:t>GNMA Securities</w:t>
      </w:r>
      <w:r>
        <w:rPr>
          <w:rFonts w:ascii="Arial" w:cs="Arial" w:eastAsia="Arial" w:hAnsi="Arial"/>
          <w:sz w:val="19"/>
          <w:szCs w:val="19"/>
          <w:color w:val="auto"/>
        </w:rPr>
        <w:t>”).</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CERCLA</w:t>
      </w:r>
      <w:r>
        <w:rPr>
          <w:rFonts w:ascii="Arial" w:cs="Arial" w:eastAsia="Arial" w:hAnsi="Arial"/>
          <w:sz w:val="20"/>
          <w:szCs w:val="20"/>
          <w:color w:val="auto"/>
        </w:rPr>
        <w:t>” means the Comprehensive Environmental Response, Compensation and Liability Act of 1980.</w:t>
      </w:r>
    </w:p>
    <w:p>
      <w:pPr>
        <w:spacing w:after="0" w:line="20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CERCLIS</w:t>
      </w:r>
      <w:r>
        <w:rPr>
          <w:rFonts w:ascii="Arial" w:cs="Arial" w:eastAsia="Arial" w:hAnsi="Arial"/>
          <w:sz w:val="20"/>
          <w:szCs w:val="20"/>
          <w:color w:val="auto"/>
        </w:rPr>
        <w:t>” means the Comprehensive Environmental Response, Compensation and Liability Information System maintained by the U.S. Environmental Protection Agency.</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w:t>
      </w:r>
      <w:r>
        <w:rPr>
          <w:rFonts w:ascii="Arial" w:cs="Arial" w:eastAsia="Arial" w:hAnsi="Arial"/>
          <w:sz w:val="20"/>
          <w:szCs w:val="20"/>
          <w:color w:val="auto"/>
        </w:rPr>
        <w:t>” means a Person that is a controlled foreign corporation under Section 957 of the Code.</w:t>
      </w:r>
    </w:p>
    <w:p>
      <w:pPr>
        <w:spacing w:after="0" w:line="207" w:lineRule="exact"/>
        <w:rPr>
          <w:sz w:val="20"/>
          <w:szCs w:val="20"/>
          <w:color w:val="auto"/>
        </w:rPr>
      </w:pPr>
    </w:p>
    <w:p>
      <w:pPr>
        <w:jc w:val="both"/>
        <w:ind w:firstLine="59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 an event or series of events by which:</w:t>
      </w:r>
    </w:p>
    <w:p>
      <w:pPr>
        <w:spacing w:after="0" w:line="207" w:lineRule="exact"/>
        <w:rPr>
          <w:sz w:val="20"/>
          <w:szCs w:val="20"/>
          <w:color w:val="auto"/>
        </w:rPr>
      </w:pPr>
    </w:p>
    <w:p>
      <w:pPr>
        <w:jc w:val="both"/>
        <w:ind w:left="600" w:firstLine="599"/>
        <w:spacing w:after="0" w:line="269" w:lineRule="auto"/>
        <w:tabs>
          <w:tab w:leader="none" w:pos="1613" w:val="left"/>
        </w:tabs>
        <w:numPr>
          <w:ilvl w:val="0"/>
          <w:numId w:val="4"/>
        </w:numPr>
        <w:rPr>
          <w:rFonts w:ascii="Arial" w:cs="Arial" w:eastAsia="Arial" w:hAnsi="Arial"/>
          <w:sz w:val="19"/>
          <w:szCs w:val="19"/>
          <w:color w:val="auto"/>
        </w:rPr>
      </w:pPr>
      <w:r>
        <w:rPr>
          <w:rFonts w:ascii="Arial" w:cs="Arial" w:eastAsia="Arial" w:hAnsi="Arial"/>
          <w:sz w:val="19"/>
          <w:szCs w:val="19"/>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other than the Permitted Holders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Arial" w:cs="Arial" w:eastAsia="Arial" w:hAnsi="Arial"/>
          <w:sz w:val="19"/>
          <w:szCs w:val="19"/>
          <w:u w:val="single" w:color="auto"/>
          <w:color w:val="auto"/>
        </w:rPr>
        <w:t>option right</w:t>
      </w:r>
      <w:r>
        <w:rPr>
          <w:rFonts w:ascii="Arial" w:cs="Arial" w:eastAsia="Arial" w:hAnsi="Arial"/>
          <w:sz w:val="19"/>
          <w:szCs w:val="19"/>
          <w:color w:val="auto"/>
        </w:rPr>
        <w:t>”)), directly or indirectly, of 35% or more of the equity securities of the REIT entitled to vote for members of the board of directors or equivalent governing body of the</w:t>
      </w:r>
    </w:p>
    <w:p>
      <w:pPr>
        <w:spacing w:after="0" w:line="397"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6</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8" w:name="page19"/>
    <w:bookmarkEnd w:id="18"/>
    <w:p>
      <w:pPr>
        <w:ind w:left="600"/>
        <w:spacing w:after="0" w:line="272" w:lineRule="auto"/>
        <w:rPr>
          <w:sz w:val="20"/>
          <w:szCs w:val="20"/>
          <w:color w:val="auto"/>
        </w:rPr>
      </w:pPr>
      <w:r>
        <w:rPr>
          <w:rFonts w:ascii="Arial" w:cs="Arial" w:eastAsia="Arial" w:hAnsi="Arial"/>
          <w:sz w:val="20"/>
          <w:szCs w:val="20"/>
          <w:color w:val="auto"/>
        </w:rPr>
        <w:t>REIT on a fully-diluted basis (and taking into account all such securities that such person or group has the right to acquire pursuant to any option right); or</w:t>
      </w:r>
    </w:p>
    <w:p>
      <w:pPr>
        <w:spacing w:after="0" w:line="153" w:lineRule="exact"/>
        <w:rPr>
          <w:sz w:val="20"/>
          <w:szCs w:val="20"/>
          <w:color w:val="auto"/>
        </w:rPr>
      </w:pPr>
    </w:p>
    <w:p>
      <w:pPr>
        <w:jc w:val="both"/>
        <w:ind w:left="600" w:firstLine="599"/>
        <w:spacing w:after="0" w:line="288" w:lineRule="auto"/>
        <w:tabs>
          <w:tab w:leader="none" w:pos="1661"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 the REIT shall cease to be the sole general partner of the Borrower or shall cease to own, directly, (x) 100% of the general partnership interests of the Borrower and (y) Equity Interests of the Borrower representing a majority of the total economic interests of the Equity Interests of the Borrower, in each case free and clear of all Liens (other than Permitted Judgment Liens and Liens permitted under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or (ii) any holder of a limited partnership interest in the Borrower is provided with or obtains voting rights with respect to such limited partnership interest that deprive the REIT, in its capacity as general partner of the Borrower, of its right to manage the Borrower in the ordinary course of business and consistent with past practice.</w:t>
      </w:r>
    </w:p>
    <w:p>
      <w:pPr>
        <w:spacing w:after="0" w:line="146"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Class</w:t>
      </w:r>
      <w:r>
        <w:rPr>
          <w:rFonts w:ascii="Arial" w:cs="Arial" w:eastAsia="Arial" w:hAnsi="Arial"/>
          <w:sz w:val="20"/>
          <w:szCs w:val="20"/>
          <w:color w:val="auto"/>
        </w:rPr>
        <w:t>” when used with respect to a Loan or a Borrowing, refers to whether such Loans, or the Loans comprising such Borrowing, are Revolving Credit Loans, Swing Line Loans or Term Loans.</w:t>
      </w:r>
    </w:p>
    <w:p>
      <w:pPr>
        <w:spacing w:after="0" w:line="153"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Term Facility</w:t>
      </w:r>
      <w:r>
        <w:rPr>
          <w:rFonts w:ascii="Arial" w:cs="Arial" w:eastAsia="Arial" w:hAnsi="Arial"/>
          <w:sz w:val="20"/>
          <w:szCs w:val="20"/>
          <w:color w:val="auto"/>
        </w:rPr>
        <w:t>” means, at any time, the Outstanding Amount of the Closing Date Term Loans of all Closing Date Term Lenders at such time. The Closing Date Term Facility on the Restatement Effective Date is $100,000,000.</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Term Lender</w:t>
      </w:r>
      <w:r>
        <w:rPr>
          <w:rFonts w:ascii="Arial" w:cs="Arial" w:eastAsia="Arial" w:hAnsi="Arial"/>
          <w:sz w:val="20"/>
          <w:szCs w:val="20"/>
          <w:color w:val="auto"/>
        </w:rPr>
        <w:t>” means at any time a Lender that holds a Closing Date Term Loan at such time.</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Term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2.01(a)</w:t>
      </w:r>
      <w:r>
        <w:rPr>
          <w:rFonts w:ascii="Arial" w:cs="Arial" w:eastAsia="Arial" w:hAnsi="Arial"/>
          <w:sz w:val="20"/>
          <w:szCs w:val="20"/>
          <w:color w:val="auto"/>
        </w:rPr>
        <w: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a Term Commitment and/or a Revolving Credit Commitment, as the context may require.</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53" w:lineRule="exact"/>
        <w:rPr>
          <w:sz w:val="20"/>
          <w:szCs w:val="20"/>
          <w:color w:val="auto"/>
        </w:rPr>
      </w:pPr>
    </w:p>
    <w:p>
      <w:pPr>
        <w:jc w:val="both"/>
        <w:ind w:firstLine="599"/>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period, without duplication, an amount equal to Consolidated Net Income for such period (a)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following to the extent deducted in calculating such Consolidated Net Income: (i) Consolidated Interest Expense (plus, to the extent not already included in such Consolidated Interest Expense, amortization of deferred financing costs), (ii) the provision for federal, state, local and foreign income taxes of the Consolidated Group (including the Consolidated Group Pro Rata Share of the provision for Federal, state, local and foreign incomes taxes of each Unconsolidated Affiliate), (iii) non-cash charges of the Consolidated Group (excluding any non-cash charge that results in an accrual of a reserve for a cash charge in any future period), (iv) the Consolidated Group Pro Rata Share of non-cash charges of Unconsolidated Affiliates (excluding any non-cash charge that results in an accrual of a reserve for a cash charge in any future period), (v) acquisition closing costs of the Consolidated Group that were capitalized prior to FAS 141-R reducing such Consolidated Net Income (including the Consolidated Group Pro Rata Share of acquisition closing costs of Unconsolidated Affiliates that were capitalized prior to FAS 141-R reducing such Consolidated Net Income), (vi) depreciation and amortization expense of the Consolidated Group (including the Consolidated Group Pro Rata Share of depreciation and amortization expense of each Unconsolidated Affiliate) and (vii) one-time costs and expenses relating to the effectiveness of the credit facilities evidenced by this Agreement and the transactions relating thereto, to the extent such fees and expenses are incurred on or prior to the date that is ninety-days following the Restatement Effective Date</w:t>
      </w:r>
    </w:p>
    <w:p>
      <w:pPr>
        <w:spacing w:after="0" w:line="394"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7</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9" w:name="page20"/>
    <w:bookmarkEnd w:id="19"/>
    <w:p>
      <w:pPr>
        <w:spacing w:after="0" w:line="284"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(b)(i) non-cash items of the Consolidated Group increasing such Consolidated Net Income (other than the reversal of any accrual of a reserve referred to in the parenthetical in clause (a)(iii) of this definition, except to the extent such reversal results from a cash payment) and</w:t>
      </w:r>
    </w:p>
    <w:p>
      <w:pPr>
        <w:spacing w:after="0" w:line="1" w:lineRule="exact"/>
        <w:rPr>
          <w:sz w:val="20"/>
          <w:szCs w:val="20"/>
          <w:color w:val="auto"/>
        </w:rPr>
      </w:pPr>
    </w:p>
    <w:p>
      <w:pPr>
        <w:jc w:val="both"/>
        <w:spacing w:after="0" w:line="251" w:lineRule="auto"/>
        <w:tabs>
          <w:tab w:leader="none" w:pos="309"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Consolidated Group Pro Rata Share of non-cash items of Unconsolidated Affiliates increasing such Consolidated Net Income (other than the reversal of any accrual of a reserve referred to in the parenthetical in clause (a)(iv) of this definition, except to the extent such reversal results from a cash payment).</w:t>
      </w:r>
    </w:p>
    <w:p>
      <w:pPr>
        <w:spacing w:after="0" w:line="174"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Fixed Charge Coverage Ratio</w:t>
      </w:r>
      <w:r>
        <w:rPr>
          <w:rFonts w:ascii="Arial" w:cs="Arial" w:eastAsia="Arial" w:hAnsi="Arial"/>
          <w:sz w:val="20"/>
          <w:szCs w:val="20"/>
          <w:color w:val="auto"/>
        </w:rPr>
        <w:t>” means the ratio as of the last day of any fiscal quarter of the REIT of (i) Consolidated EBITDA for the four consecutive fiscal quarter period of the REIT then ending to (ii) Consolidated Fixed Charges for such four consecutive fiscal quarter period.</w:t>
      </w:r>
    </w:p>
    <w:p>
      <w:pPr>
        <w:spacing w:after="0" w:line="164" w:lineRule="exact"/>
        <w:rPr>
          <w:sz w:val="20"/>
          <w:szCs w:val="20"/>
          <w:color w:val="auto"/>
        </w:rPr>
      </w:pPr>
    </w:p>
    <w:p>
      <w:pPr>
        <w:jc w:val="both"/>
        <w:ind w:firstLine="599"/>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Fixed Charges</w:t>
      </w:r>
      <w:r>
        <w:rPr>
          <w:rFonts w:ascii="Arial" w:cs="Arial" w:eastAsia="Arial" w:hAnsi="Arial"/>
          <w:sz w:val="18"/>
          <w:szCs w:val="18"/>
          <w:color w:val="auto"/>
        </w:rPr>
        <w:t>” means, for any period, the sum, without duplication, of (i) Consolidated Interest Expense, (ii) scheduled payments of principal on Consolidated Total Indebtedness (excluding any balloon payments payable on maturity of any such Consolidated Total Indebtedness), (iii) the amount of dividends or distributions paid or required to be paid by any member of the Consolidated Group (other than to another member of the Consolidated Group) during such period in respect of its preferred Equity Interests (excluding any balloon payments payable on maturity or redemption in whole of such Equity Interests) and (iv) the Consolidated Group Pro Rata Share of the amount of dividends or distributions paid or required to be paid by any Unconsolidated Affiliate during such period in respect of its preferred Equity Interests (to Persons other than (x) a member of the Consolidated Group or (y) an Unconsolidated Affiliate in which the percentage of Equity Interests of such Unconsolidated Affiliate owned by the Consolidated Group is greater than or equal to the percentage of Equity Interests owned by the Consolidated Group in the Unconsolidated Affiliate paying the dividend or distribution).</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Group</w:t>
      </w:r>
      <w:r>
        <w:rPr>
          <w:rFonts w:ascii="Arial" w:cs="Arial" w:eastAsia="Arial" w:hAnsi="Arial"/>
          <w:sz w:val="20"/>
          <w:szCs w:val="20"/>
          <w:color w:val="auto"/>
        </w:rPr>
        <w:t>” means, collectively, the REIT and its Consolidated Subsidiaries.</w:t>
      </w:r>
    </w:p>
    <w:p>
      <w:pPr>
        <w:spacing w:after="0" w:line="207"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Group Pro Rata Share</w:t>
      </w:r>
      <w:r>
        <w:rPr>
          <w:rFonts w:ascii="Arial" w:cs="Arial" w:eastAsia="Arial" w:hAnsi="Arial"/>
          <w:sz w:val="20"/>
          <w:szCs w:val="20"/>
          <w:color w:val="auto"/>
        </w:rPr>
        <w:t>” means, with respect to any Unconsolidated Affiliate, the aggregate percentage interest held by members of the Consolidated Group in such Unconsolidated Affiliate determined by calculating the percentage of Equity Interests of such Unconsolidated Affiliate owned by members of the Consolidated Group.</w:t>
      </w:r>
    </w:p>
    <w:p>
      <w:pPr>
        <w:spacing w:after="0" w:line="164" w:lineRule="exact"/>
        <w:rPr>
          <w:sz w:val="20"/>
          <w:szCs w:val="20"/>
          <w:color w:val="auto"/>
        </w:rPr>
      </w:pPr>
    </w:p>
    <w:p>
      <w:pPr>
        <w:jc w:val="both"/>
        <w:ind w:firstLine="59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Expense</w:t>
      </w:r>
      <w:r>
        <w:rPr>
          <w:rFonts w:ascii="Arial" w:cs="Arial" w:eastAsia="Arial" w:hAnsi="Arial"/>
          <w:sz w:val="19"/>
          <w:szCs w:val="19"/>
          <w:color w:val="auto"/>
        </w:rPr>
        <w:t>” means, for any period, without duplication, the sum of (i) total cash interest expense (including, for the avoidance of doubt, capitalized interest) of the Consolidated Group for such period determined on a consolidated basis in accordance with GAAP plus (ii) the Consolidated Group Pro Rata Share of total cash interest expense (including, for the avoidance of doubt, capitalized interest) of each Unconsolidated Affiliate for such period determined in accordance with GAAP.</w:t>
      </w:r>
    </w:p>
    <w:p>
      <w:pPr>
        <w:spacing w:after="0" w:line="155" w:lineRule="exact"/>
        <w:rPr>
          <w:sz w:val="20"/>
          <w:szCs w:val="20"/>
          <w:color w:val="auto"/>
        </w:rPr>
      </w:pPr>
    </w:p>
    <w:p>
      <w:pPr>
        <w:jc w:val="both"/>
        <w:ind w:firstLine="599"/>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with respect to any period, the sum of (i) the net income (or loss) of the Consolidated Group for such period determined on a consolidated basis in accordance with GAAP, excluding any extraordinary or non-recurring gain (or extraordinary or non-recurring loss) realized during such period by any member of the Consolidated Group plus (ii) the Consolidated Group Pro Rata Share of the net income (or loss) of each Unconsolidated Affiliate for such period determined in accordance with GAAP, excluding any extraordinary or non-recurring gain (or extraordinary or non-recurring loss) realized during such period by such Unconsolidated Affiliate.</w:t>
      </w:r>
    </w:p>
    <w:p>
      <w:pPr>
        <w:spacing w:after="0" w:line="144"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Secured Leverage Ratio</w:t>
      </w:r>
      <w:r>
        <w:rPr>
          <w:rFonts w:ascii="Arial" w:cs="Arial" w:eastAsia="Arial" w:hAnsi="Arial"/>
          <w:sz w:val="20"/>
          <w:szCs w:val="20"/>
          <w:color w:val="auto"/>
        </w:rPr>
        <w:t>” means, as of any date of determination, the ratio (expressed as a percentage) of (i) Consolidated Total Secured Indebtedness as of such date to (ii) the Secured Total Asset Value as of such date.</w:t>
      </w:r>
    </w:p>
    <w:p>
      <w:pPr>
        <w:spacing w:after="0" w:line="390"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8</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20" w:name="page21"/>
    <w:bookmarkEnd w:id="20"/>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Subsidiaries</w:t>
      </w:r>
      <w:r>
        <w:rPr>
          <w:rFonts w:ascii="Arial" w:cs="Arial" w:eastAsia="Arial" w:hAnsi="Arial"/>
          <w:sz w:val="20"/>
          <w:szCs w:val="20"/>
          <w:color w:val="auto"/>
        </w:rPr>
        <w:t>” means, as to any Person, all Subsidiaries of such Person that are consolidated with such Person for financial reporting purposes under GAAP.</w:t>
      </w:r>
    </w:p>
    <w:p>
      <w:pPr>
        <w:spacing w:after="0" w:line="153"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Indebtedness</w:t>
      </w:r>
      <w:r>
        <w:rPr>
          <w:rFonts w:ascii="Arial" w:cs="Arial" w:eastAsia="Arial" w:hAnsi="Arial"/>
          <w:sz w:val="20"/>
          <w:szCs w:val="20"/>
          <w:color w:val="auto"/>
        </w:rPr>
        <w:t>” means, as at any date of determination, the sum of (i) the aggregate amount of all Indebtedness owed by the Consolidated Group that would be reflected on a consolidated balance sheet of the Consolidated Group as of such date plus (ii) the Consolidated Group Pro Rata Share of the aggregate amount of all Indebtedness owed by each Unconsolidated Affiliate that would be reflected on a balance sheet of such Unconsolidated Affiliate.</w:t>
      </w:r>
    </w:p>
    <w:p>
      <w:pPr>
        <w:spacing w:after="0" w:line="168" w:lineRule="exact"/>
        <w:rPr>
          <w:sz w:val="20"/>
          <w:szCs w:val="20"/>
          <w:color w:val="auto"/>
        </w:rPr>
      </w:pPr>
    </w:p>
    <w:p>
      <w:pPr>
        <w:jc w:val="both"/>
        <w:ind w:firstLine="599"/>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Leverage Ratio</w:t>
      </w:r>
      <w:r>
        <w:rPr>
          <w:rFonts w:ascii="Arial" w:cs="Arial" w:eastAsia="Arial" w:hAnsi="Arial"/>
          <w:sz w:val="18"/>
          <w:szCs w:val="18"/>
          <w:color w:val="auto"/>
        </w:rPr>
        <w:t xml:space="preserve">” means, as of any date of determination, the ratio (expressed as a percentage) of (i) Consolidated Total Indebtedness as of such date,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the Unrestricted Cash Amount as of such date to (ii) the Total Asset Value as of such date.</w:t>
      </w:r>
    </w:p>
    <w:p>
      <w:pPr>
        <w:spacing w:after="0" w:line="107"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Secured Indebtedness</w:t>
      </w:r>
      <w:r>
        <w:rPr>
          <w:rFonts w:ascii="Arial" w:cs="Arial" w:eastAsia="Arial" w:hAnsi="Arial"/>
          <w:sz w:val="20"/>
          <w:szCs w:val="20"/>
          <w:color w:val="auto"/>
        </w:rPr>
        <w:t>” means, as at any date of determination, the sum of (i) the aggregate amount of all Secured Indebtedness owed by members of the Consolidated Group (excluding in any event Indebtedness outstanding under this Agreement) that would be reflected on a consolidated balance sheet of the Consolidated Group as of such date plus (ii) the Consolidated Group Pro Rata Share of the aggregate amount of all Secured Indebtedness owed by each Unconsolidated Affiliate that would be reflected on a balance sheet of such Unconsolidated Affiliate.</w:t>
      </w:r>
    </w:p>
    <w:p>
      <w:pPr>
        <w:spacing w:after="0" w:line="174"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Unsecured Indebtedness</w:t>
      </w:r>
      <w:r>
        <w:rPr>
          <w:rFonts w:ascii="Arial" w:cs="Arial" w:eastAsia="Arial" w:hAnsi="Arial"/>
          <w:sz w:val="20"/>
          <w:szCs w:val="20"/>
          <w:color w:val="auto"/>
        </w:rPr>
        <w:t>” means, as at any date of determination, the sum of (i) the aggregate amount of all Unsecured Indebtedness owed by members of the Consolidated Group (including Indebtedness outstanding under this Agreement) that would be reflected on a consolidated balance sheet of the Consolidated Group as of such date plus (ii) the Consolidated Group Pro Rata Share of the aggregate amount of all Unsecured Indebtedness owed by each Unconsolidated Affiliate that would be reflected on a balance sheet of such Unconsolidated Affiliate.</w:t>
      </w:r>
    </w:p>
    <w:p>
      <w:pPr>
        <w:spacing w:after="0" w:line="174"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Unsecured Interest Coverage Ratio</w:t>
      </w:r>
      <w:r>
        <w:rPr>
          <w:rFonts w:ascii="Arial" w:cs="Arial" w:eastAsia="Arial" w:hAnsi="Arial"/>
          <w:sz w:val="20"/>
          <w:szCs w:val="20"/>
          <w:color w:val="auto"/>
        </w:rPr>
        <w:t>” means the ratio as of the last day of any fiscal quarter of the REIT of (i) the sum of Unencumbered Property NOI of each Unencumbered Eligible Property for the fiscal quarter of the REIT then ending to (ii) Consolidated Unsecured Interest Expense for such fiscal quarter.</w:t>
      </w:r>
    </w:p>
    <w:p>
      <w:pPr>
        <w:spacing w:after="0" w:line="164" w:lineRule="exact"/>
        <w:rPr>
          <w:sz w:val="20"/>
          <w:szCs w:val="20"/>
          <w:color w:val="auto"/>
        </w:rPr>
      </w:pPr>
    </w:p>
    <w:p>
      <w:pPr>
        <w:jc w:val="both"/>
        <w:ind w:firstLine="599"/>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Unsecured Interest Expense</w:t>
      </w:r>
      <w:r>
        <w:rPr>
          <w:rFonts w:ascii="Arial" w:cs="Arial" w:eastAsia="Arial" w:hAnsi="Arial"/>
          <w:sz w:val="19"/>
          <w:szCs w:val="19"/>
          <w:color w:val="auto"/>
        </w:rPr>
        <w:t>” means, for any period, the portion of Consolidated Interest Expense for such period that was incurred in respect of Unsecured Indebtedness owed by any member of the Consolidated Group or an Unconsolidated Affiliate.</w:t>
      </w:r>
    </w:p>
    <w:p>
      <w:pPr>
        <w:spacing w:after="0" w:line="130"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Unsecured Leverage Ratio</w:t>
      </w:r>
      <w:r>
        <w:rPr>
          <w:rFonts w:ascii="Arial" w:cs="Arial" w:eastAsia="Arial" w:hAnsi="Arial"/>
          <w:sz w:val="20"/>
          <w:szCs w:val="20"/>
          <w:color w:val="auto"/>
        </w:rPr>
        <w:t xml:space="preserve">” means, as of any date of determination, the ratio (expressed as a percentage) of (i) Consolidated Total Unsecured Indebtedness as of such date, </w:t>
      </w:r>
      <w:r>
        <w:rPr>
          <w:rFonts w:ascii="Arial" w:cs="Arial" w:eastAsia="Arial" w:hAnsi="Arial"/>
          <w:sz w:val="20"/>
          <w:szCs w:val="20"/>
          <w:i w:val="1"/>
          <w:iCs w:val="1"/>
          <w:color w:val="auto"/>
        </w:rPr>
        <w:t>less</w:t>
      </w:r>
      <w:r>
        <w:rPr>
          <w:rFonts w:ascii="Arial" w:cs="Arial" w:eastAsia="Arial" w:hAnsi="Arial"/>
          <w:sz w:val="20"/>
          <w:szCs w:val="20"/>
          <w:color w:val="auto"/>
        </w:rPr>
        <w:t xml:space="preserve"> the Unrestricted Cash Amount as of such date to (ii) the Unencumbered Asset Value as of such date.</w:t>
      </w:r>
    </w:p>
    <w:p>
      <w:pPr>
        <w:spacing w:after="0" w:line="164"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53"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164"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Controlled Joint Venture</w:t>
      </w:r>
      <w:r>
        <w:rPr>
          <w:rFonts w:ascii="Arial" w:cs="Arial" w:eastAsia="Arial" w:hAnsi="Arial"/>
          <w:sz w:val="20"/>
          <w:szCs w:val="20"/>
          <w:color w:val="auto"/>
        </w:rPr>
        <w:t>” means a Subsidiary of the Borrower that (a) is organized under the laws of the United States of America or any State thereof (and each Subsidiary of the Borrower that directly or indirectly owns any Equity Interests in such Subsidiary is also organized under the laws of the United States</w:t>
      </w:r>
    </w:p>
    <w:p>
      <w:pPr>
        <w:spacing w:after="0" w:line="200" w:lineRule="exact"/>
        <w:rPr>
          <w:sz w:val="20"/>
          <w:szCs w:val="20"/>
          <w:color w:val="auto"/>
        </w:rPr>
      </w:pPr>
    </w:p>
    <w:p>
      <w:pPr>
        <w:spacing w:after="0" w:line="20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9</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21" w:name="page22"/>
    <w:bookmarkEnd w:id="21"/>
    <w:p>
      <w:pPr>
        <w:jc w:val="both"/>
        <w:spacing w:after="0" w:line="251" w:lineRule="auto"/>
        <w:rPr>
          <w:sz w:val="20"/>
          <w:szCs w:val="20"/>
          <w:color w:val="auto"/>
        </w:rPr>
      </w:pPr>
      <w:r>
        <w:rPr>
          <w:rFonts w:ascii="Arial" w:cs="Arial" w:eastAsia="Arial" w:hAnsi="Arial"/>
          <w:sz w:val="20"/>
          <w:szCs w:val="20"/>
          <w:color w:val="auto"/>
        </w:rPr>
        <w:t>of America or any State thereof), (b) is not a Wholly Owned Subsidiary of the Borrower and (c) is controlled by a Wholly Owned Subsidiary of the Borrower that is not a borrower or guarantor of, or otherwise does not have a payment obligation in respect of, any Indebtedness for borrowed money that constitutes Recourse Indebtedness. For purposes of this definition, a Subsidiary of the Borrower is “controlled” by a Person if such Person has the right to exercise exclusive control over any disposition, refinancing and operating activity of any Unencumbered Portfolio Property owned or ground leased by such Subsidiary without the consent of any other Person (other than (i) the Borrower or (ii) any Subsidiary of the Borrower, as long as such Subsidiary does not need the consent of any minority equity holder thereof to consent to any disposition, refinancing or operating activity).</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Extension</w:t>
      </w:r>
      <w:r>
        <w:rPr>
          <w:rFonts w:ascii="Arial" w:cs="Arial" w:eastAsia="Arial" w:hAnsi="Arial"/>
          <w:sz w:val="19"/>
          <w:szCs w:val="19"/>
          <w:color w:val="auto"/>
        </w:rPr>
        <w:t>” means each of the following: (a) a Borrowing, (b) a Swing Line Borrowing and (c) an L/C Credit Extension.</w:t>
      </w:r>
    </w:p>
    <w:p>
      <w:pPr>
        <w:spacing w:after="0" w:line="219"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Laws</w:t>
      </w:r>
      <w:r>
        <w:rPr>
          <w:rFonts w:ascii="Arial" w:cs="Arial" w:eastAsia="Arial" w:hAnsi="Arial"/>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64"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 Rating</w:t>
      </w:r>
      <w:r>
        <w:rPr>
          <w:rFonts w:ascii="Arial" w:cs="Arial" w:eastAsia="Arial" w:hAnsi="Arial"/>
          <w:sz w:val="20"/>
          <w:szCs w:val="20"/>
          <w:color w:val="auto"/>
        </w:rPr>
        <w:t>” means, as of any date of determination, the rating assigned by a Rating Agency to the Borrower’s non-credit enhanced, senior unsecured long term debt as in effect on such date.</w:t>
      </w:r>
    </w:p>
    <w:p>
      <w:pPr>
        <w:spacing w:after="0" w:line="153"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with the giving of any notice, the passage of time, or both, would be an Event of Default.</w:t>
      </w:r>
    </w:p>
    <w:p>
      <w:pPr>
        <w:spacing w:after="0" w:line="153" w:lineRule="exact"/>
        <w:rPr>
          <w:sz w:val="20"/>
          <w:szCs w:val="20"/>
          <w:color w:val="auto"/>
        </w:rPr>
      </w:pPr>
    </w:p>
    <w:p>
      <w:pPr>
        <w:jc w:val="both"/>
        <w:ind w:firstLine="599"/>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 when used with respect to Obligations other than Obligations in respect of a Term Facility and Letter of Credit Fees, an interest rate equal to (i)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Applicable Rate for Base Rate Revolving Credit Loans (assuming that the Pricing Level corresponding to the highest Applicable Rate applied in the then applicable Pricing Grid for the Revolving Credit Facility) </w:t>
      </w:r>
      <w:r>
        <w:rPr>
          <w:rFonts w:ascii="Arial" w:cs="Arial" w:eastAsia="Arial" w:hAnsi="Arial"/>
          <w:sz w:val="18"/>
          <w:szCs w:val="18"/>
          <w:u w:val="single" w:color="auto"/>
          <w:color w:val="auto"/>
        </w:rPr>
        <w:t>plus</w:t>
      </w:r>
    </w:p>
    <w:p>
      <w:pPr>
        <w:spacing w:after="0" w:line="1" w:lineRule="exact"/>
        <w:rPr>
          <w:sz w:val="20"/>
          <w:szCs w:val="20"/>
          <w:color w:val="auto"/>
        </w:rPr>
      </w:pPr>
    </w:p>
    <w:p>
      <w:pPr>
        <w:jc w:val="both"/>
        <w:spacing w:after="0" w:line="262" w:lineRule="auto"/>
        <w:tabs>
          <w:tab w:leader="none" w:pos="353"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2% per annum;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with respect to a Revolving Credit Loan that is a Eurodollar Rate Loan, the Default Rate shall be an interest rate equal to (i) the Eurodollar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Applicable Rate for Eurodollar Rate Loans under the Revolving Credit Facility (assuming that the Pricing Level corresponding to the highest Applicable Rate applied in the then applicable Pricing Grid for the Revolving Credit Facility)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(iii) 2% per annum, (b) when used with respect to Obligations in respect of the Closing Date Term Facility, an interest rate equal to (i) the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Applicable Rate for Base Rate Loans under the Closing Date Term Facility (assuming that the Pricing Level corresponding to the highest Applicable Rate applied in the then applicable Pricing Grid for the Closing Date Term Facility)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(iii) 2% per annum;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with respect to a Closing Date Term Loan that is a Eurodollar Rate Loan, the Default Rate shall be an interest rate equal to (i) the Eurodollar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Applicable Rate for Eurodollar Rate Loans under the Closing Date Term Facility (assuming that the Pricing Level corresponding to the highest Applicable Rate applied in the then applicable Pricing Grid for the Closing Date Term Facility)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(iii) 2% per annum, (c) when used with respect to Obligations in respect of an Additional TL Tranche, an interest rate equal to (i) the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Applicable Rate for Base Rate Loans under such Term Facility (assuming that the highest Applicable Rate that could be applicable to Base Rate Loans under such Term Facility applied)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(iii) 2% per annum;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with respect to a Term Loan under an Additional TL Tranche that is a Eurodollar Rate Loan, the Default Rate shall be an interest rate equal to (i) the Eurodollar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Applicable Rate for Eurodollar Rate Loans under such Term Facility (assuming that the highest Applicable Rate that could be applicable to Eurodollar Rate Loans under such Term Facility applied)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(iii) 2% per annum, and (d) when used with respect to Letter of Credit Fees, a rate equal to the Applicable Rate for Eurodollar Rate Loans under the Revolving Credit Facility (assuming that the Pricing Level</w:t>
      </w:r>
    </w:p>
    <w:p>
      <w:pPr>
        <w:spacing w:after="0" w:line="200" w:lineRule="exact"/>
        <w:rPr>
          <w:sz w:val="20"/>
          <w:szCs w:val="20"/>
          <w:color w:val="auto"/>
        </w:rPr>
      </w:pPr>
    </w:p>
    <w:p>
      <w:pPr>
        <w:spacing w:after="0" w:line="20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10</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22" w:name="page23"/>
    <w:bookmarkEnd w:id="22"/>
    <w:p>
      <w:pPr>
        <w:jc w:val="both"/>
        <w:spacing w:after="0" w:line="272" w:lineRule="auto"/>
        <w:rPr>
          <w:sz w:val="20"/>
          <w:szCs w:val="20"/>
          <w:color w:val="auto"/>
        </w:rPr>
      </w:pPr>
      <w:r>
        <w:rPr>
          <w:rFonts w:ascii="Arial" w:cs="Arial" w:eastAsia="Arial" w:hAnsi="Arial"/>
          <w:sz w:val="20"/>
          <w:szCs w:val="20"/>
          <w:color w:val="auto"/>
        </w:rPr>
        <w:t xml:space="preserve">corresponding to the highest Applicable Rate applied in the then applicable Pricing Grid for the Revolving Credit Facility)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2% per annum.</w:t>
      </w:r>
    </w:p>
    <w:p>
      <w:pPr>
        <w:spacing w:after="0" w:line="153" w:lineRule="exact"/>
        <w:rPr>
          <w:sz w:val="20"/>
          <w:szCs w:val="20"/>
          <w:color w:val="auto"/>
        </w:rPr>
      </w:pPr>
    </w:p>
    <w:p>
      <w:pPr>
        <w:jc w:val="both"/>
        <w:ind w:firstLine="599"/>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2.19(b)</w:t>
      </w:r>
      <w:r>
        <w:rPr>
          <w:rFonts w:ascii="Arial" w:cs="Arial" w:eastAsia="Arial" w:hAnsi="Arial"/>
          <w:sz w:val="18"/>
          <w:szCs w:val="18"/>
          <w:color w:val="auto"/>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L/C Issuer, any Swing Line Lender or any other Lender any other amount required to be paid by it hereunder (including in respect of its participation in Letters of Credit or Swing Line Loans) within two Business Days of the date when due,</w:t>
      </w:r>
    </w:p>
    <w:p>
      <w:pPr>
        <w:spacing w:after="0" w:line="1" w:lineRule="exact"/>
        <w:rPr>
          <w:sz w:val="20"/>
          <w:szCs w:val="20"/>
          <w:color w:val="auto"/>
        </w:rPr>
      </w:pPr>
    </w:p>
    <w:p>
      <w:pPr>
        <w:jc w:val="both"/>
        <w:spacing w:after="0" w:line="277" w:lineRule="auto"/>
        <w:tabs>
          <w:tab w:leader="none" w:pos="286" w:val="left"/>
        </w:tabs>
        <w:numPr>
          <w:ilvl w:val="0"/>
          <w:numId w:val="8"/>
        </w:numPr>
        <w:rPr>
          <w:rFonts w:ascii="Arial" w:cs="Arial" w:eastAsia="Arial" w:hAnsi="Arial"/>
          <w:sz w:val="18"/>
          <w:szCs w:val="18"/>
          <w:color w:val="auto"/>
        </w:rPr>
      </w:pPr>
      <w:r>
        <w:rPr>
          <w:rFonts w:ascii="Arial" w:cs="Arial" w:eastAsia="Arial" w:hAnsi="Arial"/>
          <w:sz w:val="18"/>
          <w:szCs w:val="18"/>
          <w:color w:val="auto"/>
        </w:rPr>
        <w:t>has notified the Borrower, the Administrative Agent, any L/C Issuer or any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and of the effective date of such status, shall be conclusive and binding absent manifest error, and such Lender shall be deemed to be a Defaulting Lender (subject to </w:t>
      </w:r>
      <w:r>
        <w:rPr>
          <w:rFonts w:ascii="Arial" w:cs="Arial" w:eastAsia="Arial" w:hAnsi="Arial"/>
          <w:sz w:val="18"/>
          <w:szCs w:val="18"/>
          <w:u w:val="single" w:color="auto"/>
          <w:color w:val="auto"/>
        </w:rPr>
        <w:t>Section 2.19(b)</w:t>
      </w:r>
      <w:r>
        <w:rPr>
          <w:rFonts w:ascii="Arial" w:cs="Arial" w:eastAsia="Arial" w:hAnsi="Arial"/>
          <w:sz w:val="18"/>
          <w:szCs w:val="18"/>
          <w:color w:val="auto"/>
        </w:rPr>
        <w:t>) as of the date established therefor by the Administrative Agent in a written notice of such determination, which shall be delivered by the Administrative Agent to the Borrower, the L/C Issuers, the Swing Line Lenders and each other Lender promptly following such determination.</w:t>
      </w:r>
    </w:p>
    <w:p>
      <w:pPr>
        <w:spacing w:after="0" w:line="152" w:lineRule="exact"/>
        <w:rPr>
          <w:sz w:val="20"/>
          <w:szCs w:val="20"/>
          <w:color w:val="auto"/>
        </w:rPr>
      </w:pPr>
    </w:p>
    <w:p>
      <w:pPr>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Jurisdiction</w:t>
      </w:r>
      <w:r>
        <w:rPr>
          <w:rFonts w:ascii="Arial" w:cs="Arial" w:eastAsia="Arial" w:hAnsi="Arial"/>
          <w:sz w:val="20"/>
          <w:szCs w:val="20"/>
          <w:color w:val="auto"/>
        </w:rPr>
        <w:t>” means any country, region or territory to the extent that such country, region or territory itself is the subject of any Sanction.</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Development Investment</w:t>
      </w:r>
      <w:r>
        <w:rPr>
          <w:rFonts w:ascii="Arial" w:cs="Arial" w:eastAsia="Arial" w:hAnsi="Arial"/>
          <w:sz w:val="20"/>
          <w:szCs w:val="20"/>
          <w:color w:val="auto"/>
        </w:rPr>
        <w:t>” has the meaning specified in clause (a) of the definition of “Specified Investments.”</w:t>
      </w:r>
    </w:p>
    <w:p>
      <w:pPr>
        <w:spacing w:after="0" w:line="207" w:lineRule="exact"/>
        <w:rPr>
          <w:sz w:val="20"/>
          <w:szCs w:val="20"/>
          <w:color w:val="auto"/>
        </w:rPr>
      </w:pPr>
    </w:p>
    <w:p>
      <w:pPr>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Direct Owner</w:t>
      </w:r>
      <w:r>
        <w:rPr>
          <w:rFonts w:ascii="Arial" w:cs="Arial" w:eastAsia="Arial" w:hAnsi="Arial"/>
          <w:sz w:val="20"/>
          <w:szCs w:val="20"/>
          <w:color w:val="auto"/>
        </w:rPr>
        <w:t>” means each Subsidiary of the Borrower that directly owns, or is the ground lessee of an interest in, any Unencumbered Portfolio Property.</w:t>
      </w:r>
    </w:p>
    <w:p>
      <w:pPr>
        <w:spacing w:after="0" w:line="153" w:lineRule="exact"/>
        <w:rPr>
          <w:sz w:val="20"/>
          <w:szCs w:val="20"/>
          <w:color w:val="auto"/>
        </w:rPr>
      </w:pPr>
    </w:p>
    <w:p>
      <w:pPr>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Disposed Portfolio Property</w:t>
      </w:r>
      <w:r>
        <w:rPr>
          <w:rFonts w:ascii="Arial" w:cs="Arial" w:eastAsia="Arial" w:hAnsi="Arial"/>
          <w:sz w:val="20"/>
          <w:szCs w:val="20"/>
          <w:color w:val="auto"/>
        </w:rPr>
        <w:t>” means, as of any date of determination, any Portfolio Property that is directly or indirectly disposed of by any member of the Consolidated Group to a Person that is not a member</w:t>
      </w:r>
    </w:p>
    <w:p>
      <w:pPr>
        <w:spacing w:after="0" w:line="390"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11</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23" w:name="page24"/>
    <w:bookmarkEnd w:id="23"/>
    <w:p>
      <w:pPr>
        <w:jc w:val="both"/>
        <w:spacing w:after="0" w:line="272" w:lineRule="auto"/>
        <w:rPr>
          <w:sz w:val="20"/>
          <w:szCs w:val="20"/>
          <w:color w:val="auto"/>
        </w:rPr>
      </w:pPr>
      <w:r>
        <w:rPr>
          <w:rFonts w:ascii="Arial" w:cs="Arial" w:eastAsia="Arial" w:hAnsi="Arial"/>
          <w:sz w:val="20"/>
          <w:szCs w:val="20"/>
          <w:color w:val="auto"/>
        </w:rPr>
        <w:t xml:space="preserve">of the Consolidated Group during the then most recently ended fiscal quarter of the REIT for which financial statements have been provided to the Administrative Agent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w:t>
      </w:r>
    </w:p>
    <w:p>
      <w:pPr>
        <w:spacing w:after="0" w:line="153" w:lineRule="exact"/>
        <w:rPr>
          <w:sz w:val="20"/>
          <w:szCs w:val="20"/>
          <w:color w:val="auto"/>
        </w:rPr>
      </w:pPr>
    </w:p>
    <w:p>
      <w:pPr>
        <w:jc w:val="both"/>
        <w:ind w:firstLine="599"/>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(other than a real estate lease entered into in the ordinary course of business) or other disposition (including any sale and leaseback transaction) of any property by any Person, including any sale, assignment, transfer or other disposal, with or without recourse, of any notes or accounts receivable or any rights and claims associated therewith.</w:t>
      </w:r>
    </w:p>
    <w:p>
      <w:pPr>
        <w:spacing w:after="0" w:line="13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pacing w:after="0" w:line="207" w:lineRule="exact"/>
        <w:rPr>
          <w:sz w:val="20"/>
          <w:szCs w:val="20"/>
          <w:color w:val="auto"/>
        </w:rPr>
      </w:pPr>
    </w:p>
    <w:p>
      <w:pPr>
        <w:jc w:val="both"/>
        <w:ind w:firstLine="59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207" w:lineRule="exact"/>
        <w:rPr>
          <w:sz w:val="20"/>
          <w:szCs w:val="20"/>
          <w:color w:val="auto"/>
        </w:rPr>
      </w:pPr>
    </w:p>
    <w:p>
      <w:pPr>
        <w:jc w:val="both"/>
        <w:ind w:firstLine="599"/>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30"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xml:space="preserve">” means any Person that meets the requirements to be an assignee under </w:t>
      </w:r>
      <w:r>
        <w:rPr>
          <w:rFonts w:ascii="Arial" w:cs="Arial" w:eastAsia="Arial" w:hAnsi="Arial"/>
          <w:sz w:val="20"/>
          <w:szCs w:val="20"/>
          <w:u w:val="single" w:color="auto"/>
          <w:color w:val="auto"/>
        </w:rPr>
        <w:t>Section 10.06(b)(iii)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10.06(b)(iii)</w:t>
      </w:r>
      <w:r>
        <w:rPr>
          <w:rFonts w:ascii="Arial" w:cs="Arial" w:eastAsia="Arial" w:hAnsi="Arial"/>
          <w:sz w:val="20"/>
          <w:szCs w:val="20"/>
          <w:color w:val="auto"/>
        </w:rPr>
        <w:t>).</w:t>
      </w:r>
    </w:p>
    <w:p>
      <w:pPr>
        <w:spacing w:after="0" w:line="153" w:lineRule="exact"/>
        <w:rPr>
          <w:sz w:val="20"/>
          <w:szCs w:val="20"/>
          <w:color w:val="auto"/>
        </w:rPr>
      </w:pPr>
    </w:p>
    <w:p>
      <w:pPr>
        <w:jc w:val="both"/>
        <w:ind w:firstLine="599"/>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Ground Lease</w:t>
      </w:r>
      <w:r>
        <w:rPr>
          <w:rFonts w:ascii="Arial" w:cs="Arial" w:eastAsia="Arial" w:hAnsi="Arial"/>
          <w:sz w:val="18"/>
          <w:szCs w:val="18"/>
          <w:color w:val="auto"/>
        </w:rPr>
        <w:t>” means a ground lease with respect to a Portfolio Property executed by a Controlled Joint Venture or a Wholly Owned Subsidiary of the Borrower, as lessee, that (a) has a minimum remaining term of thirty five (35) years, including tenant controlled options, as of the date the related Portfolio Property becomes an Unencumbered Eligible Property hereunder, (b) has customary notice rights, default cure rights, bankruptcy new lease rights and other customary provisions for the benefit of a leasehold mortgagee or has equivalent protection for a leasehold permanent mortgagee by a subordination to such leasehold permanent mortgagee of the landlord's fee interest and</w:t>
      </w:r>
    </w:p>
    <w:p>
      <w:pPr>
        <w:spacing w:after="0" w:line="4" w:lineRule="exact"/>
        <w:rPr>
          <w:sz w:val="20"/>
          <w:szCs w:val="20"/>
          <w:color w:val="auto"/>
        </w:rPr>
      </w:pPr>
    </w:p>
    <w:p>
      <w:pPr>
        <w:spacing w:after="0" w:line="256" w:lineRule="auto"/>
        <w:tabs>
          <w:tab w:leader="none" w:pos="287" w:val="left"/>
        </w:tabs>
        <w:numPr>
          <w:ilvl w:val="0"/>
          <w:numId w:val="9"/>
        </w:numPr>
        <w:rPr>
          <w:rFonts w:ascii="Arial" w:cs="Arial" w:eastAsia="Arial" w:hAnsi="Arial"/>
          <w:sz w:val="20"/>
          <w:szCs w:val="20"/>
          <w:color w:val="auto"/>
        </w:rPr>
      </w:pPr>
      <w:r>
        <w:rPr>
          <w:rFonts w:ascii="Arial" w:cs="Arial" w:eastAsia="Arial" w:hAnsi="Arial"/>
          <w:sz w:val="20"/>
          <w:szCs w:val="20"/>
          <w:color w:val="auto"/>
        </w:rPr>
        <w:t>is otherwise acceptable for non-recourse leasehold mortgage financing under customary prudent lending requirements as reasonably and mutually determined by both the Borrower and the Administrative Agent.</w:t>
      </w:r>
    </w:p>
    <w:p>
      <w:pPr>
        <w:spacing w:after="0" w:line="168"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w:t>
      </w:r>
      <w:r>
        <w:rPr>
          <w:rFonts w:ascii="Arial" w:cs="Arial" w:eastAsia="Arial" w:hAnsi="Arial"/>
          <w:sz w:val="20"/>
          <w:szCs w:val="20"/>
          <w:color w:val="auto"/>
        </w:rPr>
        <w:t>” means ambient air, indoor air, surface water, groundwater, drinking water, soil, surface and subsurface strata, and natural resources such as wetlands, flora and fauna.</w:t>
      </w:r>
    </w:p>
    <w:p>
      <w:pPr>
        <w:spacing w:after="0" w:line="153"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any and all Federal, state, local, and foreign statutes, laws, regulations, ordinances, rules, judgments, orders, decrees, permits, agreements or governmental restrictions relating to pollution or the protection of the Environment or of human health (to the extent related to exposure to Hazardous Materials), including those relating to the manufacture, generation, handling, transport, storage, treatment, Release or threat of Release of Hazardous Materials.</w:t>
      </w:r>
    </w:p>
    <w:p>
      <w:pPr>
        <w:spacing w:after="0" w:line="168" w:lineRule="exact"/>
        <w:rPr>
          <w:sz w:val="20"/>
          <w:szCs w:val="20"/>
          <w:color w:val="auto"/>
        </w:rPr>
      </w:pPr>
    </w:p>
    <w:p>
      <w:pPr>
        <w:jc w:val="both"/>
        <w:ind w:firstLine="599"/>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contingent or otherwise (including any liability for damages, costs of environmental remediation, fines, penalties or indemnities), of the Borrower, the REIT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w:t>
      </w:r>
    </w:p>
    <w:p>
      <w:pPr>
        <w:spacing w:after="0" w:line="376"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12</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24" w:name="page25"/>
    <w:bookmarkEnd w:id="24"/>
    <w:p>
      <w:pPr>
        <w:jc w:val="both"/>
        <w:spacing w:after="0" w:line="272" w:lineRule="auto"/>
        <w:rPr>
          <w:sz w:val="20"/>
          <w:szCs w:val="20"/>
          <w:color w:val="auto"/>
        </w:rPr>
      </w:pPr>
      <w:r>
        <w:rPr>
          <w:rFonts w:ascii="Arial" w:cs="Arial" w:eastAsia="Arial" w:hAnsi="Arial"/>
          <w:sz w:val="20"/>
          <w:szCs w:val="20"/>
          <w:color w:val="auto"/>
        </w:rPr>
        <w:t>Hazardous Materials or (e) any contract, agreement or other consensual arrangement pursuant to which liability is assumed or imposed with respect to any of the foregoing.</w:t>
      </w:r>
    </w:p>
    <w:p>
      <w:pPr>
        <w:spacing w:after="0" w:line="153"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Permit</w:t>
      </w:r>
      <w:r>
        <w:rPr>
          <w:rFonts w:ascii="Arial" w:cs="Arial" w:eastAsia="Arial" w:hAnsi="Arial"/>
          <w:sz w:val="20"/>
          <w:szCs w:val="20"/>
          <w:color w:val="auto"/>
        </w:rPr>
        <w:t>” means any permit, approval, identification number, license or other authorization required under any Environmental Law.</w:t>
      </w:r>
    </w:p>
    <w:p>
      <w:pPr>
        <w:spacing w:after="0" w:line="153"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xml:space="preserve">”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Arial" w:cs="Arial" w:eastAsia="Arial" w:hAnsi="Arial"/>
          <w:sz w:val="20"/>
          <w:szCs w:val="20"/>
          <w:u w:val="single" w:color="auto"/>
          <w:color w:val="auto"/>
        </w:rPr>
        <w:t>provided</w:t>
      </w:r>
      <w:r>
        <w:rPr>
          <w:rFonts w:ascii="Arial" w:cs="Arial" w:eastAsia="Arial" w:hAnsi="Arial"/>
          <w:sz w:val="20"/>
          <w:szCs w:val="20"/>
          <w:color w:val="auto"/>
        </w:rPr>
        <w:t>, that Equity Interests shall not include any debt securities or other Indebtedness convertible into, or exchangeable for, Equity Interests.</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means the Employee Retirement Income Security Act of 1974, and the rules and regulations promulgated thereunder.</w:t>
      </w:r>
    </w:p>
    <w:p>
      <w:pPr>
        <w:spacing w:after="0" w:line="219"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64" w:lineRule="exact"/>
        <w:rPr>
          <w:sz w:val="20"/>
          <w:szCs w:val="20"/>
          <w:color w:val="auto"/>
        </w:rPr>
      </w:pPr>
    </w:p>
    <w:p>
      <w:pPr>
        <w:jc w:val="both"/>
        <w:ind w:firstLine="599"/>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a Pension Plan, or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spacing w:after="0" w:line="172"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Rate</w:t>
      </w:r>
      <w:r>
        <w:rPr>
          <w:rFonts w:ascii="Arial" w:cs="Arial" w:eastAsia="Arial" w:hAnsi="Arial"/>
          <w:sz w:val="20"/>
          <w:szCs w:val="20"/>
          <w:color w:val="auto"/>
        </w:rPr>
        <w:t>” means:</w:t>
      </w:r>
    </w:p>
    <w:p>
      <w:pPr>
        <w:spacing w:after="0" w:line="207" w:lineRule="exact"/>
        <w:rPr>
          <w:sz w:val="20"/>
          <w:szCs w:val="20"/>
          <w:color w:val="auto"/>
        </w:rPr>
      </w:pPr>
    </w:p>
    <w:p>
      <w:pPr>
        <w:jc w:val="both"/>
        <w:ind w:firstLine="599"/>
        <w:spacing w:after="0" w:line="256" w:lineRule="auto"/>
        <w:tabs>
          <w:tab w:leader="none" w:pos="898" w:val="left"/>
        </w:tabs>
        <w:numPr>
          <w:ilvl w:val="0"/>
          <w:numId w:val="10"/>
        </w:numPr>
        <w:rPr>
          <w:rFonts w:ascii="Arial" w:cs="Arial" w:eastAsia="Arial" w:hAnsi="Arial"/>
          <w:sz w:val="20"/>
          <w:szCs w:val="20"/>
          <w:color w:val="auto"/>
        </w:rPr>
      </w:pPr>
      <w:r>
        <w:rPr>
          <w:rFonts w:ascii="Arial" w:cs="Arial" w:eastAsia="Arial" w:hAnsi="Arial"/>
          <w:sz w:val="20"/>
          <w:szCs w:val="20"/>
          <w:color w:val="auto"/>
        </w:rPr>
        <w:t>for any Interest Period with respect to a Eurodollar Rate Loan, the rate per annum equal to the London interbank offered rate (“</w:t>
      </w:r>
      <w:r>
        <w:rPr>
          <w:rFonts w:ascii="Arial" w:cs="Arial" w:eastAsia="Arial" w:hAnsi="Arial"/>
          <w:sz w:val="20"/>
          <w:szCs w:val="20"/>
          <w:u w:val="single" w:color="auto"/>
          <w:color w:val="auto"/>
        </w:rPr>
        <w:t>LIBOR</w:t>
      </w:r>
      <w:r>
        <w:rPr>
          <w:rFonts w:ascii="Arial" w:cs="Arial" w:eastAsia="Arial" w:hAnsi="Arial"/>
          <w:sz w:val="20"/>
          <w:szCs w:val="20"/>
          <w:color w:val="auto"/>
        </w:rPr>
        <w:t>”) (or a comparable or successor rate, which rate is approved by the Administrative Agent after consultation with the Borrower), as published on the applicable Bloomberg screen page (or such other commercially available source providing such quotations as may be designated by the</w:t>
      </w:r>
    </w:p>
    <w:p>
      <w:pPr>
        <w:spacing w:after="0" w:line="200" w:lineRule="exact"/>
        <w:rPr>
          <w:sz w:val="20"/>
          <w:szCs w:val="20"/>
          <w:color w:val="auto"/>
        </w:rPr>
      </w:pPr>
    </w:p>
    <w:p>
      <w:pPr>
        <w:spacing w:after="0" w:line="20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13</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25" w:name="page26"/>
    <w:bookmarkEnd w:id="25"/>
    <w:p>
      <w:pPr>
        <w:spacing w:after="0" w:line="329" w:lineRule="auto"/>
        <w:rPr>
          <w:sz w:val="20"/>
          <w:szCs w:val="20"/>
          <w:color w:val="auto"/>
        </w:rPr>
      </w:pPr>
      <w:r>
        <w:rPr>
          <w:rFonts w:ascii="Arial" w:cs="Arial" w:eastAsia="Arial" w:hAnsi="Arial"/>
          <w:sz w:val="18"/>
          <w:szCs w:val="18"/>
          <w:color w:val="auto"/>
        </w:rPr>
        <w:t>Administrative Agent from time to time) at approximately 11:00 a.m., London time, two Business Days prior to the commencement of such Interest Period, for Dollar deposits (for delivery on the first day of such Interest Period) with a term equivalent to such Interest Period; and</w:t>
      </w:r>
    </w:p>
    <w:p>
      <w:pPr>
        <w:spacing w:after="0" w:line="107" w:lineRule="exact"/>
        <w:rPr>
          <w:sz w:val="20"/>
          <w:szCs w:val="20"/>
          <w:color w:val="auto"/>
        </w:rPr>
      </w:pPr>
    </w:p>
    <w:p>
      <w:pPr>
        <w:jc w:val="both"/>
        <w:ind w:firstLine="599"/>
        <w:spacing w:after="0" w:line="344" w:lineRule="auto"/>
        <w:tabs>
          <w:tab w:leader="none" w:pos="10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any interest calculation with respect to a Base Rate Loan on any date, the rate per annum equal to LIBOR, at approximately 11:00 a.m., London time determined two Business Days prior to such date for Dollar deposits with a term of one month commencing that day;</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a comparable or successor rate to LIBOR is approved by the Administrative Agent in connection herewith, the approved rate shall be applied to the applicable Interest Period in a manner consistent with market practice;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to the extent such market practice is not administratively feasible for the Administrative Agent, such approved rate shall be applied to the applicable Interest Period as otherwise reasonably determined by the Administrative Agent. Notwithstanding anything to the contrary contained herein, at any time that the Eurodollar Rate determined in accordance with the foregoing is less than zero, such rate shall be deemed zero for purposes of this Agreement.</w:t>
      </w:r>
    </w:p>
    <w:p>
      <w:pPr>
        <w:spacing w:after="0" w:line="175"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Rate Loan</w:t>
      </w:r>
      <w:r>
        <w:rPr>
          <w:rFonts w:ascii="Arial" w:cs="Arial" w:eastAsia="Arial" w:hAnsi="Arial"/>
          <w:sz w:val="20"/>
          <w:szCs w:val="20"/>
          <w:color w:val="auto"/>
        </w:rPr>
        <w:t>” means a Revolving Credit Loan or Term Loan that bears interest at a rate based on clause (a) of the definition of “Eurodollar Rate.”</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Subsidiary</w:t>
      </w:r>
      <w:r>
        <w:rPr>
          <w:rFonts w:ascii="Arial" w:cs="Arial" w:eastAsia="Arial" w:hAnsi="Arial"/>
          <w:sz w:val="19"/>
          <w:szCs w:val="19"/>
          <w:color w:val="auto"/>
        </w:rPr>
        <w:t>” means any Subsidiary of the Borrower that (a) is not a Direct Owner of any Unencumbered Eligible Property or an Indirect Owner of the Direct Owner of any Unencumbered Eligible Property and (b) is (i) an Excluded TRS Subsidiary, (ii) an Immaterial Subsidiary, (iii) a Subsidiary in which the Borrower and/or its Wholly Owned Subsidiaries directly, indirectly or beneficially own more than 50% but less than 75% of the Equity Interests of such Subsidiary having ordinary voting power for the election of directors or members of any other governing body of such Subsidiary, (iv) a borrower or guarantor of Secured Indebtedness (or a direct or indirect parent of such borrower or guarantor (other than the Borrower or the REIT)), and the terms of such Secured Indebtedness prohibit such Subsidiary from becoming a Guarantor or (v) a CFC that is unable to become a Guarantor without, in the reasonable judgment of the REIT, causing adverse tax consequences to the Consolidated Group.</w:t>
      </w:r>
    </w:p>
    <w:p>
      <w:pPr>
        <w:spacing w:after="0" w:line="161" w:lineRule="exact"/>
        <w:rPr>
          <w:sz w:val="20"/>
          <w:szCs w:val="20"/>
          <w:color w:val="auto"/>
        </w:rPr>
      </w:pPr>
    </w:p>
    <w:p>
      <w:pPr>
        <w:jc w:val="both"/>
        <w:ind w:firstLine="599"/>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means any of the following Taxes imposed on or with respect to Recipient or required to be withheld or deducted from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or (ii) pursuant to </w:t>
      </w:r>
      <w:r>
        <w:rPr>
          <w:rFonts w:ascii="Arial" w:cs="Arial" w:eastAsia="Arial" w:hAnsi="Arial"/>
          <w:sz w:val="18"/>
          <w:szCs w:val="18"/>
          <w:u w:val="single" w:color="auto"/>
          <w:color w:val="auto"/>
        </w:rPr>
        <w:t>Section 3.01(a)(ii)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3.01(c)</w:t>
      </w:r>
      <w:r>
        <w:rPr>
          <w:rFonts w:ascii="Arial" w:cs="Arial" w:eastAsia="Arial" w:hAnsi="Arial"/>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and (d) any U.S. federal withholding Taxes imposed pursuant to FATCA.</w:t>
      </w:r>
    </w:p>
    <w:p>
      <w:pPr>
        <w:spacing w:after="0" w:line="149"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TRS Subsidiary</w:t>
      </w:r>
      <w:r>
        <w:rPr>
          <w:rFonts w:ascii="Arial" w:cs="Arial" w:eastAsia="Arial" w:hAnsi="Arial"/>
          <w:sz w:val="20"/>
          <w:szCs w:val="20"/>
          <w:color w:val="auto"/>
        </w:rPr>
        <w:t xml:space="preserve">” means (a) a TRS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TRS Subsidiary does not own any assets or conduct any business or operations, other than its ownership of all of the Equity Interests of a Hotel Lessee Subsidiary and activities ancillary or incidental thereto or (b) a Hotel Lessee Subsidiary, in each case if either (i) the Exemption Condition exists with respect to such Person or (ii) in the reasonable</w:t>
      </w:r>
    </w:p>
    <w:p>
      <w:pPr>
        <w:spacing w:after="0" w:line="200" w:lineRule="exact"/>
        <w:rPr>
          <w:sz w:val="20"/>
          <w:szCs w:val="20"/>
          <w:color w:val="auto"/>
        </w:rPr>
      </w:pPr>
    </w:p>
    <w:p>
      <w:pPr>
        <w:spacing w:after="0" w:line="20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14</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judgment of the REIT, the Guarantee of the Obligations by such Person would cause adverse tax consequences to the Consolidated Group.</w:t>
      </w:r>
    </w:p>
    <w:p>
      <w:pPr>
        <w:spacing w:after="0" w:line="230"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Exemption Condition</w:t>
      </w:r>
      <w:r>
        <w:rPr>
          <w:rFonts w:ascii="Arial" w:cs="Arial" w:eastAsia="Arial" w:hAnsi="Arial"/>
          <w:sz w:val="20"/>
          <w:szCs w:val="20"/>
          <w:color w:val="auto"/>
        </w:rPr>
        <w:t xml:space="preserve">” means, at any time with respect to any Subsidiary of the Borrower that is not a Guarantor, such Subsidiary is not a borrower or guarantor of, and does not have a payment obligation in respect of, Indebtedness for borrowed money that constitutes Recourse Indebtedness (other than Indebtedness permitted under </w:t>
      </w:r>
      <w:r>
        <w:rPr>
          <w:rFonts w:ascii="Arial" w:cs="Arial" w:eastAsia="Arial" w:hAnsi="Arial"/>
          <w:sz w:val="20"/>
          <w:szCs w:val="20"/>
          <w:u w:val="single" w:color="auto"/>
          <w:color w:val="auto"/>
        </w:rPr>
        <w:t>Section 7.02(b)</w:t>
      </w:r>
      <w:r>
        <w:rPr>
          <w:rFonts w:ascii="Arial" w:cs="Arial" w:eastAsia="Arial" w:hAnsi="Arial"/>
          <w:sz w:val="20"/>
          <w:szCs w:val="20"/>
          <w:color w:val="auto"/>
        </w:rPr>
        <w:t>).</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has the meaning specified in the first recital hereto.</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Note</w:t>
      </w:r>
      <w:r>
        <w:rPr>
          <w:rFonts w:ascii="Arial" w:cs="Arial" w:eastAsia="Arial" w:hAnsi="Arial"/>
          <w:sz w:val="20"/>
          <w:szCs w:val="20"/>
          <w:color w:val="auto"/>
        </w:rPr>
        <w:t>” means a “Note” as defined in the Existing Credit Agreement.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Revolving Credit Note</w:t>
      </w:r>
      <w:r>
        <w:rPr>
          <w:rFonts w:ascii="Arial" w:cs="Arial" w:eastAsia="Arial" w:hAnsi="Arial"/>
          <w:sz w:val="20"/>
          <w:szCs w:val="20"/>
          <w:color w:val="auto"/>
        </w:rPr>
        <w:t>” means a “Revolving Credit Note” as defined in the Existing Credit Agreement.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Term Note</w:t>
      </w:r>
      <w:r>
        <w:rPr>
          <w:rFonts w:ascii="Arial" w:cs="Arial" w:eastAsia="Arial" w:hAnsi="Arial"/>
          <w:sz w:val="20"/>
          <w:szCs w:val="20"/>
          <w:color w:val="auto"/>
        </w:rPr>
        <w:t>” means a “Term Note” as defined in the Existing Credit Agreement.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Exiting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10.21</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w:t>
      </w:r>
      <w:r>
        <w:rPr>
          <w:rFonts w:ascii="Arial" w:cs="Arial" w:eastAsia="Arial" w:hAnsi="Arial"/>
          <w:sz w:val="20"/>
          <w:szCs w:val="20"/>
          <w:color w:val="auto"/>
        </w:rPr>
        <w:t>” means (a) the Revolving Credit Facility, (b) the Closing Date Term Facility and (c) each Additional TL Tranche, as the context may require (and “</w:t>
      </w:r>
      <w:r>
        <w:rPr>
          <w:rFonts w:ascii="Arial" w:cs="Arial" w:eastAsia="Arial" w:hAnsi="Arial"/>
          <w:sz w:val="20"/>
          <w:szCs w:val="20"/>
          <w:u w:val="single" w:color="auto"/>
          <w:color w:val="auto"/>
        </w:rPr>
        <w:t>Facilities</w:t>
      </w:r>
      <w:r>
        <w:rPr>
          <w:rFonts w:ascii="Arial" w:cs="Arial" w:eastAsia="Arial" w:hAnsi="Arial"/>
          <w:sz w:val="20"/>
          <w:szCs w:val="20"/>
          <w:color w:val="auto"/>
        </w:rPr>
        <w:t>” means a collective reference to the foregoing).</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FASB ASC</w:t>
      </w:r>
      <w:r>
        <w:rPr>
          <w:rFonts w:ascii="Arial" w:cs="Arial" w:eastAsia="Arial" w:hAnsi="Arial"/>
          <w:sz w:val="20"/>
          <w:szCs w:val="20"/>
          <w:color w:val="auto"/>
        </w:rPr>
        <w:t>” means the Accounting Standards Codification of the Financial Accounting Standards Board.</w:t>
      </w:r>
    </w:p>
    <w:p>
      <w:pPr>
        <w:spacing w:after="0" w:line="207"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substantially comparable and not materially more onerous to comply with) and any current or future regulations or official interpretations thereof and any agreements entered into pursuant to Section 1471(b)(1) of the Code.</w:t>
      </w:r>
    </w:p>
    <w:p>
      <w:pPr>
        <w:spacing w:after="0" w:line="164" w:lineRule="exact"/>
        <w:rPr>
          <w:sz w:val="20"/>
          <w:szCs w:val="20"/>
          <w:color w:val="auto"/>
        </w:rPr>
      </w:pPr>
    </w:p>
    <w:p>
      <w:pPr>
        <w:jc w:val="both"/>
        <w:ind w:firstLine="599"/>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44" w:lineRule="exact"/>
        <w:rPr>
          <w:sz w:val="20"/>
          <w:szCs w:val="20"/>
          <w:color w:val="auto"/>
        </w:rPr>
      </w:pPr>
    </w:p>
    <w:p>
      <w:pPr>
        <w:jc w:val="both"/>
        <w:ind w:firstLine="599"/>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Fee Letters</w:t>
      </w:r>
      <w:r>
        <w:rPr>
          <w:rFonts w:ascii="Arial" w:cs="Arial" w:eastAsia="Arial" w:hAnsi="Arial"/>
          <w:sz w:val="19"/>
          <w:szCs w:val="19"/>
          <w:color w:val="auto"/>
        </w:rPr>
        <w:t>” means, collectively, all agreements entered into by the Borrower (on the one hand) and one or more of the Bookrunners (on the other hand) with respect to fees payable to such Bookrunner and/or the Lenders in connection with the Facilities.</w:t>
      </w:r>
    </w:p>
    <w:p>
      <w:pPr>
        <w:spacing w:after="0" w:line="130"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Covenant Event of Default</w:t>
      </w:r>
      <w:r>
        <w:rPr>
          <w:rFonts w:ascii="Arial" w:cs="Arial" w:eastAsia="Arial" w:hAnsi="Arial"/>
          <w:sz w:val="20"/>
          <w:szCs w:val="20"/>
          <w:color w:val="auto"/>
        </w:rPr>
        <w:t xml:space="preserve">” means an Event of Default arising as a result of the Borrower’s failure to comply with any of the covenants contained in </w:t>
      </w:r>
      <w:r>
        <w:rPr>
          <w:rFonts w:ascii="Arial" w:cs="Arial" w:eastAsia="Arial" w:hAnsi="Arial"/>
          <w:sz w:val="20"/>
          <w:szCs w:val="20"/>
          <w:u w:val="single" w:color="auto"/>
          <w:color w:val="auto"/>
        </w:rPr>
        <w:t>Section 7.02(b)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7.11</w:t>
      </w:r>
      <w:r>
        <w:rPr>
          <w:rFonts w:ascii="Arial" w:cs="Arial" w:eastAsia="Arial" w:hAnsi="Arial"/>
          <w:sz w:val="20"/>
          <w:szCs w:val="20"/>
          <w:color w:val="auto"/>
        </w:rPr>
        <w:t>.</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Extended Revolver Maturity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Fitch</w:t>
      </w:r>
      <w:r>
        <w:rPr>
          <w:rFonts w:ascii="Arial" w:cs="Arial" w:eastAsia="Arial" w:hAnsi="Arial"/>
          <w:sz w:val="20"/>
          <w:szCs w:val="20"/>
          <w:color w:val="auto"/>
        </w:rPr>
        <w:t>” means Fitch, Inc. and any successor thereto.</w:t>
      </w:r>
    </w:p>
    <w:p>
      <w:pPr>
        <w:spacing w:after="0" w:line="200" w:lineRule="exact"/>
        <w:rPr>
          <w:sz w:val="20"/>
          <w:szCs w:val="20"/>
          <w:color w:val="auto"/>
        </w:rPr>
      </w:pPr>
    </w:p>
    <w:p>
      <w:pPr>
        <w:spacing w:after="0" w:line="244"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15</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27" w:name="page28"/>
    <w:bookmarkEnd w:id="27"/>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 Lender that is not a U.S. Person.</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FRB</w:t>
      </w:r>
      <w:r>
        <w:rPr>
          <w:rFonts w:ascii="Arial" w:cs="Arial" w:eastAsia="Arial" w:hAnsi="Arial"/>
          <w:sz w:val="20"/>
          <w:szCs w:val="20"/>
          <w:color w:val="auto"/>
        </w:rPr>
        <w:t>” means the Board of Governors of the Federal Reserve System of the United States.</w:t>
      </w:r>
    </w:p>
    <w:p>
      <w:pPr>
        <w:spacing w:after="0" w:line="207" w:lineRule="exact"/>
        <w:rPr>
          <w:sz w:val="20"/>
          <w:szCs w:val="20"/>
          <w:color w:val="auto"/>
        </w:rPr>
      </w:pPr>
    </w:p>
    <w:p>
      <w:pPr>
        <w:jc w:val="both"/>
        <w:ind w:firstLine="599"/>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(a) with respect to the L/C Issuers, an amount equal to such Defaulting Lender’s Applicable Percentage of the outstanding L/C Obligations, less the amount of such L/C Obligations as to which such Defaulting Lender has funded its participation obligation or as to which such Defaulting Lender’s participation obligation has been reallocated to other Revolving Credit Lenders or Cash Collateralized in accordance with the terms hereof, and (b) with respect to the Swing Line Lenders, an amount equal to such Defaulting Lender’s Applicable Percentage of Swing Line Loans, less the amount of such Swing Line Loans as to which such Defaulting Lender has funded its participation obligation or as to which such Defaulting Lender’s participation obligation has been reallocated to other Revolving Credit Lenders or Cash Collateralized in accordance with the terms hereof.</w:t>
      </w:r>
    </w:p>
    <w:p>
      <w:pPr>
        <w:spacing w:after="0" w:line="146"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53" w:lineRule="exact"/>
        <w:rPr>
          <w:sz w:val="20"/>
          <w:szCs w:val="20"/>
          <w:color w:val="auto"/>
        </w:rPr>
      </w:pPr>
    </w:p>
    <w:p>
      <w:pPr>
        <w:jc w:val="both"/>
        <w:ind w:firstLine="59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5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GNMA Securities</w:t>
      </w:r>
      <w:r>
        <w:rPr>
          <w:rFonts w:ascii="Arial" w:cs="Arial" w:eastAsia="Arial" w:hAnsi="Arial"/>
          <w:sz w:val="20"/>
          <w:szCs w:val="20"/>
          <w:color w:val="auto"/>
        </w:rPr>
        <w:t>” has the meaning specified in clause (e) of the definition of “Cash Equivalents.”</w:t>
      </w:r>
    </w:p>
    <w:p>
      <w:pPr>
        <w:spacing w:after="0" w:line="207"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68" w:lineRule="exact"/>
        <w:rPr>
          <w:sz w:val="20"/>
          <w:szCs w:val="20"/>
          <w:color w:val="auto"/>
        </w:rPr>
      </w:pPr>
    </w:p>
    <w:p>
      <w:pPr>
        <w:jc w:val="both"/>
        <w:ind w:firstLine="599"/>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as to any Person, (a) any obligation, contingent or otherwise, of such Person guaranteeing or having the economic effect of guaranteeing any Indebtedness or other obligation payable or performable by another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8"/>
          <w:szCs w:val="18"/>
          <w:u w:val="single" w:color="auto"/>
          <w:color w:val="auto"/>
        </w:rPr>
        <w:t>Guarantee</w:t>
      </w:r>
      <w:r>
        <w:rPr>
          <w:rFonts w:ascii="Arial" w:cs="Arial" w:eastAsia="Arial" w:hAnsi="Arial"/>
          <w:sz w:val="18"/>
          <w:szCs w:val="18"/>
          <w:color w:val="auto"/>
        </w:rPr>
        <w:t>” as a verb has a corresponding meaning.</w:t>
      </w:r>
    </w:p>
    <w:p>
      <w:pPr>
        <w:spacing w:after="0" w:line="39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16</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28" w:name="page29"/>
    <w:bookmarkEnd w:id="28"/>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Guarantors</w:t>
      </w:r>
      <w:r>
        <w:rPr>
          <w:rFonts w:ascii="Arial" w:cs="Arial" w:eastAsia="Arial" w:hAnsi="Arial"/>
          <w:sz w:val="20"/>
          <w:szCs w:val="20"/>
          <w:color w:val="auto"/>
        </w:rPr>
        <w:t>” means at any time, collectively, the REIT and each Subsidiary of the REIT that at such time is a Guarantor.</w:t>
      </w:r>
    </w:p>
    <w:p>
      <w:pPr>
        <w:spacing w:after="0" w:line="20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 Agreement</w:t>
      </w:r>
      <w:r>
        <w:rPr>
          <w:rFonts w:ascii="Arial" w:cs="Arial" w:eastAsia="Arial" w:hAnsi="Arial"/>
          <w:sz w:val="20"/>
          <w:szCs w:val="20"/>
          <w:color w:val="auto"/>
        </w:rPr>
        <w:t xml:space="preserve">” means the Second Amended and Restated Continuing Guaranty made by the Guarantors in favor of the Administrative Agent and the Lenders, substantially in the form of </w:t>
      </w:r>
      <w:r>
        <w:rPr>
          <w:rFonts w:ascii="Arial" w:cs="Arial" w:eastAsia="Arial" w:hAnsi="Arial"/>
          <w:sz w:val="20"/>
          <w:szCs w:val="20"/>
          <w:u w:val="single" w:color="auto"/>
          <w:color w:val="auto"/>
        </w:rPr>
        <w:t>Exhibit G</w:t>
      </w:r>
      <w:r>
        <w:rPr>
          <w:rFonts w:ascii="Arial" w:cs="Arial" w:eastAsia="Arial" w:hAnsi="Arial"/>
          <w:sz w:val="20"/>
          <w:szCs w:val="20"/>
          <w:color w:val="auto"/>
        </w:rPr>
        <w:t>.</w:t>
      </w:r>
    </w:p>
    <w:p>
      <w:pPr>
        <w:spacing w:after="0" w:line="153"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Materials</w:t>
      </w:r>
      <w:r>
        <w:rPr>
          <w:rFonts w:ascii="Arial" w:cs="Arial" w:eastAsia="Arial" w:hAnsi="Arial"/>
          <w:sz w:val="20"/>
          <w:szCs w:val="20"/>
          <w:color w:val="auto"/>
        </w:rPr>
        <w:t>” means all explosive or radioactive substances or wastes and all hazardous or toxic substances or wastes,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regulated pursuant to any Environmental Law.</w:t>
      </w:r>
    </w:p>
    <w:p>
      <w:pPr>
        <w:spacing w:after="0" w:line="168" w:lineRule="exact"/>
        <w:rPr>
          <w:sz w:val="20"/>
          <w:szCs w:val="20"/>
          <w:color w:val="auto"/>
        </w:rPr>
      </w:pPr>
    </w:p>
    <w:p>
      <w:pPr>
        <w:jc w:val="both"/>
        <w:ind w:firstLine="599"/>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Hotel Lessee Subsidiary</w:t>
      </w:r>
      <w:r>
        <w:rPr>
          <w:rFonts w:ascii="Arial" w:cs="Arial" w:eastAsia="Arial" w:hAnsi="Arial"/>
          <w:sz w:val="18"/>
          <w:szCs w:val="18"/>
          <w:color w:val="auto"/>
        </w:rPr>
        <w:t xml:space="preserve">” means a Wholly Owned Subsidiary of a TRS Subsidiary that (i) is the lessee of a Hotel Property owned by one or more Wholly Owned Subsidiaries of the Borrower that are Guarantors, (ii) does not conduct any business or operations, other than acting as lessee and operator of such Hotel Property and activities incidental or ancillary thereto, (iii) is not an obligor with respect to any Indebtedness for borrowed money and (iv) does not have any Liens encumbering any of its property, assets or revenues other than Permitted Judgment Liens and Liens permitted under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(excluding </w:t>
      </w:r>
      <w:r>
        <w:rPr>
          <w:rFonts w:ascii="Arial" w:cs="Arial" w:eastAsia="Arial" w:hAnsi="Arial"/>
          <w:sz w:val="18"/>
          <w:szCs w:val="18"/>
          <w:u w:val="single" w:color="auto"/>
          <w:color w:val="auto"/>
        </w:rPr>
        <w:t>clauses (g)</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case of clause</w:t>
      </w:r>
    </w:p>
    <w:p>
      <w:pPr>
        <w:spacing w:after="0" w:line="4" w:lineRule="exact"/>
        <w:rPr>
          <w:sz w:val="20"/>
          <w:szCs w:val="20"/>
          <w:color w:val="auto"/>
        </w:rPr>
      </w:pPr>
    </w:p>
    <w:p>
      <w:pPr>
        <w:spacing w:after="0" w:line="256" w:lineRule="auto"/>
        <w:tabs>
          <w:tab w:leader="none" w:pos="251" w:val="left"/>
        </w:tabs>
        <w:numPr>
          <w:ilvl w:val="0"/>
          <w:numId w:val="12"/>
        </w:numPr>
        <w:rPr>
          <w:rFonts w:ascii="Arial" w:cs="Arial" w:eastAsia="Arial" w:hAnsi="Arial"/>
          <w:sz w:val="20"/>
          <w:szCs w:val="20"/>
          <w:color w:val="auto"/>
        </w:rPr>
      </w:pPr>
      <w:r>
        <w:rPr>
          <w:rFonts w:ascii="Arial" w:cs="Arial" w:eastAsia="Arial" w:hAnsi="Arial"/>
          <w:sz w:val="20"/>
          <w:szCs w:val="20"/>
          <w:color w:val="auto"/>
        </w:rPr>
        <w:t>of this definition, if the Exemption Condition exists at any time with respect to any such Wholly Owned Subsidiary of the Borrower, the requirement that such Wholly Owned Subsidiary be a Guarantor shall not apply to such Wholly Owned Subsidiary.</w:t>
      </w:r>
    </w:p>
    <w:p>
      <w:pPr>
        <w:spacing w:after="0" w:line="168"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Hotel Property</w:t>
      </w:r>
      <w:r>
        <w:rPr>
          <w:rFonts w:ascii="Arial" w:cs="Arial" w:eastAsia="Arial" w:hAnsi="Arial"/>
          <w:sz w:val="20"/>
          <w:szCs w:val="20"/>
          <w:color w:val="auto"/>
        </w:rPr>
        <w:t>” means a Portfolio Property that is (i) operated by or on behalf of one or more Subsidiaries of the Borrower as a hotel and (ii) designated as a “Hotel Property” in a written notice executed by a Responsible Officer of the REIT and delivered to the Administrative Agent.</w:t>
      </w:r>
    </w:p>
    <w:p>
      <w:pPr>
        <w:spacing w:after="0" w:line="164"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Immaterial Subsidiary</w:t>
      </w:r>
      <w:r>
        <w:rPr>
          <w:rFonts w:ascii="Arial" w:cs="Arial" w:eastAsia="Arial" w:hAnsi="Arial"/>
          <w:sz w:val="20"/>
          <w:szCs w:val="20"/>
          <w:color w:val="auto"/>
        </w:rPr>
        <w:t>” means, as of any date, any Subsidiary of the Borrower (i) whose assets, when taken together with the assets of all other Subsidiaries of the Borrower that are designated as “Immaterial Subsidiaries” in accordance with clause (ii) of this definition, have an aggregate book value of less than $30,000,000 and (ii) is designated as an “Immaterial Subsidiary” in a written notice executed by a Responsible Officer of the REIT and delivered to the Administrative Agent.</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Impacted Loans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3.03</w:t>
      </w:r>
      <w:r>
        <w:rPr>
          <w:rFonts w:ascii="Arial" w:cs="Arial" w:eastAsia="Arial" w:hAnsi="Arial"/>
          <w:sz w:val="20"/>
          <w:szCs w:val="20"/>
          <w:color w:val="auto"/>
        </w:rPr>
        <w: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Effective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2.16</w:t>
      </w:r>
      <w:r>
        <w:rPr>
          <w:rFonts w:ascii="Arial" w:cs="Arial" w:eastAsia="Arial" w:hAnsi="Arial"/>
          <w:sz w:val="20"/>
          <w:szCs w:val="20"/>
          <w:color w:val="auto"/>
        </w:rPr>
        <w: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Increase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2.16</w:t>
      </w:r>
      <w:r>
        <w:rPr>
          <w:rFonts w:ascii="Arial" w:cs="Arial" w:eastAsia="Arial" w:hAnsi="Arial"/>
          <w:sz w:val="20"/>
          <w:szCs w:val="20"/>
          <w:color w:val="auto"/>
        </w:rPr>
        <w: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 Increase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2.16</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as to any Person at a particular time, without duplication, all of the following, whether or not included as indebtedness or liabilities in accordance with GAAP:</w:t>
      </w:r>
    </w:p>
    <w:p>
      <w:pPr>
        <w:spacing w:after="0" w:line="153" w:lineRule="exact"/>
        <w:rPr>
          <w:sz w:val="20"/>
          <w:szCs w:val="20"/>
          <w:color w:val="auto"/>
        </w:rPr>
      </w:pPr>
    </w:p>
    <w:p>
      <w:pPr>
        <w:ind w:left="600" w:firstLine="599"/>
        <w:spacing w:after="0" w:line="285" w:lineRule="auto"/>
        <w:tabs>
          <w:tab w:leader="none" w:pos="165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all obligations of such Person for borrowed money and all obligations of such Person evidenced by bonds, debentures, notes, loan agreements or other similar instruments;</w:t>
      </w:r>
    </w:p>
    <w:p>
      <w:pPr>
        <w:spacing w:after="0" w:line="140" w:lineRule="exact"/>
        <w:rPr>
          <w:rFonts w:ascii="Arial" w:cs="Arial" w:eastAsia="Arial" w:hAnsi="Arial"/>
          <w:sz w:val="20"/>
          <w:szCs w:val="20"/>
          <w:color w:val="auto"/>
        </w:rPr>
      </w:pPr>
    </w:p>
    <w:p>
      <w:pPr>
        <w:jc w:val="both"/>
        <w:ind w:left="600" w:firstLine="599"/>
        <w:spacing w:after="0" w:line="266" w:lineRule="auto"/>
        <w:tabs>
          <w:tab w:leader="none" w:pos="1711"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maximum amount of all direct or contingent obligations of such Person arising under letters of credit (including standby and commercial), bankers’ acceptances and similar instruments (including bank guaranties, surety bonds, comfort letters, keep-well agreements and</w:t>
      </w:r>
    </w:p>
    <w:p>
      <w:pPr>
        <w:spacing w:after="0" w:line="397"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17</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29" w:name="page30"/>
    <w:bookmarkEnd w:id="29"/>
    <w:p>
      <w:pPr>
        <w:ind w:left="600"/>
        <w:spacing w:after="0" w:line="272" w:lineRule="auto"/>
        <w:rPr>
          <w:sz w:val="20"/>
          <w:szCs w:val="20"/>
          <w:color w:val="auto"/>
        </w:rPr>
      </w:pPr>
      <w:r>
        <w:rPr>
          <w:rFonts w:ascii="Arial" w:cs="Arial" w:eastAsia="Arial" w:hAnsi="Arial"/>
          <w:sz w:val="20"/>
          <w:szCs w:val="20"/>
          <w:color w:val="auto"/>
        </w:rPr>
        <w:t>capital maintenance agreements), in each case to the extent such instruments or agreements support financial, rather than performance, obligations;</w:t>
      </w:r>
    </w:p>
    <w:p>
      <w:pPr>
        <w:spacing w:after="0" w:line="153" w:lineRule="exact"/>
        <w:rPr>
          <w:sz w:val="20"/>
          <w:szCs w:val="20"/>
          <w:color w:val="auto"/>
        </w:rPr>
      </w:pPr>
    </w:p>
    <w:p>
      <w:pPr>
        <w:ind w:left="1580" w:hanging="381"/>
        <w:spacing w:after="0"/>
        <w:tabs>
          <w:tab w:leader="none" w:pos="15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net obligations of such Person under any Swap Contract;</w:t>
      </w:r>
    </w:p>
    <w:p>
      <w:pPr>
        <w:spacing w:after="0" w:line="219" w:lineRule="exact"/>
        <w:rPr>
          <w:rFonts w:ascii="Arial" w:cs="Arial" w:eastAsia="Arial" w:hAnsi="Arial"/>
          <w:sz w:val="20"/>
          <w:szCs w:val="20"/>
          <w:color w:val="auto"/>
        </w:rPr>
      </w:pPr>
    </w:p>
    <w:p>
      <w:pPr>
        <w:ind w:left="600" w:firstLine="599"/>
        <w:spacing w:after="0" w:line="285" w:lineRule="auto"/>
        <w:tabs>
          <w:tab w:leader="none" w:pos="1599" w:val="left"/>
        </w:tabs>
        <w:numPr>
          <w:ilvl w:val="0"/>
          <w:numId w:val="14"/>
        </w:numPr>
        <w:rPr>
          <w:rFonts w:ascii="Arial" w:cs="Arial" w:eastAsia="Arial" w:hAnsi="Arial"/>
          <w:sz w:val="20"/>
          <w:szCs w:val="20"/>
          <w:color w:val="auto"/>
        </w:rPr>
      </w:pPr>
      <w:r>
        <w:rPr>
          <w:rFonts w:ascii="Arial" w:cs="Arial" w:eastAsia="Arial" w:hAnsi="Arial"/>
          <w:sz w:val="20"/>
          <w:szCs w:val="20"/>
          <w:color w:val="auto"/>
        </w:rPr>
        <w:t>all obligations of such Person to pay the deferred purchase price of property or services (other than trade accounts payable in the ordinary course of business);</w:t>
      </w:r>
    </w:p>
    <w:p>
      <w:pPr>
        <w:spacing w:after="0" w:line="140" w:lineRule="exact"/>
        <w:rPr>
          <w:rFonts w:ascii="Arial" w:cs="Arial" w:eastAsia="Arial" w:hAnsi="Arial"/>
          <w:sz w:val="20"/>
          <w:szCs w:val="20"/>
          <w:color w:val="auto"/>
        </w:rPr>
      </w:pPr>
    </w:p>
    <w:p>
      <w:pPr>
        <w:jc w:val="both"/>
        <w:ind w:left="600" w:firstLine="599"/>
        <w:spacing w:after="0" w:line="257" w:lineRule="auto"/>
        <w:tabs>
          <w:tab w:leader="none" w:pos="1588" w:val="left"/>
        </w:tabs>
        <w:numPr>
          <w:ilvl w:val="0"/>
          <w:numId w:val="14"/>
        </w:numPr>
        <w:rPr>
          <w:rFonts w:ascii="Arial" w:cs="Arial" w:eastAsia="Arial" w:hAnsi="Arial"/>
          <w:sz w:val="20"/>
          <w:szCs w:val="20"/>
          <w:color w:val="auto"/>
        </w:rPr>
      </w:pPr>
      <w:r>
        <w:rPr>
          <w:rFonts w:ascii="Arial" w:cs="Arial" w:eastAsia="Arial" w:hAnsi="Arial"/>
          <w:sz w:val="20"/>
          <w:szCs w:val="20"/>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 (valued in the case of this clause (e) at the lesser of (i) the aggregate unpaid amount of such indebtedness and (ii) if such indebtedness is non-recourse, the fair market value of the property encumbered thereby as determined by such Person in good faith);</w:t>
      </w:r>
    </w:p>
    <w:p>
      <w:pPr>
        <w:spacing w:after="0" w:line="167" w:lineRule="exact"/>
        <w:rPr>
          <w:rFonts w:ascii="Arial" w:cs="Arial" w:eastAsia="Arial" w:hAnsi="Arial"/>
          <w:sz w:val="20"/>
          <w:szCs w:val="20"/>
          <w:color w:val="auto"/>
        </w:rPr>
      </w:pPr>
    </w:p>
    <w:p>
      <w:pPr>
        <w:ind w:left="600" w:firstLine="599"/>
        <w:spacing w:after="0" w:line="285" w:lineRule="auto"/>
        <w:tabs>
          <w:tab w:leader="none" w:pos="1666" w:val="left"/>
        </w:tabs>
        <w:numPr>
          <w:ilvl w:val="0"/>
          <w:numId w:val="14"/>
        </w:numPr>
        <w:rPr>
          <w:rFonts w:ascii="Arial" w:cs="Arial" w:eastAsia="Arial" w:hAnsi="Arial"/>
          <w:sz w:val="20"/>
          <w:szCs w:val="20"/>
          <w:color w:val="auto"/>
        </w:rPr>
      </w:pPr>
      <w:r>
        <w:rPr>
          <w:rFonts w:ascii="Arial" w:cs="Arial" w:eastAsia="Arial" w:hAnsi="Arial"/>
          <w:sz w:val="20"/>
          <w:szCs w:val="20"/>
          <w:color w:val="auto"/>
        </w:rPr>
        <w:t>all Attributable Indebtedness in respect of Capitalized Leases and Synthetic Lease Obligations of such Person and all Synthetic Debt of such Person;</w:t>
      </w:r>
    </w:p>
    <w:p>
      <w:pPr>
        <w:spacing w:after="0" w:line="140" w:lineRule="exact"/>
        <w:rPr>
          <w:rFonts w:ascii="Arial" w:cs="Arial" w:eastAsia="Arial" w:hAnsi="Arial"/>
          <w:sz w:val="20"/>
          <w:szCs w:val="20"/>
          <w:color w:val="auto"/>
        </w:rPr>
      </w:pPr>
    </w:p>
    <w:p>
      <w:pPr>
        <w:jc w:val="both"/>
        <w:ind w:left="600" w:firstLine="599"/>
        <w:spacing w:after="0" w:line="266" w:lineRule="auto"/>
        <w:tabs>
          <w:tab w:leader="none" w:pos="1599"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all obligations of such Person to purchase, redeem, retire, defease or otherwise make any payment in respect of any Equity Interest in such Person, valued, in the case of a redeemable preferred interest, at the greater of its voluntary or involuntary liquidation preference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accrued and unpaid dividends; and</w:t>
      </w:r>
    </w:p>
    <w:p>
      <w:pPr>
        <w:spacing w:after="0" w:line="159" w:lineRule="exact"/>
        <w:rPr>
          <w:rFonts w:ascii="Arial" w:cs="Arial" w:eastAsia="Arial" w:hAnsi="Arial"/>
          <w:sz w:val="20"/>
          <w:szCs w:val="20"/>
          <w:color w:val="auto"/>
        </w:rPr>
      </w:pPr>
    </w:p>
    <w:p>
      <w:pPr>
        <w:ind w:left="1600" w:hanging="401"/>
        <w:spacing w:after="0"/>
        <w:tabs>
          <w:tab w:leader="none" w:pos="16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all Guarantees of such Person in respect of any of the foregoing.</w:t>
      </w:r>
    </w:p>
    <w:p>
      <w:pPr>
        <w:spacing w:after="0" w:line="220"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For all purposes hereof, the Indebtedness owed by the REIT or any Subsidiary thereof shall include the Consolidated Group Pro Rata Share of the foregoing items and components thereof attributable to Indebtedness owed by Unconsolidated Affiliates. The amount of any net obligation under any Swap Contract on any date shall be deemed to be the Swap Termination Value thereof as of such date. The amount of any Capitalized Lease or Synthetic Lease Obligation as of any date shall be deemed to be the amount of Attributable Indebtedness in respect thereof as of such date.</w:t>
      </w:r>
    </w:p>
    <w:p>
      <w:pPr>
        <w:spacing w:after="0" w:line="174"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means (a) Taxes other than Excluded Taxes, imposed on or with respect to any payment made by or on account of any obligation of any Loan Party under any Loan Document and (b) to the extent not otherwise described in the preceding clause (a), Other Taxes.</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10.04(b)</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Indirect Owner</w:t>
      </w:r>
      <w:r>
        <w:rPr>
          <w:rFonts w:ascii="Arial" w:cs="Arial" w:eastAsia="Arial" w:hAnsi="Arial"/>
          <w:sz w:val="20"/>
          <w:szCs w:val="20"/>
          <w:color w:val="auto"/>
        </w:rPr>
        <w:t>” means each Subsidiary of the Borrower (including, for the avoidance of doubt, each Controlled Joint Venture) that directly or indirectly owns an Equity Interest in the Direct Owner of any Unencumbered Portfolio Property.</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w:t>
      </w:r>
      <w:r>
        <w:rPr>
          <w:rFonts w:ascii="Arial" w:cs="Arial" w:eastAsia="Arial" w:hAnsi="Arial"/>
          <w:sz w:val="20"/>
          <w:szCs w:val="20"/>
          <w:color w:val="auto"/>
        </w:rPr>
        <w: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Revolver Maturity Date</w:t>
      </w:r>
      <w:r>
        <w:rPr>
          <w:rFonts w:ascii="Arial" w:cs="Arial" w:eastAsia="Arial" w:hAnsi="Arial"/>
          <w:sz w:val="20"/>
          <w:szCs w:val="20"/>
          <w:color w:val="auto"/>
        </w:rPr>
        <w:t>” means the fourth anniversary of the Restatement Effective Date.</w:t>
      </w:r>
    </w:p>
    <w:p>
      <w:pPr>
        <w:spacing w:after="0" w:line="207"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Payment Date</w:t>
      </w:r>
      <w:r>
        <w:rPr>
          <w:rFonts w:ascii="Arial" w:cs="Arial" w:eastAsia="Arial" w:hAnsi="Arial"/>
          <w:sz w:val="20"/>
          <w:szCs w:val="20"/>
          <w:color w:val="auto"/>
        </w:rPr>
        <w:t xml:space="preserve">” means, (a) as to any Eurodollar Rate Loan, the last day of each Interest Period applicable to such Loan and the Maturity Date of the Facility under which such Loan was made;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any Interest Period for a Eurodollar Rate Loan exceeds three months, the respective dates that fall every three months after the beginning of such Interest Period shall also be Interest Payment</w:t>
      </w:r>
    </w:p>
    <w:p>
      <w:pPr>
        <w:spacing w:after="0" w:line="200" w:lineRule="exact"/>
        <w:rPr>
          <w:sz w:val="20"/>
          <w:szCs w:val="20"/>
          <w:color w:val="auto"/>
        </w:rPr>
      </w:pPr>
    </w:p>
    <w:p>
      <w:pPr>
        <w:spacing w:after="0" w:line="20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18</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30" w:name="page31"/>
    <w:bookmarkEnd w:id="30"/>
    <w:p>
      <w:pPr>
        <w:jc w:val="both"/>
        <w:spacing w:after="0" w:line="272" w:lineRule="auto"/>
        <w:rPr>
          <w:sz w:val="20"/>
          <w:szCs w:val="20"/>
          <w:color w:val="auto"/>
        </w:rPr>
      </w:pPr>
      <w:r>
        <w:rPr>
          <w:rFonts w:ascii="Arial" w:cs="Arial" w:eastAsia="Arial" w:hAnsi="Arial"/>
          <w:sz w:val="20"/>
          <w:szCs w:val="20"/>
          <w:color w:val="auto"/>
        </w:rPr>
        <w:t>Dates; and (b) as to any Base Rate Loan or Swing Line Loan, the last Business Day of each March, June, September and December and the Maturity Date of the Facility under which such Loan was made.</w:t>
      </w:r>
    </w:p>
    <w:p>
      <w:pPr>
        <w:spacing w:after="0" w:line="153"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means, as to each Eurodollar Rate Loan, the period commencing on the date such Eurodollar Rate Loan is disbursed or converted to or continued as a Eurodollar Rate Loan and ending on the date one, two, three or six months thereafter (in each case, subject to availability) (or such other period that is twelve months or less requested by the Borrower and consented to by all the Appropriate Lenders), as selected by the Borrower in its Loan Notice;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68" w:lineRule="exact"/>
        <w:rPr>
          <w:sz w:val="20"/>
          <w:szCs w:val="20"/>
          <w:color w:val="auto"/>
        </w:rPr>
      </w:pPr>
    </w:p>
    <w:p>
      <w:pPr>
        <w:jc w:val="both"/>
        <w:ind w:left="600" w:firstLine="599"/>
        <w:spacing w:after="0" w:line="266" w:lineRule="auto"/>
        <w:tabs>
          <w:tab w:leader="none" w:pos="16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59" w:lineRule="exact"/>
        <w:rPr>
          <w:rFonts w:ascii="Arial" w:cs="Arial" w:eastAsia="Arial" w:hAnsi="Arial"/>
          <w:sz w:val="20"/>
          <w:szCs w:val="20"/>
          <w:color w:val="auto"/>
        </w:rPr>
      </w:pPr>
    </w:p>
    <w:p>
      <w:pPr>
        <w:jc w:val="both"/>
        <w:ind w:left="600" w:firstLine="599"/>
        <w:spacing w:after="0" w:line="266" w:lineRule="auto"/>
        <w:tabs>
          <w:tab w:leader="none" w:pos="1599" w:val="left"/>
        </w:tabs>
        <w:numPr>
          <w:ilvl w:val="0"/>
          <w:numId w:val="15"/>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59" w:lineRule="exact"/>
        <w:rPr>
          <w:rFonts w:ascii="Arial" w:cs="Arial" w:eastAsia="Arial" w:hAnsi="Arial"/>
          <w:sz w:val="20"/>
          <w:szCs w:val="20"/>
          <w:color w:val="auto"/>
        </w:rPr>
      </w:pPr>
    </w:p>
    <w:p>
      <w:pPr>
        <w:ind w:left="1580" w:hanging="381"/>
        <w:spacing w:after="0"/>
        <w:tabs>
          <w:tab w:leader="none" w:pos="15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no Interest Period shall extend beyond the Maturity Date of the Facility under which such Loan was made.</w:t>
      </w:r>
    </w:p>
    <w:p>
      <w:pPr>
        <w:spacing w:after="0" w:line="220" w:lineRule="exact"/>
        <w:rPr>
          <w:sz w:val="20"/>
          <w:szCs w:val="20"/>
          <w:color w:val="auto"/>
        </w:rPr>
      </w:pPr>
    </w:p>
    <w:p>
      <w:pPr>
        <w:jc w:val="both"/>
        <w:ind w:firstLine="59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means, as to any Person, any direct or indirect (a) investment by such Person, consisting of (i) the purchase or other acquisition of Equity Interests or other securities of another Person or (ii) a loan, advance, other extension of credit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owed by such other Person, (b) purchase or other acquisition (in one transaction or a series of transactions) of assets of another Person that constitute a business unit or all or a substantial part of the business of, such Person or (c) purchase, acquisition or other investment in any real property or real property-related assets (including, without limitation, mortgage loans and other real estate-related debt investments, investments in unimproved land holdings and Portfolio Properties, and costs to construct real property assets under development). For purposes hereof, the amount of any Investment shall be the amount actually invested, without adjustment for subsequent increases or decreases in the value of such Investment, but determined net of all payments constituting returns of invested capital received in respect of such Investment and, in the case of a guaranty or similar obligation, such Investment will be reduced to the extent the exposure under such guaranty or similar obligation is reduced.</w:t>
      </w:r>
    </w:p>
    <w:p>
      <w:pPr>
        <w:spacing w:after="0" w:line="163" w:lineRule="exact"/>
        <w:rPr>
          <w:sz w:val="20"/>
          <w:szCs w:val="20"/>
          <w:color w:val="auto"/>
        </w:rPr>
      </w:pPr>
    </w:p>
    <w:p>
      <w:pPr>
        <w:jc w:val="both"/>
        <w:ind w:firstLine="599"/>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 Grade Pricing Effective Date</w:t>
      </w:r>
      <w:r>
        <w:rPr>
          <w:rFonts w:ascii="Arial" w:cs="Arial" w:eastAsia="Arial" w:hAnsi="Arial"/>
          <w:sz w:val="19"/>
          <w:szCs w:val="19"/>
          <w:color w:val="auto"/>
        </w:rPr>
        <w:t>” means the first Business Day following the date on which (i) the Borrower has obtained an Investment Grade Rating and (ii) the REIT has delivered to the Administrative Agent a certificate executed by a Responsible Officer of the REIT (x) certifying that an Investment Grade Rating has been obtained and is in effect (which certification shall also set forth the Debt Ratings received from each Rating Agency as of such date) and (y) notifying the Administrative Agent that Borrower has irrevocably elected to have the Ratings-Based Applicable Rate apply to the pricing of the Facilities.</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 Grade Rating</w:t>
      </w:r>
      <w:r>
        <w:rPr>
          <w:rFonts w:ascii="Arial" w:cs="Arial" w:eastAsia="Arial" w:hAnsi="Arial"/>
          <w:sz w:val="20"/>
          <w:szCs w:val="20"/>
          <w:color w:val="auto"/>
        </w:rPr>
        <w:t>” means receipt of one Debt Rating of BBB- or higher from S&amp;P or Baa3 or higher from Moody’s.</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IP Rights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5.18</w:t>
      </w:r>
      <w:r>
        <w:rPr>
          <w:rFonts w:ascii="Arial" w:cs="Arial" w:eastAsia="Arial" w:hAnsi="Arial"/>
          <w:sz w:val="20"/>
          <w:szCs w:val="20"/>
          <w:color w:val="auto"/>
        </w:rPr>
        <w: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00" w:lineRule="exact"/>
        <w:rPr>
          <w:sz w:val="20"/>
          <w:szCs w:val="20"/>
          <w:color w:val="auto"/>
        </w:rPr>
      </w:pPr>
    </w:p>
    <w:p>
      <w:pPr>
        <w:spacing w:after="0" w:line="244"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19</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31" w:name="page32"/>
    <w:bookmarkEnd w:id="31"/>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53"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 Documents</w:t>
      </w:r>
      <w:r>
        <w:rPr>
          <w:rFonts w:ascii="Arial" w:cs="Arial" w:eastAsia="Arial" w:hAnsi="Arial"/>
          <w:sz w:val="20"/>
          <w:szCs w:val="20"/>
          <w:color w:val="auto"/>
        </w:rPr>
        <w:t>” means with respect to any Letter of Credit, the Letter of Credit Application, and any other document, agreement and instrument entered into by the applicable L/C Issuer and the Borrower (or any Subsidiary of the Borrower) or in favor of such L/C Issuer and relating to such Letter of Credit.</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Joinder Agreement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2.16</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Laws</w:t>
      </w:r>
      <w:r>
        <w:rPr>
          <w:rFonts w:ascii="Arial" w:cs="Arial" w:eastAsia="Arial" w:hAnsi="Arial"/>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4"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Advance</w:t>
      </w:r>
      <w:r>
        <w:rPr>
          <w:rFonts w:ascii="Arial" w:cs="Arial" w:eastAsia="Arial" w:hAnsi="Arial"/>
          <w:sz w:val="20"/>
          <w:szCs w:val="20"/>
          <w:color w:val="auto"/>
        </w:rPr>
        <w:t>” means, with respect to each Revolving Credit Lender, such Lender’s funding of its participation in any L/C Borrowing in accordance with its Applicable Revolving Credit Percentage.</w:t>
      </w:r>
    </w:p>
    <w:p>
      <w:pPr>
        <w:spacing w:after="0" w:line="153"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Borrowing</w:t>
      </w:r>
      <w:r>
        <w:rPr>
          <w:rFonts w:ascii="Arial" w:cs="Arial" w:eastAsia="Arial" w:hAnsi="Arial"/>
          <w:sz w:val="20"/>
          <w:szCs w:val="20"/>
          <w:color w:val="auto"/>
        </w:rPr>
        <w:t>” means an extension of credit resulting from a drawing under any Letter of Credit which has not been reimbursed on the first Business Day after the date when made or refinanced as a Revolving Credit Borrowing.</w:t>
      </w:r>
    </w:p>
    <w:p>
      <w:pPr>
        <w:spacing w:after="0" w:line="153"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Credit Extension</w:t>
      </w:r>
      <w:r>
        <w:rPr>
          <w:rFonts w:ascii="Arial" w:cs="Arial" w:eastAsia="Arial" w:hAnsi="Arial"/>
          <w:sz w:val="20"/>
          <w:szCs w:val="20"/>
          <w:color w:val="auto"/>
        </w:rPr>
        <w:t>” means, with respect to any Letter of Credit, the issuance thereof or extension of the expiry date thereof, or the increase of the amount thereof.</w:t>
      </w:r>
    </w:p>
    <w:p>
      <w:pPr>
        <w:spacing w:after="0" w:line="153"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Issuers</w:t>
      </w:r>
      <w:r>
        <w:rPr>
          <w:rFonts w:ascii="Arial" w:cs="Arial" w:eastAsia="Arial" w:hAnsi="Arial"/>
          <w:sz w:val="20"/>
          <w:szCs w:val="20"/>
          <w:color w:val="auto"/>
        </w:rPr>
        <w:t>” means, collectively, (i) Wells Fargo Bank, (ii) Bank of America, (iii) PNC Bank and (iv) U.S. Bank, in each case in its capacity as issuer of Letters of Credit hereunder, or any successor issuer of Letters of Credit hereunder.</w:t>
      </w:r>
    </w:p>
    <w:p>
      <w:pPr>
        <w:spacing w:after="0" w:line="153" w:lineRule="exact"/>
        <w:rPr>
          <w:sz w:val="20"/>
          <w:szCs w:val="20"/>
          <w:color w:val="auto"/>
        </w:rPr>
      </w:pPr>
    </w:p>
    <w:p>
      <w:pPr>
        <w:jc w:val="both"/>
        <w:ind w:firstLine="59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Obligations</w:t>
      </w:r>
      <w:r>
        <w:rPr>
          <w:rFonts w:ascii="Arial" w:cs="Arial" w:eastAsia="Arial" w:hAnsi="Arial"/>
          <w:sz w:val="20"/>
          <w:szCs w:val="20"/>
          <w:color w:val="auto"/>
        </w:rPr>
        <w:t xml:space="preserve">” means, at any date of determination, the aggregate amount available to be drawn under all outstanding Letters of Credit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20"/>
          <w:szCs w:val="20"/>
          <w:u w:val="single" w:color="auto"/>
          <w:color w:val="auto"/>
        </w:rPr>
        <w:t>Section 1.06</w:t>
      </w:r>
      <w:r>
        <w:rPr>
          <w:rFonts w:ascii="Arial" w:cs="Arial" w:eastAsia="Arial" w:hAnsi="Arial"/>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75"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means the Persons listed on </w:t>
      </w: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and any other Person that shall have become a party hereto pursuant to an Assignment and Assumption or a Joinder Agreement, other than any such Person that ceases to be a party hereto pursuant to an Assignment and Assumption, and “</w:t>
      </w:r>
      <w:r>
        <w:rPr>
          <w:rFonts w:ascii="Arial" w:cs="Arial" w:eastAsia="Arial" w:hAnsi="Arial"/>
          <w:sz w:val="20"/>
          <w:szCs w:val="20"/>
          <w:u w:val="single" w:color="auto"/>
          <w:color w:val="auto"/>
        </w:rPr>
        <w:t>Lender</w:t>
      </w:r>
      <w:r>
        <w:rPr>
          <w:rFonts w:ascii="Arial" w:cs="Arial" w:eastAsia="Arial" w:hAnsi="Arial"/>
          <w:sz w:val="20"/>
          <w:szCs w:val="20"/>
          <w:color w:val="auto"/>
        </w:rPr>
        <w:t>” means any of them individually. Unless the context otherwise requires, the term “Lenders” includes the Swing Line Lenders and the L/C Issuers. The term “Lender” may also be used to refer to a Revolving Credit Lender or a Term Lender, as the context requires.</w:t>
      </w:r>
    </w:p>
    <w:p>
      <w:pPr>
        <w:spacing w:after="0" w:line="174" w:lineRule="exact"/>
        <w:rPr>
          <w:sz w:val="20"/>
          <w:szCs w:val="20"/>
          <w:color w:val="auto"/>
        </w:rPr>
      </w:pPr>
    </w:p>
    <w:p>
      <w:pPr>
        <w:jc w:val="both"/>
        <w:ind w:firstLine="599"/>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Lending Office</w:t>
      </w:r>
      <w:r>
        <w:rPr>
          <w:rFonts w:ascii="Arial" w:cs="Arial" w:eastAsia="Arial" w:hAnsi="Arial"/>
          <w:sz w:val="19"/>
          <w:szCs w:val="19"/>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367"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20</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32" w:name="page33"/>
    <w:bookmarkEnd w:id="32"/>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means any standby letter of credit issued hereunder providing for the payment of cash upon the honoring of a presentation thereunder.</w:t>
      </w:r>
    </w:p>
    <w:p>
      <w:pPr>
        <w:spacing w:after="0" w:line="153"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Application</w:t>
      </w:r>
      <w:r>
        <w:rPr>
          <w:rFonts w:ascii="Arial" w:cs="Arial" w:eastAsia="Arial" w:hAnsi="Arial"/>
          <w:sz w:val="20"/>
          <w:szCs w:val="20"/>
          <w:color w:val="auto"/>
        </w:rPr>
        <w:t>” means an application and agreement for the issuance or amendment of a Letter of Credit in the form from time to time in use by the applicable L/C Issuer.</w:t>
      </w:r>
    </w:p>
    <w:p>
      <w:pPr>
        <w:spacing w:after="0" w:line="153"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Expiration Date</w:t>
      </w:r>
      <w:r>
        <w:rPr>
          <w:rFonts w:ascii="Arial" w:cs="Arial" w:eastAsia="Arial" w:hAnsi="Arial"/>
          <w:sz w:val="20"/>
          <w:szCs w:val="20"/>
          <w:color w:val="auto"/>
        </w:rPr>
        <w:t>” means the day that is seven days prior to the Maturity Date then in effect for the Revolving Credit Facility (or, if such day is not a Business Day, the next preceding Business Day).</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2.03(h)</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Subfacility</w:t>
      </w:r>
      <w:r>
        <w:rPr>
          <w:rFonts w:ascii="Arial" w:cs="Arial" w:eastAsia="Arial" w:hAnsi="Arial"/>
          <w:sz w:val="18"/>
          <w:szCs w:val="18"/>
          <w:color w:val="auto"/>
        </w:rPr>
        <w:t>” means, at any time, an amount equal to the lesser of (a) the aggregate amount of the L/C Issuers’ Letter of Credit Sublimits at such time and (b) the Revolving Credit Facility at such time. The Letter of Credit Subfacility is part of, and not in addition to, the Revolving Credit Facility. On the Restatement Effective Date, the amount of the Letter of Credit Subfacility is $50,000,000.</w:t>
      </w:r>
    </w:p>
    <w:p>
      <w:pPr>
        <w:spacing w:after="0" w:line="130" w:lineRule="exact"/>
        <w:rPr>
          <w:sz w:val="20"/>
          <w:szCs w:val="20"/>
          <w:color w:val="auto"/>
        </w:rPr>
      </w:pPr>
    </w:p>
    <w:p>
      <w:pPr>
        <w:jc w:val="both"/>
        <w:ind w:firstLine="599"/>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Sublimit</w:t>
      </w:r>
      <w:r>
        <w:rPr>
          <w:rFonts w:ascii="Arial" w:cs="Arial" w:eastAsia="Arial" w:hAnsi="Arial"/>
          <w:sz w:val="19"/>
          <w:szCs w:val="19"/>
          <w:color w:val="auto"/>
        </w:rPr>
        <w:t xml:space="preserve">” means, as to each L/C Issuer, its agreement as set forth in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to issue, amend and extend Letters of Credit in an aggregate principal amount at any one time outstanding not to exceed the amount set forth opposite such Lender’s name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or in the Assignment and Assumption, Joinder Agreement or other documentation, which other documentation shall be in form and substance satisfactory to the Administrative Agent, pursuant to which such L/C Issuer becomes an L/C Issuer hereunder, as applicable, as such amount may be adjusted from time to time in accordance with this Agreement.</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Leverage-Based Applicable Rate</w:t>
      </w:r>
      <w:r>
        <w:rPr>
          <w:rFonts w:ascii="Arial" w:cs="Arial" w:eastAsia="Arial" w:hAnsi="Arial"/>
          <w:sz w:val="20"/>
          <w:szCs w:val="20"/>
          <w:color w:val="auto"/>
        </w:rPr>
        <w:t>” means:</w:t>
      </w:r>
    </w:p>
    <w:p>
      <w:pPr>
        <w:spacing w:after="0" w:line="207" w:lineRule="exact"/>
        <w:rPr>
          <w:sz w:val="20"/>
          <w:szCs w:val="20"/>
          <w:color w:val="auto"/>
        </w:rPr>
      </w:pPr>
    </w:p>
    <w:p>
      <w:pPr>
        <w:jc w:val="both"/>
        <w:ind w:left="600" w:firstLine="599"/>
        <w:spacing w:after="0" w:line="260" w:lineRule="auto"/>
        <w:tabs>
          <w:tab w:leader="none" w:pos="1471" w:val="left"/>
        </w:tabs>
        <w:numPr>
          <w:ilvl w:val="0"/>
          <w:numId w:val="16"/>
        </w:numPr>
        <w:rPr>
          <w:rFonts w:ascii="Arial" w:cs="Arial" w:eastAsia="Arial" w:hAnsi="Arial"/>
          <w:sz w:val="20"/>
          <w:szCs w:val="20"/>
          <w:color w:val="auto"/>
        </w:rPr>
      </w:pPr>
      <w:r>
        <w:rPr>
          <w:rFonts w:ascii="Arial" w:cs="Arial" w:eastAsia="Arial" w:hAnsi="Arial"/>
          <w:sz w:val="20"/>
          <w:szCs w:val="20"/>
          <w:color w:val="auto"/>
        </w:rPr>
        <w:t xml:space="preserve">with respect to the Revolving Credit Facility, the applicable percentage per annum set forth below determined by reference to the Consolidated Total Leverage Ratio as set forth in the most recent Compliance Certificate received by the Administrative Agent and the Lenders pursuant to </w:t>
      </w:r>
      <w:r>
        <w:rPr>
          <w:rFonts w:ascii="Arial" w:cs="Arial" w:eastAsia="Arial" w:hAnsi="Arial"/>
          <w:sz w:val="20"/>
          <w:szCs w:val="20"/>
          <w:u w:val="single" w:color="auto"/>
          <w:color w:val="auto"/>
        </w:rPr>
        <w:t>Section 6.02(b)</w:t>
      </w:r>
      <w:r>
        <w:rPr>
          <w:rFonts w:ascii="Arial" w:cs="Arial" w:eastAsia="Arial" w:hAnsi="Arial"/>
          <w:sz w:val="20"/>
          <w:szCs w:val="20"/>
          <w:color w:val="auto"/>
        </w:rPr>
        <w:t>:</w:t>
      </w:r>
    </w:p>
    <w:p>
      <w:pPr>
        <w:spacing w:after="0" w:line="276" w:lineRule="exact"/>
        <w:rPr>
          <w:sz w:val="20"/>
          <w:szCs w:val="20"/>
          <w:color w:val="auto"/>
        </w:rPr>
      </w:pPr>
    </w:p>
    <w:tbl>
      <w:tblPr>
        <w:tblLayout w:type="fixed"/>
        <w:tblInd w:w="1070" w:type="dxa"/>
        <w:tblCellMar>
          <w:top w:w="0" w:type="dxa"/>
          <w:left w:w="0" w:type="dxa"/>
          <w:bottom w:w="0" w:type="dxa"/>
          <w:right w:w="0" w:type="dxa"/>
        </w:tblCellMar>
      </w:tblPr>
      <w:tr>
        <w:trPr>
          <w:trHeight w:val="229"/>
        </w:trPr>
        <w:tc>
          <w:tcPr>
            <w:tcW w:w="1700" w:type="dxa"/>
            <w:vAlign w:val="bottom"/>
            <w:tcBorders>
              <w:top w:val="single" w:sz="8" w:color="auto"/>
              <w:left w:val="single" w:sz="8" w:color="auto"/>
              <w:right w:val="single" w:sz="8" w:color="auto"/>
            </w:tcBorders>
          </w:tcPr>
          <w:p>
            <w:pPr>
              <w:spacing w:after="0"/>
              <w:rPr>
                <w:sz w:val="19"/>
                <w:szCs w:val="19"/>
                <w:color w:val="auto"/>
              </w:rPr>
            </w:pP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Revolving</w:t>
            </w:r>
          </w:p>
        </w:tc>
        <w:tc>
          <w:tcPr>
            <w:tcW w:w="2040" w:type="dxa"/>
            <w:vAlign w:val="bottom"/>
            <w:tcBorders>
              <w:top w:val="single" w:sz="8" w:color="auto"/>
              <w:right w:val="single" w:sz="8" w:color="auto"/>
            </w:tcBorders>
          </w:tcPr>
          <w:p>
            <w:pPr>
              <w:spacing w:after="0"/>
              <w:rPr>
                <w:sz w:val="19"/>
                <w:szCs w:val="19"/>
                <w:color w:val="auto"/>
              </w:rPr>
            </w:pPr>
          </w:p>
        </w:tc>
        <w:tc>
          <w:tcPr>
            <w:tcW w:w="2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Eurodollar Rate Loans</w:t>
            </w:r>
          </w:p>
        </w:tc>
        <w:tc>
          <w:tcPr>
            <w:tcW w:w="2220" w:type="dxa"/>
            <w:vAlign w:val="bottom"/>
            <w:tcBorders>
              <w:top w:val="single" w:sz="8" w:color="auto"/>
              <w:right w:val="single" w:sz="8" w:color="auto"/>
            </w:tcBorders>
          </w:tcPr>
          <w:p>
            <w:pPr>
              <w:spacing w:after="0"/>
              <w:rPr>
                <w:sz w:val="19"/>
                <w:szCs w:val="19"/>
                <w:color w:val="auto"/>
              </w:rPr>
            </w:pPr>
          </w:p>
        </w:tc>
      </w:tr>
      <w:tr>
        <w:trPr>
          <w:trHeight w:val="212"/>
        </w:trPr>
        <w:tc>
          <w:tcPr>
            <w:tcW w:w="170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Credit Facility</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Consolidated Total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under Revolving Credit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Base Rate Loans under</w:t>
            </w: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Pricing Level</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Fee</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Leverage Ratio</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Facility</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Revolving Credit Facility</w:t>
            </w: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0.15%</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 35%</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1.05%</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0.10%</w:t>
            </w: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0.20%</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&gt; 35% and ≤ 40%</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1.10%</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0.15%</w:t>
            </w: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III</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0.20%</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&gt; 40% and ≤ 45%</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1.20%</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0.20%</w:t>
            </w: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IV</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0.20%</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&gt; 45% and ≤ 50%</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1.25%</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0.25%</w:t>
            </w: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0.30%</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&gt; 50% and ≤ 55%</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1.30%</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0.30%</w:t>
            </w: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VI</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0.30%</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&gt; 55%</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1.50%</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0.50%</w:t>
            </w:r>
          </w:p>
        </w:tc>
      </w:tr>
      <w:tr>
        <w:trPr>
          <w:trHeight w:val="21"/>
        </w:trPr>
        <w:tc>
          <w:tcPr>
            <w:tcW w:w="1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21</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33" w:name="page34"/>
    <w:bookmarkEnd w:id="33"/>
    <w:p>
      <w:pPr>
        <w:jc w:val="both"/>
        <w:ind w:left="600" w:firstLine="599"/>
        <w:spacing w:after="0" w:line="260" w:lineRule="auto"/>
        <w:tabs>
          <w:tab w:leader="none" w:pos="15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with respect to the Closing Date Term Facility, the applicable percentage per annum set forth below determined by reference to the Consolidated Total Leverage Ratio as set forth in the most recent Compliance Certificate received by the Administrative Agent and the Lenders pursuant to </w:t>
      </w:r>
      <w:r>
        <w:rPr>
          <w:rFonts w:ascii="Arial" w:cs="Arial" w:eastAsia="Arial" w:hAnsi="Arial"/>
          <w:sz w:val="20"/>
          <w:szCs w:val="20"/>
          <w:u w:val="single" w:color="auto"/>
          <w:color w:val="auto"/>
        </w:rPr>
        <w:t>Section 6.02(b)</w:t>
      </w:r>
      <w:r>
        <w:rPr>
          <w:rFonts w:ascii="Arial" w:cs="Arial" w:eastAsia="Arial" w:hAnsi="Arial"/>
          <w:sz w:val="20"/>
          <w:szCs w:val="20"/>
          <w:color w:val="auto"/>
        </w:rPr>
        <w:t>:</w:t>
      </w:r>
    </w:p>
    <w:p>
      <w:pPr>
        <w:spacing w:after="0" w:line="276" w:lineRule="exact"/>
        <w:rPr>
          <w:sz w:val="20"/>
          <w:szCs w:val="20"/>
          <w:color w:val="auto"/>
        </w:rPr>
      </w:pPr>
    </w:p>
    <w:tbl>
      <w:tblPr>
        <w:tblLayout w:type="fixed"/>
        <w:tblInd w:w="1050" w:type="dxa"/>
        <w:tblCellMar>
          <w:top w:w="0" w:type="dxa"/>
          <w:left w:w="0" w:type="dxa"/>
          <w:bottom w:w="0" w:type="dxa"/>
          <w:right w:w="0" w:type="dxa"/>
        </w:tblCellMar>
      </w:tblPr>
      <w:tr>
        <w:trPr>
          <w:trHeight w:val="229"/>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Pricing</w:t>
            </w:r>
          </w:p>
        </w:tc>
        <w:tc>
          <w:tcPr>
            <w:tcW w:w="2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Consolidated Total Leverage</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Eurodollar Rate Loans under Closing</w:t>
            </w:r>
          </w:p>
        </w:tc>
        <w:tc>
          <w:tcPr>
            <w:tcW w:w="2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Base Rate Loans under Closing</w:t>
            </w:r>
          </w:p>
        </w:tc>
      </w:tr>
      <w:tr>
        <w:trPr>
          <w:trHeight w:val="237"/>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Ratio</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Date Term Facility</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Date Term Facility</w:t>
            </w: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3180" w:type="dxa"/>
            <w:vAlign w:val="bottom"/>
            <w:tcBorders>
              <w:bottom w:val="single" w:sz="8" w:color="auto"/>
              <w:right w:val="single" w:sz="8" w:color="auto"/>
            </w:tcBorders>
          </w:tcPr>
          <w:p>
            <w:pPr>
              <w:spacing w:after="0" w:line="20" w:lineRule="exact"/>
              <w:rPr>
                <w:sz w:val="1"/>
                <w:szCs w:val="1"/>
                <w:color w:val="auto"/>
              </w:rPr>
            </w:pPr>
          </w:p>
        </w:tc>
        <w:tc>
          <w:tcPr>
            <w:tcW w:w="29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&lt; 40%</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1.30 %</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0.30%</w:t>
            </w: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3180" w:type="dxa"/>
            <w:vAlign w:val="bottom"/>
            <w:tcBorders>
              <w:bottom w:val="single" w:sz="8" w:color="auto"/>
              <w:right w:val="single" w:sz="8" w:color="auto"/>
            </w:tcBorders>
          </w:tcPr>
          <w:p>
            <w:pPr>
              <w:spacing w:after="0" w:line="20" w:lineRule="exact"/>
              <w:rPr>
                <w:sz w:val="1"/>
                <w:szCs w:val="1"/>
                <w:color w:val="auto"/>
              </w:rPr>
            </w:pPr>
          </w:p>
        </w:tc>
        <w:tc>
          <w:tcPr>
            <w:tcW w:w="29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w:t>
            </w: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&gt; 40% and ≤ 45%</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1.35 %</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0.35 %</w:t>
            </w: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3180" w:type="dxa"/>
            <w:vAlign w:val="bottom"/>
            <w:tcBorders>
              <w:bottom w:val="single" w:sz="8" w:color="auto"/>
              <w:right w:val="single" w:sz="8" w:color="auto"/>
            </w:tcBorders>
          </w:tcPr>
          <w:p>
            <w:pPr>
              <w:spacing w:after="0" w:line="20" w:lineRule="exact"/>
              <w:rPr>
                <w:sz w:val="1"/>
                <w:szCs w:val="1"/>
                <w:color w:val="auto"/>
              </w:rPr>
            </w:pPr>
          </w:p>
        </w:tc>
        <w:tc>
          <w:tcPr>
            <w:tcW w:w="29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III</w:t>
            </w: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&gt; 45% and ≤ 50%</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1.55 %</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0.55 %</w:t>
            </w: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3180" w:type="dxa"/>
            <w:vAlign w:val="bottom"/>
            <w:tcBorders>
              <w:bottom w:val="single" w:sz="8" w:color="auto"/>
              <w:right w:val="single" w:sz="8" w:color="auto"/>
            </w:tcBorders>
          </w:tcPr>
          <w:p>
            <w:pPr>
              <w:spacing w:after="0" w:line="20" w:lineRule="exact"/>
              <w:rPr>
                <w:sz w:val="1"/>
                <w:szCs w:val="1"/>
                <w:color w:val="auto"/>
              </w:rPr>
            </w:pPr>
          </w:p>
        </w:tc>
        <w:tc>
          <w:tcPr>
            <w:tcW w:w="29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IV</w:t>
            </w: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&gt; 50% and ≤ 55%</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1.70 %</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0.70 %</w:t>
            </w: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3180" w:type="dxa"/>
            <w:vAlign w:val="bottom"/>
            <w:tcBorders>
              <w:bottom w:val="single" w:sz="8" w:color="auto"/>
              <w:right w:val="single" w:sz="8" w:color="auto"/>
            </w:tcBorders>
          </w:tcPr>
          <w:p>
            <w:pPr>
              <w:spacing w:after="0" w:line="20" w:lineRule="exact"/>
              <w:rPr>
                <w:sz w:val="1"/>
                <w:szCs w:val="1"/>
                <w:color w:val="auto"/>
              </w:rPr>
            </w:pPr>
          </w:p>
        </w:tc>
        <w:tc>
          <w:tcPr>
            <w:tcW w:w="29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w:t>
            </w: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&gt; 55%</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1.90 %</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0.90 %</w:t>
            </w: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3180" w:type="dxa"/>
            <w:vAlign w:val="bottom"/>
            <w:tcBorders>
              <w:bottom w:val="single" w:sz="8" w:color="auto"/>
              <w:right w:val="single" w:sz="8" w:color="auto"/>
            </w:tcBorders>
          </w:tcPr>
          <w:p>
            <w:pPr>
              <w:spacing w:after="0" w:line="20" w:lineRule="exact"/>
              <w:rPr>
                <w:sz w:val="1"/>
                <w:szCs w:val="1"/>
                <w:color w:val="auto"/>
              </w:rPr>
            </w:pPr>
          </w:p>
        </w:tc>
        <w:tc>
          <w:tcPr>
            <w:tcW w:w="2900" w:type="dxa"/>
            <w:vAlign w:val="bottom"/>
            <w:tcBorders>
              <w:bottom w:val="single" w:sz="8" w:color="auto"/>
              <w:right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599"/>
        <w:spacing w:after="0" w:line="286" w:lineRule="auto"/>
        <w:rPr>
          <w:sz w:val="20"/>
          <w:szCs w:val="20"/>
          <w:color w:val="auto"/>
        </w:rPr>
      </w:pPr>
      <w:r>
        <w:rPr>
          <w:rFonts w:ascii="Arial" w:cs="Arial" w:eastAsia="Arial" w:hAnsi="Arial"/>
          <w:sz w:val="18"/>
          <w:szCs w:val="18"/>
          <w:color w:val="auto"/>
        </w:rPr>
        <w:t xml:space="preserve">Any increase or decrease in the Leverage-Based Applicable Rate for the Revolving Credit Facility or a Term Facility resulting from a change in the Consolidated Total Leverage Ratio shall become effective as of the first Business Day immediately following the date a Compliance Certificate is delivered pursuant to </w:t>
      </w:r>
      <w:r>
        <w:rPr>
          <w:rFonts w:ascii="Arial" w:cs="Arial" w:eastAsia="Arial" w:hAnsi="Arial"/>
          <w:sz w:val="18"/>
          <w:szCs w:val="18"/>
          <w:u w:val="single" w:color="auto"/>
          <w:color w:val="auto"/>
        </w:rPr>
        <w:t>Section 6.02(b)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Compliance Certificate is not delivered when due in accordance with such Section, then Pricing Level VI (in the case of the Revolving Credit Facility) and Pricing Level V (in the case of the Closing Date Term Facility) shall apply as of the first Business Day after the date on which such Compliance Certificate was required to have been delivered and shall remain in effect until the date on which such Compliance Certificate is delivered.</w:t>
      </w:r>
    </w:p>
    <w:p>
      <w:pPr>
        <w:spacing w:after="0" w:line="344" w:lineRule="exact"/>
        <w:rPr>
          <w:sz w:val="20"/>
          <w:szCs w:val="20"/>
          <w:color w:val="auto"/>
        </w:rPr>
      </w:pPr>
    </w:p>
    <w:p>
      <w:pPr>
        <w:jc w:val="both"/>
        <w:ind w:firstLine="599"/>
        <w:spacing w:after="0" w:line="252" w:lineRule="auto"/>
        <w:rPr>
          <w:sz w:val="20"/>
          <w:szCs w:val="20"/>
          <w:color w:val="auto"/>
        </w:rPr>
      </w:pPr>
      <w:r>
        <w:rPr>
          <w:rFonts w:ascii="Arial" w:cs="Arial" w:eastAsia="Arial" w:hAnsi="Arial"/>
          <w:sz w:val="20"/>
          <w:szCs w:val="20"/>
          <w:color w:val="auto"/>
        </w:rPr>
        <w:t xml:space="preserve">Notwithstanding anything to the contrary contained in this definition, (i) from the Restatement Effective Date to the date on which the Administrative Agent receives a Compliance Certificate pursuant to </w:t>
      </w:r>
      <w:r>
        <w:rPr>
          <w:rFonts w:ascii="Arial" w:cs="Arial" w:eastAsia="Arial" w:hAnsi="Arial"/>
          <w:sz w:val="20"/>
          <w:szCs w:val="20"/>
          <w:u w:val="single" w:color="auto"/>
          <w:color w:val="auto"/>
        </w:rPr>
        <w:t>Section 6.02(b)</w:t>
      </w:r>
      <w:r>
        <w:rPr>
          <w:rFonts w:ascii="Arial" w:cs="Arial" w:eastAsia="Arial" w:hAnsi="Arial"/>
          <w:sz w:val="20"/>
          <w:szCs w:val="20"/>
          <w:color w:val="auto"/>
        </w:rPr>
        <w:t xml:space="preserve"> for the fiscal quarter of the REIT ending December 31, 2017, the Pricing Level for the Revolving Credit Facility and the Closing Date Term Facility shall be determined based on the Consolidated Total Leverage Ratio as set forth in the Pro Forma Restatement Effective Date Compliance Certificate and (ii) the determination of the Leverage-Based Applicable Rates for the Revolving Credit Facility and the Closing Date Term Facility for any period shall be subject to the provisions of </w:t>
      </w:r>
      <w:r>
        <w:rPr>
          <w:rFonts w:ascii="Arial" w:cs="Arial" w:eastAsia="Arial" w:hAnsi="Arial"/>
          <w:sz w:val="20"/>
          <w:szCs w:val="20"/>
          <w:u w:val="single" w:color="auto"/>
          <w:color w:val="auto"/>
        </w:rPr>
        <w:t>Section 2.10(b)</w:t>
      </w:r>
      <w:r>
        <w:rPr>
          <w:rFonts w:ascii="Arial" w:cs="Arial" w:eastAsia="Arial" w:hAnsi="Arial"/>
          <w:sz w:val="20"/>
          <w:szCs w:val="20"/>
          <w:color w:val="auto"/>
        </w:rPr>
        <w:t>.</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w:t>
      </w:r>
      <w:r>
        <w:rPr>
          <w:rFonts w:ascii="Arial" w:cs="Arial" w:eastAsia="Arial" w:hAnsi="Arial"/>
          <w:sz w:val="20"/>
          <w:szCs w:val="20"/>
          <w:color w:val="auto"/>
        </w:rPr>
        <w:t>” has the meaning specified in the definition of Eurodollar Rate.</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Successor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3.07</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any mortgage, pledge, hypothecation, assignment, deposit arrangement, encumbrance, easement, right-of-way or other encumbrance on title to real property, lien (statutory or other), charge, or preference, priority or other security interest or preferential arrangement in the nature of a security interest of any kind or nature whatsoever (including any conditional sale or other title retention agreement, and any financing lease having substantially the same economic effect as any of the foregoing).</w:t>
      </w:r>
    </w:p>
    <w:p>
      <w:pPr>
        <w:spacing w:after="0" w:line="155"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xml:space="preserve">” means an extension of credit by a Lender to the Borrower under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in the form of a Revolving Credit Loan, Term Loan or a Swing Line Loan.</w:t>
      </w:r>
    </w:p>
    <w:p>
      <w:pPr>
        <w:spacing w:after="0" w:line="153"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xml:space="preserve">” means, collectively, (a) this Agreement, (b) the Notes, (c) the Guaranty Agreement, (d) any agreement creating or perfecting rights in cash collateral pursuant to the provisions of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of this Agreement, (e) the Fee Letters and (f) each Issuer Document</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22</w:t>
      </w:r>
      <w:r>
        <w:rPr>
          <w:rFonts w:ascii="MS PGothic" w:cs="MS PGothic" w:eastAsia="MS PGothic" w:hAnsi="MS PGothic"/>
          <w:sz w:val="20"/>
          <w:szCs w:val="20"/>
          <w:color w:val="auto"/>
        </w:rPr>
        <w:t>‑</w:t>
      </w:r>
    </w:p>
    <w:p>
      <w:pPr>
        <w:sectPr>
          <w:pgSz w:w="11900" w:h="16838" w:orient="portrait"/>
          <w:cols w:equalWidth="0" w:num="1">
            <w:col w:w="11420"/>
          </w:cols>
          <w:pgMar w:left="240" w:top="757" w:right="239" w:bottom="1440" w:gutter="0" w:footer="0" w:header="0"/>
        </w:sectPr>
      </w:pPr>
    </w:p>
    <w:bookmarkStart w:id="34" w:name="page35"/>
    <w:bookmarkEnd w:id="34"/>
    <w:p>
      <w:pPr>
        <w:jc w:val="both"/>
        <w:ind w:firstLine="59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Notice</w:t>
      </w:r>
      <w:r>
        <w:rPr>
          <w:rFonts w:ascii="Arial" w:cs="Arial" w:eastAsia="Arial" w:hAnsi="Arial"/>
          <w:sz w:val="20"/>
          <w:szCs w:val="20"/>
          <w:color w:val="auto"/>
        </w:rPr>
        <w:t xml:space="preserve">” means a notice of (a) a Revolving Credit Borrowing, (b) a Term Borrowing , (c) a conversion of Revolving Credit Loans or Term Loans from one Type to the other or (d) a continuation of Eurodollar Rate Loans, pursuant to </w:t>
      </w:r>
      <w:r>
        <w:rPr>
          <w:rFonts w:ascii="Arial" w:cs="Arial" w:eastAsia="Arial" w:hAnsi="Arial"/>
          <w:sz w:val="20"/>
          <w:szCs w:val="20"/>
          <w:u w:val="single" w:color="auto"/>
          <w:color w:val="auto"/>
        </w:rPr>
        <w:t>Section 2.02(a)</w:t>
      </w:r>
      <w:r>
        <w:rPr>
          <w:rFonts w:ascii="Arial" w:cs="Arial" w:eastAsia="Arial" w:hAnsi="Arial"/>
          <w:sz w:val="20"/>
          <w:szCs w:val="20"/>
          <w:color w:val="auto"/>
        </w:rPr>
        <w:t xml:space="preserve">, which shall be substantially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means, collectively, the Borrower and each Guarantor.</w:t>
      </w:r>
    </w:p>
    <w:p>
      <w:pPr>
        <w:spacing w:after="0" w:line="207" w:lineRule="exact"/>
        <w:rPr>
          <w:sz w:val="20"/>
          <w:szCs w:val="20"/>
          <w:color w:val="auto"/>
        </w:rPr>
      </w:pPr>
    </w:p>
    <w:p>
      <w:pPr>
        <w:jc w:val="both"/>
        <w:ind w:firstLine="599"/>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Party Pro Rata Share</w:t>
      </w:r>
      <w:r>
        <w:rPr>
          <w:rFonts w:ascii="Arial" w:cs="Arial" w:eastAsia="Arial" w:hAnsi="Arial"/>
          <w:sz w:val="19"/>
          <w:szCs w:val="19"/>
          <w:color w:val="auto"/>
        </w:rPr>
        <w:t>” means, with respect to any Controlled Joint Venture, the percentage interest held by the REIT or a Wholly Owned Subsidiary thereof, in the aggregate, in such Controlled Joint Venture determined by calculating the percentage of Equity Interests of such Controlled Joint Venture owned, directly or indirectly, by the REIT and its Wholly Owned Subsidiaries.</w:t>
      </w:r>
    </w:p>
    <w:p>
      <w:pPr>
        <w:spacing w:after="0" w:line="14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London Banking Day</w:t>
      </w:r>
      <w:r>
        <w:rPr>
          <w:rFonts w:ascii="Arial" w:cs="Arial" w:eastAsia="Arial" w:hAnsi="Arial"/>
          <w:sz w:val="20"/>
          <w:szCs w:val="20"/>
          <w:color w:val="auto"/>
        </w:rPr>
        <w:t>” means any day on which dealings in Dollar deposits are conducted by and between banks in the London interbank eurodollar market.</w:t>
      </w:r>
    </w:p>
    <w:p>
      <w:pPr>
        <w:spacing w:after="0" w:line="153" w:lineRule="exact"/>
        <w:rPr>
          <w:sz w:val="20"/>
          <w:szCs w:val="20"/>
          <w:color w:val="auto"/>
        </w:rPr>
      </w:pPr>
    </w:p>
    <w:p>
      <w:pPr>
        <w:jc w:val="both"/>
        <w:ind w:firstLine="599"/>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change in, or a material adverse effect upon, the operations, business, assets, properties, liabilities (actual or contingent) or condition (financial or otherwise) of the REIT or the Borrower and its Subsidiaries, taken as a whole; (b) a material adverse effect on the rights and remedies of the Administrative Agent or any Lender under any Loan Document, or of the ability of the Borrower and the Loan Parties, taken as a whole, to perform their obligations under any Loan Document; or (c) a material adverse effect upon the legality, validity, binding effect or enforceability against any Loan Party of any Loan Document to which it is a party.</w:t>
      </w:r>
    </w:p>
    <w:p>
      <w:pPr>
        <w:spacing w:after="0" w:line="144"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Contract</w:t>
      </w:r>
      <w:r>
        <w:rPr>
          <w:rFonts w:ascii="Arial" w:cs="Arial" w:eastAsia="Arial" w:hAnsi="Arial"/>
          <w:sz w:val="20"/>
          <w:szCs w:val="20"/>
          <w:color w:val="auto"/>
        </w:rPr>
        <w:t>” means, with respect to any Person, each contract to which such Person is a party involving aggregate consideration payable to or by such Person of $25,000,000 or more in any year or otherwise material to the business, condition (financial or otherwise), operations, performance or properties of such Person.</w:t>
      </w:r>
    </w:p>
    <w:p>
      <w:pPr>
        <w:spacing w:after="0" w:line="164" w:lineRule="exact"/>
        <w:rPr>
          <w:sz w:val="20"/>
          <w:szCs w:val="20"/>
          <w:color w:val="auto"/>
        </w:rPr>
      </w:pPr>
    </w:p>
    <w:p>
      <w:pPr>
        <w:jc w:val="both"/>
        <w:ind w:firstLine="599"/>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Maturity Date</w:t>
      </w:r>
      <w:r>
        <w:rPr>
          <w:rFonts w:ascii="Arial" w:cs="Arial" w:eastAsia="Arial" w:hAnsi="Arial"/>
          <w:sz w:val="19"/>
          <w:szCs w:val="19"/>
          <w:color w:val="auto"/>
        </w:rPr>
        <w:t xml:space="preserve">” means (a) with respect to the Revolving Credit Facility, the later of (i) the Initial Revolver Maturity Date and (ii) if the Initial Revolver Maturity Date (or any subsequent maturity date with respect to the Revolving Credit Facility) is extended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such extended maturity date as determined pursuant to such Section, (b) with respect to the Closing Date Term Facility, January 9, 2019 and (c) with respect to any Additional TL Tranche, subject to </w:t>
      </w:r>
      <w:r>
        <w:rPr>
          <w:rFonts w:ascii="Arial" w:cs="Arial" w:eastAsia="Arial" w:hAnsi="Arial"/>
          <w:sz w:val="19"/>
          <w:szCs w:val="19"/>
          <w:u w:val="single" w:color="auto"/>
          <w:color w:val="auto"/>
        </w:rPr>
        <w:t>Section 2.16(a)</w:t>
      </w:r>
      <w:r>
        <w:rPr>
          <w:rFonts w:ascii="Arial" w:cs="Arial" w:eastAsia="Arial" w:hAnsi="Arial"/>
          <w:sz w:val="19"/>
          <w:szCs w:val="19"/>
          <w:color w:val="auto"/>
        </w:rPr>
        <w:t xml:space="preserve">, the date set forth in the applicable Additional TL Tranche Documents as the “Maturity Date” for such Term Facility or, if the applicable Additional TL Tranche Documents fail to specify a “Maturity Date”, the Maturity Date for the Closing Date Term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each case, if such date is not a Business Day, the Maturity Date of the applicable Facility shall be the next preceding Business Day.</w:t>
      </w:r>
    </w:p>
    <w:p>
      <w:pPr>
        <w:spacing w:after="0" w:line="160" w:lineRule="exact"/>
        <w:rPr>
          <w:sz w:val="20"/>
          <w:szCs w:val="20"/>
          <w:color w:val="auto"/>
        </w:rPr>
      </w:pPr>
    </w:p>
    <w:p>
      <w:pPr>
        <w:jc w:val="both"/>
        <w:ind w:firstLine="59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Minimum Collateral Amount</w:t>
      </w:r>
      <w:r>
        <w:rPr>
          <w:rFonts w:ascii="Arial" w:cs="Arial" w:eastAsia="Arial" w:hAnsi="Arial"/>
          <w:sz w:val="20"/>
          <w:szCs w:val="20"/>
          <w:color w:val="auto"/>
        </w:rPr>
        <w:t xml:space="preserve">” means, at any time, (i) with respect to Cash Collateral consisting of cash or deposit account balances provided to reduce or eliminate Fronting Exposure during the existence of a Defaulting Lender, an amount equal to 103% of the Fronting Exposure of the L/C Issuers with respect to Letters of Credit issued and outstanding at such time, (ii) with respect to Cash Collateral consisting of cash or deposit account balances provided in accordance with the provisions of </w:t>
      </w:r>
      <w:r>
        <w:rPr>
          <w:rFonts w:ascii="Arial" w:cs="Arial" w:eastAsia="Arial" w:hAnsi="Arial"/>
          <w:sz w:val="20"/>
          <w:szCs w:val="20"/>
          <w:u w:val="single" w:color="auto"/>
          <w:color w:val="auto"/>
        </w:rPr>
        <w:t>Section 2.18(a)(i)</w:t>
      </w:r>
      <w:r>
        <w:rPr>
          <w:rFonts w:ascii="Arial" w:cs="Arial" w:eastAsia="Arial" w:hAnsi="Arial"/>
          <w:sz w:val="20"/>
          <w:szCs w:val="20"/>
          <w:color w:val="auto"/>
        </w:rPr>
        <w:t xml:space="preserve">, </w:t>
      </w:r>
      <w:r>
        <w:rPr>
          <w:rFonts w:ascii="Arial" w:cs="Arial" w:eastAsia="Arial" w:hAnsi="Arial"/>
          <w:sz w:val="20"/>
          <w:szCs w:val="20"/>
          <w:u w:val="single" w:color="auto"/>
          <w:color w:val="auto"/>
        </w:rPr>
        <w:t>(a)(ii)</w:t>
      </w:r>
      <w:r>
        <w:rPr>
          <w:rFonts w:ascii="Arial" w:cs="Arial" w:eastAsia="Arial" w:hAnsi="Arial"/>
          <w:sz w:val="20"/>
          <w:szCs w:val="20"/>
          <w:color w:val="auto"/>
        </w:rPr>
        <w:t xml:space="preserve">, </w:t>
      </w:r>
      <w:r>
        <w:rPr>
          <w:rFonts w:ascii="Arial" w:cs="Arial" w:eastAsia="Arial" w:hAnsi="Arial"/>
          <w:sz w:val="20"/>
          <w:szCs w:val="20"/>
          <w:u w:val="single" w:color="auto"/>
          <w:color w:val="auto"/>
        </w:rPr>
        <w:t>(a)(iii)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(a)(iv)</w:t>
      </w:r>
      <w:r>
        <w:rPr>
          <w:rFonts w:ascii="Arial" w:cs="Arial" w:eastAsia="Arial" w:hAnsi="Arial"/>
          <w:sz w:val="20"/>
          <w:szCs w:val="20"/>
          <w:color w:val="auto"/>
        </w:rPr>
        <w:t>, an amount equal to 103% of the Outstanding Amount of all LC Obligations, and (iii) otherwise, an amount determined by the Administrative Agent and the L/C Issuers in their sole discretion.</w:t>
      </w:r>
    </w:p>
    <w:p>
      <w:pPr>
        <w:spacing w:after="0" w:line="175"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MLPFS</w:t>
      </w:r>
      <w:r>
        <w:rPr>
          <w:rFonts w:ascii="Arial" w:cs="Arial" w:eastAsia="Arial" w:hAnsi="Arial"/>
          <w:sz w:val="20"/>
          <w:szCs w:val="20"/>
          <w:color w:val="auto"/>
        </w:rPr>
        <w:t>” means Merrill Lynch, Pierce, Fenner &amp; Smith Incorporated (or any other registered broker-dealer wholly-owned by Bank of America Corporation to which all or substantially all of Bank of America</w:t>
      </w:r>
    </w:p>
    <w:p>
      <w:pPr>
        <w:spacing w:after="0" w:line="390"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23</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35" w:name="page36"/>
    <w:bookmarkEnd w:id="35"/>
    <w:p>
      <w:pPr>
        <w:jc w:val="both"/>
        <w:spacing w:after="0" w:line="272" w:lineRule="auto"/>
        <w:rPr>
          <w:sz w:val="20"/>
          <w:szCs w:val="20"/>
          <w:color w:val="auto"/>
        </w:rPr>
      </w:pPr>
      <w:r>
        <w:rPr>
          <w:rFonts w:ascii="Arial" w:cs="Arial" w:eastAsia="Arial" w:hAnsi="Arial"/>
          <w:sz w:val="20"/>
          <w:szCs w:val="20"/>
          <w:color w:val="auto"/>
        </w:rPr>
        <w:t>Corporation’s or any of its subsidiaries’ investment banking, commercial lending services or related businesses may be transferred following the Restatement Effective Date).</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and any successor thereto.</w:t>
      </w:r>
    </w:p>
    <w:p>
      <w:pPr>
        <w:spacing w:after="0" w:line="207"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64"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Multiple Employer Plan</w:t>
      </w:r>
      <w:r>
        <w:rPr>
          <w:rFonts w:ascii="Arial" w:cs="Arial" w:eastAsia="Arial" w:hAnsi="Arial"/>
          <w:sz w:val="20"/>
          <w:szCs w:val="20"/>
          <w:color w:val="auto"/>
        </w:rPr>
        <w:t>” means a Plan which has two or more contributing sponsors (including the Borrower or any ERISA Affiliate) at least two of whom are not under common control, as such a plan is described in Section 4064 of ERISA.</w:t>
      </w:r>
    </w:p>
    <w:p>
      <w:pPr>
        <w:spacing w:after="0" w:line="153"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Newly-Acquired Portfolio Property</w:t>
      </w:r>
      <w:r>
        <w:rPr>
          <w:rFonts w:ascii="Arial" w:cs="Arial" w:eastAsia="Arial" w:hAnsi="Arial"/>
          <w:sz w:val="20"/>
          <w:szCs w:val="20"/>
          <w:color w:val="auto"/>
        </w:rPr>
        <w:t xml:space="preserve">” means, as of any date of determination, any Portfolio Property acquired or ground leased pursuant to an Eligible Ground Lease by any member of the Consolidated Group from a Person that was not a member of the Consolidated Group during the then most recently ended two consecutive fiscal quarter period of the REIT for which financial statements have been provided to the Administrative Agent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w:t>
      </w:r>
    </w:p>
    <w:p>
      <w:pPr>
        <w:spacing w:after="0" w:line="168"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xml:space="preserve">” means any Lender that does not approve any consent, waiver or amendment that (i) requires the approval of all Lenders, all Lenders of a Facility or all affected Lenders or all affected Lenders of a Facility in accordance with the terms of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and (ii) has been approved by the Required Lenders, the Required Term Lenders, the Required Revolving Lenders or the Required Facility Lenders, as applicable.</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 at any time, each Lender that is not a Defaulting Lender at such time.</w:t>
      </w:r>
    </w:p>
    <w:p>
      <w:pPr>
        <w:spacing w:after="0" w:line="207" w:lineRule="exact"/>
        <w:rPr>
          <w:sz w:val="20"/>
          <w:szCs w:val="20"/>
          <w:color w:val="auto"/>
        </w:rPr>
      </w:pPr>
    </w:p>
    <w:p>
      <w:pPr>
        <w:jc w:val="both"/>
        <w:ind w:firstLine="599"/>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Indebtedness</w:t>
      </w:r>
      <w:r>
        <w:rPr>
          <w:rFonts w:ascii="Arial" w:cs="Arial" w:eastAsia="Arial" w:hAnsi="Arial"/>
          <w:sz w:val="18"/>
          <w:szCs w:val="18"/>
          <w:color w:val="auto"/>
        </w:rPr>
        <w:t xml:space="preserve">” means, with respect to a Person, (a) Indebtedness, or a Guarantee of Indebtedness, in respect of which recourse for payment (except for customary exceptions for fraud, misrepresentation, misapplication of cash, waste, environmental claims and liabilities, prohibited transfers, violations of single purpose entity covenants, and other circumstances customarily excluded by institutional lenders from exculpation provisions and/or included in separate guaranty or indemnification agreements in non-recourse or tax-exempt financings of real estate, including those set forth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is contractually limited to specific assets of such Person encumbered by a Lien securing such Indebtedness or Guarantee, (b) if such Person is a Single Asset Entity, any Indebtedness owed by such Person (other than Indebtedness described in the immediately following clause (c)), or (c) if such Person is a Single Asset Holding Company, any Indebtedness (“Holdco Indebtedness”) of such Single Asset Holding Company resulting from a Guarantee of, or Lien securing, Indebtedness owed by a Single Asset Entity that is a Subsidiary of such Single Asset Holding Company, so long as, in each case, either (i) recourse for payment of such Holdco Indebtedness (except for customary exceptions for fraud, misrepresentation, misapplication of cash, waste, environmental claims and liabilities, prohibited transfers, violations of single purpose entity covenants, and other circumstances customarily excluded by institutional lenders from exculpation provisions and/or included in separate guaranty or indemnification agreements in non-recourse or tax-exempt financings of real estate, including those set forth on </w:t>
      </w:r>
      <w:r>
        <w:rPr>
          <w:rFonts w:ascii="Arial" w:cs="Arial" w:eastAsia="Arial" w:hAnsi="Arial"/>
          <w:sz w:val="18"/>
          <w:szCs w:val="18"/>
          <w:u w:val="single" w:color="auto"/>
          <w:color w:val="auto"/>
        </w:rPr>
        <w:t>Schedule III</w:t>
      </w:r>
      <w:r>
        <w:rPr>
          <w:rFonts w:ascii="Arial" w:cs="Arial" w:eastAsia="Arial" w:hAnsi="Arial"/>
          <w:sz w:val="18"/>
          <w:szCs w:val="18"/>
          <w:color w:val="auto"/>
        </w:rPr>
        <w:t>) is contractually limited to the Equity Interests held by such Single Asset Holding Company in such Single Asset Entity or (ii) such Single Asset Holding Company has no assets other than Equity Interests in such Single Asset Entity and cash and other assets of nominal value incidental to the ownership of the such Single Asset Entity.</w:t>
      </w:r>
    </w:p>
    <w:p>
      <w:pPr>
        <w:spacing w:after="0" w:line="387"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24</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36" w:name="page37"/>
    <w:bookmarkEnd w:id="36"/>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Non-Stabilized Portfolio Property</w:t>
      </w:r>
      <w:r>
        <w:rPr>
          <w:rFonts w:ascii="Arial" w:cs="Arial" w:eastAsia="Arial" w:hAnsi="Arial"/>
          <w:sz w:val="20"/>
          <w:szCs w:val="20"/>
          <w:color w:val="auto"/>
        </w:rPr>
        <w:t>” means, as of any date of determination, any Portfolio Property (i) that was previously (but is no longer) under development and in which a Development Investment was made by the REIT or a Subsidiary thereof after the Restatement Effective Date and (ii) in respect of which the Stabilization Date has not occurred on or prior to such date.</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Notes</w:t>
      </w:r>
      <w:r>
        <w:rPr>
          <w:rFonts w:ascii="Arial" w:cs="Arial" w:eastAsia="Arial" w:hAnsi="Arial"/>
          <w:sz w:val="20"/>
          <w:szCs w:val="20"/>
          <w:color w:val="auto"/>
        </w:rPr>
        <w:t>” means, collectively, the Revolving Notes and Term Notes and “Note” means any of them individually.</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NPL</w:t>
      </w:r>
      <w:r>
        <w:rPr>
          <w:rFonts w:ascii="Arial" w:cs="Arial" w:eastAsia="Arial" w:hAnsi="Arial"/>
          <w:sz w:val="20"/>
          <w:szCs w:val="20"/>
          <w:color w:val="auto"/>
        </w:rPr>
        <w:t>” means the National Priorities List under CERCLA.</w:t>
      </w:r>
    </w:p>
    <w:p>
      <w:pPr>
        <w:spacing w:after="0" w:line="207" w:lineRule="exact"/>
        <w:rPr>
          <w:sz w:val="20"/>
          <w:szCs w:val="20"/>
          <w:color w:val="auto"/>
        </w:rPr>
      </w:pPr>
    </w:p>
    <w:p>
      <w:pPr>
        <w:jc w:val="both"/>
        <w:ind w:firstLine="599"/>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advances to, and debts, liabilities, obligations, covenants and duties of, any Loan Party arising under any Loan Document or otherwise with respect to any Loan or Letter of Credit,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United States Department of the Treasury.</w:t>
      </w:r>
    </w:p>
    <w:p>
      <w:pPr>
        <w:spacing w:after="0" w:line="207"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Organization Documents</w:t>
      </w:r>
      <w:r>
        <w:rPr>
          <w:rFonts w:ascii="Arial" w:cs="Arial" w:eastAsia="Arial" w:hAnsi="Arial"/>
          <w:sz w:val="20"/>
          <w:szCs w:val="20"/>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7" w:lineRule="exact"/>
        <w:rPr>
          <w:sz w:val="20"/>
          <w:szCs w:val="20"/>
          <w:color w:val="auto"/>
        </w:rPr>
      </w:pPr>
    </w:p>
    <w:p>
      <w:pPr>
        <w:jc w:val="both"/>
        <w:ind w:firstLine="599"/>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solely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Documents).</w:t>
      </w:r>
    </w:p>
    <w:p>
      <w:pPr>
        <w:spacing w:after="0" w:line="176"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20"/>
          <w:szCs w:val="20"/>
          <w:u w:val="single" w:color="auto"/>
          <w:color w:val="auto"/>
        </w:rPr>
        <w:t>Section 3.06</w:t>
      </w:r>
      <w:r>
        <w:rPr>
          <w:rFonts w:ascii="Arial" w:cs="Arial" w:eastAsia="Arial" w:hAnsi="Arial"/>
          <w:sz w:val="20"/>
          <w:szCs w:val="20"/>
          <w:color w:val="auto"/>
        </w:rPr>
        <w:t>).</w:t>
      </w:r>
    </w:p>
    <w:p>
      <w:pPr>
        <w:spacing w:after="0" w:line="168" w:lineRule="exact"/>
        <w:rPr>
          <w:sz w:val="20"/>
          <w:szCs w:val="20"/>
          <w:color w:val="auto"/>
        </w:rPr>
      </w:pPr>
    </w:p>
    <w:p>
      <w:pPr>
        <w:jc w:val="both"/>
        <w:ind w:firstLine="599"/>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(a) with respect to Revolving Credit Loans and Swing Line Loans on any date, the aggregate outstanding principal amount thereof after giving effect to any borrowings and prepayments or repayments of Revolving Credit Loans and Swing Line Loans, as the case may be, occurring on such date; (b) with respect to any L/C Obligations on any date, the aggregate outstanding amount of such L/C Obligations on such date after giving effect to any L/C Credit Extension occurring on such date and any other changes in the aggregate amount of the L/C Obligations as of such date, including as a result of any reimbursements by or on behalf of the Borrower of Unreimbursed Amounts; and (c) with respect to the Term Loan on any date, the aggregate outstanding principal amount thereof on such date.</w:t>
      </w:r>
    </w:p>
    <w:p>
      <w:pPr>
        <w:spacing w:after="0" w:line="38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25</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37" w:name="page38"/>
    <w:bookmarkEnd w:id="37"/>
    <w:p>
      <w:pPr>
        <w:jc w:val="both"/>
        <w:ind w:firstLine="599"/>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 Passu Obligations</w:t>
      </w:r>
      <w:r>
        <w:rPr>
          <w:rFonts w:ascii="Arial" w:cs="Arial" w:eastAsia="Arial" w:hAnsi="Arial"/>
          <w:sz w:val="18"/>
          <w:szCs w:val="18"/>
          <w:color w:val="auto"/>
        </w:rPr>
        <w:t>” means Unsecured Indebtedness (without giving effect to the proviso in the definition thereof and exclusive of the Obligations) of any member of the Consolidated Group owing to a Person that is not a member of the Consolidated Group.</w:t>
      </w:r>
    </w:p>
    <w:p>
      <w:pPr>
        <w:spacing w:after="0" w:line="1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10.06(d)</w:t>
      </w:r>
      <w:r>
        <w:rPr>
          <w:rFonts w:ascii="Arial" w:cs="Arial" w:eastAsia="Arial" w:hAnsi="Arial"/>
          <w:sz w:val="20"/>
          <w:szCs w:val="20"/>
          <w:color w:val="auto"/>
        </w:rPr>
        <w: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10.06(d)</w:t>
      </w:r>
      <w:r>
        <w:rPr>
          <w:rFonts w:ascii="Arial" w:cs="Arial" w:eastAsia="Arial" w:hAnsi="Arial"/>
          <w:sz w:val="20"/>
          <w:szCs w:val="20"/>
          <w:color w:val="auto"/>
        </w:rPr>
        <w: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Act</w:t>
      </w:r>
      <w:r>
        <w:rPr>
          <w:rFonts w:ascii="Arial" w:cs="Arial" w:eastAsia="Arial" w:hAnsi="Arial"/>
          <w:sz w:val="20"/>
          <w:szCs w:val="20"/>
          <w:color w:val="auto"/>
        </w:rPr>
        <w:t>” means the Pension Protection Act of 2006.</w:t>
      </w:r>
    </w:p>
    <w:p>
      <w:pPr>
        <w:spacing w:after="0" w:line="207"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Funding Rules</w:t>
      </w:r>
      <w:r>
        <w:rPr>
          <w:rFonts w:ascii="Arial" w:cs="Arial" w:eastAsia="Arial" w:hAnsi="Arial"/>
          <w:sz w:val="20"/>
          <w:szCs w:val="20"/>
          <w:color w:val="auto"/>
        </w:rPr>
        <w:t>” means the rules of the Code and ERISA regarding minimum required contributions (including any installment payment thereof) to Pension Plans, and such related rules, as and set forth in Sections 412, 430, 431, 432 and 436 of the Code and Sections 302, 303, 304 and 305 of ERISA.</w:t>
      </w:r>
    </w:p>
    <w:p>
      <w:pPr>
        <w:spacing w:after="0" w:line="164"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Code.</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Holders</w:t>
      </w:r>
      <w:r>
        <w:rPr>
          <w:rFonts w:ascii="Arial" w:cs="Arial" w:eastAsia="Arial" w:hAnsi="Arial"/>
          <w:sz w:val="20"/>
          <w:szCs w:val="20"/>
          <w:color w:val="auto"/>
        </w:rPr>
        <w:t>” means Ernest S. Rady and the Rady Affiliates.</w:t>
      </w:r>
    </w:p>
    <w:p>
      <w:pPr>
        <w:spacing w:after="0" w:line="207"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Judgment Liens</w:t>
      </w:r>
      <w:r>
        <w:rPr>
          <w:rFonts w:ascii="Arial" w:cs="Arial" w:eastAsia="Arial" w:hAnsi="Arial"/>
          <w:sz w:val="20"/>
          <w:szCs w:val="20"/>
          <w:color w:val="auto"/>
        </w:rPr>
        <w:t xml:space="preserve">” means Liens permitted under </w:t>
      </w:r>
      <w:r>
        <w:rPr>
          <w:rFonts w:ascii="Arial" w:cs="Arial" w:eastAsia="Arial" w:hAnsi="Arial"/>
          <w:sz w:val="20"/>
          <w:szCs w:val="20"/>
          <w:u w:val="single" w:color="auto"/>
          <w:color w:val="auto"/>
        </w:rPr>
        <w:t>Section 7.01(g)</w:t>
      </w:r>
      <w:r>
        <w:rPr>
          <w:rFonts w:ascii="Arial" w:cs="Arial" w:eastAsia="Arial" w:hAnsi="Arial"/>
          <w:sz w:val="20"/>
          <w:szCs w:val="20"/>
          <w:color w:val="auto"/>
        </w:rPr>
        <w:t xml:space="preserve"> (solely to the extent the aggregate amount of the judgments secured by such Liens under </w:t>
      </w:r>
      <w:r>
        <w:rPr>
          <w:rFonts w:ascii="Arial" w:cs="Arial" w:eastAsia="Arial" w:hAnsi="Arial"/>
          <w:sz w:val="20"/>
          <w:szCs w:val="20"/>
          <w:u w:val="single" w:color="auto"/>
          <w:color w:val="auto"/>
        </w:rPr>
        <w:t>Section 7.01(g)</w:t>
      </w:r>
      <w:r>
        <w:rPr>
          <w:rFonts w:ascii="Arial" w:cs="Arial" w:eastAsia="Arial" w:hAnsi="Arial"/>
          <w:sz w:val="20"/>
          <w:szCs w:val="20"/>
          <w:color w:val="auto"/>
        </w:rPr>
        <w:t xml:space="preserve"> encumbering (x) Unencumbered Eligible Properties (and the income therefrom and proceeds thereof) and (y) the Equity Interests of any Subsidiary that owns or ground leases an Unencumbered Eligible Property (and any Subsidiary of the Borrower that directly or indirectly owns any Equity Interests in such Subsidiary) (and the income therefrom and proceeds thereof) does not exceed $10,000,000).</w:t>
      </w:r>
    </w:p>
    <w:p>
      <w:pPr>
        <w:spacing w:after="0" w:line="174" w:lineRule="exact"/>
        <w:rPr>
          <w:sz w:val="20"/>
          <w:szCs w:val="20"/>
          <w:color w:val="auto"/>
        </w:rPr>
      </w:pPr>
    </w:p>
    <w:p>
      <w:pPr>
        <w:jc w:val="both"/>
        <w:ind w:firstLine="599"/>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Pari Passu Encumbrances</w:t>
      </w:r>
      <w:r>
        <w:rPr>
          <w:rFonts w:ascii="Arial" w:cs="Arial" w:eastAsia="Arial" w:hAnsi="Arial"/>
          <w:sz w:val="19"/>
          <w:szCs w:val="19"/>
          <w:color w:val="auto"/>
        </w:rPr>
        <w:t>” means encumbrances that are contained in documentation evidencing or governing Pari Passu Obligations which encumbrances are the result of (i) limitations on the ability of the REIT or any Subsidiary thereof to transfer property to the REIT, the Borrower, any Guarantor or any Wholly Owned Subsidiary of the Borrower, (ii) limitations on the ability of the REIT or any Subsidiary thereof to create, incur, assume or suffer to exist Liens on Unencumbered Eligible Properties or the Equity Interests of any Person that owns, or ground leases under an Eligible Ground Lease, an Unencumbered Eligible Property (or the Equity Interest of any Subsidiary of the Borrower that directly or indirectly owns any Equity Interests in such Person) or (iii) any requirement that Pari Passu Obligations be secured on an “equal and ratable basis” to the extent that the Obligations are secured.</w:t>
      </w:r>
    </w:p>
    <w:p>
      <w:pPr>
        <w:spacing w:after="0" w:line="160"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Unencumbered Property Liens</w:t>
      </w:r>
      <w:r>
        <w:rPr>
          <w:rFonts w:ascii="Arial" w:cs="Arial" w:eastAsia="Arial" w:hAnsi="Arial"/>
          <w:sz w:val="20"/>
          <w:szCs w:val="20"/>
          <w:color w:val="auto"/>
        </w:rPr>
        <w:t xml:space="preserve">” means Liens permitted under </w:t>
      </w:r>
      <w:r>
        <w:rPr>
          <w:rFonts w:ascii="Arial" w:cs="Arial" w:eastAsia="Arial" w:hAnsi="Arial"/>
          <w:sz w:val="20"/>
          <w:szCs w:val="20"/>
          <w:u w:val="single" w:color="auto"/>
          <w:color w:val="auto"/>
        </w:rPr>
        <w:t>Section 7.01(a)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w:t>
      </w:r>
      <w:r>
        <w:rPr>
          <w:rFonts w:ascii="Arial" w:cs="Arial" w:eastAsia="Arial" w:hAnsi="Arial"/>
          <w:sz w:val="20"/>
          <w:szCs w:val="20"/>
          <w:u w:val="single" w:color="auto"/>
          <w:color w:val="auto"/>
        </w:rPr>
        <w:t>(f)</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(h)</w:t>
      </w:r>
      <w:r>
        <w:rPr>
          <w:rFonts w:ascii="Arial" w:cs="Arial" w:eastAsia="Arial" w:hAnsi="Arial"/>
          <w:sz w:val="20"/>
          <w:szCs w:val="20"/>
          <w:color w:val="auto"/>
        </w:rPr>
        <w:t>, Permitted Judgment Liens and Permitted Pari Passu Encumbrances.</w:t>
      </w:r>
    </w:p>
    <w:p>
      <w:pPr>
        <w:spacing w:after="0" w:line="153"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53"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00" w:lineRule="exact"/>
        <w:rPr>
          <w:sz w:val="20"/>
          <w:szCs w:val="20"/>
          <w:color w:val="auto"/>
        </w:rPr>
      </w:pPr>
    </w:p>
    <w:p>
      <w:pPr>
        <w:spacing w:after="0" w:line="244"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26</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38" w:name="page39"/>
    <w:bookmarkEnd w:id="38"/>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PNC Bank</w:t>
      </w:r>
      <w:r>
        <w:rPr>
          <w:rFonts w:ascii="Arial" w:cs="Arial" w:eastAsia="Arial" w:hAnsi="Arial"/>
          <w:sz w:val="20"/>
          <w:szCs w:val="20"/>
          <w:color w:val="auto"/>
        </w:rPr>
        <w:t>” means PNC Bank, National Association.</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Portfolio Property</w:t>
      </w:r>
      <w:r>
        <w:rPr>
          <w:rFonts w:ascii="Arial" w:cs="Arial" w:eastAsia="Arial" w:hAnsi="Arial"/>
          <w:sz w:val="20"/>
          <w:szCs w:val="20"/>
          <w:color w:val="auto"/>
        </w:rPr>
        <w:t>” means any real property owned or ground leased by a Subsidiary of the Borrower.</w:t>
      </w:r>
    </w:p>
    <w:p>
      <w:pPr>
        <w:spacing w:after="0" w:line="207" w:lineRule="exact"/>
        <w:rPr>
          <w:sz w:val="20"/>
          <w:szCs w:val="20"/>
          <w:color w:val="auto"/>
        </w:rPr>
      </w:pPr>
    </w:p>
    <w:p>
      <w:pPr>
        <w:jc w:val="both"/>
        <w:ind w:firstLine="59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Property Net Operating Income</w:t>
      </w:r>
      <w:r>
        <w:rPr>
          <w:rFonts w:ascii="Arial" w:cs="Arial" w:eastAsia="Arial" w:hAnsi="Arial"/>
          <w:sz w:val="18"/>
          <w:szCs w:val="18"/>
          <w:color w:val="auto"/>
        </w:rPr>
        <w:t xml:space="preserve">” means, with respect to any Portfolio Property for any fiscal quarter of the REIT, an amount equal to (i) the aggregate gross revenues from the operation of such Portfolio Property from tenants in occupancy and paying rent during such fiscal quarter (or, in the case of a Hotel Property, from the operation of such Portfolio Property during such fiscal quarter), minus (ii) all expenses and other proper charges incurred during such fiscal quarter in connection with the operation of such Portfolio Property (including accruals for real estate taxes and insurance, but excluding any management fees, debt service charges, income taxes, depreciation, amortization and other non-cash expenses (including, without limitation, non-cash write-offs (including with respect to straight line rents) and mark-to-market adjustments)), which expenses and accruals shall be calculated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 the case of a Hotel Property that has been owned, or ground leased under an Eligible Ground Lease, by one or more Subsidiaries of the Borrower for at least four consecutive full fiscal quarters for which financial statements have been provided to the Administrative Agent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the Portfolio Property Net Operating Income of such Hotel Property shall be, for any fiscal quarter of the REIT, the average quarterly Portfolio Property Net Operating Income for the four consecutive full fiscal quarter period ending on the last day of such fiscal quarter of the REIT (with the Portfolio Property Net Operating Income for each fiscal quarter included in such four fiscal quarter period being determined in accordance with this definition without giving effect to this proviso) and (ii) in the case of a Hotel Property that has not been owned, or ground leased under an Eligible Ground Lease, by one or more Subsidiaries of the Borrower for at least four consecutive full fiscal quarters for which financial statements have been provided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the Portfolio Property Net Operating Income of such Hotel Property shall be, for any fiscal quarter of the REIT, the average quarterly Portfolio Property Net Operating Income for the period consisting of all of the full fiscal quarters commencing after the date such Hotel Property was acquired (or after an Eligible Ground Lease is entered into with respect to such Hotel Property, if applicable) by a Subsidiary of the Borrower for which financial statements have been provided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(with the Portfolio Property Net Operating Income for each fiscal quarter included in such period being determined in accordance with this definition without giving effect to this proviso). For purposes of this definition, in the case of any Portfolio Property that is owned, or ground leased pursuant to an Eligible Ground Lease, by one or more Subsidiaries of the Borrower for at least one full fiscal month of the REIT but less than one full fiscal quarter for which financial statements have been provided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the Portfolio Property Net Operating Income of such Portfolio Property shall equal (x) if such Portfolio Property is owned, or ground leased pursuant to an Eligible Ground Lease, for less than two full fiscal months of the REIT, the Portfolio Property Net Operating Income of such Portfolio Property calculated with respect to the then most recently ended fiscal month of the REIT (instead of on the basis of a fiscal quarter as otherwise contemplated herein), multiplied by 3 and (y) if such Portfolio Property is owned, or ground leased pursuant to an Eligible Ground Lease, for at least two full fiscal months of the REIT, the Portfolio Property Net Operating Income of such Portfolio Property calculated with respect to the then most recently ended two fiscal month period of the REIT (instead of on the basis of a fiscal quarter as otherwise contemplated herein), multiplied by 3/2. For the avoidance of doubt, for purposes of this definition, the Portfolio Property Net Operating Income of any Portfolio Property that is owned, or ground leased pursuant to an Eligible Ground Lease, by one or more Subsidiaries of the Borrower for less than one full fiscal month of the REIT shall be $0.</w:t>
      </w:r>
    </w:p>
    <w:p>
      <w:pPr>
        <w:spacing w:after="0" w:line="200" w:lineRule="exact"/>
        <w:rPr>
          <w:sz w:val="20"/>
          <w:szCs w:val="20"/>
          <w:color w:val="auto"/>
        </w:rPr>
      </w:pPr>
    </w:p>
    <w:p>
      <w:pPr>
        <w:spacing w:after="0" w:line="21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Pricing Grid</w:t>
      </w:r>
      <w:r>
        <w:rPr>
          <w:rFonts w:ascii="Arial" w:cs="Arial" w:eastAsia="Arial" w:hAnsi="Arial"/>
          <w:sz w:val="20"/>
          <w:szCs w:val="20"/>
          <w:color w:val="auto"/>
        </w:rPr>
        <w:t>” means</w:t>
      </w:r>
    </w:p>
    <w:p>
      <w:pPr>
        <w:spacing w:after="0" w:line="207" w:lineRule="exact"/>
        <w:rPr>
          <w:sz w:val="20"/>
          <w:szCs w:val="20"/>
          <w:color w:val="auto"/>
        </w:rPr>
      </w:pPr>
    </w:p>
    <w:p>
      <w:pPr>
        <w:ind w:left="600" w:firstLine="599"/>
        <w:spacing w:after="0" w:line="272" w:lineRule="auto"/>
        <w:tabs>
          <w:tab w:leader="none" w:pos="1484" w:val="left"/>
        </w:tabs>
        <w:numPr>
          <w:ilvl w:val="0"/>
          <w:numId w:val="18"/>
        </w:numPr>
        <w:rPr>
          <w:rFonts w:ascii="Arial" w:cs="Arial" w:eastAsia="Arial" w:hAnsi="Arial"/>
          <w:sz w:val="20"/>
          <w:szCs w:val="20"/>
          <w:color w:val="auto"/>
        </w:rPr>
      </w:pPr>
      <w:r>
        <w:rPr>
          <w:rFonts w:ascii="Arial" w:cs="Arial" w:eastAsia="Arial" w:hAnsi="Arial"/>
          <w:sz w:val="20"/>
          <w:szCs w:val="20"/>
          <w:color w:val="auto"/>
        </w:rPr>
        <w:t>prior to the Investment Grade Pricing Effective Date, (i) with respect to the Revolving Credit Facility, the pricing grid set forth in clause (a) of the definition of “Leverage-Based Applicable</w:t>
      </w:r>
    </w:p>
    <w:p>
      <w:pPr>
        <w:spacing w:after="0" w:line="390"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27</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39" w:name="page40"/>
    <w:bookmarkEnd w:id="39"/>
    <w:p>
      <w:pPr>
        <w:ind w:left="600"/>
        <w:spacing w:after="0" w:line="272" w:lineRule="auto"/>
        <w:rPr>
          <w:sz w:val="20"/>
          <w:szCs w:val="20"/>
          <w:color w:val="auto"/>
        </w:rPr>
      </w:pPr>
      <w:r>
        <w:rPr>
          <w:rFonts w:ascii="Arial" w:cs="Arial" w:eastAsia="Arial" w:hAnsi="Arial"/>
          <w:sz w:val="20"/>
          <w:szCs w:val="20"/>
          <w:color w:val="auto"/>
        </w:rPr>
        <w:t>Rate”, (ii) with respect to the Closing Date Term Facility, the pricing grid set forth in clause (b) of the definition of “Leverage-Based Applicable Rate” and</w:t>
      </w:r>
    </w:p>
    <w:p>
      <w:pPr>
        <w:spacing w:after="0" w:line="153" w:lineRule="exact"/>
        <w:rPr>
          <w:sz w:val="20"/>
          <w:szCs w:val="20"/>
          <w:color w:val="auto"/>
        </w:rPr>
      </w:pPr>
    </w:p>
    <w:p>
      <w:pPr>
        <w:jc w:val="both"/>
        <w:ind w:left="600" w:firstLine="599"/>
        <w:spacing w:after="0" w:line="260" w:lineRule="auto"/>
        <w:tabs>
          <w:tab w:leader="none" w:pos="1483" w:val="left"/>
        </w:tabs>
        <w:numPr>
          <w:ilvl w:val="0"/>
          <w:numId w:val="19"/>
        </w:numPr>
        <w:rPr>
          <w:rFonts w:ascii="Arial" w:cs="Arial" w:eastAsia="Arial" w:hAnsi="Arial"/>
          <w:sz w:val="20"/>
          <w:szCs w:val="20"/>
          <w:color w:val="auto"/>
        </w:rPr>
      </w:pPr>
      <w:r>
        <w:rPr>
          <w:rFonts w:ascii="Arial" w:cs="Arial" w:eastAsia="Arial" w:hAnsi="Arial"/>
          <w:sz w:val="20"/>
          <w:szCs w:val="20"/>
          <w:color w:val="auto"/>
        </w:rPr>
        <w:t>on and after the Investment Grade Pricing Effective Date, (i) with respect to the Revolving Credit Facility, the pricing grid set forth in clause (a) of the definition of “Ratings-Based Applicable Rate” and (ii) with respect to the Closing Date Term Facility, the pricing grid set forth in clause (b) of the definition of “Ratings-Based Applicable Rate.”</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Forma Restatement Effective Date Compliance Certificate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4.01(a)(xi)</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Development Property</w:t>
      </w:r>
      <w:r>
        <w:rPr>
          <w:rFonts w:ascii="Arial" w:cs="Arial" w:eastAsia="Arial" w:hAnsi="Arial"/>
          <w:sz w:val="20"/>
          <w:szCs w:val="20"/>
          <w:color w:val="auto"/>
        </w:rPr>
        <w:t xml:space="preserve">” means, as of any date of determination, all or any portion of a Portfolio Property which, on such date, is the subject of ground-up development;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Portfolio Property (or portion thereof) will only constitute a Qualified Development Property (i) if all requisite zoning requirements and land use requirements have been satisfied, and all permits and approvals have been obtained for all grading, offsite and infrastructure work necessary to improve the applicable Portfolio Property (or portion thereof) as intended have been obtained, (ii) if physical site improvement thereto has commenced and is continuing, and (iii) until the date on which all applicable improvements thereto receive a final certificate of occupancy or equivalent certification allowing legal occupancy thereof for its intended purpose.</w:t>
      </w:r>
    </w:p>
    <w:p>
      <w:pPr>
        <w:spacing w:after="0" w:line="177"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Rady Affiliates</w:t>
      </w:r>
      <w:r>
        <w:rPr>
          <w:rFonts w:ascii="Arial" w:cs="Arial" w:eastAsia="Arial" w:hAnsi="Arial"/>
          <w:sz w:val="20"/>
          <w:szCs w:val="20"/>
          <w:color w:val="auto"/>
        </w:rPr>
        <w:t>” shall mean (i) all lineal descendants of Ernest S. Rady and all spouses and adopted children of Ernest S. Rady and such descendants; (ii) all trusts for the benefit of any person described in clause (i) and trustees of such trusts; (iii) all legal representatives of any person or trust described in clause (i) or (ii); and (iv) all partnerships, corporations, limited liability companies or other entities Controlling, Controlled by or under common Control with Ernest S. Rady or any person, trust or other entity described in clauses (i), (ii) or (iii).</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Rating Agency</w:t>
      </w:r>
      <w:r>
        <w:rPr>
          <w:rFonts w:ascii="Arial" w:cs="Arial" w:eastAsia="Arial" w:hAnsi="Arial"/>
          <w:sz w:val="20"/>
          <w:szCs w:val="20"/>
          <w:color w:val="auto"/>
        </w:rPr>
        <w:t>” means any of S&amp;P, Moody’s or Fitch.</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Ratings-Based Applicable Rate</w:t>
      </w:r>
      <w:r>
        <w:rPr>
          <w:rFonts w:ascii="Arial" w:cs="Arial" w:eastAsia="Arial" w:hAnsi="Arial"/>
          <w:sz w:val="20"/>
          <w:szCs w:val="20"/>
          <w:color w:val="auto"/>
        </w:rPr>
        <w:t>” means:</w:t>
      </w:r>
    </w:p>
    <w:p>
      <w:pPr>
        <w:spacing w:after="0" w:line="207" w:lineRule="exact"/>
        <w:rPr>
          <w:sz w:val="20"/>
          <w:szCs w:val="20"/>
          <w:color w:val="auto"/>
        </w:rPr>
      </w:pPr>
    </w:p>
    <w:p>
      <w:pPr>
        <w:ind w:left="600" w:firstLine="599"/>
        <w:spacing w:after="0" w:line="272" w:lineRule="auto"/>
        <w:tabs>
          <w:tab w:leader="none" w:pos="1471" w:val="left"/>
        </w:tabs>
        <w:numPr>
          <w:ilvl w:val="0"/>
          <w:numId w:val="20"/>
        </w:numPr>
        <w:rPr>
          <w:rFonts w:ascii="Arial" w:cs="Arial" w:eastAsia="Arial" w:hAnsi="Arial"/>
          <w:sz w:val="20"/>
          <w:szCs w:val="20"/>
          <w:color w:val="auto"/>
        </w:rPr>
      </w:pPr>
      <w:r>
        <w:rPr>
          <w:rFonts w:ascii="Arial" w:cs="Arial" w:eastAsia="Arial" w:hAnsi="Arial"/>
          <w:sz w:val="20"/>
          <w:szCs w:val="20"/>
          <w:color w:val="auto"/>
        </w:rPr>
        <w:t>with respect to the Revolving Credit Facility, the applicable percentage per annum set forth below determined, at any time, based on the range into which the Debt Ratings then fall, in accordance with the following table:</w:t>
      </w:r>
    </w:p>
    <w:p>
      <w:pPr>
        <w:spacing w:after="0" w:line="265" w:lineRule="exact"/>
        <w:rPr>
          <w:sz w:val="20"/>
          <w:szCs w:val="20"/>
          <w:color w:val="auto"/>
        </w:rPr>
      </w:pPr>
    </w:p>
    <w:tbl>
      <w:tblPr>
        <w:tblLayout w:type="fixed"/>
        <w:tblInd w:w="1130" w:type="dxa"/>
        <w:tblCellMar>
          <w:top w:w="0" w:type="dxa"/>
          <w:left w:w="0" w:type="dxa"/>
          <w:bottom w:w="0" w:type="dxa"/>
          <w:right w:w="0" w:type="dxa"/>
        </w:tblCellMar>
      </w:tblPr>
      <w:tr>
        <w:trPr>
          <w:trHeight w:val="229"/>
        </w:trPr>
        <w:tc>
          <w:tcPr>
            <w:tcW w:w="1140" w:type="dxa"/>
            <w:vAlign w:val="bottom"/>
            <w:tcBorders>
              <w:top w:val="single" w:sz="8" w:color="auto"/>
              <w:left w:val="single" w:sz="8" w:color="auto"/>
              <w:right w:val="single" w:sz="8" w:color="auto"/>
            </w:tcBorders>
          </w:tcPr>
          <w:p>
            <w:pPr>
              <w:spacing w:after="0"/>
              <w:rPr>
                <w:sz w:val="19"/>
                <w:szCs w:val="19"/>
                <w:color w:val="auto"/>
              </w:rPr>
            </w:pPr>
          </w:p>
        </w:tc>
        <w:tc>
          <w:tcPr>
            <w:tcW w:w="1940" w:type="dxa"/>
            <w:vAlign w:val="bottom"/>
            <w:tcBorders>
              <w:top w:val="single" w:sz="8" w:color="auto"/>
              <w:right w:val="single" w:sz="8" w:color="auto"/>
            </w:tcBorders>
          </w:tcPr>
          <w:p>
            <w:pPr>
              <w:spacing w:after="0"/>
              <w:rPr>
                <w:sz w:val="19"/>
                <w:szCs w:val="19"/>
                <w:color w:val="auto"/>
              </w:rPr>
            </w:pPr>
          </w:p>
        </w:tc>
        <w:tc>
          <w:tcPr>
            <w:tcW w:w="1460" w:type="dxa"/>
            <w:vAlign w:val="bottom"/>
            <w:tcBorders>
              <w:top w:val="single" w:sz="8" w:color="auto"/>
              <w:right w:val="single" w:sz="8" w:color="auto"/>
            </w:tcBorders>
          </w:tcPr>
          <w:p>
            <w:pPr>
              <w:spacing w:after="0"/>
              <w:rPr>
                <w:sz w:val="19"/>
                <w:szCs w:val="19"/>
                <w:color w:val="auto"/>
              </w:rPr>
            </w:pPr>
          </w:p>
        </w:tc>
        <w:tc>
          <w:tcPr>
            <w:tcW w:w="2660" w:type="dxa"/>
            <w:vAlign w:val="bottom"/>
            <w:tcBorders>
              <w:top w:val="single" w:sz="8" w:color="auto"/>
              <w:right w:val="single" w:sz="8" w:color="auto"/>
            </w:tcBorders>
          </w:tcPr>
          <w:p>
            <w:pPr>
              <w:spacing w:after="0"/>
              <w:rPr>
                <w:sz w:val="19"/>
                <w:szCs w:val="19"/>
                <w:color w:val="auto"/>
              </w:rPr>
            </w:pP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Base Rate Loans under</w:t>
            </w:r>
          </w:p>
        </w:tc>
      </w:tr>
      <w:tr>
        <w:trPr>
          <w:trHeight w:val="212"/>
        </w:trPr>
        <w:tc>
          <w:tcPr>
            <w:tcW w:w="114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Debt Ratings (S&amp;P and</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Revolving Credit</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Eurodollar Rate Loans under</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Revolving Credit</w:t>
            </w:r>
          </w:p>
        </w:tc>
      </w:tr>
      <w:tr>
        <w:trPr>
          <w:trHeight w:val="237"/>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Pricing Level</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Fitch/Moody’s)</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Facility Fee</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Revolving Credit Facility</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Facility</w:t>
            </w: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 A- / A3</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0.125%</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0.825%</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0.000%</w:t>
            </w: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BBB+ / Baa1</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0.150%</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0.875%</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0.000%</w:t>
            </w: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III</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BBB / Baa2</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0.200%</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0.000%</w:t>
            </w: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IV</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BBB- / Baa3</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0.250%</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1.200%</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0.200%</w:t>
            </w: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V</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&lt; BBB- / Baa3</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0.300%</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1.550%</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0.550%</w:t>
            </w: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28</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40" w:name="page41"/>
    <w:bookmarkEnd w:id="40"/>
    <w:p>
      <w:pPr>
        <w:ind w:left="600" w:firstLine="599"/>
        <w:spacing w:after="0" w:line="272" w:lineRule="auto"/>
        <w:tabs>
          <w:tab w:leader="none" w:pos="1495" w:val="left"/>
        </w:tabs>
        <w:numPr>
          <w:ilvl w:val="0"/>
          <w:numId w:val="21"/>
        </w:numPr>
        <w:rPr>
          <w:rFonts w:ascii="Arial" w:cs="Arial" w:eastAsia="Arial" w:hAnsi="Arial"/>
          <w:sz w:val="20"/>
          <w:szCs w:val="20"/>
          <w:color w:val="auto"/>
        </w:rPr>
      </w:pPr>
      <w:r>
        <w:rPr>
          <w:rFonts w:ascii="Arial" w:cs="Arial" w:eastAsia="Arial" w:hAnsi="Arial"/>
          <w:sz w:val="20"/>
          <w:szCs w:val="20"/>
          <w:color w:val="auto"/>
        </w:rPr>
        <w:t>with respect to the Closing Date Term Facility, the applicable percentage per annum set forth below determined, at any time, based on the range into which the Debt Ratings then fall, in accordance with the following table:</w:t>
      </w:r>
    </w:p>
    <w:p>
      <w:pPr>
        <w:spacing w:after="0" w:line="265" w:lineRule="exact"/>
        <w:rPr>
          <w:sz w:val="20"/>
          <w:szCs w:val="20"/>
          <w:color w:val="auto"/>
        </w:rPr>
      </w:pPr>
    </w:p>
    <w:tbl>
      <w:tblPr>
        <w:tblLayout w:type="fixed"/>
        <w:tblInd w:w="1130" w:type="dxa"/>
        <w:tblCellMar>
          <w:top w:w="0" w:type="dxa"/>
          <w:left w:w="0" w:type="dxa"/>
          <w:bottom w:w="0" w:type="dxa"/>
          <w:right w:w="0" w:type="dxa"/>
        </w:tblCellMar>
      </w:tblPr>
      <w:tr>
        <w:trPr>
          <w:trHeight w:val="229"/>
        </w:trPr>
        <w:tc>
          <w:tcPr>
            <w:tcW w:w="1120" w:type="dxa"/>
            <w:vAlign w:val="bottom"/>
            <w:tcBorders>
              <w:top w:val="single" w:sz="8" w:color="auto"/>
              <w:left w:val="single" w:sz="8" w:color="auto"/>
              <w:right w:val="single" w:sz="8" w:color="auto"/>
            </w:tcBorders>
          </w:tcPr>
          <w:p>
            <w:pPr>
              <w:spacing w:after="0"/>
              <w:rPr>
                <w:sz w:val="19"/>
                <w:szCs w:val="19"/>
                <w:color w:val="auto"/>
              </w:rPr>
            </w:pP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Debt Ratings (S&amp;P and</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Eurodollar Rate Loans under</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Base Rate Loans under</w:t>
            </w:r>
          </w:p>
        </w:tc>
      </w:tr>
      <w:tr>
        <w:trPr>
          <w:trHeight w:val="237"/>
        </w:trPr>
        <w:tc>
          <w:tcPr>
            <w:tcW w:w="1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Pricing Level</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Fitch/Moody’s)</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Closing Date Term Facility</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Closing Date Term Facility</w:t>
            </w: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1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 BBB+ / Baa1</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1.05 %</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0.05 %</w:t>
            </w: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1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BBB / Baa2</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1.20 %</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0.20 %</w:t>
            </w: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1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III</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BBB- / Baa3</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1.50 %</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0.50 %</w:t>
            </w: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1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IV</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&lt; BBB- / Baa3</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1.95 %</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0.95 %</w:t>
            </w: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599"/>
        <w:spacing w:after="0" w:line="263" w:lineRule="auto"/>
        <w:rPr>
          <w:sz w:val="20"/>
          <w:szCs w:val="20"/>
          <w:color w:val="auto"/>
        </w:rPr>
      </w:pPr>
      <w:r>
        <w:rPr>
          <w:rFonts w:ascii="Arial" w:cs="Arial" w:eastAsia="Arial" w:hAnsi="Arial"/>
          <w:sz w:val="19"/>
          <w:szCs w:val="19"/>
          <w:color w:val="auto"/>
        </w:rPr>
        <w:t>If at any time the Borrower has only a Debt Rating either from S&amp;P or Moody’s, then the Ratings-Based Applicable Rates for the Revolving Credit Facility and the Closing Date Term Facility shall be the rates per annum that would be applicable in the above Pricing Grids to such Debt Rating. If at any time the Borrower has at least two (2) Debt Ratings, and such Debt Ratings are split, then: (A) if the difference between the highest of such Debt Ratings and the lowest of such Debt Ratings is one ratings category (e.g. Baa2 by Moody’s and BBB- by S&amp;P or Fitch), the Ratings-Based Applicable Rates for the Revolving Credit Facility and the Closing Date Term Facility shall be the rates per annum that would be applicable in the above Pricing Grids if the highest of the Debt Ratings were used; and (B) if the difference between the highest of such Debt Ratings and the lowest of such Debt Ratings is two ratings categories (e.g. Baa1 by Moody’s and BBB- by S&amp;P) or more, the Ratings-Based Applicable Rates for the Revolving Credit Facility and the Closing Date Term Facility shall be the rates per annum that would be applicable in the above Pricing Grid if the rating that is one lower than the highest of the applicable Debt Ratings were used. If at any time the Borrower has no Debt Rating or has only a Debt Rating from Fitch, then the Ratings-Based Applicable Rates for the Revolving Credit Facility and the Closing Date Term Facility shall be the rates per annum that would be applicable to Pricing Level V in the Pricing Grid set forth in clause (a) above (in the case of the Revolving Credit Facility) and Pricing Level IV in the Pricing Grid set forth in clause (b) above (in the case of the Closing Date Term Facility).</w:t>
      </w:r>
    </w:p>
    <w:p>
      <w:pPr>
        <w:spacing w:after="0" w:line="172" w:lineRule="exact"/>
        <w:rPr>
          <w:sz w:val="20"/>
          <w:szCs w:val="20"/>
          <w:color w:val="auto"/>
        </w:rPr>
      </w:pPr>
    </w:p>
    <w:p>
      <w:pPr>
        <w:jc w:val="both"/>
        <w:ind w:firstLine="599"/>
        <w:spacing w:after="0" w:line="286" w:lineRule="auto"/>
        <w:rPr>
          <w:sz w:val="20"/>
          <w:szCs w:val="20"/>
          <w:color w:val="auto"/>
        </w:rPr>
      </w:pPr>
      <w:r>
        <w:rPr>
          <w:rFonts w:ascii="Arial" w:cs="Arial" w:eastAsia="Arial" w:hAnsi="Arial"/>
          <w:sz w:val="18"/>
          <w:szCs w:val="18"/>
          <w:color w:val="auto"/>
        </w:rPr>
        <w:t xml:space="preserve">Initially, the Ratings-Based Applicable Rates shall be determined based upon the Debt Ratings specified in the certificate delivered pursuant to clause (ii) of the definition of “Investment Grade Pricing Effective Date.” Thereafter, each change in the Ratings-Based Applicable Rates resulting from a publicly announced change in a Debt Rating shall be effective, in the case of an upgrade, during the period commencing on the date of delivery by the REIT to the Administrative Agent of notice thereof pursuant to </w:t>
      </w:r>
      <w:r>
        <w:rPr>
          <w:rFonts w:ascii="Arial" w:cs="Arial" w:eastAsia="Arial" w:hAnsi="Arial"/>
          <w:sz w:val="18"/>
          <w:szCs w:val="18"/>
          <w:u w:val="single" w:color="auto"/>
          <w:color w:val="auto"/>
        </w:rPr>
        <w:t>Section 6.03(e)</w:t>
      </w:r>
      <w:r>
        <w:rPr>
          <w:rFonts w:ascii="Arial" w:cs="Arial" w:eastAsia="Arial" w:hAnsi="Arial"/>
          <w:sz w:val="18"/>
          <w:szCs w:val="18"/>
          <w:color w:val="auto"/>
        </w:rPr>
        <w:t xml:space="preserve">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Estate Investment Trust</w:t>
      </w:r>
      <w:r>
        <w:rPr>
          <w:rFonts w:ascii="Arial" w:cs="Arial" w:eastAsia="Arial" w:hAnsi="Arial"/>
          <w:sz w:val="18"/>
          <w:szCs w:val="18"/>
          <w:color w:val="auto"/>
        </w:rPr>
        <w:t>” means any Person that qualifies as a real estate investment trust under Sections 856 through 860 of the</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Code.</w:t>
      </w:r>
    </w:p>
    <w:p>
      <w:pPr>
        <w:spacing w:after="0" w:line="191"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the Administrative Agent, any Lender, any L/C Issuer or any other recipient of any payment to be made by or on account of any obligation of any Loan Party hereunder.</w:t>
      </w:r>
    </w:p>
    <w:p>
      <w:pPr>
        <w:spacing w:after="0" w:line="153"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Recourse Indebtedness</w:t>
      </w:r>
      <w:r>
        <w:rPr>
          <w:rFonts w:ascii="Arial" w:cs="Arial" w:eastAsia="Arial" w:hAnsi="Arial"/>
          <w:sz w:val="20"/>
          <w:szCs w:val="20"/>
          <w:color w:val="auto"/>
        </w:rPr>
        <w:t>” means, with respect to any Person, Indebtedness owed by such Person other than (a) Nonrecourse Indebtedness owed by such Person and (b) Indebtedness under the Loan Documents.</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10.06(c)</w:t>
      </w:r>
      <w:r>
        <w:rPr>
          <w:rFonts w:ascii="Arial" w:cs="Arial" w:eastAsia="Arial" w:hAnsi="Arial"/>
          <w:sz w:val="20"/>
          <w:szCs w:val="20"/>
          <w:color w:val="auto"/>
        </w:rPr>
        <w:t>.</w:t>
      </w:r>
    </w:p>
    <w:p>
      <w:pPr>
        <w:spacing w:after="0" w:line="200" w:lineRule="exact"/>
        <w:rPr>
          <w:sz w:val="20"/>
          <w:szCs w:val="20"/>
          <w:color w:val="auto"/>
        </w:rPr>
      </w:pPr>
    </w:p>
    <w:p>
      <w:pPr>
        <w:spacing w:after="0" w:line="244"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29</w:t>
      </w:r>
      <w:r>
        <w:rPr>
          <w:rFonts w:ascii="MS PGothic" w:cs="MS PGothic" w:eastAsia="MS PGothic" w:hAnsi="MS PGothic"/>
          <w:sz w:val="20"/>
          <w:szCs w:val="20"/>
          <w:color w:val="auto"/>
        </w:rPr>
        <w:t>‑</w:t>
      </w:r>
    </w:p>
    <w:p>
      <w:pPr>
        <w:sectPr>
          <w:pgSz w:w="11900" w:h="16838" w:orient="portrait"/>
          <w:cols w:equalWidth="0" w:num="1">
            <w:col w:w="11420"/>
          </w:cols>
          <w:pgMar w:left="240" w:top="757" w:right="239" w:bottom="1440" w:gutter="0" w:footer="0" w:header="0"/>
        </w:sectPr>
      </w:pPr>
    </w:p>
    <w:bookmarkStart w:id="41" w:name="page42"/>
    <w:bookmarkEnd w:id="41"/>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Person, such Person’s Affiliates and the partners, directors, officers, employees, agents, trustees and advisors of such Person and of such Person’s Affiliates.</w:t>
      </w:r>
    </w:p>
    <w:p>
      <w:pPr>
        <w:spacing w:after="0" w:line="153"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Release</w:t>
      </w:r>
      <w:r>
        <w:rPr>
          <w:rFonts w:ascii="Arial" w:cs="Arial" w:eastAsia="Arial" w:hAnsi="Arial"/>
          <w:sz w:val="20"/>
          <w:szCs w:val="20"/>
          <w:color w:val="auto"/>
        </w:rPr>
        <w:t>” means any release, spill, emission, discharge, deposit, disposal, leaking, pumping, pouring, dumping, emptying, injection or leaching into the Environment, or into, from or through any building, structure or facility.</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Removal Effective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9.06(b)</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means any of the events set forth in Section 4043(c) of ERISA, other than events for which the 30 day notice period has been waived.</w:t>
      </w:r>
    </w:p>
    <w:p>
      <w:pPr>
        <w:spacing w:after="0" w:line="153"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Request for Credit Extension</w:t>
      </w:r>
      <w:r>
        <w:rPr>
          <w:rFonts w:ascii="Arial" w:cs="Arial" w:eastAsia="Arial" w:hAnsi="Arial"/>
          <w:sz w:val="20"/>
          <w:szCs w:val="20"/>
          <w:color w:val="auto"/>
        </w:rPr>
        <w:t>” means (a) with respect to a Borrowing, conversion or continuation of Term Loans or Revolving Credit Loans, a Loan Notice, (b) with respect to an L/C Credit Extension, a Letter of Credit Application, and (c) with respect to a Swing Line Loan, a Swing Line Loan Notice.</w:t>
      </w:r>
    </w:p>
    <w:p>
      <w:pPr>
        <w:spacing w:after="0" w:line="164"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Facility Lenders</w:t>
      </w:r>
      <w:r>
        <w:rPr>
          <w:rFonts w:ascii="Arial" w:cs="Arial" w:eastAsia="Arial" w:hAnsi="Arial"/>
          <w:sz w:val="20"/>
          <w:szCs w:val="20"/>
          <w:color w:val="auto"/>
        </w:rPr>
        <w:t xml:space="preserve">” means, as of any date of determination, (a) with respect to the Revolving Credit Facility, the Required Revolving Lenders, and (b) with respect to any other Facility, Lenders holding more than 50% of such Facility;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unused Revolving Credit Commitment of, and the portion of the Total Outstandings held or deemed held by, any Defaulting Lender shall be excluded for purposes of making a determination of Required Facility Lenders.</w:t>
      </w:r>
    </w:p>
    <w:p>
      <w:pPr>
        <w:spacing w:after="0" w:line="168"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xml:space="preserve">” means, at any time, Lenders holding more than 50% of the sum of the (a) Total Outstandings (with the aggregate amount of each Revolving Credit Lender’s risk participation and funded participation in L/C Obligations and Swing Line Loans being deemed “held” by such Revolving Credit Lender for purposes of this definition) and (b) aggregate unused Revolving Credit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unused Revolving Credit Commitment of, and the portion of the Total Outstandings held or deemed held by, any Defaulting Lender shall be excluded for purposes of making a determination of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amount of any participation in any Swing Line Loan and Unreimbursed Amounts that any Defaulting Lender has failed to fund that have not been reallocated and funded by another Lender shall be deemed to be held by the Swing Line Lenders (in the case of a Swing Line Loan, with each Swing Line Lender being allocated a pro rata share of such Swing Line Loan equal to its Swing Line Percentage thereof) or the applicable L/C Issuer (in the case of Unreimbursed Amounts) in making such determination.</w:t>
      </w:r>
    </w:p>
    <w:p>
      <w:pPr>
        <w:spacing w:after="0" w:line="164"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Revolving Lenders</w:t>
      </w:r>
      <w:r>
        <w:rPr>
          <w:rFonts w:ascii="Arial" w:cs="Arial" w:eastAsia="Arial" w:hAnsi="Arial"/>
          <w:sz w:val="19"/>
          <w:szCs w:val="19"/>
          <w:color w:val="auto"/>
        </w:rPr>
        <w:t xml:space="preserve">” means, as of any date of determination, Revolving Credit Lenders holding more than 50% of the sum of the (a) Total Revolving Credit Outstandings (with the aggregate amount of each Revolving Credit Lender’s risk participation and funded participation in L/C Obligations and Swing Line Loans being deemed “held” by such Revolving Credit Lender for purposes of this definition) and (b) aggregate unused Revolving Credit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unused Revolving Credit Commitment of, and the portion of the Total Revolving Credit Outstandings held or deemed held by, any Defaulting Lender shall be excluded for purposes of making a determination of Required Revolving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amount of any participation in any Swing Line Loan and Unreimbursed Amounts that any Defaulting Lender has failed to fund that have not been reallocated and funded by another Lender shall be deemed to be held by the Swing Line Lenders (in the case of a Swing Line Loan, with each Swing Line Lender being allocated a pro rata share of such Swing Line Loan equal to its Swing Line Percentage thereof) or the applicable L/C Issuer (in the case of Unreimbursed Amounts) in making such determination.</w:t>
      </w:r>
    </w:p>
    <w:p>
      <w:pPr>
        <w:spacing w:after="0" w:line="160"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Term Lenders</w:t>
      </w:r>
      <w:r>
        <w:rPr>
          <w:rFonts w:ascii="Arial" w:cs="Arial" w:eastAsia="Arial" w:hAnsi="Arial"/>
          <w:sz w:val="20"/>
          <w:szCs w:val="20"/>
          <w:color w:val="auto"/>
        </w:rPr>
        <w:t xml:space="preserve">” means, as of any date of determination, Term Lenders holding more than 50% of the Term Facility;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portion of the Term Facility held by any Defaulting Lender shall be excluded for purposes of making a determination of Required Term Lenders.</w:t>
      </w:r>
    </w:p>
    <w:p>
      <w:pPr>
        <w:spacing w:after="0" w:line="200" w:lineRule="exact"/>
        <w:rPr>
          <w:sz w:val="20"/>
          <w:szCs w:val="20"/>
          <w:color w:val="auto"/>
        </w:rPr>
      </w:pPr>
    </w:p>
    <w:p>
      <w:pPr>
        <w:spacing w:after="0" w:line="20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30</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42" w:name="page43"/>
    <w:bookmarkEnd w:id="42"/>
    <w:p>
      <w:pPr>
        <w:jc w:val="both"/>
        <w:ind w:firstLine="599"/>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xml:space="preserve">” means the chief executive officer, president, chief financial officer, treasurer, assistant treasurer or controller of a Loan Party or any entity authorized to act on behalf of such Loan Party, solely for purposes of the delivery of incumbency certificates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 the secretary or any assistant secretary of a Loan Party or entity authorized to act on behalf of a Loan Party and, solely for purposes of notices given pursuant to Article II, any other officer or employee of the applicable Loan Party or entity authorized to act on behalf of such Loan Party so designated by any of the foregoing officers in a notice to the Administrative Agent or any other officer or employee of the applicable Loan Party or entity authorized to act on behalf of such Loan Party designated in or pursuant to an agreement between the applicable Loan Party or entity authorized to act on behalf of such Loan Party and the Administrative Agent. Any document delivered hereunder that is signed by a Responsible Officer of a Loan Party, or entity authorized to act on behalf of such Loan Party, shall be conclusively presumed to have been authorized by all necessary corporate, limited liability company, partnership and/or other action on the part of such Loan Party and such Responsible Officer shall be conclusively presumed to have acted on behalf of such Loan Party.</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Restatement Effective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4.01</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w:t>
      </w:r>
      <w:r>
        <w:rPr>
          <w:rFonts w:ascii="Arial" w:cs="Arial" w:eastAsia="Arial" w:hAnsi="Arial"/>
          <w:sz w:val="20"/>
          <w:szCs w:val="20"/>
          <w:color w:val="auto"/>
        </w:rPr>
        <w:t>” means any dividend or other distribution (whether in cash, securities or other property) with respect to any capital stock or other Equity Interest of any Person, or any payment (whether in cash, securities or other property), including any sinking fund or similar deposit, on account of the purchase, redemption, retirement, defeasance, acquisition, cancellation or termination of any such capital stock or other Equity Interest, or on account of any return of capital to any Person’s stockholders, partners or members (or the equivalent of any thereof).</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Revolver Extension Notice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Borrowing</w:t>
      </w:r>
      <w:r>
        <w:rPr>
          <w:rFonts w:ascii="Arial" w:cs="Arial" w:eastAsia="Arial" w:hAnsi="Arial"/>
          <w:sz w:val="19"/>
          <w:szCs w:val="19"/>
          <w:color w:val="auto"/>
        </w:rPr>
        <w:t xml:space="preserve">” means a borrowing consisting of simultaneous Revolving Credit Loans of the same Type and, in the case of Eurodollar Rate Loans, having the same Interest Period made by each of the Lenders pursuant to </w:t>
      </w:r>
      <w:r>
        <w:rPr>
          <w:rFonts w:ascii="Arial" w:cs="Arial" w:eastAsia="Arial" w:hAnsi="Arial"/>
          <w:sz w:val="19"/>
          <w:szCs w:val="19"/>
          <w:u w:val="single" w:color="auto"/>
          <w:color w:val="auto"/>
        </w:rPr>
        <w:t>Section 2.01(b)</w:t>
      </w:r>
      <w:r>
        <w:rPr>
          <w:rFonts w:ascii="Arial" w:cs="Arial" w:eastAsia="Arial" w:hAnsi="Arial"/>
          <w:sz w:val="19"/>
          <w:szCs w:val="19"/>
          <w:color w:val="auto"/>
        </w:rPr>
        <w:t>.</w:t>
      </w:r>
    </w:p>
    <w:p>
      <w:pPr>
        <w:spacing w:after="0" w:line="130" w:lineRule="exact"/>
        <w:rPr>
          <w:sz w:val="20"/>
          <w:szCs w:val="20"/>
          <w:color w:val="auto"/>
        </w:rPr>
      </w:pPr>
    </w:p>
    <w:p>
      <w:pPr>
        <w:jc w:val="both"/>
        <w:ind w:firstLine="59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Commitment</w:t>
      </w:r>
      <w:r>
        <w:rPr>
          <w:rFonts w:ascii="Arial" w:cs="Arial" w:eastAsia="Arial" w:hAnsi="Arial"/>
          <w:sz w:val="20"/>
          <w:szCs w:val="20"/>
          <w:color w:val="auto"/>
        </w:rPr>
        <w:t xml:space="preserve">” means, as to each Revolving Credit Lender, its obligation to (a) make Revolving Credit Loans to the Borrower pursuant to </w:t>
      </w:r>
      <w:r>
        <w:rPr>
          <w:rFonts w:ascii="Arial" w:cs="Arial" w:eastAsia="Arial" w:hAnsi="Arial"/>
          <w:sz w:val="20"/>
          <w:szCs w:val="20"/>
          <w:u w:val="single" w:color="auto"/>
          <w:color w:val="auto"/>
        </w:rPr>
        <w:t>Section 2.01(b)</w:t>
      </w:r>
      <w:r>
        <w:rPr>
          <w:rFonts w:ascii="Arial" w:cs="Arial" w:eastAsia="Arial" w:hAnsi="Arial"/>
          <w:sz w:val="20"/>
          <w:szCs w:val="20"/>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or in the Assignment and Assumption or Joinder Agreement pursuant to which such Revolving Credit Lender becomes a party hereto, as applicable, as such amount may be increased by such Revolving Credit Lender pursuant to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or otherwise adjusted from time to time in accordance with this Agreement.</w:t>
      </w:r>
    </w:p>
    <w:p>
      <w:pPr>
        <w:spacing w:after="0" w:line="175" w:lineRule="exact"/>
        <w:rPr>
          <w:sz w:val="20"/>
          <w:szCs w:val="20"/>
          <w:color w:val="auto"/>
        </w:rPr>
      </w:pPr>
    </w:p>
    <w:p>
      <w:pPr>
        <w:jc w:val="both"/>
        <w:ind w:firstLine="599"/>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Exposure</w:t>
      </w:r>
      <w:r>
        <w:rPr>
          <w:rFonts w:ascii="Arial" w:cs="Arial" w:eastAsia="Arial" w:hAnsi="Arial"/>
          <w:sz w:val="19"/>
          <w:szCs w:val="19"/>
          <w:color w:val="auto"/>
        </w:rPr>
        <w:t>” means, as to any Revolving Credit Lender at any time, the aggregate Outstanding Amount at such time of Revolving Credit Loans made by such Lender and such Lender’s participation in L/C Obligations and Swing Line Loans.</w:t>
      </w:r>
    </w:p>
    <w:p>
      <w:pPr>
        <w:spacing w:after="0" w:line="130"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Facility</w:t>
      </w:r>
      <w:r>
        <w:rPr>
          <w:rFonts w:ascii="Arial" w:cs="Arial" w:eastAsia="Arial" w:hAnsi="Arial"/>
          <w:sz w:val="20"/>
          <w:szCs w:val="20"/>
          <w:color w:val="auto"/>
        </w:rPr>
        <w:t>” means, at any time, the aggregate amount of the Revolving Credit Lenders’ Revolving Credit Commitments at such time. On the Restatement Effective Date, the amount of the Revolving Credit Facility is $350,000,000.</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Facility Fee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2.09(b)</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Lender</w:t>
      </w:r>
      <w:r>
        <w:rPr>
          <w:rFonts w:ascii="Arial" w:cs="Arial" w:eastAsia="Arial" w:hAnsi="Arial"/>
          <w:sz w:val="20"/>
          <w:szCs w:val="20"/>
          <w:color w:val="auto"/>
        </w:rPr>
        <w:t>” means, at any time, any Lender that has a Revolving Credit Commitment or holds a Revolving Credit Loan, a participation in a Letter of Credit or a participation in a Swing Line Loan at such time (and, as the context requires, includes the L/C Issuers and the Swing Line Lenders).</w:t>
      </w:r>
    </w:p>
    <w:p>
      <w:pPr>
        <w:spacing w:after="0" w:line="200" w:lineRule="exact"/>
        <w:rPr>
          <w:sz w:val="20"/>
          <w:szCs w:val="20"/>
          <w:color w:val="auto"/>
        </w:rPr>
      </w:pPr>
    </w:p>
    <w:p>
      <w:pPr>
        <w:spacing w:after="0" w:line="20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31</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43" w:name="page44"/>
    <w:bookmarkEnd w:id="43"/>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2.01(b)</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Note</w:t>
      </w:r>
      <w:r>
        <w:rPr>
          <w:rFonts w:ascii="Arial" w:cs="Arial" w:eastAsia="Arial" w:hAnsi="Arial"/>
          <w:sz w:val="18"/>
          <w:szCs w:val="18"/>
          <w:color w:val="auto"/>
        </w:rPr>
        <w:t xml:space="preserve">” means a promissory note made by the Borrower in favor of a Revolving Credit Lender evidencing Revolving Credit Loans or Swing Line Loans, as the case may be, made by such Revolving Credit Lender, substantially in the form of </w:t>
      </w:r>
      <w:r>
        <w:rPr>
          <w:rFonts w:ascii="Arial" w:cs="Arial" w:eastAsia="Arial" w:hAnsi="Arial"/>
          <w:sz w:val="18"/>
          <w:szCs w:val="18"/>
          <w:u w:val="single" w:color="auto"/>
          <w:color w:val="auto"/>
        </w:rPr>
        <w:t>Exhibit C-1</w:t>
      </w:r>
      <w:r>
        <w:rPr>
          <w:rFonts w:ascii="Arial" w:cs="Arial" w:eastAsia="Arial" w:hAnsi="Arial"/>
          <w:sz w:val="18"/>
          <w:szCs w:val="18"/>
          <w:color w:val="auto"/>
        </w:rPr>
        <w:t>.</w:t>
      </w:r>
    </w:p>
    <w:p>
      <w:pPr>
        <w:spacing w:after="0" w:line="10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means any sanction administered or enforced by the United States Government (including without limitation, OFAC), the United Nations Security Council, the European Union, Her Majesty’s Treasury or other relevant sanctions authority.</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S&amp;P Global Ratings, a division of S&amp;P Global Inc., and any successor to its rating agency business.</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3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Section 2.10(b) Termination Date</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2.10(b)</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3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Indebtedness</w:t>
      </w:r>
      <w:r>
        <w:rPr>
          <w:rFonts w:ascii="Arial" w:cs="Arial" w:eastAsia="Arial" w:hAnsi="Arial"/>
          <w:sz w:val="17"/>
          <w:szCs w:val="17"/>
          <w:color w:val="auto"/>
        </w:rPr>
        <w:t>” means, with respect to any Person, all Indebtedness owed by such Person that is secured by a mortgage, deed of trust, lien, pledge, encumbrance, security interest or other Lien (excluding in any event Indebtedness outstanding under this Agreement).</w:t>
      </w:r>
    </w:p>
    <w:p>
      <w:pPr>
        <w:spacing w:after="0" w:line="83"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Recourse Indebtedness</w:t>
      </w:r>
      <w:r>
        <w:rPr>
          <w:rFonts w:ascii="Arial" w:cs="Arial" w:eastAsia="Arial" w:hAnsi="Arial"/>
          <w:sz w:val="20"/>
          <w:szCs w:val="20"/>
          <w:color w:val="auto"/>
        </w:rPr>
        <w:t>” means, as to any Person, Recourse Indebtedness owed by such Person that constitutes Secured Indebtedness.</w:t>
      </w:r>
    </w:p>
    <w:p>
      <w:pPr>
        <w:spacing w:after="0" w:line="153" w:lineRule="exact"/>
        <w:rPr>
          <w:sz w:val="20"/>
          <w:szCs w:val="20"/>
          <w:color w:val="auto"/>
        </w:rPr>
      </w:pPr>
    </w:p>
    <w:p>
      <w:pPr>
        <w:jc w:val="both"/>
        <w:ind w:firstLine="599"/>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Total Asset Value</w:t>
      </w:r>
      <w:r>
        <w:rPr>
          <w:rFonts w:ascii="Arial" w:cs="Arial" w:eastAsia="Arial" w:hAnsi="Arial"/>
          <w:sz w:val="19"/>
          <w:szCs w:val="19"/>
          <w:color w:val="auto"/>
        </w:rPr>
        <w:t>” means, as of any time for the Consolidated Group, the sum of (i) Total Asset Value and (ii) the Consolidated Group Pro Rata Share of all cash and Cash Equivalents owned by Unconsolidated Affiliates, in each case at such time.</w:t>
      </w:r>
    </w:p>
    <w:p>
      <w:pPr>
        <w:spacing w:after="0" w:line="130"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Significant Subsidiary</w:t>
      </w:r>
      <w:r>
        <w:rPr>
          <w:rFonts w:ascii="Arial" w:cs="Arial" w:eastAsia="Arial" w:hAnsi="Arial"/>
          <w:sz w:val="20"/>
          <w:szCs w:val="20"/>
          <w:color w:val="auto"/>
        </w:rPr>
        <w:t xml:space="preserve">” means, on any date of determination, each Subsidiary of the REIT whose assets have an aggregate book value that is greater than five percent (5.00%) of the aggregate book value of the assets of the Consolidated Group (it being understood that such calculations shall be determined in the aggregate for all Subsidiaries of the REIT subject to any of the events specified in </w:t>
      </w:r>
      <w:r>
        <w:rPr>
          <w:rFonts w:ascii="Arial" w:cs="Arial" w:eastAsia="Arial" w:hAnsi="Arial"/>
          <w:sz w:val="20"/>
          <w:szCs w:val="20"/>
          <w:u w:val="single" w:color="auto"/>
          <w:color w:val="auto"/>
        </w:rPr>
        <w:t>clause (f)</w:t>
      </w:r>
      <w:r>
        <w:rPr>
          <w:rFonts w:ascii="Arial" w:cs="Arial" w:eastAsia="Arial" w:hAnsi="Arial"/>
          <w:sz w:val="20"/>
          <w:szCs w:val="20"/>
          <w:color w:val="auto"/>
        </w:rPr>
        <w:t xml:space="preserve">, </w:t>
      </w:r>
      <w:r>
        <w:rPr>
          <w:rFonts w:ascii="Arial" w:cs="Arial" w:eastAsia="Arial" w:hAnsi="Arial"/>
          <w:sz w:val="20"/>
          <w:szCs w:val="20"/>
          <w:u w:val="single" w:color="auto"/>
          <w:color w:val="auto"/>
        </w:rPr>
        <w:t>(g)</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(h)</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168" w:lineRule="exact"/>
        <w:rPr>
          <w:sz w:val="20"/>
          <w:szCs w:val="20"/>
          <w:color w:val="auto"/>
        </w:rPr>
      </w:pPr>
    </w:p>
    <w:p>
      <w:pPr>
        <w:jc w:val="both"/>
        <w:ind w:firstLine="599"/>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Asset Entity</w:t>
      </w:r>
      <w:r>
        <w:rPr>
          <w:rFonts w:ascii="Arial" w:cs="Arial" w:eastAsia="Arial" w:hAnsi="Arial"/>
          <w:sz w:val="18"/>
          <w:szCs w:val="18"/>
          <w:color w:val="auto"/>
        </w:rPr>
        <w:t>” means a Person (other than an individual) that (a) only owns a single real property and/or cash and other assets of nominal value incidental to such Person’s ownership of such real property; (b) is engaged only in the business of owning, developing and/or leasing such real property and activities incidental thereto; and (c) receives substantially all of its gross revenues from such real property. In addition, if the assets of a Person consist solely of (i) Equity Interests in one or more other Single Asset Entities and (ii) cash and other assets of nominal value incidental to such Person’s ownership of the other Single Asset Entities, such Person shall also be deemed to be a Single Asset Entity for purposes of this Agreement (such an entity, a “Single Asset Holding Company”).</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Single Asset Holding Company</w:t>
      </w:r>
      <w:r>
        <w:rPr>
          <w:rFonts w:ascii="Arial" w:cs="Arial" w:eastAsia="Arial" w:hAnsi="Arial"/>
          <w:sz w:val="20"/>
          <w:szCs w:val="20"/>
          <w:color w:val="auto"/>
        </w:rPr>
        <w:t>” has the meaning specified in the definition of “Single Asset Entity.”</w:t>
      </w:r>
    </w:p>
    <w:p>
      <w:pPr>
        <w:spacing w:after="0" w:line="207" w:lineRule="exact"/>
        <w:rPr>
          <w:sz w:val="20"/>
          <w:szCs w:val="20"/>
          <w:color w:val="auto"/>
        </w:rPr>
      </w:pPr>
    </w:p>
    <w:p>
      <w:pPr>
        <w:jc w:val="both"/>
        <w:ind w:firstLine="59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and “</w:t>
      </w:r>
      <w:r>
        <w:rPr>
          <w:rFonts w:ascii="Arial" w:cs="Arial" w:eastAsia="Arial" w:hAnsi="Arial"/>
          <w:sz w:val="19"/>
          <w:szCs w:val="19"/>
          <w:u w:val="single" w:color="auto"/>
          <w:color w:val="auto"/>
        </w:rPr>
        <w:t>Solvency</w:t>
      </w:r>
      <w:r>
        <w:rPr>
          <w:rFonts w:ascii="Arial" w:cs="Arial" w:eastAsia="Arial" w:hAnsi="Arial"/>
          <w:sz w:val="19"/>
          <w:szCs w:val="19"/>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w:t>
      </w:r>
    </w:p>
    <w:p>
      <w:pPr>
        <w:spacing w:after="0" w:line="39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32</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44" w:name="page45"/>
    <w:bookmarkEnd w:id="44"/>
    <w:p>
      <w:pPr>
        <w:jc w:val="both"/>
        <w:spacing w:after="0" w:line="288" w:lineRule="auto"/>
        <w:rPr>
          <w:sz w:val="20"/>
          <w:szCs w:val="20"/>
          <w:color w:val="auto"/>
        </w:rPr>
      </w:pPr>
      <w:r>
        <w:rPr>
          <w:rFonts w:ascii="Arial" w:cs="Arial" w:eastAsia="Arial" w:hAnsi="Arial"/>
          <w:sz w:val="18"/>
          <w:szCs w:val="18"/>
          <w:color w:val="auto"/>
        </w:rPr>
        <w:t>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Solvency Certificate</w:t>
      </w:r>
      <w:r>
        <w:rPr>
          <w:rFonts w:ascii="Arial" w:cs="Arial" w:eastAsia="Arial" w:hAnsi="Arial"/>
          <w:sz w:val="19"/>
          <w:szCs w:val="19"/>
          <w:color w:val="auto"/>
        </w:rPr>
        <w:t xml:space="preserve">” means a Solvency Certificate of the chief financial officer of the REIT substantially in the form of </w:t>
      </w:r>
      <w:r>
        <w:rPr>
          <w:rFonts w:ascii="Arial" w:cs="Arial" w:eastAsia="Arial" w:hAnsi="Arial"/>
          <w:sz w:val="19"/>
          <w:szCs w:val="19"/>
          <w:u w:val="single" w:color="auto"/>
          <w:color w:val="auto"/>
        </w:rPr>
        <w:t>Exhibit G</w:t>
      </w:r>
      <w:r>
        <w:rPr>
          <w:rFonts w:ascii="Arial" w:cs="Arial" w:eastAsia="Arial" w:hAnsi="Arial"/>
          <w:sz w:val="19"/>
          <w:szCs w:val="19"/>
          <w:color w:val="auto"/>
        </w:rPr>
        <w:t>.</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Event of Default</w:t>
      </w:r>
      <w:r>
        <w:rPr>
          <w:rFonts w:ascii="Arial" w:cs="Arial" w:eastAsia="Arial" w:hAnsi="Arial"/>
          <w:sz w:val="20"/>
          <w:szCs w:val="20"/>
          <w:color w:val="auto"/>
        </w:rPr>
        <w:t xml:space="preserve">” means an Event of Default arising under </w:t>
      </w:r>
      <w:r>
        <w:rPr>
          <w:rFonts w:ascii="Arial" w:cs="Arial" w:eastAsia="Arial" w:hAnsi="Arial"/>
          <w:sz w:val="20"/>
          <w:szCs w:val="20"/>
          <w:u w:val="single" w:color="auto"/>
          <w:color w:val="auto"/>
        </w:rPr>
        <w:t>Section 8.01(a)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(f)</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Investments</w:t>
      </w:r>
      <w:r>
        <w:rPr>
          <w:rFonts w:ascii="Arial" w:cs="Arial" w:eastAsia="Arial" w:hAnsi="Arial"/>
          <w:sz w:val="20"/>
          <w:szCs w:val="20"/>
          <w:color w:val="auto"/>
        </w:rPr>
        <w:t>” means Investments by the REIT, the Borrower or any of their respective Subsidiaries in or in respect of (a) costs to construct Portfolio Properties (i.e., construction-in-progress) and real property assets under development (a “</w:t>
      </w:r>
      <w:r>
        <w:rPr>
          <w:rFonts w:ascii="Arial" w:cs="Arial" w:eastAsia="Arial" w:hAnsi="Arial"/>
          <w:sz w:val="20"/>
          <w:szCs w:val="20"/>
          <w:u w:val="single" w:color="auto"/>
          <w:color w:val="auto"/>
        </w:rPr>
        <w:t>Development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Investment</w:t>
      </w:r>
      <w:r>
        <w:rPr>
          <w:rFonts w:ascii="Arial" w:cs="Arial" w:eastAsia="Arial" w:hAnsi="Arial"/>
          <w:sz w:val="20"/>
          <w:szCs w:val="20"/>
          <w:color w:val="auto"/>
        </w:rPr>
        <w:t>”), (b) Unconsolidated Affiliates, (c) unimproved land holdings and (d) commercial mortgage loans and commercial real estate-related mezzanine loans.</w:t>
      </w:r>
    </w:p>
    <w:p>
      <w:pPr>
        <w:spacing w:after="0" w:line="168"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Stabilization Date</w:t>
      </w:r>
      <w:r>
        <w:rPr>
          <w:rFonts w:ascii="Arial" w:cs="Arial" w:eastAsia="Arial" w:hAnsi="Arial"/>
          <w:sz w:val="20"/>
          <w:szCs w:val="20"/>
          <w:color w:val="auto"/>
        </w:rPr>
        <w:t xml:space="preserve">” means, with respect to any Portfolio Property under development in which a Development Investment was made by the REIT or a Subsidiary thereof and subsequent to such Investment the construction of such Portfolio Property has been substantially completed, the date that is the earlier of (i) the last day of the first full fiscal quarter of the REIT following substantial completion of such construction for which financial statements have been provided to the Administrative Agent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and in which Portfolio Property Net Operating Income of such Portfolio Property for such fiscal quarter is greater than $0 and (ii) the last day of the second full fiscal quarter of the REIT following substantial completion of such construction in which financial statements have been provided to the Administrative Agent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w:t>
      </w:r>
    </w:p>
    <w:p>
      <w:pPr>
        <w:spacing w:after="0" w:line="177"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Stabilized Portfolio Property</w:t>
      </w:r>
      <w:r>
        <w:rPr>
          <w:rFonts w:ascii="Arial" w:cs="Arial" w:eastAsia="Arial" w:hAnsi="Arial"/>
          <w:sz w:val="20"/>
          <w:szCs w:val="20"/>
          <w:color w:val="auto"/>
        </w:rPr>
        <w:t>” means, as of any date of determination, any Portfolio Property (i) that was previously (but is no longer) under development and in which a Development Investment was made by the REIT or a Subsidiary thereof after the Restatement Effective Date and (ii) in respect of which the Stabilization Date has occurred on or prior to such date.</w:t>
      </w:r>
    </w:p>
    <w:p>
      <w:pPr>
        <w:spacing w:after="0" w:line="164" w:lineRule="exact"/>
        <w:rPr>
          <w:sz w:val="20"/>
          <w:szCs w:val="20"/>
          <w:color w:val="auto"/>
        </w:rPr>
      </w:pPr>
    </w:p>
    <w:p>
      <w:pPr>
        <w:jc w:val="both"/>
        <w:ind w:firstLine="599"/>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Arial" w:cs="Arial" w:eastAsia="Arial" w:hAnsi="Arial"/>
          <w:sz w:val="18"/>
          <w:szCs w:val="18"/>
          <w:u w:val="single" w:color="auto"/>
          <w:color w:val="auto"/>
        </w:rPr>
        <w:t>Subsidiary</w:t>
      </w:r>
      <w:r>
        <w:rPr>
          <w:rFonts w:ascii="Arial" w:cs="Arial" w:eastAsia="Arial" w:hAnsi="Arial"/>
          <w:sz w:val="18"/>
          <w:szCs w:val="18"/>
          <w:color w:val="auto"/>
        </w:rPr>
        <w:t>” or to “</w:t>
      </w:r>
      <w:r>
        <w:rPr>
          <w:rFonts w:ascii="Arial" w:cs="Arial" w:eastAsia="Arial" w:hAnsi="Arial"/>
          <w:sz w:val="18"/>
          <w:szCs w:val="18"/>
          <w:u w:val="single" w:color="auto"/>
          <w:color w:val="auto"/>
        </w:rPr>
        <w:t>Subsidiaries</w:t>
      </w:r>
      <w:r>
        <w:rPr>
          <w:rFonts w:ascii="Arial" w:cs="Arial" w:eastAsia="Arial" w:hAnsi="Arial"/>
          <w:sz w:val="18"/>
          <w:szCs w:val="18"/>
          <w:color w:val="auto"/>
        </w:rPr>
        <w:t>” shall refer to a Subsidiary or Subsidiaries of the REIT.</w:t>
      </w:r>
    </w:p>
    <w:p>
      <w:pPr>
        <w:spacing w:after="0" w:line="144"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Contract</w:t>
      </w:r>
      <w:r>
        <w:rPr>
          <w:rFonts w:ascii="Arial" w:cs="Arial" w:eastAsia="Arial" w:hAnsi="Arial"/>
          <w:sz w:val="20"/>
          <w:szCs w:val="20"/>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w:t>
      </w:r>
    </w:p>
    <w:p>
      <w:pPr>
        <w:spacing w:after="0" w:line="200" w:lineRule="exact"/>
        <w:rPr>
          <w:sz w:val="20"/>
          <w:szCs w:val="20"/>
          <w:color w:val="auto"/>
        </w:rPr>
      </w:pPr>
    </w:p>
    <w:p>
      <w:pPr>
        <w:spacing w:after="0" w:line="21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33</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45" w:name="page46"/>
    <w:bookmarkEnd w:id="45"/>
    <w:p>
      <w:pPr>
        <w:jc w:val="both"/>
        <w:spacing w:after="0" w:line="256" w:lineRule="auto"/>
        <w:rPr>
          <w:sz w:val="20"/>
          <w:szCs w:val="20"/>
          <w:color w:val="auto"/>
        </w:rPr>
      </w:pPr>
      <w:r>
        <w:rPr>
          <w:rFonts w:ascii="Arial" w:cs="Arial" w:eastAsia="Arial" w:hAnsi="Arial"/>
          <w:sz w:val="20"/>
          <w:szCs w:val="20"/>
          <w:color w:val="auto"/>
        </w:rPr>
        <w:t>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20"/>
          <w:szCs w:val="20"/>
          <w:u w:val="single" w:color="auto"/>
          <w:color w:val="auto"/>
        </w:rPr>
        <w:t>Master Agreement</w:t>
      </w:r>
      <w:r>
        <w:rPr>
          <w:rFonts w:ascii="Arial" w:cs="Arial" w:eastAsia="Arial" w:hAnsi="Arial"/>
          <w:sz w:val="20"/>
          <w:szCs w:val="20"/>
          <w:color w:val="auto"/>
        </w:rPr>
        <w:t>”), including any such obligations or liabilities under any Master Agreement.</w:t>
      </w:r>
    </w:p>
    <w:p>
      <w:pPr>
        <w:spacing w:after="0" w:line="168" w:lineRule="exact"/>
        <w:rPr>
          <w:sz w:val="20"/>
          <w:szCs w:val="20"/>
          <w:color w:val="auto"/>
        </w:rPr>
      </w:pPr>
    </w:p>
    <w:p>
      <w:pPr>
        <w:jc w:val="both"/>
        <w:ind w:firstLine="59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Termination Value</w:t>
      </w:r>
      <w:r>
        <w:rPr>
          <w:rFonts w:ascii="Arial" w:cs="Arial" w:eastAsia="Arial" w:hAnsi="Arial"/>
          <w:sz w:val="20"/>
          <w:szCs w:val="20"/>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Borrowing</w:t>
      </w:r>
      <w:r>
        <w:rPr>
          <w:rFonts w:ascii="Arial" w:cs="Arial" w:eastAsia="Arial" w:hAnsi="Arial"/>
          <w:sz w:val="20"/>
          <w:szCs w:val="20"/>
          <w:color w:val="auto"/>
        </w:rPr>
        <w:t xml:space="preserve">” means a borrowing of a Swing Line Loan pursuant to </w:t>
      </w:r>
      <w:r>
        <w:rPr>
          <w:rFonts w:ascii="Arial" w:cs="Arial" w:eastAsia="Arial" w:hAnsi="Arial"/>
          <w:sz w:val="20"/>
          <w:szCs w:val="20"/>
          <w:u w:val="single" w:color="auto"/>
          <w:color w:val="auto"/>
        </w:rPr>
        <w:t>Section 2.04</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Lenders</w:t>
      </w:r>
      <w:r>
        <w:rPr>
          <w:rFonts w:ascii="Arial" w:cs="Arial" w:eastAsia="Arial" w:hAnsi="Arial"/>
          <w:sz w:val="20"/>
          <w:szCs w:val="20"/>
          <w:color w:val="auto"/>
        </w:rPr>
        <w:t>” means, collectively, (i) Wells Fargo Bank, (ii) Bank of America, (iii) PNC Bank and (iv) U.S. Bank, in each case in its capacity as provider of Swing Line Loans, or any successor swing line lender hereunder.</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2.04(a)</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 Notice</w:t>
      </w:r>
      <w:r>
        <w:rPr>
          <w:rFonts w:ascii="Arial" w:cs="Arial" w:eastAsia="Arial" w:hAnsi="Arial"/>
          <w:sz w:val="20"/>
          <w:szCs w:val="20"/>
          <w:color w:val="auto"/>
        </w:rPr>
        <w:t xml:space="preserve">” means a notice of a Swing Line Borrowing pursuant to </w:t>
      </w:r>
      <w:r>
        <w:rPr>
          <w:rFonts w:ascii="Arial" w:cs="Arial" w:eastAsia="Arial" w:hAnsi="Arial"/>
          <w:sz w:val="20"/>
          <w:szCs w:val="20"/>
          <w:u w:val="single" w:color="auto"/>
          <w:color w:val="auto"/>
        </w:rPr>
        <w:t>Section 2.04(b)</w:t>
      </w:r>
      <w:r>
        <w:rPr>
          <w:rFonts w:ascii="Arial" w:cs="Arial" w:eastAsia="Arial" w:hAnsi="Arial"/>
          <w:sz w:val="20"/>
          <w:szCs w:val="20"/>
          <w:color w:val="auto"/>
        </w:rPr>
        <w:t xml:space="preserve">, which shall be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68"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Percentage</w:t>
      </w:r>
      <w:r>
        <w:rPr>
          <w:rFonts w:ascii="Arial" w:cs="Arial" w:eastAsia="Arial" w:hAnsi="Arial"/>
          <w:sz w:val="20"/>
          <w:szCs w:val="20"/>
          <w:color w:val="auto"/>
        </w:rPr>
        <w:t>” means, as to any Swing Line Lender at any time, the fraction (expressed as a percentage) obtained by dividing the Swing Line Sublimit of such Swing Line Lender by the Swing Line Subfacility.</w:t>
      </w:r>
    </w:p>
    <w:p>
      <w:pPr>
        <w:spacing w:after="0" w:line="153" w:lineRule="exact"/>
        <w:rPr>
          <w:sz w:val="20"/>
          <w:szCs w:val="20"/>
          <w:color w:val="auto"/>
        </w:rPr>
      </w:pPr>
    </w:p>
    <w:p>
      <w:pPr>
        <w:jc w:val="both"/>
        <w:ind w:firstLine="599"/>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Subfacility</w:t>
      </w:r>
      <w:r>
        <w:rPr>
          <w:rFonts w:ascii="Arial" w:cs="Arial" w:eastAsia="Arial" w:hAnsi="Arial"/>
          <w:sz w:val="18"/>
          <w:szCs w:val="18"/>
          <w:color w:val="auto"/>
        </w:rPr>
        <w:t>” means, at any time, an amount equal to the lesser of (a) the aggregate amount of the Swing Line Lenders’ Swing Line Sublimits at such time and (b) the Revolving Credit Facility at such time. The Swing Line Subfacility is part of, and not in addition to, the Revolving Credit Facility. On the Restatement Effective Date, the amount of the Swing Line Subfacility is $35,000,000.</w:t>
      </w:r>
    </w:p>
    <w:p>
      <w:pPr>
        <w:spacing w:after="0" w:line="130" w:lineRule="exact"/>
        <w:rPr>
          <w:sz w:val="20"/>
          <w:szCs w:val="20"/>
          <w:color w:val="auto"/>
        </w:rPr>
      </w:pPr>
    </w:p>
    <w:p>
      <w:pPr>
        <w:jc w:val="both"/>
        <w:ind w:firstLine="599"/>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 Line Sublimit</w:t>
      </w:r>
      <w:r>
        <w:rPr>
          <w:rFonts w:ascii="Arial" w:cs="Arial" w:eastAsia="Arial" w:hAnsi="Arial"/>
          <w:sz w:val="19"/>
          <w:szCs w:val="19"/>
          <w:color w:val="auto"/>
        </w:rPr>
        <w:t xml:space="preserve">” means, as to each Swing Line Lender, its agreement as set forth in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to make Swing Line Loans in an aggregate principal amount at any one time outstanding not to exceed the amount set forth opposite such Lender’s name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or in the Assignment and Assumption, Joinder Agreement or other documentation, which other documentation shall be in form and substance satisfactory to the Administrative Agent, pursuant to which such Swing Line Lender becomes Swing Line Lender hereunder, as applicable, as such amount may be adjusted from time to time in accordance with this Agreement.</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Syndication Agent</w:t>
      </w:r>
      <w:r>
        <w:rPr>
          <w:rFonts w:ascii="Arial" w:cs="Arial" w:eastAsia="Arial" w:hAnsi="Arial"/>
          <w:sz w:val="20"/>
          <w:szCs w:val="20"/>
          <w:color w:val="auto"/>
        </w:rPr>
        <w:t>” means Wells Fargo Bank in its capacity as syndication agent under any of the Loan Documents.</w:t>
      </w:r>
    </w:p>
    <w:p>
      <w:pPr>
        <w:spacing w:after="0" w:line="207"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Synthetic Debt</w:t>
      </w:r>
      <w:r>
        <w:rPr>
          <w:rFonts w:ascii="Arial" w:cs="Arial" w:eastAsia="Arial" w:hAnsi="Arial"/>
          <w:sz w:val="20"/>
          <w:szCs w:val="20"/>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w:t>
      </w:r>
    </w:p>
    <w:p>
      <w:pPr>
        <w:spacing w:after="0" w:line="200" w:lineRule="exact"/>
        <w:rPr>
          <w:sz w:val="20"/>
          <w:szCs w:val="20"/>
          <w:color w:val="auto"/>
        </w:rPr>
      </w:pPr>
    </w:p>
    <w:p>
      <w:pPr>
        <w:spacing w:after="0" w:line="20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34</w:t>
      </w:r>
      <w:r>
        <w:rPr>
          <w:rFonts w:ascii="MS PGothic" w:cs="MS PGothic" w:eastAsia="MS PGothic" w:hAnsi="MS PGothic"/>
          <w:sz w:val="20"/>
          <w:szCs w:val="20"/>
          <w:color w:val="auto"/>
        </w:rPr>
        <w:t>‑</w:t>
      </w:r>
    </w:p>
    <w:p>
      <w:pPr>
        <w:sectPr>
          <w:pgSz w:w="11900" w:h="16838" w:orient="portrait"/>
          <w:cols w:equalWidth="0" w:num="1">
            <w:col w:w="11420"/>
          </w:cols>
          <w:pgMar w:left="240" w:top="558" w:right="239" w:bottom="1440" w:gutter="0" w:footer="0" w:header="0"/>
        </w:sectPr>
      </w:pPr>
    </w:p>
    <w:bookmarkStart w:id="46" w:name="page47"/>
    <w:bookmarkEnd w:id="46"/>
    <w:p>
      <w:pPr>
        <w:jc w:val="both"/>
        <w:spacing w:after="0" w:line="272" w:lineRule="auto"/>
        <w:rPr>
          <w:sz w:val="20"/>
          <w:szCs w:val="20"/>
          <w:color w:val="auto"/>
        </w:rPr>
      </w:pPr>
      <w:r>
        <w:rPr>
          <w:rFonts w:ascii="Arial" w:cs="Arial" w:eastAsia="Arial" w:hAnsi="Arial"/>
          <w:sz w:val="20"/>
          <w:szCs w:val="20"/>
          <w:color w:val="auto"/>
        </w:rPr>
        <w:t>borrowing) but are not otherwise included in the definition of “Indebtedness” or as a liability on the consolidated balance sheet of such Person and its Subsidiaries in accordance with GAAP.</w:t>
      </w:r>
    </w:p>
    <w:p>
      <w:pPr>
        <w:spacing w:after="0" w:line="153" w:lineRule="exact"/>
        <w:rPr>
          <w:sz w:val="20"/>
          <w:szCs w:val="20"/>
          <w:color w:val="auto"/>
        </w:rPr>
      </w:pPr>
    </w:p>
    <w:p>
      <w:pPr>
        <w:jc w:val="both"/>
        <w:ind w:firstLine="59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Synthetic Lease Obligation</w:t>
      </w:r>
      <w:r>
        <w:rPr>
          <w:rFonts w:ascii="Arial" w:cs="Arial" w:eastAsia="Arial" w:hAnsi="Arial"/>
          <w:sz w:val="19"/>
          <w:szCs w:val="19"/>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Indebtedness owed by such Person (without regard to accounting treatment).</w:t>
      </w:r>
    </w:p>
    <w:p>
      <w:pPr>
        <w:spacing w:after="0" w:line="155"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4"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Borrowing</w:t>
      </w:r>
      <w:r>
        <w:rPr>
          <w:rFonts w:ascii="Arial" w:cs="Arial" w:eastAsia="Arial" w:hAnsi="Arial"/>
          <w:sz w:val="20"/>
          <w:szCs w:val="20"/>
          <w:color w:val="auto"/>
        </w:rPr>
        <w:t xml:space="preserve">” means a borrowing consisting of simultaneous Term Loans of the same Type and, in the case of Eurodollar Rate Loans, having the same Interest Period made by each of the Term Lenders pursuant to </w:t>
      </w:r>
      <w:r>
        <w:rPr>
          <w:rFonts w:ascii="Arial" w:cs="Arial" w:eastAsia="Arial" w:hAnsi="Arial"/>
          <w:sz w:val="20"/>
          <w:szCs w:val="20"/>
          <w:u w:val="single" w:color="auto"/>
          <w:color w:val="auto"/>
        </w:rPr>
        <w:t>Section 2.01(a)</w:t>
      </w:r>
      <w:r>
        <w:rPr>
          <w:rFonts w:ascii="Arial" w:cs="Arial" w:eastAsia="Arial" w:hAnsi="Arial"/>
          <w:sz w:val="20"/>
          <w:szCs w:val="20"/>
          <w:color w:val="auto"/>
        </w:rPr>
        <w:t>.</w:t>
      </w:r>
    </w:p>
    <w:p>
      <w:pPr>
        <w:spacing w:after="0" w:line="153"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Commitment</w:t>
      </w:r>
      <w:r>
        <w:rPr>
          <w:rFonts w:ascii="Arial" w:cs="Arial" w:eastAsia="Arial" w:hAnsi="Arial"/>
          <w:sz w:val="20"/>
          <w:szCs w:val="20"/>
          <w:color w:val="auto"/>
        </w:rPr>
        <w:t>” means, as to each Term Lender, its obligation (if any) to make advances to the Borrower pursuant to any Additional TL Tranche or Incremental Term Loan Increase.</w:t>
      </w:r>
    </w:p>
    <w:p>
      <w:pPr>
        <w:spacing w:after="0" w:line="153"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Facility</w:t>
      </w:r>
      <w:r>
        <w:rPr>
          <w:rFonts w:ascii="Arial" w:cs="Arial" w:eastAsia="Arial" w:hAnsi="Arial"/>
          <w:sz w:val="20"/>
          <w:szCs w:val="20"/>
          <w:color w:val="auto"/>
        </w:rPr>
        <w:t>” means, (a) the Closing Date Term Facility and (b) each Additional TL Tranche, as the context may require, and “</w:t>
      </w:r>
      <w:r>
        <w:rPr>
          <w:rFonts w:ascii="Arial" w:cs="Arial" w:eastAsia="Arial" w:hAnsi="Arial"/>
          <w:sz w:val="20"/>
          <w:szCs w:val="20"/>
          <w:u w:val="single" w:color="auto"/>
          <w:color w:val="auto"/>
        </w:rPr>
        <w:t>Term</w:t>
      </w:r>
      <w:r>
        <w:rPr>
          <w:rFonts w:ascii="Arial" w:cs="Arial" w:eastAsia="Arial" w:hAnsi="Arial"/>
          <w:sz w:val="20"/>
          <w:szCs w:val="20"/>
          <w:color w:val="auto"/>
        </w:rPr>
        <w:t xml:space="preserve"> </w:t>
      </w:r>
      <w:r>
        <w:rPr>
          <w:rFonts w:ascii="Arial" w:cs="Arial" w:eastAsia="Arial" w:hAnsi="Arial"/>
          <w:sz w:val="20"/>
          <w:szCs w:val="20"/>
          <w:u w:val="single" w:color="auto"/>
          <w:color w:val="auto"/>
        </w:rPr>
        <w:t>Facilities</w:t>
      </w:r>
      <w:r>
        <w:rPr>
          <w:rFonts w:ascii="Arial" w:cs="Arial" w:eastAsia="Arial" w:hAnsi="Arial"/>
          <w:sz w:val="20"/>
          <w:szCs w:val="20"/>
          <w:color w:val="auto"/>
        </w:rPr>
        <w:t>” means a collective reference to the foregoing.</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Lender</w:t>
      </w:r>
      <w:r>
        <w:rPr>
          <w:rFonts w:ascii="Arial" w:cs="Arial" w:eastAsia="Arial" w:hAnsi="Arial"/>
          <w:sz w:val="20"/>
          <w:szCs w:val="20"/>
          <w:color w:val="auto"/>
        </w:rPr>
        <w:t>” means at any time a Lender that holds a Term Loan at such time.</w:t>
      </w:r>
    </w:p>
    <w:p>
      <w:pPr>
        <w:spacing w:after="0" w:line="20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w:t>
      </w:r>
      <w:r>
        <w:rPr>
          <w:rFonts w:ascii="Arial" w:cs="Arial" w:eastAsia="Arial" w:hAnsi="Arial"/>
          <w:sz w:val="20"/>
          <w:szCs w:val="20"/>
          <w:color w:val="auto"/>
        </w:rPr>
        <w:t>” means the Closing Date Term Loans and, unless otherwise specified, each term loan made in connection with any Incremental Term Loan Increase or Additional TL Tranche.</w:t>
      </w:r>
    </w:p>
    <w:p>
      <w:pPr>
        <w:spacing w:after="0" w:line="153" w:lineRule="exact"/>
        <w:rPr>
          <w:sz w:val="20"/>
          <w:szCs w:val="20"/>
          <w:color w:val="auto"/>
        </w:rPr>
      </w:pPr>
    </w:p>
    <w:p>
      <w:pPr>
        <w:jc w:val="both"/>
        <w:ind w:firstLine="599"/>
        <w:spacing w:after="0" w:line="246"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Note</w:t>
      </w:r>
      <w:r>
        <w:rPr>
          <w:rFonts w:ascii="Arial" w:cs="Arial" w:eastAsia="Arial" w:hAnsi="Arial"/>
          <w:sz w:val="20"/>
          <w:szCs w:val="20"/>
          <w:color w:val="auto"/>
        </w:rPr>
        <w:t xml:space="preserve">” means a promissory note made by the Borrower in favor of a Term Lender evidencing Term Loans made by such Term Lender, substantially in the form of </w:t>
      </w:r>
      <w:r>
        <w:rPr>
          <w:rFonts w:ascii="Arial" w:cs="Arial" w:eastAsia="Arial" w:hAnsi="Arial"/>
          <w:sz w:val="20"/>
          <w:szCs w:val="20"/>
          <w:u w:val="single" w:color="auto"/>
          <w:color w:val="auto"/>
        </w:rPr>
        <w:t>Exhibit C</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2</w:t>
      </w:r>
      <w:r>
        <w:rPr>
          <w:rFonts w:ascii="Arial" w:cs="Arial" w:eastAsia="Arial" w:hAnsi="Arial"/>
          <w:sz w:val="20"/>
          <w:szCs w:val="20"/>
          <w:color w:val="auto"/>
        </w:rPr>
        <w:t>.</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Threshold Amount</w:t>
      </w:r>
      <w:r>
        <w:rPr>
          <w:rFonts w:ascii="Arial" w:cs="Arial" w:eastAsia="Arial" w:hAnsi="Arial"/>
          <w:sz w:val="20"/>
          <w:szCs w:val="20"/>
          <w:color w:val="auto"/>
        </w:rPr>
        <w:t>” means $35,000,000.</w:t>
      </w:r>
    </w:p>
    <w:p>
      <w:pPr>
        <w:spacing w:after="0" w:line="207" w:lineRule="exact"/>
        <w:rPr>
          <w:sz w:val="20"/>
          <w:szCs w:val="20"/>
          <w:color w:val="auto"/>
        </w:rPr>
      </w:pPr>
    </w:p>
    <w:p>
      <w:pPr>
        <w:jc w:val="both"/>
        <w:ind w:firstLine="599"/>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Asset Value</w:t>
      </w:r>
      <w:r>
        <w:rPr>
          <w:rFonts w:ascii="Arial" w:cs="Arial" w:eastAsia="Arial" w:hAnsi="Arial"/>
          <w:sz w:val="18"/>
          <w:szCs w:val="18"/>
          <w:color w:val="auto"/>
        </w:rPr>
        <w:t xml:space="preserve">” means, as of any time for the Consolidated Group, without duplication, (a) an amount equal (i) to the sum of the Portfolio Property Net Operating Income of each Portfolio Property owned, or ground leased pursuant to an Eligible Ground Lease, by the Consolidated Group for the then most recently ended fiscal quarter of the REIT for which financial statements have been provided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(excluding each Disposed Portfolio Property, each Newly-Acquired Portfolio Property, each Qualified Development Property and each Non-Stabilized Portfolio Property),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Applicable Capitalization Rate for each such Portfolio Property,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(ii) four,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acquisition cost paid by the applicable member(s) of the Consolidated Group for each Newly-Acquired Portfolio Property, </w:t>
      </w:r>
      <w:r>
        <w:rPr>
          <w:rFonts w:ascii="Arial" w:cs="Arial" w:eastAsia="Arial" w:hAnsi="Arial"/>
          <w:sz w:val="18"/>
          <w:szCs w:val="18"/>
          <w:i w:val="1"/>
          <w:iCs w:val="1"/>
          <w:color w:val="auto"/>
        </w:rPr>
        <w:t>plus</w:t>
      </w:r>
      <w:r>
        <w:rPr>
          <w:rFonts w:ascii="Arial" w:cs="Arial" w:eastAsia="Arial" w:hAnsi="Arial"/>
          <w:sz w:val="18"/>
          <w:szCs w:val="18"/>
          <w:color w:val="auto"/>
        </w:rPr>
        <w:t xml:space="preserve"> (c) the aggregate book value of all Specified Investments owned by the Consolidated Group at such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(d) the aggregate undepreciated book value of all Qualified Development Properties and all Non-Stabilized Portfolio Properties at such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(e) the Consolidated Group Pro Rata Share of each of the items referenced in clauses (a) through (d) of this definition (and the components thereof) to the extent relating to Portfolio Properties, Specified Investments, Qualified Development Properties or Non-Stabilized Portfolio Properties, as applicable, owned by Unconsolidated Affiliates, which Portfolio Property, Specified Investment, Qualified Development Property or Non-Stabilized Portfolio Property would if owned or ground leased by a member of the Consolidated Group constitute a Portfolio Property, Specified Investment, Qualified Development Property or Non-Stabilized Portfolio Property described in one of the clauses above, will be included in the calculation of Total Asset Value on a basis consistent with the above described treatment</w:t>
      </w:r>
    </w:p>
    <w:p>
      <w:pPr>
        <w:spacing w:after="0" w:line="39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35</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47" w:name="page48"/>
    <w:bookmarkEnd w:id="47"/>
    <w:p>
      <w:pPr>
        <w:spacing w:after="0" w:line="329" w:lineRule="auto"/>
        <w:rPr>
          <w:sz w:val="20"/>
          <w:szCs w:val="20"/>
          <w:color w:val="auto"/>
        </w:rPr>
      </w:pPr>
      <w:r>
        <w:rPr>
          <w:rFonts w:ascii="Arial" w:cs="Arial" w:eastAsia="Arial" w:hAnsi="Arial"/>
          <w:sz w:val="18"/>
          <w:szCs w:val="18"/>
          <w:color w:val="auto"/>
        </w:rPr>
        <w:t xml:space="preserve">for Properties owned or ground leased by Consolidated Parties, </w:t>
      </w:r>
      <w:r>
        <w:rPr>
          <w:rFonts w:ascii="Arial" w:cs="Arial" w:eastAsia="Arial" w:hAnsi="Arial"/>
          <w:sz w:val="18"/>
          <w:szCs w:val="18"/>
          <w:i w:val="1"/>
          <w:iCs w:val="1"/>
          <w:color w:val="auto"/>
        </w:rPr>
        <w:t>plus</w:t>
      </w:r>
      <w:r>
        <w:rPr>
          <w:rFonts w:ascii="Arial" w:cs="Arial" w:eastAsia="Arial" w:hAnsi="Arial"/>
          <w:sz w:val="18"/>
          <w:szCs w:val="18"/>
          <w:color w:val="auto"/>
        </w:rPr>
        <w:t xml:space="preserve"> (f) all cash and Cash Equivalents owned by members of the Consolidated Group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the foregoing, for purposes of calculating Total Asset Value at any time:</w:t>
      </w:r>
    </w:p>
    <w:p>
      <w:pPr>
        <w:spacing w:after="0" w:line="107" w:lineRule="exact"/>
        <w:rPr>
          <w:sz w:val="20"/>
          <w:szCs w:val="20"/>
          <w:color w:val="auto"/>
        </w:rPr>
      </w:pPr>
    </w:p>
    <w:p>
      <w:pPr>
        <w:jc w:val="both"/>
        <w:ind w:left="300" w:firstLine="899"/>
        <w:spacing w:after="0" w:line="257" w:lineRule="auto"/>
        <w:tabs>
          <w:tab w:leader="none" w:pos="1956" w:val="left"/>
        </w:tabs>
        <w:numPr>
          <w:ilvl w:val="0"/>
          <w:numId w:val="22"/>
        </w:numPr>
        <w:rPr>
          <w:rFonts w:ascii="Arial" w:cs="Arial" w:eastAsia="Arial" w:hAnsi="Arial"/>
          <w:sz w:val="17"/>
          <w:szCs w:val="17"/>
          <w:color w:val="auto"/>
        </w:rPr>
      </w:pPr>
      <w:r>
        <w:rPr>
          <w:rFonts w:ascii="Arial" w:cs="Arial" w:eastAsia="Arial" w:hAnsi="Arial"/>
          <w:sz w:val="20"/>
          <w:szCs w:val="20"/>
          <w:color w:val="auto"/>
        </w:rPr>
        <w:t>not more than twenty percent (25%) of the Total Asset Value at any time may be attributable to costs to construct Portfolio Properties (i.e., construction-in-progress) and real property assets under development, with any excess over the foregoing limit being excluded from Total Asset Value;</w:t>
      </w:r>
    </w:p>
    <w:p>
      <w:pPr>
        <w:spacing w:after="0" w:line="1" w:lineRule="exact"/>
        <w:rPr>
          <w:rFonts w:ascii="Arial" w:cs="Arial" w:eastAsia="Arial" w:hAnsi="Arial"/>
          <w:sz w:val="17"/>
          <w:szCs w:val="17"/>
          <w:color w:val="auto"/>
        </w:rPr>
      </w:pPr>
    </w:p>
    <w:p>
      <w:pPr>
        <w:jc w:val="both"/>
        <w:ind w:left="300" w:firstLine="899"/>
        <w:spacing w:after="0" w:line="258" w:lineRule="auto"/>
        <w:tabs>
          <w:tab w:leader="none" w:pos="2002" w:val="left"/>
        </w:tabs>
        <w:numPr>
          <w:ilvl w:val="0"/>
          <w:numId w:val="22"/>
        </w:numPr>
        <w:rPr>
          <w:rFonts w:ascii="Arial" w:cs="Arial" w:eastAsia="Arial" w:hAnsi="Arial"/>
          <w:sz w:val="17"/>
          <w:szCs w:val="17"/>
          <w:color w:val="auto"/>
        </w:rPr>
      </w:pPr>
      <w:r>
        <w:rPr>
          <w:rFonts w:ascii="Arial" w:cs="Arial" w:eastAsia="Arial" w:hAnsi="Arial"/>
          <w:sz w:val="20"/>
          <w:szCs w:val="20"/>
          <w:color w:val="auto"/>
        </w:rPr>
        <w:t xml:space="preserve">not more than five percent (5%) of the Total Asset Value at any time may be attributable to unimproved land holdings (excluding, for the avoidance of doubt, Investments accounted for under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 with any excess over the foregoing limit being excluded from Total Asset Value;</w:t>
      </w:r>
    </w:p>
    <w:p>
      <w:pPr>
        <w:spacing w:after="0" w:line="204" w:lineRule="exact"/>
        <w:rPr>
          <w:rFonts w:ascii="Arial" w:cs="Arial" w:eastAsia="Arial" w:hAnsi="Arial"/>
          <w:sz w:val="17"/>
          <w:szCs w:val="17"/>
          <w:color w:val="auto"/>
        </w:rPr>
      </w:pPr>
    </w:p>
    <w:p>
      <w:pPr>
        <w:jc w:val="both"/>
        <w:ind w:left="300" w:firstLine="899"/>
        <w:spacing w:after="0" w:line="344" w:lineRule="auto"/>
        <w:tabs>
          <w:tab w:leader="none" w:pos="2048" w:val="left"/>
        </w:tabs>
        <w:numPr>
          <w:ilvl w:val="0"/>
          <w:numId w:val="22"/>
        </w:numPr>
        <w:rPr>
          <w:rFonts w:ascii="Arial" w:cs="Arial" w:eastAsia="Arial" w:hAnsi="Arial"/>
          <w:sz w:val="15"/>
          <w:szCs w:val="15"/>
          <w:color w:val="auto"/>
        </w:rPr>
      </w:pPr>
      <w:r>
        <w:rPr>
          <w:rFonts w:ascii="Arial" w:cs="Arial" w:eastAsia="Arial" w:hAnsi="Arial"/>
          <w:sz w:val="18"/>
          <w:szCs w:val="18"/>
          <w:color w:val="auto"/>
        </w:rPr>
        <w:t>not more than ten percent (10%) of the Total Asset Value at any time may be attributable to commercial mortgage loans and commercial real estate-related mezzanine loans, with any excess over the foregoing limit being excluded from Total Asset Value;</w:t>
      </w:r>
    </w:p>
    <w:p>
      <w:pPr>
        <w:spacing w:after="0" w:line="131" w:lineRule="exact"/>
        <w:rPr>
          <w:rFonts w:ascii="Arial" w:cs="Arial" w:eastAsia="Arial" w:hAnsi="Arial"/>
          <w:sz w:val="15"/>
          <w:szCs w:val="15"/>
          <w:color w:val="auto"/>
        </w:rPr>
      </w:pPr>
    </w:p>
    <w:p>
      <w:pPr>
        <w:ind w:left="300" w:firstLine="899"/>
        <w:spacing w:after="0" w:line="285" w:lineRule="auto"/>
        <w:tabs>
          <w:tab w:leader="none" w:pos="2039" w:val="left"/>
        </w:tabs>
        <w:numPr>
          <w:ilvl w:val="0"/>
          <w:numId w:val="22"/>
        </w:numPr>
        <w:rPr>
          <w:rFonts w:ascii="Arial" w:cs="Arial" w:eastAsia="Arial" w:hAnsi="Arial"/>
          <w:sz w:val="17"/>
          <w:szCs w:val="17"/>
          <w:color w:val="auto"/>
        </w:rPr>
      </w:pPr>
      <w:r>
        <w:rPr>
          <w:rFonts w:ascii="Arial" w:cs="Arial" w:eastAsia="Arial" w:hAnsi="Arial"/>
          <w:sz w:val="20"/>
          <w:szCs w:val="20"/>
          <w:color w:val="auto"/>
        </w:rPr>
        <w:t>not more than twenty percent (20%) of the Total Asset Value at any time may be attributable to Investments in Unconsolidated Affiliates, with any excess over the foregoing limit being excluded from Total Asset Value; and</w:t>
      </w:r>
    </w:p>
    <w:p>
      <w:pPr>
        <w:spacing w:after="0" w:line="178" w:lineRule="exact"/>
        <w:rPr>
          <w:rFonts w:ascii="Arial" w:cs="Arial" w:eastAsia="Arial" w:hAnsi="Arial"/>
          <w:sz w:val="17"/>
          <w:szCs w:val="17"/>
          <w:color w:val="auto"/>
        </w:rPr>
      </w:pPr>
    </w:p>
    <w:p>
      <w:pPr>
        <w:ind w:left="300" w:firstLine="899"/>
        <w:spacing w:after="0" w:line="285" w:lineRule="auto"/>
        <w:tabs>
          <w:tab w:leader="none" w:pos="1993" w:val="left"/>
        </w:tabs>
        <w:numPr>
          <w:ilvl w:val="0"/>
          <w:numId w:val="22"/>
        </w:numPr>
        <w:rPr>
          <w:rFonts w:ascii="Arial" w:cs="Arial" w:eastAsia="Arial" w:hAnsi="Arial"/>
          <w:sz w:val="17"/>
          <w:szCs w:val="17"/>
          <w:color w:val="auto"/>
        </w:rPr>
      </w:pPr>
      <w:r>
        <w:rPr>
          <w:rFonts w:ascii="Arial" w:cs="Arial" w:eastAsia="Arial" w:hAnsi="Arial"/>
          <w:sz w:val="20"/>
          <w:szCs w:val="20"/>
          <w:color w:val="auto"/>
        </w:rPr>
        <w:t>not more than twenty-five percent (25%) of the Total Asset Value at any time may be attributable to Specified Investments, with any excess over the foregoing limit being excluded from Total Asset Value.</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Outstandings</w:t>
      </w:r>
      <w:r>
        <w:rPr>
          <w:rFonts w:ascii="Arial" w:cs="Arial" w:eastAsia="Arial" w:hAnsi="Arial"/>
          <w:sz w:val="20"/>
          <w:szCs w:val="20"/>
          <w:color w:val="auto"/>
        </w:rPr>
        <w:t>” means the aggregate Outstanding Amount of all Loans and all L/C Obligations.</w:t>
      </w:r>
    </w:p>
    <w:p>
      <w:pPr>
        <w:spacing w:after="0" w:line="20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Revolving Credit Outstandings</w:t>
      </w:r>
      <w:r>
        <w:rPr>
          <w:rFonts w:ascii="Arial" w:cs="Arial" w:eastAsia="Arial" w:hAnsi="Arial"/>
          <w:sz w:val="20"/>
          <w:szCs w:val="20"/>
          <w:color w:val="auto"/>
        </w:rPr>
        <w:t>” means the aggregate Outstanding Amount of all Revolving Credit Loans, Swing Line Loans and L/C Obligations.</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TRS Subsidiary</w:t>
      </w:r>
      <w:r>
        <w:rPr>
          <w:rFonts w:ascii="Arial" w:cs="Arial" w:eastAsia="Arial" w:hAnsi="Arial"/>
          <w:sz w:val="19"/>
          <w:szCs w:val="19"/>
          <w:color w:val="auto"/>
        </w:rPr>
        <w:t>” means a Wholly Owned Subsidiary of the REIT that is a “taxable REIT subsidiary” under Section 856(l) of the</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Code.</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a Loan, its character as a Base Rate Loan or a Eurodollar Rate Loan.</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means the Uniform Commercial Code as in effect in the State of New York.</w:t>
      </w:r>
    </w:p>
    <w:p>
      <w:pPr>
        <w:spacing w:after="0" w:line="207" w:lineRule="exact"/>
        <w:rPr>
          <w:sz w:val="20"/>
          <w:szCs w:val="20"/>
          <w:color w:val="auto"/>
        </w:rPr>
      </w:pPr>
    </w:p>
    <w:p>
      <w:pPr>
        <w:jc w:val="both"/>
        <w:ind w:firstLine="599"/>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Unconsolidated Affiliate</w:t>
      </w:r>
      <w:r>
        <w:rPr>
          <w:rFonts w:ascii="Arial" w:cs="Arial" w:eastAsia="Arial" w:hAnsi="Arial"/>
          <w:sz w:val="19"/>
          <w:szCs w:val="19"/>
          <w:color w:val="auto"/>
        </w:rPr>
        <w:t>” means, at any date, any Person (x) in which the Consolidated Group, directly or indirectly, holds an Equity Interest, which investment is accounted for in the consolidated financial statements of the Consolidated Group on an equity basis of accounting and (y) whose financial results are not consolidated with the financial results of the Consolidated Group under GAAP.</w:t>
      </w:r>
    </w:p>
    <w:p>
      <w:pPr>
        <w:spacing w:after="0" w:line="147" w:lineRule="exact"/>
        <w:rPr>
          <w:sz w:val="20"/>
          <w:szCs w:val="20"/>
          <w:color w:val="auto"/>
        </w:rPr>
      </w:pPr>
    </w:p>
    <w:p>
      <w:pPr>
        <w:jc w:val="both"/>
        <w:ind w:firstLine="599"/>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UCP</w:t>
      </w:r>
      <w:r>
        <w:rPr>
          <w:rFonts w:ascii="Arial" w:cs="Arial" w:eastAsia="Arial" w:hAnsi="Arial"/>
          <w:sz w:val="19"/>
          <w:szCs w:val="19"/>
          <w:color w:val="auto"/>
        </w:rPr>
        <w:t>” means, with respect to any Letter of Credit, the Uniform Customs and Practice for Documentary Credits, International Chamber of Commerce (“</w:t>
      </w:r>
      <w:r>
        <w:rPr>
          <w:rFonts w:ascii="Arial" w:cs="Arial" w:eastAsia="Arial" w:hAnsi="Arial"/>
          <w:sz w:val="19"/>
          <w:szCs w:val="19"/>
          <w:u w:val="single" w:color="auto"/>
          <w:color w:val="auto"/>
        </w:rPr>
        <w:t>ICC</w:t>
      </w:r>
      <w:r>
        <w:rPr>
          <w:rFonts w:ascii="Arial" w:cs="Arial" w:eastAsia="Arial" w:hAnsi="Arial"/>
          <w:sz w:val="19"/>
          <w:szCs w:val="19"/>
          <w:color w:val="auto"/>
        </w:rPr>
        <w:t>”) Publication No. 600 (or such later version thereof as may be in effect at the time of issuance).</w:t>
      </w:r>
    </w:p>
    <w:p>
      <w:pPr>
        <w:spacing w:after="0" w:line="130" w:lineRule="exact"/>
        <w:rPr>
          <w:sz w:val="20"/>
          <w:szCs w:val="20"/>
          <w:color w:val="auto"/>
        </w:rPr>
      </w:pPr>
    </w:p>
    <w:p>
      <w:pPr>
        <w:jc w:val="both"/>
        <w:ind w:firstLine="59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Unencumbered Asset Value</w:t>
      </w:r>
      <w:r>
        <w:rPr>
          <w:rFonts w:ascii="Arial" w:cs="Arial" w:eastAsia="Arial" w:hAnsi="Arial"/>
          <w:sz w:val="19"/>
          <w:szCs w:val="19"/>
          <w:color w:val="auto"/>
        </w:rPr>
        <w:t xml:space="preserve">” means, as of any time for the Consolidated Group, without duplication, (a) an amount equal to (i) the sum of the Unencumbered Property NOI of each Unencumbered Eligible Property owned, or ground leased under an Eligible Ground Lease, by the Consolidated Group for the then most recently ended fiscal quarter of the REIT for which financial statements have been provided to the Administrative Agent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(excluding each Unencumbered Eligible Property</w:t>
      </w:r>
    </w:p>
    <w:p>
      <w:pPr>
        <w:spacing w:after="0" w:line="39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36</w:t>
      </w:r>
      <w:r>
        <w:rPr>
          <w:rFonts w:ascii="MS PGothic" w:cs="MS PGothic" w:eastAsia="MS PGothic" w:hAnsi="MS PGothic"/>
          <w:sz w:val="20"/>
          <w:szCs w:val="20"/>
          <w:color w:val="auto"/>
        </w:rPr>
        <w:t>‑</w:t>
      </w:r>
    </w:p>
    <w:p>
      <w:pPr>
        <w:sectPr>
          <w:pgSz w:w="11900" w:h="16838" w:orient="portrait"/>
          <w:cols w:equalWidth="0" w:num="1">
            <w:col w:w="11420"/>
          </w:cols>
          <w:pgMar w:left="240" w:top="558" w:right="239" w:bottom="1440" w:gutter="0" w:footer="0" w:header="0"/>
        </w:sectPr>
      </w:pPr>
    </w:p>
    <w:bookmarkStart w:id="48" w:name="page49"/>
    <w:bookmarkEnd w:id="48"/>
    <w:p>
      <w:pPr>
        <w:jc w:val="both"/>
        <w:spacing w:after="0" w:line="251" w:lineRule="auto"/>
        <w:rPr>
          <w:sz w:val="20"/>
          <w:szCs w:val="20"/>
          <w:color w:val="auto"/>
        </w:rPr>
      </w:pPr>
      <w:r>
        <w:rPr>
          <w:rFonts w:ascii="Arial" w:cs="Arial" w:eastAsia="Arial" w:hAnsi="Arial"/>
          <w:sz w:val="20"/>
          <w:szCs w:val="20"/>
          <w:color w:val="auto"/>
        </w:rPr>
        <w:t xml:space="preserve">that is a Disposed Portfolio Property, a Newly-Acquired Portfolio Property, a Qualified Development Property or a Non-Stabilized Portfolio Property), </w:t>
      </w:r>
      <w:r>
        <w:rPr>
          <w:rFonts w:ascii="Arial" w:cs="Arial" w:eastAsia="Arial" w:hAnsi="Arial"/>
          <w:sz w:val="20"/>
          <w:szCs w:val="20"/>
          <w:i w:val="1"/>
          <w:iCs w:val="1"/>
          <w:color w:val="auto"/>
        </w:rPr>
        <w:t>divided by</w:t>
      </w:r>
      <w:r>
        <w:rPr>
          <w:rFonts w:ascii="Arial" w:cs="Arial" w:eastAsia="Arial" w:hAnsi="Arial"/>
          <w:sz w:val="20"/>
          <w:szCs w:val="20"/>
          <w:color w:val="auto"/>
        </w:rPr>
        <w:t xml:space="preserve"> the Applicable Capitalization Rate for each such Unencumbered Eligible Property, </w:t>
      </w:r>
      <w:r>
        <w:rPr>
          <w:rFonts w:ascii="Arial" w:cs="Arial" w:eastAsia="Arial" w:hAnsi="Arial"/>
          <w:sz w:val="20"/>
          <w:szCs w:val="20"/>
          <w:i w:val="1"/>
          <w:iCs w:val="1"/>
          <w:color w:val="auto"/>
        </w:rPr>
        <w:t>multiplied by</w:t>
      </w:r>
      <w:r>
        <w:rPr>
          <w:rFonts w:ascii="Arial" w:cs="Arial" w:eastAsia="Arial" w:hAnsi="Arial"/>
          <w:sz w:val="20"/>
          <w:szCs w:val="20"/>
          <w:color w:val="auto"/>
        </w:rPr>
        <w:t xml:space="preserve"> (ii) four, </w:t>
      </w:r>
      <w:r>
        <w:rPr>
          <w:rFonts w:ascii="Arial" w:cs="Arial" w:eastAsia="Arial" w:hAnsi="Arial"/>
          <w:sz w:val="20"/>
          <w:szCs w:val="20"/>
          <w:i w:val="1"/>
          <w:iCs w:val="1"/>
          <w:color w:val="auto"/>
        </w:rPr>
        <w:t>plus</w:t>
      </w:r>
      <w:r>
        <w:rPr>
          <w:rFonts w:ascii="Arial" w:cs="Arial" w:eastAsia="Arial" w:hAnsi="Arial"/>
          <w:sz w:val="20"/>
          <w:szCs w:val="20"/>
          <w:color w:val="auto"/>
        </w:rPr>
        <w:t xml:space="preserve"> (b) the undepreciated book value at such time of each Unencumbered Eligible Property that is a Qualified Development Property or a Non-Stabilized Portfolio Property, </w:t>
      </w:r>
      <w:r>
        <w:rPr>
          <w:rFonts w:ascii="Arial" w:cs="Arial" w:eastAsia="Arial" w:hAnsi="Arial"/>
          <w:sz w:val="20"/>
          <w:szCs w:val="20"/>
          <w:i w:val="1"/>
          <w:iCs w:val="1"/>
          <w:color w:val="auto"/>
        </w:rPr>
        <w:t>plus</w:t>
      </w:r>
      <w:r>
        <w:rPr>
          <w:rFonts w:ascii="Arial" w:cs="Arial" w:eastAsia="Arial" w:hAnsi="Arial"/>
          <w:sz w:val="20"/>
          <w:szCs w:val="20"/>
          <w:color w:val="auto"/>
        </w:rPr>
        <w:t xml:space="preserve"> (c) the acquisition cost paid by the applicable member(s) of the Consolidated Group for each Unencumbered Eligible Property that is a Newly-Acquired Portfolio Property;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the acquisition of any Newly-Acquired Property by a Controlled Joint Venture, only the Loan Party Pro Rata Share of such acquisition cost shall be included in the calculation of Unencumbered Asset Value;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w:t>
      </w:r>
    </w:p>
    <w:p>
      <w:pPr>
        <w:spacing w:after="0" w:line="177" w:lineRule="exact"/>
        <w:rPr>
          <w:sz w:val="20"/>
          <w:szCs w:val="20"/>
          <w:color w:val="auto"/>
        </w:rPr>
      </w:pPr>
    </w:p>
    <w:p>
      <w:pPr>
        <w:jc w:val="both"/>
        <w:ind w:left="600" w:firstLine="599"/>
        <w:spacing w:after="0" w:line="273" w:lineRule="auto"/>
        <w:tabs>
          <w:tab w:leader="none" w:pos="1600" w:val="left"/>
        </w:tabs>
        <w:numPr>
          <w:ilvl w:val="1"/>
          <w:numId w:val="23"/>
        </w:numPr>
        <w:rPr>
          <w:rFonts w:ascii="Arial" w:cs="Arial" w:eastAsia="Arial" w:hAnsi="Arial"/>
          <w:sz w:val="19"/>
          <w:szCs w:val="19"/>
          <w:color w:val="auto"/>
        </w:rPr>
      </w:pPr>
      <w:r>
        <w:rPr>
          <w:rFonts w:ascii="Arial" w:cs="Arial" w:eastAsia="Arial" w:hAnsi="Arial"/>
          <w:sz w:val="19"/>
          <w:szCs w:val="19"/>
          <w:color w:val="auto"/>
        </w:rPr>
        <w:t>not more than 20% of the Unencumbered Asset Value at any time may be in respect of Unencumbered Eligible Properties that are not office, retail or multi-family properties (and, for purposes of determining compliance with such 20% limitation, if an Unencumbered Eligible Property is considered “multi-use”, the Borrower shall be permitted to include the Unencumbered Property NOI of such Unencumbered Eligible Property’s office, retail or multi-family component without limitation under this clause (a)), with any excess over the foregoing limit being excluded from the Unencumbered Asset Value;</w:t>
      </w:r>
    </w:p>
    <w:p>
      <w:pPr>
        <w:spacing w:after="0" w:line="156" w:lineRule="exact"/>
        <w:rPr>
          <w:rFonts w:ascii="Arial" w:cs="Arial" w:eastAsia="Arial" w:hAnsi="Arial"/>
          <w:sz w:val="19"/>
          <w:szCs w:val="19"/>
          <w:color w:val="auto"/>
        </w:rPr>
      </w:pPr>
    </w:p>
    <w:p>
      <w:pPr>
        <w:jc w:val="both"/>
        <w:ind w:left="620" w:firstLine="554"/>
        <w:spacing w:after="0" w:line="266" w:lineRule="auto"/>
        <w:tabs>
          <w:tab w:leader="none" w:pos="1594" w:val="left"/>
        </w:tabs>
        <w:numPr>
          <w:ilvl w:val="0"/>
          <w:numId w:val="24"/>
        </w:numPr>
        <w:rPr>
          <w:rFonts w:ascii="Arial" w:cs="Arial" w:eastAsia="Arial" w:hAnsi="Arial"/>
          <w:sz w:val="20"/>
          <w:szCs w:val="20"/>
          <w:color w:val="auto"/>
        </w:rPr>
      </w:pPr>
      <w:r>
        <w:rPr>
          <w:rFonts w:ascii="Arial" w:cs="Arial" w:eastAsia="Arial" w:hAnsi="Arial"/>
          <w:sz w:val="20"/>
          <w:szCs w:val="20"/>
          <w:color w:val="auto"/>
        </w:rPr>
        <w:t>not more than 20% of the Unencumbered Asset Value at any time may be in respect of Unencumbered Eligible Properties that are either owned by a Controlled Joint Venture or ground leased under an Eligible Ground Lease, with any excess over the foregoing limit being excluded from the Unencumbered Asset Value;</w:t>
      </w:r>
    </w:p>
    <w:p>
      <w:pPr>
        <w:spacing w:after="0" w:line="159" w:lineRule="exact"/>
        <w:rPr>
          <w:rFonts w:ascii="Arial" w:cs="Arial" w:eastAsia="Arial" w:hAnsi="Arial"/>
          <w:sz w:val="20"/>
          <w:szCs w:val="20"/>
          <w:color w:val="auto"/>
        </w:rPr>
      </w:pPr>
    </w:p>
    <w:p>
      <w:pPr>
        <w:jc w:val="both"/>
        <w:ind w:left="600" w:firstLine="599"/>
        <w:spacing w:after="0" w:line="266" w:lineRule="auto"/>
        <w:tabs>
          <w:tab w:leader="none" w:pos="16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not more than 10% of the Unencumbered Asset Value at any time may be in respect of Unencumbered Eligible Properties that constitute Qualified Development Properties, with any excess over the foregoing limit being excluded from the Unencumbered Asset Value; and</w:t>
      </w:r>
    </w:p>
    <w:p>
      <w:pPr>
        <w:spacing w:after="0" w:line="159" w:lineRule="exact"/>
        <w:rPr>
          <w:rFonts w:ascii="Arial" w:cs="Arial" w:eastAsia="Arial" w:hAnsi="Arial"/>
          <w:sz w:val="20"/>
          <w:szCs w:val="20"/>
          <w:color w:val="auto"/>
        </w:rPr>
      </w:pPr>
    </w:p>
    <w:p>
      <w:pPr>
        <w:jc w:val="both"/>
        <w:ind w:left="600" w:firstLine="599"/>
        <w:spacing w:after="0" w:line="266" w:lineRule="auto"/>
        <w:tabs>
          <w:tab w:leader="none" w:pos="1612" w:val="left"/>
        </w:tabs>
        <w:numPr>
          <w:ilvl w:val="1"/>
          <w:numId w:val="24"/>
        </w:numPr>
        <w:rPr>
          <w:rFonts w:ascii="Arial" w:cs="Arial" w:eastAsia="Arial" w:hAnsi="Arial"/>
          <w:sz w:val="20"/>
          <w:szCs w:val="20"/>
          <w:color w:val="auto"/>
        </w:rPr>
      </w:pPr>
      <w:r>
        <w:rPr>
          <w:rFonts w:ascii="Arial" w:cs="Arial" w:eastAsia="Arial" w:hAnsi="Arial"/>
          <w:sz w:val="20"/>
          <w:szCs w:val="20"/>
          <w:color w:val="auto"/>
        </w:rPr>
        <w:t>not more than 20% of the Unencumbered Asset Value at any time may be in respect of Unencumbered Eligible Properties that are referenced in clauses (b) and (c) above, with any excess over the foregoing limit being excluded from the Unencumbered Asset Value.</w:t>
      </w:r>
    </w:p>
    <w:p>
      <w:pPr>
        <w:spacing w:after="0" w:line="160" w:lineRule="exact"/>
        <w:rPr>
          <w:sz w:val="20"/>
          <w:szCs w:val="20"/>
          <w:color w:val="auto"/>
        </w:rPr>
      </w:pPr>
    </w:p>
    <w:p>
      <w:pPr>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Unencumbered Eligible Property</w:t>
      </w:r>
      <w:r>
        <w:rPr>
          <w:rFonts w:ascii="Arial" w:cs="Arial" w:eastAsia="Arial" w:hAnsi="Arial"/>
          <w:sz w:val="20"/>
          <w:szCs w:val="20"/>
          <w:color w:val="auto"/>
        </w:rPr>
        <w:t>” means, at any time, an Unencumbered Portfolio Property that meets each of the following criteria at such time:</w:t>
      </w:r>
    </w:p>
    <w:p>
      <w:pPr>
        <w:spacing w:after="0" w:line="153" w:lineRule="exact"/>
        <w:rPr>
          <w:sz w:val="20"/>
          <w:szCs w:val="20"/>
          <w:color w:val="auto"/>
        </w:rPr>
      </w:pPr>
    </w:p>
    <w:p>
      <w:pPr>
        <w:jc w:val="both"/>
        <w:ind w:left="620" w:firstLine="554"/>
        <w:spacing w:after="0" w:line="260" w:lineRule="auto"/>
        <w:tabs>
          <w:tab w:leader="none" w:pos="1633" w:val="left"/>
        </w:tabs>
        <w:numPr>
          <w:ilvl w:val="0"/>
          <w:numId w:val="25"/>
        </w:numPr>
        <w:rPr>
          <w:rFonts w:ascii="Arial" w:cs="Arial" w:eastAsia="Arial" w:hAnsi="Arial"/>
          <w:sz w:val="20"/>
          <w:szCs w:val="20"/>
          <w:color w:val="auto"/>
        </w:rPr>
      </w:pPr>
      <w:r>
        <w:rPr>
          <w:rFonts w:ascii="Arial" w:cs="Arial" w:eastAsia="Arial" w:hAnsi="Arial"/>
          <w:sz w:val="20"/>
          <w:szCs w:val="20"/>
          <w:color w:val="auto"/>
        </w:rPr>
        <w:t>each Direct Owner and Indirect Owner of such Unencumbered Portfolio Property is a Wholly Owned Subsidiary of the Borrower or a Controlled Joint Venture, in each case, that is organized in the District of Columbia or a state within the United States of America, and such Unencumbered Portfolio Property is located in the District of Columbia or a state within the United States of America;</w:t>
      </w:r>
    </w:p>
    <w:p>
      <w:pPr>
        <w:spacing w:after="0" w:line="164" w:lineRule="exact"/>
        <w:rPr>
          <w:rFonts w:ascii="Arial" w:cs="Arial" w:eastAsia="Arial" w:hAnsi="Arial"/>
          <w:sz w:val="20"/>
          <w:szCs w:val="20"/>
          <w:color w:val="auto"/>
        </w:rPr>
      </w:pPr>
    </w:p>
    <w:p>
      <w:pPr>
        <w:jc w:val="both"/>
        <w:ind w:left="620" w:firstLine="554"/>
        <w:spacing w:after="0" w:line="260" w:lineRule="auto"/>
        <w:tabs>
          <w:tab w:leader="none" w:pos="1656" w:val="left"/>
        </w:tabs>
        <w:numPr>
          <w:ilvl w:val="0"/>
          <w:numId w:val="25"/>
        </w:numPr>
        <w:rPr>
          <w:rFonts w:ascii="Arial" w:cs="Arial" w:eastAsia="Arial" w:hAnsi="Arial"/>
          <w:sz w:val="20"/>
          <w:szCs w:val="20"/>
          <w:color w:val="auto"/>
        </w:rPr>
      </w:pPr>
      <w:r>
        <w:rPr>
          <w:rFonts w:ascii="Arial" w:cs="Arial" w:eastAsia="Arial" w:hAnsi="Arial"/>
          <w:sz w:val="20"/>
          <w:szCs w:val="20"/>
          <w:color w:val="auto"/>
        </w:rPr>
        <w:t>such Unencumbered Portfolio Property (and the income therefrom and proceeds thereof) is not subject to any Liens or other encumbrances (other than Permitted Unencumbered Property Liens), and such Unencumbered Portfolio Property is in good order and condition and is free of all title, survey and other defects (other than defects constituting Permitted Unencumbered Property Liens);</w:t>
      </w:r>
    </w:p>
    <w:p>
      <w:pPr>
        <w:spacing w:after="0" w:line="164" w:lineRule="exact"/>
        <w:rPr>
          <w:rFonts w:ascii="Arial" w:cs="Arial" w:eastAsia="Arial" w:hAnsi="Arial"/>
          <w:sz w:val="20"/>
          <w:szCs w:val="20"/>
          <w:color w:val="auto"/>
        </w:rPr>
      </w:pPr>
    </w:p>
    <w:p>
      <w:pPr>
        <w:jc w:val="both"/>
        <w:ind w:left="620" w:firstLine="554"/>
        <w:spacing w:after="0" w:line="266" w:lineRule="auto"/>
        <w:tabs>
          <w:tab w:leader="none" w:pos="1608" w:val="left"/>
        </w:tabs>
        <w:numPr>
          <w:ilvl w:val="0"/>
          <w:numId w:val="25"/>
        </w:numPr>
        <w:rPr>
          <w:rFonts w:ascii="Arial" w:cs="Arial" w:eastAsia="Arial" w:hAnsi="Arial"/>
          <w:sz w:val="20"/>
          <w:szCs w:val="20"/>
          <w:color w:val="auto"/>
        </w:rPr>
      </w:pPr>
      <w:r>
        <w:rPr>
          <w:rFonts w:ascii="Arial" w:cs="Arial" w:eastAsia="Arial" w:hAnsi="Arial"/>
          <w:sz w:val="20"/>
          <w:szCs w:val="20"/>
          <w:color w:val="auto"/>
        </w:rPr>
        <w:t xml:space="preserve">the Equity Interests of each Direct Owner, and those of each Indirect Owner of any such Direct Owner, are not junior in any manner to any other class of Equity Interests in such Person or subject to any Liens or other encumbrances (other than Liens permitted under </w:t>
      </w:r>
      <w:r>
        <w:rPr>
          <w:rFonts w:ascii="Arial" w:cs="Arial" w:eastAsia="Arial" w:hAnsi="Arial"/>
          <w:sz w:val="20"/>
          <w:szCs w:val="20"/>
          <w:u w:val="single" w:color="auto"/>
          <w:color w:val="auto"/>
        </w:rPr>
        <w:t>Section 7.01(a)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(l)</w:t>
      </w:r>
      <w:r>
        <w:rPr>
          <w:rFonts w:ascii="Arial" w:cs="Arial" w:eastAsia="Arial" w:hAnsi="Arial"/>
          <w:sz w:val="20"/>
          <w:szCs w:val="20"/>
          <w:color w:val="auto"/>
        </w:rPr>
        <w:t xml:space="preserve"> and Permitted Pari Passu Encumbrances);</w:t>
      </w:r>
    </w:p>
    <w:p>
      <w:pPr>
        <w:spacing w:after="0" w:line="197"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37</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49" w:name="page50"/>
    <w:bookmarkEnd w:id="49"/>
    <w:p>
      <w:pPr>
        <w:jc w:val="both"/>
        <w:ind w:left="600" w:firstLine="599"/>
        <w:spacing w:after="0" w:line="266" w:lineRule="auto"/>
        <w:tabs>
          <w:tab w:leader="none" w:pos="1612" w:val="left"/>
        </w:tabs>
        <w:numPr>
          <w:ilvl w:val="1"/>
          <w:numId w:val="26"/>
        </w:numPr>
        <w:rPr>
          <w:rFonts w:ascii="Arial" w:cs="Arial" w:eastAsia="Arial" w:hAnsi="Arial"/>
          <w:sz w:val="20"/>
          <w:szCs w:val="20"/>
          <w:color w:val="auto"/>
        </w:rPr>
      </w:pPr>
      <w:r>
        <w:rPr>
          <w:rFonts w:ascii="Arial" w:cs="Arial" w:eastAsia="Arial" w:hAnsi="Arial"/>
          <w:sz w:val="20"/>
          <w:szCs w:val="20"/>
          <w:color w:val="auto"/>
        </w:rPr>
        <w:t xml:space="preserve">no Direct Owner or Indirect Owner of such Unencumbered Portfolio Property shall have any Indebtedness (other than the Obligations and other Indebtedness permitted under </w:t>
      </w:r>
      <w:r>
        <w:rPr>
          <w:rFonts w:ascii="Arial" w:cs="Arial" w:eastAsia="Arial" w:hAnsi="Arial"/>
          <w:sz w:val="20"/>
          <w:szCs w:val="20"/>
          <w:u w:val="single" w:color="auto"/>
          <w:color w:val="auto"/>
        </w:rPr>
        <w:t>Section 7.02</w:t>
      </w:r>
      <w:r>
        <w:rPr>
          <w:rFonts w:ascii="Arial" w:cs="Arial" w:eastAsia="Arial" w:hAnsi="Arial"/>
          <w:sz w:val="20"/>
          <w:szCs w:val="20"/>
          <w:color w:val="auto"/>
        </w:rPr>
        <w:t>) and shall not be subject to any proceedings under any Debtor Relief Law;</w:t>
      </w:r>
    </w:p>
    <w:p>
      <w:pPr>
        <w:spacing w:after="0" w:line="159" w:lineRule="exact"/>
        <w:rPr>
          <w:rFonts w:ascii="Arial" w:cs="Arial" w:eastAsia="Arial" w:hAnsi="Arial"/>
          <w:sz w:val="20"/>
          <w:szCs w:val="20"/>
          <w:color w:val="auto"/>
        </w:rPr>
      </w:pPr>
    </w:p>
    <w:p>
      <w:pPr>
        <w:ind w:left="620" w:firstLine="554"/>
        <w:spacing w:after="0" w:line="285" w:lineRule="auto"/>
        <w:tabs>
          <w:tab w:leader="none" w:pos="16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such Unencumbered Portfolio Property is free of Hazardous Materials except as would not materially affect the value of such Unencumbered Portfolio Property;</w:t>
      </w:r>
    </w:p>
    <w:p>
      <w:pPr>
        <w:spacing w:after="0" w:line="140" w:lineRule="exact"/>
        <w:rPr>
          <w:rFonts w:ascii="Arial" w:cs="Arial" w:eastAsia="Arial" w:hAnsi="Arial"/>
          <w:sz w:val="20"/>
          <w:szCs w:val="20"/>
          <w:color w:val="auto"/>
        </w:rPr>
      </w:pPr>
    </w:p>
    <w:p>
      <w:pPr>
        <w:jc w:val="both"/>
        <w:ind w:left="620" w:firstLine="554"/>
        <w:spacing w:after="0" w:line="267" w:lineRule="auto"/>
        <w:tabs>
          <w:tab w:leader="none" w:pos="1623" w:val="left"/>
        </w:tabs>
        <w:numPr>
          <w:ilvl w:val="0"/>
          <w:numId w:val="27"/>
        </w:numPr>
        <w:rPr>
          <w:rFonts w:ascii="Arial" w:cs="Arial" w:eastAsia="Arial" w:hAnsi="Arial"/>
          <w:sz w:val="19"/>
          <w:szCs w:val="19"/>
          <w:color w:val="auto"/>
        </w:rPr>
      </w:pPr>
      <w:r>
        <w:rPr>
          <w:rFonts w:ascii="Arial" w:cs="Arial" w:eastAsia="Arial" w:hAnsi="Arial"/>
          <w:sz w:val="19"/>
          <w:szCs w:val="19"/>
          <w:color w:val="auto"/>
        </w:rPr>
        <w:t>such Unencumbered Portfolio Property is free and clear of all negative pledges or any restrictions on the ability of the Subsidiary of the Borrower that owns or ground leases such Unencumbered Portfolio Property to transfer or encumber such Unencumbered Portfolio Property, except for (1) Permitted Pari Passu Encumbrances and (2) customary restrictions on Liens, assignments and transfers of assets contained in leases, licenses and other Contractual Obligations entered into in the ordinary course of business that (x) do not prevent the grant of a Lien on such Unencumbered Portfolio Property to secure the Obligations, (y) would not prevent a mortgagee of such Unencumbered Portfolio Property from transferring such Unencumbered Portfolio Property in the event such mortgagee were to foreclose on its Lien on such Unencumbered Portfolio Property and (z) do not materially impair or interfere in the use or operations of such Unencumbered Portfolio Property or the Administrative Agent’s and the Lenders’ rights and remedies under the Loan Documents; and</w:t>
      </w:r>
    </w:p>
    <w:p>
      <w:pPr>
        <w:spacing w:after="0" w:line="160" w:lineRule="exact"/>
        <w:rPr>
          <w:rFonts w:ascii="Arial" w:cs="Arial" w:eastAsia="Arial" w:hAnsi="Arial"/>
          <w:sz w:val="19"/>
          <w:szCs w:val="19"/>
          <w:color w:val="auto"/>
        </w:rPr>
      </w:pPr>
    </w:p>
    <w:p>
      <w:pPr>
        <w:jc w:val="both"/>
        <w:ind w:left="600" w:firstLine="599"/>
        <w:spacing w:after="0" w:line="260" w:lineRule="auto"/>
        <w:tabs>
          <w:tab w:leader="none" w:pos="1636" w:val="left"/>
        </w:tabs>
        <w:numPr>
          <w:ilvl w:val="1"/>
          <w:numId w:val="27"/>
        </w:numPr>
        <w:rPr>
          <w:rFonts w:ascii="Arial" w:cs="Arial" w:eastAsia="Arial" w:hAnsi="Arial"/>
          <w:sz w:val="20"/>
          <w:szCs w:val="20"/>
          <w:color w:val="auto"/>
        </w:rPr>
      </w:pPr>
      <w:r>
        <w:rPr>
          <w:rFonts w:ascii="Arial" w:cs="Arial" w:eastAsia="Arial" w:hAnsi="Arial"/>
          <w:sz w:val="20"/>
          <w:szCs w:val="20"/>
          <w:color w:val="auto"/>
        </w:rPr>
        <w:t>in the case of an Unencumbered Portfolio Property other than a Qualified Development Property, after giving pro forma effect to the inclusion of such Unencumbered Portfolio Property as an Unencumbered Eligible Property, the aggregate minimum occupancy for all Unencumbered Portfolio Properties (other than Hotel Properties) included in the calculation of Unencumbered Asset Value shall be at least 80%;</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 Unencumbered Portfolio Property shall not constitute an Unencumbered Eligible Property unless and until the Borrower has delivered to the Administrative Agent a certificate signed by a Responsible Officer of the Borrower designating such Unencumbered Portfolio Property as an “Unencumbered Eligible Property” and certifying that such Unencumbered Portfolio Property satisfies each of the eligibility criteria set forth in clauses (a) through (g) above (or, in the case an Unencumbered Portfolio Property that satisfies each of the eligibility criteria set forth in clauses (a) through (g) above on the Restatement Effective Date, is listed on </w:t>
      </w:r>
      <w:r>
        <w:rPr>
          <w:rFonts w:ascii="Arial" w:cs="Arial" w:eastAsia="Arial" w:hAnsi="Arial"/>
          <w:sz w:val="19"/>
          <w:szCs w:val="19"/>
          <w:u w:val="single" w:color="auto"/>
          <w:color w:val="auto"/>
        </w:rPr>
        <w:t>Schedule III</w:t>
      </w:r>
      <w:r>
        <w:rPr>
          <w:rFonts w:ascii="Arial" w:cs="Arial" w:eastAsia="Arial" w:hAnsi="Arial"/>
          <w:sz w:val="19"/>
          <w:szCs w:val="19"/>
          <w:color w:val="auto"/>
        </w:rPr>
        <w:t xml:space="preserve"> hereto), (ii) if at any time any Unencumbered Portfolio Property that is included as an “Unencumbered Eligible Property” (whether on the Restatement Effective Date or at any thereafter) ceases to satisfy any of the eligibility criteria set forth in clauses (a) through (g) above, such Unencumbered Portfolio Property shall automatically cease to be an Unencumbered Eligible Property at such time and the Borrower shall promptly notify the Lender in writing thereof and (iii) the Borrower may rescind the designation of any Unencumbered Portfolio Property as an “Unencumbered Eligible Property” at any time by providing written notice thereof to the Administrative Agent so long as (x) no Default or Event of Default has occurred and is continuing or would result therefrom and (y) the Loan Parties are in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compliance with the covenants contained in </w:t>
      </w:r>
      <w:r>
        <w:rPr>
          <w:rFonts w:ascii="Arial" w:cs="Arial" w:eastAsia="Arial" w:hAnsi="Arial"/>
          <w:sz w:val="19"/>
          <w:szCs w:val="19"/>
          <w:u w:val="single" w:color="auto"/>
          <w:color w:val="auto"/>
        </w:rPr>
        <w:t>Section 7.02(b)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after giving effect thereto.</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Notwithstanding anything to the contrary contained herein, an Unencumbered Portfolio Property shall not be deemed an Unencumbered Eligible Property if any Direct Owner or Indirect Owner thereof that is not a Guarantor is obligated in respect of any outstanding Indebtedness for borrowed money that constitutes Recourse Indebtedness.</w:t>
      </w:r>
    </w:p>
    <w:p>
      <w:pPr>
        <w:spacing w:after="0" w:line="164"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Unencumbered Portfolio Property</w:t>
      </w:r>
      <w:r>
        <w:rPr>
          <w:rFonts w:ascii="Arial" w:cs="Arial" w:eastAsia="Arial" w:hAnsi="Arial"/>
          <w:sz w:val="20"/>
          <w:szCs w:val="20"/>
          <w:color w:val="auto"/>
        </w:rPr>
        <w:t>” means any real property (i) that is 100% directly owned by one or more Wholly Owned Subsidiaries of the Borrower that are Guarantors; (ii) that is 100% owned directly</w:t>
      </w:r>
    </w:p>
    <w:p>
      <w:pPr>
        <w:spacing w:after="0" w:line="390"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38</w:t>
      </w:r>
      <w:r>
        <w:rPr>
          <w:rFonts w:ascii="MS PGothic" w:cs="MS PGothic" w:eastAsia="MS PGothic" w:hAnsi="MS PGothic"/>
          <w:sz w:val="20"/>
          <w:szCs w:val="20"/>
          <w:color w:val="auto"/>
        </w:rPr>
        <w:t>‑</w:t>
      </w:r>
    </w:p>
    <w:p>
      <w:pPr>
        <w:sectPr>
          <w:pgSz w:w="11900" w:h="16838" w:orient="portrait"/>
          <w:cols w:equalWidth="0" w:num="1">
            <w:col w:w="11420"/>
          </w:cols>
          <w:pgMar w:left="240" w:top="757" w:right="239" w:bottom="1440" w:gutter="0" w:footer="0" w:header="0"/>
        </w:sectPr>
      </w:pPr>
    </w:p>
    <w:bookmarkStart w:id="50" w:name="page51"/>
    <w:bookmarkEnd w:id="50"/>
    <w:p>
      <w:pPr>
        <w:jc w:val="both"/>
        <w:spacing w:after="0" w:line="253" w:lineRule="auto"/>
        <w:rPr>
          <w:sz w:val="20"/>
          <w:szCs w:val="20"/>
          <w:color w:val="auto"/>
        </w:rPr>
      </w:pPr>
      <w:r>
        <w:rPr>
          <w:rFonts w:ascii="Arial" w:cs="Arial" w:eastAsia="Arial" w:hAnsi="Arial"/>
          <w:sz w:val="20"/>
          <w:szCs w:val="20"/>
          <w:color w:val="auto"/>
        </w:rPr>
        <w:t xml:space="preserve">by a Controlled Joint Venture or (iii) in which one or more Wholly Owned Subsidiaries of the Borrower that are Guarantors or a Controlled Joint Venture, as applicable, holds a 100% ground leasehold interest under an Eligible Ground Lease; </w:t>
      </w:r>
      <w:r>
        <w:rPr>
          <w:rFonts w:ascii="Arial" w:cs="Arial" w:eastAsia="Arial" w:hAnsi="Arial"/>
          <w:sz w:val="20"/>
          <w:szCs w:val="20"/>
          <w:u w:val="single" w:color="auto"/>
          <w:color w:val="auto"/>
        </w:rPr>
        <w:t>provided</w:t>
      </w:r>
      <w:r>
        <w:rPr>
          <w:rFonts w:ascii="Arial" w:cs="Arial" w:eastAsia="Arial" w:hAnsi="Arial"/>
          <w:sz w:val="20"/>
          <w:szCs w:val="20"/>
          <w:color w:val="auto"/>
        </w:rPr>
        <w:t>, that in the case of clauses (i) and (iii) of this definition, if the Exemption Condition exists at any time with respect to a Wholly Owned Subsidiary of the Borrower that owns or ground leases all or any portion of such real property, the requirement that such Wholly Owned Subsidiary be a Guarantor shall not apply to such Wholly Owned Subsidiary.</w:t>
      </w:r>
    </w:p>
    <w:p>
      <w:pPr>
        <w:spacing w:after="0" w:line="174" w:lineRule="exact"/>
        <w:rPr>
          <w:sz w:val="20"/>
          <w:szCs w:val="20"/>
          <w:color w:val="auto"/>
        </w:rPr>
      </w:pPr>
    </w:p>
    <w:p>
      <w:pPr>
        <w:jc w:val="both"/>
        <w:ind w:firstLine="599"/>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Unencumbered Property NOI</w:t>
      </w:r>
      <w:r>
        <w:rPr>
          <w:rFonts w:ascii="Arial" w:cs="Arial" w:eastAsia="Arial" w:hAnsi="Arial"/>
          <w:sz w:val="19"/>
          <w:szCs w:val="19"/>
          <w:color w:val="auto"/>
        </w:rPr>
        <w:t xml:space="preserve">” means, with respect to any Unencumbered Eligible Property for any fiscal quarter of the REIT, an amount equal to (a) the Portfolio Property Net Operating Income of such Unencumbered Eligible Property for such fiscal quarter, </w:t>
      </w:r>
      <w:r>
        <w:rPr>
          <w:rFonts w:ascii="Arial" w:cs="Arial" w:eastAsia="Arial" w:hAnsi="Arial"/>
          <w:sz w:val="19"/>
          <w:szCs w:val="19"/>
          <w:u w:val="single" w:color="auto"/>
          <w:color w:val="auto"/>
        </w:rPr>
        <w:t>minus</w:t>
      </w:r>
    </w:p>
    <w:p>
      <w:pPr>
        <w:spacing w:after="0" w:line="1" w:lineRule="exact"/>
        <w:rPr>
          <w:sz w:val="20"/>
          <w:szCs w:val="20"/>
          <w:color w:val="auto"/>
        </w:rPr>
      </w:pPr>
    </w:p>
    <w:p>
      <w:pPr>
        <w:jc w:val="both"/>
        <w:spacing w:after="0" w:line="250" w:lineRule="auto"/>
        <w:tabs>
          <w:tab w:leader="none" w:pos="288" w:val="left"/>
        </w:tabs>
        <w:numPr>
          <w:ilvl w:val="0"/>
          <w:numId w:val="28"/>
        </w:numPr>
        <w:rPr>
          <w:rFonts w:ascii="Arial" w:cs="Arial" w:eastAsia="Arial" w:hAnsi="Arial"/>
          <w:sz w:val="20"/>
          <w:szCs w:val="20"/>
          <w:color w:val="auto"/>
        </w:rPr>
      </w:pPr>
      <w:r>
        <w:rPr>
          <w:rFonts w:ascii="Arial" w:cs="Arial" w:eastAsia="Arial" w:hAnsi="Arial"/>
          <w:sz w:val="20"/>
          <w:szCs w:val="20"/>
          <w:color w:val="auto"/>
        </w:rPr>
        <w:t xml:space="preserve">the Annual Capital Expenditure Adjustment with respect to such Unencumbered Eligible Property for such fiscal quarter; </w:t>
      </w:r>
      <w:r>
        <w:rPr>
          <w:rFonts w:ascii="Arial" w:cs="Arial" w:eastAsia="Arial" w:hAnsi="Arial"/>
          <w:sz w:val="20"/>
          <w:szCs w:val="20"/>
          <w:u w:val="single" w:color="auto"/>
          <w:color w:val="auto"/>
        </w:rPr>
        <w:t>provided</w:t>
      </w:r>
      <w:r>
        <w:rPr>
          <w:rFonts w:ascii="Arial" w:cs="Arial" w:eastAsia="Arial" w:hAnsi="Arial"/>
          <w:sz w:val="20"/>
          <w:szCs w:val="20"/>
          <w:color w:val="auto"/>
        </w:rPr>
        <w:t>, that if an Unencumbered Eligible Property is owned, or ground leased under an Eligible Ground Lease, by a Controlled Joint Venture, the Unencumbered Property NOI of such Unencumbered Eligible Property shall, for such period, be the Loan Party Pro Rata Share of such Unencumbered Property NOI.</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 the United States of America.</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Unreimbursed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2.03(c)(i)</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 Cash Amount</w:t>
      </w:r>
      <w:r>
        <w:rPr>
          <w:rFonts w:ascii="Arial" w:cs="Arial" w:eastAsia="Arial" w:hAnsi="Arial"/>
          <w:sz w:val="19"/>
          <w:szCs w:val="19"/>
          <w:color w:val="auto"/>
        </w:rPr>
        <w:t>” means, as of any date, an amount equal to the greater of (a) the excess of (i) the aggregate amount of cash and Cash Equivalents of the Consolidated Group on such date that are not subject to any pledge, Lien or control agreement (excluding statutory Liens in favor of any depositary bank where such cash is maintained), minus (ii) the sum of (x) $15,000,000, plus (y) amounts included in the foregoing clause (i) that are held in the name of, or in the possession or control of a Person (other than any possession or control by such Person arising solely from such Person acting in its capacity as a depository or financial intermediary for, or on behalf of, a member of the Consolidated Group) that is not the REIT, the Borrower or any their respective Subsidiaries as deposits or security for contractual obligations plus (z) the Total Revolving Credit Outstandings on such date and (b) $0.</w:t>
      </w:r>
    </w:p>
    <w:p>
      <w:pPr>
        <w:spacing w:after="0" w:line="160" w:lineRule="exact"/>
        <w:rPr>
          <w:sz w:val="20"/>
          <w:szCs w:val="20"/>
          <w:color w:val="auto"/>
        </w:rPr>
      </w:pPr>
    </w:p>
    <w:p>
      <w:pPr>
        <w:jc w:val="both"/>
        <w:ind w:firstLine="599"/>
        <w:spacing w:after="0" w:line="3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Unsecured Indebtedness</w:t>
      </w:r>
      <w:r>
        <w:rPr>
          <w:rFonts w:ascii="Arial" w:cs="Arial" w:eastAsia="Arial" w:hAnsi="Arial"/>
          <w:sz w:val="17"/>
          <w:szCs w:val="17"/>
          <w:color w:val="auto"/>
        </w:rPr>
        <w:t xml:space="preserve">” means, with respect to any Person, all Indebtedness owed by such Person that is not Secured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any Indebtedness that is secured only by a pledge of Equity Interests shall be deemed to be Unsecured Indebtedness.</w:t>
      </w:r>
    </w:p>
    <w:p>
      <w:pPr>
        <w:spacing w:after="0" w:line="8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Bank</w:t>
      </w:r>
      <w:r>
        <w:rPr>
          <w:rFonts w:ascii="Arial" w:cs="Arial" w:eastAsia="Arial" w:hAnsi="Arial"/>
          <w:sz w:val="20"/>
          <w:szCs w:val="20"/>
          <w:color w:val="auto"/>
        </w:rPr>
        <w:t>” means U.S. Bank National Association.</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any Person that is a “United States Person” as defined in Section 7701(a)(30) of the Code.</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3.01(e)(ii)(B)(III)</w:t>
      </w:r>
      <w:r>
        <w:rPr>
          <w:rFonts w:ascii="Arial" w:cs="Arial" w:eastAsia="Arial" w:hAnsi="Arial"/>
          <w:sz w:val="20"/>
          <w:szCs w:val="20"/>
          <w:color w:val="auto"/>
        </w:rPr>
        <w: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Wells Fargo Bank</w:t>
      </w:r>
      <w:r>
        <w:rPr>
          <w:rFonts w:ascii="Arial" w:cs="Arial" w:eastAsia="Arial" w:hAnsi="Arial"/>
          <w:sz w:val="20"/>
          <w:szCs w:val="20"/>
          <w:color w:val="auto"/>
        </w:rPr>
        <w:t>” means Wells Fargo Bank, National Association.</w:t>
      </w:r>
    </w:p>
    <w:p>
      <w:pPr>
        <w:spacing w:after="0" w:line="207" w:lineRule="exact"/>
        <w:rPr>
          <w:sz w:val="20"/>
          <w:szCs w:val="20"/>
          <w:color w:val="auto"/>
        </w:rPr>
      </w:pPr>
    </w:p>
    <w:p>
      <w:pPr>
        <w:jc w:val="both"/>
        <w:ind w:firstLine="599"/>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shall mean, as to any Person, (a) any corporation 100% of whose Equity Interests (other than directors’ qualifying shares) is at the time owned by such Person and/or one or more Wholly Owned Subsidiaries of such Person and (b) any partnership, association, joint venture, limited liability company or other entity in which such Person and/or one or more Wholly Owned Subsidiaries of such Person have a 100% equity interest at such time. For purposes hereof, so long as the Borrower remains a Subsidiary of the REIT, the Borrower and its Wholly Owned Subsidiaries shall be deemed to be Wholly Owned Subsidiaries of the REIT.</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Agent</w:t>
      </w:r>
      <w:r>
        <w:rPr>
          <w:rFonts w:ascii="Arial" w:cs="Arial" w:eastAsia="Arial" w:hAnsi="Arial"/>
          <w:sz w:val="20"/>
          <w:szCs w:val="20"/>
          <w:color w:val="auto"/>
        </w:rPr>
        <w:t>” means any Loan Party and the Administrative Agent.</w:t>
      </w:r>
    </w:p>
    <w:p>
      <w:pPr>
        <w:spacing w:after="0" w:line="200" w:lineRule="exact"/>
        <w:rPr>
          <w:sz w:val="20"/>
          <w:szCs w:val="20"/>
          <w:color w:val="auto"/>
        </w:rPr>
      </w:pPr>
    </w:p>
    <w:p>
      <w:pPr>
        <w:spacing w:after="0" w:line="244"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39</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51" w:name="page52"/>
    <w:bookmarkEnd w:id="51"/>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64" w:lineRule="exact"/>
        <w:rPr>
          <w:sz w:val="20"/>
          <w:szCs w:val="20"/>
          <w:color w:val="auto"/>
        </w:rPr>
      </w:pPr>
    </w:p>
    <w:p>
      <w:pPr>
        <w:ind w:left="600"/>
        <w:spacing w:after="0" w:line="272"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u w:val="single" w:color="auto"/>
          <w:color w:val="auto"/>
        </w:rPr>
        <w:t>Other Interpretive Provisions</w:t>
      </w:r>
      <w:r>
        <w:rPr>
          <w:rFonts w:ascii="Arial" w:cs="Arial" w:eastAsia="Arial" w:hAnsi="Arial"/>
          <w:sz w:val="20"/>
          <w:szCs w:val="20"/>
          <w:color w:val="auto"/>
        </w:rPr>
        <w:t>. With reference to this Agreement and each other Loan Document, unless otherwise specified herein or in such other Loan Document:</w:t>
      </w:r>
    </w:p>
    <w:p>
      <w:pPr>
        <w:spacing w:after="0" w:line="191" w:lineRule="exact"/>
        <w:rPr>
          <w:sz w:val="20"/>
          <w:szCs w:val="20"/>
          <w:color w:val="auto"/>
        </w:rPr>
      </w:pPr>
    </w:p>
    <w:p>
      <w:pPr>
        <w:jc w:val="both"/>
        <w:ind w:firstLine="599"/>
        <w:spacing w:after="0" w:line="280" w:lineRule="auto"/>
        <w:tabs>
          <w:tab w:leader="none" w:pos="1384" w:val="left"/>
        </w:tabs>
        <w:numPr>
          <w:ilvl w:val="0"/>
          <w:numId w:val="29"/>
        </w:numPr>
        <w:rPr>
          <w:rFonts w:ascii="Arial" w:cs="Arial" w:eastAsia="Arial" w:hAnsi="Arial"/>
          <w:sz w:val="15"/>
          <w:szCs w:val="15"/>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8"/>
          <w:szCs w:val="18"/>
          <w:u w:val="single" w:color="auto"/>
          <w:color w:val="auto"/>
        </w:rPr>
        <w:t>asset</w:t>
      </w:r>
      <w:r>
        <w:rPr>
          <w:rFonts w:ascii="Arial" w:cs="Arial" w:eastAsia="Arial" w:hAnsi="Arial"/>
          <w:sz w:val="18"/>
          <w:szCs w:val="18"/>
          <w:color w:val="auto"/>
        </w:rPr>
        <w:t>” and “</w:t>
      </w:r>
      <w:r>
        <w:rPr>
          <w:rFonts w:ascii="Arial" w:cs="Arial" w:eastAsia="Arial" w:hAnsi="Arial"/>
          <w:sz w:val="18"/>
          <w:szCs w:val="18"/>
          <w:u w:val="single" w:color="auto"/>
          <w:color w:val="auto"/>
        </w:rPr>
        <w:t>property</w:t>
      </w:r>
      <w:r>
        <w:rPr>
          <w:rFonts w:ascii="Arial" w:cs="Arial" w:eastAsia="Arial" w:hAnsi="Arial"/>
          <w:sz w:val="18"/>
          <w:szCs w:val="18"/>
          <w:color w:val="auto"/>
        </w:rPr>
        <w:t>” shall be construed to have the same meaning and effect and to refer to any and all tangible and intangible assets and properties, including cash, securities, accounts and contract rights.</w:t>
      </w:r>
    </w:p>
    <w:p>
      <w:pPr>
        <w:spacing w:after="0" w:line="187" w:lineRule="exact"/>
        <w:rPr>
          <w:rFonts w:ascii="Arial" w:cs="Arial" w:eastAsia="Arial" w:hAnsi="Arial"/>
          <w:sz w:val="15"/>
          <w:szCs w:val="15"/>
          <w:color w:val="auto"/>
        </w:rPr>
      </w:pPr>
    </w:p>
    <w:p>
      <w:pPr>
        <w:ind w:firstLine="599"/>
        <w:spacing w:after="0" w:line="285" w:lineRule="auto"/>
        <w:tabs>
          <w:tab w:leader="none" w:pos="1393" w:val="left"/>
        </w:tabs>
        <w:numPr>
          <w:ilvl w:val="0"/>
          <w:numId w:val="29"/>
        </w:numPr>
        <w:rPr>
          <w:rFonts w:ascii="Arial" w:cs="Arial" w:eastAsia="Arial" w:hAnsi="Arial"/>
          <w:sz w:val="17"/>
          <w:szCs w:val="17"/>
          <w:color w:val="auto"/>
        </w:rPr>
      </w:pPr>
      <w:r>
        <w:rPr>
          <w:rFonts w:ascii="Arial" w:cs="Arial" w:eastAsia="Arial" w:hAnsi="Arial"/>
          <w:sz w:val="20"/>
          <w:szCs w:val="20"/>
          <w:color w:val="auto"/>
        </w:rPr>
        <w:t>In the computation of periods of time from a specified date to a later specified date, the word “</w:t>
      </w:r>
      <w:r>
        <w:rPr>
          <w:rFonts w:ascii="Arial" w:cs="Arial" w:eastAsia="Arial" w:hAnsi="Arial"/>
          <w:sz w:val="20"/>
          <w:szCs w:val="20"/>
          <w:u w:val="single" w:color="auto"/>
          <w:color w:val="auto"/>
        </w:rPr>
        <w:t>from</w:t>
      </w:r>
      <w:r>
        <w:rPr>
          <w:rFonts w:ascii="Arial" w:cs="Arial" w:eastAsia="Arial" w:hAnsi="Arial"/>
          <w:sz w:val="20"/>
          <w:szCs w:val="20"/>
          <w:color w:val="auto"/>
        </w:rPr>
        <w:t>” means “</w:t>
      </w:r>
      <w:r>
        <w:rPr>
          <w:rFonts w:ascii="Arial" w:cs="Arial" w:eastAsia="Arial" w:hAnsi="Arial"/>
          <w:sz w:val="20"/>
          <w:szCs w:val="20"/>
          <w:u w:val="single" w:color="auto"/>
          <w:color w:val="auto"/>
        </w:rPr>
        <w:t>from and</w:t>
      </w:r>
      <w:r>
        <w:rPr>
          <w:rFonts w:ascii="Arial" w:cs="Arial" w:eastAsia="Arial" w:hAnsi="Arial"/>
          <w:sz w:val="20"/>
          <w:szCs w:val="20"/>
          <w:color w:val="auto"/>
        </w:rPr>
        <w:t xml:space="preserve"> </w:t>
      </w:r>
      <w:r>
        <w:rPr>
          <w:rFonts w:ascii="Arial" w:cs="Arial" w:eastAsia="Arial" w:hAnsi="Arial"/>
          <w:sz w:val="20"/>
          <w:szCs w:val="20"/>
          <w:u w:val="single" w:color="auto"/>
          <w:color w:val="auto"/>
        </w:rPr>
        <w:t>including</w:t>
      </w:r>
      <w:r>
        <w:rPr>
          <w:rFonts w:ascii="Arial" w:cs="Arial" w:eastAsia="Arial" w:hAnsi="Arial"/>
          <w:sz w:val="20"/>
          <w:szCs w:val="20"/>
          <w:color w:val="auto"/>
        </w:rPr>
        <w:t>;” the words “</w:t>
      </w:r>
      <w:r>
        <w:rPr>
          <w:rFonts w:ascii="Arial" w:cs="Arial" w:eastAsia="Arial" w:hAnsi="Arial"/>
          <w:sz w:val="20"/>
          <w:szCs w:val="20"/>
          <w:u w:val="single" w:color="auto"/>
          <w:color w:val="auto"/>
        </w:rPr>
        <w:t>to</w:t>
      </w:r>
      <w:r>
        <w:rPr>
          <w:rFonts w:ascii="Arial" w:cs="Arial" w:eastAsia="Arial" w:hAnsi="Arial"/>
          <w:sz w:val="20"/>
          <w:szCs w:val="20"/>
          <w:color w:val="auto"/>
        </w:rPr>
        <w:t>” and “</w:t>
      </w:r>
      <w:r>
        <w:rPr>
          <w:rFonts w:ascii="Arial" w:cs="Arial" w:eastAsia="Arial" w:hAnsi="Arial"/>
          <w:sz w:val="20"/>
          <w:szCs w:val="20"/>
          <w:u w:val="single" w:color="auto"/>
          <w:color w:val="auto"/>
        </w:rPr>
        <w:t>until</w:t>
      </w:r>
      <w:r>
        <w:rPr>
          <w:rFonts w:ascii="Arial" w:cs="Arial" w:eastAsia="Arial" w:hAnsi="Arial"/>
          <w:sz w:val="20"/>
          <w:szCs w:val="20"/>
          <w:color w:val="auto"/>
        </w:rPr>
        <w:t>” each mean “</w:t>
      </w:r>
      <w:r>
        <w:rPr>
          <w:rFonts w:ascii="Arial" w:cs="Arial" w:eastAsia="Arial" w:hAnsi="Arial"/>
          <w:sz w:val="20"/>
          <w:szCs w:val="20"/>
          <w:u w:val="single" w:color="auto"/>
          <w:color w:val="auto"/>
        </w:rPr>
        <w:t>to but excluding</w:t>
      </w:r>
      <w:r>
        <w:rPr>
          <w:rFonts w:ascii="Arial" w:cs="Arial" w:eastAsia="Arial" w:hAnsi="Arial"/>
          <w:sz w:val="20"/>
          <w:szCs w:val="20"/>
          <w:color w:val="auto"/>
        </w:rPr>
        <w:t>;” and the word “</w:t>
      </w:r>
      <w:r>
        <w:rPr>
          <w:rFonts w:ascii="Arial" w:cs="Arial" w:eastAsia="Arial" w:hAnsi="Arial"/>
          <w:sz w:val="20"/>
          <w:szCs w:val="20"/>
          <w:u w:val="single" w:color="auto"/>
          <w:color w:val="auto"/>
        </w:rPr>
        <w:t>through</w:t>
      </w:r>
      <w:r>
        <w:rPr>
          <w:rFonts w:ascii="Arial" w:cs="Arial" w:eastAsia="Arial" w:hAnsi="Arial"/>
          <w:sz w:val="20"/>
          <w:szCs w:val="20"/>
          <w:color w:val="auto"/>
        </w:rPr>
        <w:t>” means “</w:t>
      </w:r>
      <w:r>
        <w:rPr>
          <w:rFonts w:ascii="Arial" w:cs="Arial" w:eastAsia="Arial" w:hAnsi="Arial"/>
          <w:sz w:val="20"/>
          <w:szCs w:val="20"/>
          <w:u w:val="single" w:color="auto"/>
          <w:color w:val="auto"/>
        </w:rPr>
        <w:t>to and including</w:t>
      </w:r>
      <w:r>
        <w:rPr>
          <w:rFonts w:ascii="Arial" w:cs="Arial" w:eastAsia="Arial" w:hAnsi="Arial"/>
          <w:sz w:val="20"/>
          <w:szCs w:val="20"/>
          <w:color w:val="auto"/>
        </w:rPr>
        <w:t>.”</w:t>
      </w:r>
    </w:p>
    <w:p>
      <w:pPr>
        <w:spacing w:after="0" w:line="178" w:lineRule="exact"/>
        <w:rPr>
          <w:rFonts w:ascii="Arial" w:cs="Arial" w:eastAsia="Arial" w:hAnsi="Arial"/>
          <w:sz w:val="17"/>
          <w:szCs w:val="17"/>
          <w:color w:val="auto"/>
        </w:rPr>
      </w:pPr>
    </w:p>
    <w:p>
      <w:pPr>
        <w:ind w:firstLine="599"/>
        <w:spacing w:after="0" w:line="285" w:lineRule="auto"/>
        <w:tabs>
          <w:tab w:leader="none" w:pos="1384" w:val="left"/>
        </w:tabs>
        <w:numPr>
          <w:ilvl w:val="0"/>
          <w:numId w:val="29"/>
        </w:numPr>
        <w:rPr>
          <w:rFonts w:ascii="Arial" w:cs="Arial" w:eastAsia="Arial" w:hAnsi="Arial"/>
          <w:sz w:val="17"/>
          <w:szCs w:val="17"/>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178"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8"/>
          <w:szCs w:val="18"/>
          <w:u w:val="single" w:color="auto"/>
          <w:color w:val="auto"/>
        </w:rPr>
        <w:t>Accounting Terms</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67" w:lineRule="auto"/>
        <w:tabs>
          <w:tab w:leader="none" w:pos="1421"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as otherwise specifically prescribed herein. Notwithstanding the foregoing, for purposes of determining compliance with any covenant (including the computation of any financial covenant) contained herein, Indebtedness owed by the Consolidated Group shall be deemed to be carried at 100% of the outstanding principal amount thereof, and the effects of FASB ASC 825 and FASB ASC 470-20 on financial liabilities shall be disregarded.</w:t>
      </w:r>
    </w:p>
    <w:p>
      <w:pPr>
        <w:spacing w:after="0" w:line="196" w:lineRule="exact"/>
        <w:rPr>
          <w:rFonts w:ascii="Arial" w:cs="Arial" w:eastAsia="Arial" w:hAnsi="Arial"/>
          <w:sz w:val="19"/>
          <w:szCs w:val="19"/>
          <w:color w:val="auto"/>
        </w:rPr>
      </w:pPr>
    </w:p>
    <w:p>
      <w:pPr>
        <w:ind w:firstLine="599"/>
        <w:spacing w:after="0" w:line="272" w:lineRule="auto"/>
        <w:tabs>
          <w:tab w:leader="none" w:pos="1432"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Changes in GAAP</w:t>
      </w:r>
      <w:r>
        <w:rPr>
          <w:rFonts w:ascii="Arial" w:cs="Arial" w:eastAsia="Arial" w:hAnsi="Arial"/>
          <w:sz w:val="20"/>
          <w:szCs w:val="20"/>
          <w:color w:val="auto"/>
        </w:rPr>
        <w:t>. If at any time any change in GAAP would affect the computation of any financial ratio or requirement set forth in any Loan Document, and either the Borrower or the Required</w:t>
      </w:r>
    </w:p>
    <w:p>
      <w:pPr>
        <w:spacing w:after="0" w:line="19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40</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52" w:name="page53"/>
    <w:bookmarkEnd w:id="52"/>
    <w:p>
      <w:pPr>
        <w:jc w:val="both"/>
        <w:spacing w:after="0" w:line="250" w:lineRule="auto"/>
        <w:rPr>
          <w:sz w:val="20"/>
          <w:szCs w:val="20"/>
          <w:color w:val="auto"/>
        </w:rPr>
      </w:pPr>
      <w:r>
        <w:rPr>
          <w:rFonts w:ascii="Arial" w:cs="Arial" w:eastAsia="Arial" w:hAnsi="Arial"/>
          <w:sz w:val="20"/>
          <w:szCs w:val="20"/>
          <w:color w:val="auto"/>
        </w:rPr>
        <w:t xml:space="preserve">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217" w:lineRule="exact"/>
        <w:rPr>
          <w:sz w:val="20"/>
          <w:szCs w:val="20"/>
          <w:color w:val="auto"/>
        </w:rPr>
      </w:pPr>
    </w:p>
    <w:p>
      <w:pPr>
        <w:jc w:val="both"/>
        <w:ind w:firstLine="599"/>
        <w:spacing w:after="0" w:line="257" w:lineRule="auto"/>
        <w:tabs>
          <w:tab w:leader="none" w:pos="1384" w:val="left"/>
        </w:tabs>
        <w:numPr>
          <w:ilvl w:val="0"/>
          <w:numId w:val="31"/>
        </w:numPr>
        <w:rPr>
          <w:rFonts w:ascii="Arial" w:cs="Arial" w:eastAsia="Arial" w:hAnsi="Arial"/>
          <w:sz w:val="17"/>
          <w:szCs w:val="17"/>
          <w:color w:val="auto"/>
        </w:rPr>
      </w:pPr>
      <w:r>
        <w:rPr>
          <w:rFonts w:ascii="Arial" w:cs="Arial" w:eastAsia="Arial" w:hAnsi="Arial"/>
          <w:sz w:val="20"/>
          <w:szCs w:val="20"/>
          <w:u w:val="single" w:color="auto"/>
          <w:color w:val="auto"/>
        </w:rPr>
        <w:t>Consolidation of Variable Interest Entities</w:t>
      </w:r>
      <w:r>
        <w:rPr>
          <w:rFonts w:ascii="Arial" w:cs="Arial" w:eastAsia="Arial" w:hAnsi="Arial"/>
          <w:sz w:val="20"/>
          <w:szCs w:val="20"/>
          <w:color w:val="auto"/>
        </w:rPr>
        <w:t>. All references herein to consolidated financial statements of the REIT and its Subsidiaries or the Consolidated Group or to the determination of any amount for the REIT and its Subsidiaries or the Consolidated Group on a consolidated basis or any similar reference shall, in each case, be deemed to include each variable interest entity that the REIT or the Consolidated Group, as applicable, is required to consolidate pursuant to FASB ASC 810 as if such variable interest entity were a Subsidiary as defined herein.</w:t>
      </w:r>
    </w:p>
    <w:p>
      <w:pPr>
        <w:spacing w:after="0" w:line="205" w:lineRule="exact"/>
        <w:rPr>
          <w:sz w:val="20"/>
          <w:szCs w:val="20"/>
          <w:color w:val="auto"/>
        </w:rPr>
      </w:pPr>
    </w:p>
    <w:p>
      <w:pPr>
        <w:jc w:val="both"/>
        <w:ind w:firstLine="599"/>
        <w:spacing w:after="0" w:line="302"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68"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 xml:space="preserve">1.05. </w:t>
      </w:r>
      <w:r>
        <w:rPr>
          <w:rFonts w:ascii="Arial" w:cs="Arial" w:eastAsia="Arial" w:hAnsi="Arial"/>
          <w:sz w:val="20"/>
          <w:szCs w:val="20"/>
          <w:u w:val="single" w:color="auto"/>
          <w:color w:val="auto"/>
        </w:rPr>
        <w:t>Times of Day; Rates</w:t>
      </w:r>
      <w:r>
        <w:rPr>
          <w:rFonts w:ascii="Arial" w:cs="Arial" w:eastAsia="Arial" w:hAnsi="Arial"/>
          <w:sz w:val="20"/>
          <w:szCs w:val="20"/>
          <w:color w:val="auto"/>
        </w:rPr>
        <w:t>. Unless otherwise specified, all references herein to times of day shall be references to Eastern time (daylight or standard, as applicable). The Administrative Agent does not warrant, nor accept responsibility, nor shall the Administrative Agent have any liability with respect to the administration, submission or any other matter related to the rates in the definition of “Eurodollar Rate” or with respect to any comparable or successor rate thereto or to LIBOR.</w:t>
      </w:r>
    </w:p>
    <w:p>
      <w:pPr>
        <w:spacing w:after="0" w:line="205"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 xml:space="preserve">1.06. </w:t>
      </w:r>
      <w:r>
        <w:rPr>
          <w:rFonts w:ascii="Arial" w:cs="Arial" w:eastAsia="Arial" w:hAnsi="Arial"/>
          <w:sz w:val="20"/>
          <w:szCs w:val="20"/>
          <w:u w:val="single" w:color="auto"/>
          <w:color w:val="auto"/>
        </w:rPr>
        <w:t>Letter of Credit Amounts</w:t>
      </w:r>
      <w:r>
        <w:rPr>
          <w:rFonts w:ascii="Arial" w:cs="Arial" w:eastAsia="Arial" w:hAnsi="Arial"/>
          <w:sz w:val="20"/>
          <w:szCs w:val="20"/>
          <w:color w:val="auto"/>
        </w:rPr>
        <w:t xml:space="preserve">. Unless otherwise specified herein, the amount of a Letter of Credit at any time shall be deemed to be the stated amount of such Letter of Credit in effect at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212" w:lineRule="exact"/>
        <w:rPr>
          <w:sz w:val="20"/>
          <w:szCs w:val="20"/>
          <w:color w:val="auto"/>
        </w:rPr>
      </w:pPr>
    </w:p>
    <w:p>
      <w:pPr>
        <w:ind w:right="260" w:firstLine="599"/>
        <w:spacing w:after="0" w:line="260" w:lineRule="auto"/>
        <w:rPr>
          <w:sz w:val="20"/>
          <w:szCs w:val="20"/>
          <w:color w:val="auto"/>
        </w:rPr>
      </w:pPr>
      <w:r>
        <w:rPr>
          <w:rFonts w:ascii="Arial" w:cs="Arial" w:eastAsia="Arial" w:hAnsi="Arial"/>
          <w:sz w:val="20"/>
          <w:szCs w:val="20"/>
          <w:u w:val="single" w:color="auto"/>
          <w:color w:val="auto"/>
        </w:rPr>
        <w:t>1.07. GNMA Securities</w:t>
      </w:r>
      <w:r>
        <w:rPr>
          <w:rFonts w:ascii="Arial" w:cs="Arial" w:eastAsia="Arial" w:hAnsi="Arial"/>
          <w:sz w:val="20"/>
          <w:szCs w:val="20"/>
          <w:color w:val="auto"/>
        </w:rPr>
        <w:t>. For purposes of determining the value of Cash Equivalents as of any date, the value of GNMA Securities that are included as Cash Equivalents on such date shall be 95% of the marked-to-market value of such GNMA Securities determined in accordance with GAAP as of the last day of the then most recently ended fiscal quarter of the REIT.</w:t>
      </w:r>
    </w:p>
    <w:p>
      <w:pPr>
        <w:spacing w:after="0" w:line="164"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ARTICLE II</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THE COMMITMENTS AND CREDIT EXTENSIONS</w:t>
      </w:r>
    </w:p>
    <w:p>
      <w:pPr>
        <w:spacing w:after="0" w:line="229" w:lineRule="exact"/>
        <w:rPr>
          <w:sz w:val="20"/>
          <w:szCs w:val="20"/>
          <w:color w:val="auto"/>
        </w:rPr>
      </w:pPr>
    </w:p>
    <w:p>
      <w:pPr>
        <w:jc w:val="both"/>
        <w:ind w:firstLine="599"/>
        <w:spacing w:after="0" w:line="302"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The Loans</w:t>
      </w:r>
      <w:r>
        <w:rPr>
          <w:rFonts w:ascii="Arial" w:cs="Arial" w:eastAsia="Arial" w:hAnsi="Arial"/>
          <w:sz w:val="18"/>
          <w:szCs w:val="18"/>
          <w:color w:val="auto"/>
        </w:rPr>
        <w:t xml:space="preserve">. </w:t>
      </w:r>
      <w:r>
        <w:rPr>
          <w:rFonts w:ascii="Arial" w:cs="Arial" w:eastAsia="Arial" w:hAnsi="Arial"/>
          <w:sz w:val="18"/>
          <w:szCs w:val="18"/>
          <w:u w:val="single" w:color="auto"/>
          <w:color w:val="auto"/>
        </w:rPr>
        <w:t>Closing Date Term Loans</w:t>
      </w:r>
      <w:r>
        <w:rPr>
          <w:rFonts w:ascii="Arial" w:cs="Arial" w:eastAsia="Arial" w:hAnsi="Arial"/>
          <w:sz w:val="18"/>
          <w:szCs w:val="18"/>
          <w:color w:val="auto"/>
        </w:rPr>
        <w:t xml:space="preserve">. On the Restatement Effective Date, each Closing Date Term Lender is severally holding a single term loan made to the Borrower in Dollars pursuant to the Existing Credit Agreement, in the amount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Each such term loan shall constitute a term loan under this Agreement (each, a “</w:t>
      </w:r>
      <w:r>
        <w:rPr>
          <w:rFonts w:ascii="Arial" w:cs="Arial" w:eastAsia="Arial" w:hAnsi="Arial"/>
          <w:sz w:val="18"/>
          <w:szCs w:val="18"/>
          <w:u w:val="single" w:color="auto"/>
          <w:color w:val="auto"/>
        </w:rPr>
        <w:t>Closing Date Term Loan</w:t>
      </w:r>
      <w:r>
        <w:rPr>
          <w:rFonts w:ascii="Arial" w:cs="Arial" w:eastAsia="Arial" w:hAnsi="Arial"/>
          <w:sz w:val="18"/>
          <w:szCs w:val="18"/>
          <w:color w:val="auto"/>
        </w:rPr>
        <w:t>”). Any Closing Date Term Loan repaid or</w:t>
      </w:r>
    </w:p>
    <w:p>
      <w:pPr>
        <w:spacing w:after="0" w:line="168"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41</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prepaid may not be reborrowed. Closing Date Term Loans may be Base Rate Loans or Eurodollar Rate Loans, as further provided herein.</w:t>
      </w:r>
    </w:p>
    <w:p>
      <w:pPr>
        <w:spacing w:after="0" w:line="268" w:lineRule="exact"/>
        <w:rPr>
          <w:sz w:val="20"/>
          <w:szCs w:val="20"/>
          <w:color w:val="auto"/>
        </w:rPr>
      </w:pPr>
    </w:p>
    <w:p>
      <w:pPr>
        <w:jc w:val="both"/>
        <w:ind w:firstLine="599"/>
        <w:spacing w:after="0" w:line="250" w:lineRule="auto"/>
        <w:tabs>
          <w:tab w:leader="none" w:pos="1432"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The Revolving Credit Loans</w:t>
      </w:r>
      <w:r>
        <w:rPr>
          <w:rFonts w:ascii="Arial" w:cs="Arial" w:eastAsia="Arial" w:hAnsi="Arial"/>
          <w:sz w:val="20"/>
          <w:szCs w:val="20"/>
          <w:color w:val="auto"/>
        </w:rPr>
        <w:t>. Subject to the terms and conditions set forth herein, each Revolving Credit Lender severally agrees to make loans (each such loan, a “</w:t>
      </w:r>
      <w:r>
        <w:rPr>
          <w:rFonts w:ascii="Arial" w:cs="Arial" w:eastAsia="Arial" w:hAnsi="Arial"/>
          <w:sz w:val="20"/>
          <w:szCs w:val="20"/>
          <w:u w:val="single" w:color="auto"/>
          <w:color w:val="auto"/>
        </w:rPr>
        <w:t>Revolving Credit Loan</w:t>
      </w:r>
      <w:r>
        <w:rPr>
          <w:rFonts w:ascii="Arial" w:cs="Arial" w:eastAsia="Arial" w:hAnsi="Arial"/>
          <w:sz w:val="20"/>
          <w:szCs w:val="20"/>
          <w:color w:val="auto"/>
        </w:rPr>
        <w:t xml:space="preserve">”) to the Borrower in Dollars from time to time, on any Business Day during the Availability Period, in an aggregate amount not to exceed at any time outstanding the amount of such Lender’s Revolving Credit Commitment;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after giving effect to any Revolving Credit Borrowing, (i) the Total Revolving Credit Outstandings shall not exceed the Revolving Credit Facility and (ii) the Revolving Credit Exposure of any Revolving Credit Lender shall not exceed such Revolving Credit Lender’s Revolving Credit Commitment. Within the limits of each Revolving Credit Lender’s Revolving Credit Commitment, and subject to the other terms and conditions hereof, the Borrower may borrow under this </w:t>
      </w:r>
      <w:r>
        <w:rPr>
          <w:rFonts w:ascii="Arial" w:cs="Arial" w:eastAsia="Arial" w:hAnsi="Arial"/>
          <w:sz w:val="20"/>
          <w:szCs w:val="20"/>
          <w:u w:val="single" w:color="auto"/>
          <w:color w:val="auto"/>
        </w:rPr>
        <w:t>Section 2.01(b)</w:t>
      </w:r>
      <w:r>
        <w:rPr>
          <w:rFonts w:ascii="Arial" w:cs="Arial" w:eastAsia="Arial" w:hAnsi="Arial"/>
          <w:sz w:val="20"/>
          <w:szCs w:val="20"/>
          <w:color w:val="auto"/>
        </w:rPr>
        <w:t xml:space="preserve">, prepay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2.05</w:t>
      </w:r>
      <w:r>
        <w:rPr>
          <w:rFonts w:ascii="Arial" w:cs="Arial" w:eastAsia="Arial" w:hAnsi="Arial"/>
          <w:sz w:val="20"/>
          <w:szCs w:val="20"/>
          <w:color w:val="auto"/>
        </w:rPr>
        <w:t xml:space="preserve">, and reborrow under this </w:t>
      </w:r>
      <w:r>
        <w:rPr>
          <w:rFonts w:ascii="Arial" w:cs="Arial" w:eastAsia="Arial" w:hAnsi="Arial"/>
          <w:sz w:val="20"/>
          <w:szCs w:val="20"/>
          <w:u w:val="single" w:color="auto"/>
          <w:color w:val="auto"/>
        </w:rPr>
        <w:t>Section 2.01(b)</w:t>
      </w:r>
      <w:r>
        <w:rPr>
          <w:rFonts w:ascii="Arial" w:cs="Arial" w:eastAsia="Arial" w:hAnsi="Arial"/>
          <w:sz w:val="20"/>
          <w:szCs w:val="20"/>
          <w:color w:val="auto"/>
        </w:rPr>
        <w:t>. Revolving Credit Loans may be Base Rate Loans or Eurodollar Rate Loans, as further provided herein.</w:t>
      </w:r>
    </w:p>
    <w:p>
      <w:pPr>
        <w:spacing w:after="0" w:line="217"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8"/>
          <w:szCs w:val="18"/>
          <w:u w:val="single" w:color="auto"/>
          <w:color w:val="auto"/>
        </w:rPr>
        <w:t>Borrowings, Conversions and Continuations of Loans</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77" w:lineRule="auto"/>
        <w:tabs>
          <w:tab w:leader="none" w:pos="1421"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Each Borrowing, each conversion of Term Loans or Revolving Credit Loans from one Type to the other, and each continuation of Eurodollar Rate Loans shall be made upon the Borrower’s irrevocable notice to the Administrative Agent, which may be given by telephone;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telephonic notice must be confirmed promptly by delivery to the Administrative Agent of a Loan Notice. Each such Loan Notice must be received by the Administrative Agent not later than 11:00 a.m. (i) three Business Days prior to the requested date of any Borrowing of, conversion to or continuation of Eurodollar Rate Loans or of any conversion of Eurodollar Rate Loans to Base Rate Loans, and (ii) on the requested date of any Borrowing of Base Rate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wishes to request Eurodollar Rate Loans having an Interest Period other than one, two, three or six months in duration as provided in the definition of “Interest Period,” the applicable notice must be received by the Administrative Agent not later than 11:00 a.m. four Business Days prior to the requested date of such Borrowing, conversion or continuation, whereupon the Administrative Agent shall give prompt notice to the Appropriate Lenders of such request and determine whether the requested Interest Period is acceptable to all of them; and not later than 11:00 a.m., three Business Days before the requested date of such Borrowing, conversion or continuation, the Administrative Agent shall notify the Borrower (which notice may be by telephone) whether or not the requested Interest Period has been consented to by all the Appropriate Lenders. Each Borrowing of, conversion to or continuation of Eurodollar Rate Loans shall be in a principal amount of $3,000,000 or a whole multiple of $1,000,000 in excess thereof. Except as provided in </w:t>
      </w:r>
      <w:r>
        <w:rPr>
          <w:rFonts w:ascii="Arial" w:cs="Arial" w:eastAsia="Arial" w:hAnsi="Arial"/>
          <w:sz w:val="18"/>
          <w:szCs w:val="18"/>
          <w:u w:val="single" w:color="auto"/>
          <w:color w:val="auto"/>
        </w:rPr>
        <w:t>Sections 2.03(c)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2.04(c)</w:t>
      </w:r>
      <w:r>
        <w:rPr>
          <w:rFonts w:ascii="Arial" w:cs="Arial" w:eastAsia="Arial" w:hAnsi="Arial"/>
          <w:sz w:val="18"/>
          <w:szCs w:val="18"/>
          <w:color w:val="auto"/>
        </w:rPr>
        <w:t>, each Borrowing of or conversion to Base Rate Loans shall be in a principal amount of $300,000 or a whole multiple of $100,000 in excess thereof. Each Loan Notice shall specify (i) whether the Borrower is requesting a Term Borrowing, a Revolving Credit Borrowing, a conversion of Term Loans or Revolving Credit Loans from one Type to the other, or a continuation of Eurodollar Rate Loans, (ii) the requested date of the Borrowing, conversion or continuation, as the case may be (which shall be a Business Day), (iii) the principal amount of Loans to be borrowed, converted or continued, (iv) the Type and Class of Loans to be borrowed or to which Type existing Term Loans or Revolving Credit Loans are to be converted and (v) if applicable, the duration of the Interest Period with respect thereto. If the Borrower fails to specify a Type of Loan in a Loan Notice or if the Borrower fails to give a timely notice requesting a conversion or continuation, then the applicable Term Loans or Revolving Credit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such Loan Notice, but fails to specify an Interest Period, it will be deemed</w:t>
      </w:r>
    </w:p>
    <w:p>
      <w:pPr>
        <w:spacing w:after="0" w:line="199"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42</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54" w:name="page55"/>
    <w:bookmarkEnd w:id="54"/>
    <w:p>
      <w:pPr>
        <w:spacing w:after="0" w:line="272" w:lineRule="auto"/>
        <w:rPr>
          <w:sz w:val="20"/>
          <w:szCs w:val="20"/>
          <w:color w:val="auto"/>
        </w:rPr>
      </w:pPr>
      <w:r>
        <w:rPr>
          <w:rFonts w:ascii="Arial" w:cs="Arial" w:eastAsia="Arial" w:hAnsi="Arial"/>
          <w:sz w:val="20"/>
          <w:szCs w:val="20"/>
          <w:color w:val="auto"/>
        </w:rPr>
        <w:t>to have specified an Interest Period of one month. Notwithstanding anything to the contrary herein, a Swing Line Loan may not be converted to a Eurodollar Rate Loan.</w:t>
      </w:r>
    </w:p>
    <w:p>
      <w:pPr>
        <w:spacing w:after="0" w:line="191" w:lineRule="exact"/>
        <w:rPr>
          <w:sz w:val="20"/>
          <w:szCs w:val="20"/>
          <w:color w:val="auto"/>
        </w:rPr>
      </w:pPr>
    </w:p>
    <w:p>
      <w:pPr>
        <w:jc w:val="both"/>
        <w:ind w:firstLine="599"/>
        <w:spacing w:after="0" w:line="277" w:lineRule="auto"/>
        <w:tabs>
          <w:tab w:leader="none" w:pos="1432"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Following receipt of a Loan Notice requesting a Borrowing of a Revolving Credit Loan or a Term Loan, the Administrative Agent shall promptly notify each Appropriate Lender of the amount of its Applicable Percentage of the applicable Loans. If no timely notice of a conversion or continuation is provided by the Borrower, the Administrative Agent shall notify each Appropriate Lender of the details of any automatic conversion to Base Rate Loans described in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In the case of a Revolving Credit Borrowing or Term Borrowing, each Appropriate Lender shall make the amount of its Revolving Credit Loan or Term Loan (as applicable) available to the Administrative Agent in immediately available funds at the Administrative Agent’s Office not later than 1:00 p.m. on the Business Day specified in the applicable Loan Notice. Upon satisfaction of the applicable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(and, if such Borrowing is the initial Credit Extension, </w:t>
      </w:r>
      <w:r>
        <w:rPr>
          <w:rFonts w:ascii="Arial" w:cs="Arial" w:eastAsia="Arial" w:hAnsi="Arial"/>
          <w:sz w:val="18"/>
          <w:szCs w:val="18"/>
          <w:u w:val="single" w:color="auto"/>
          <w:color w:val="auto"/>
        </w:rPr>
        <w:t>Section 4.01</w:t>
      </w:r>
      <w:r>
        <w:rPr>
          <w:rFonts w:ascii="Arial" w:cs="Arial" w:eastAsia="Arial" w:hAnsi="Arial"/>
          <w:sz w:val="18"/>
          <w:szCs w:val="18"/>
          <w:color w:val="auto"/>
        </w:rPr>
        <w:t>), the Administrative Agent shall make all funds so received available to the Borrower in like funds as received by the Administrative Agent either by (i) crediting the account of the Borrower on the books of Bank of America with the amount of such funds or</w:t>
      </w:r>
    </w:p>
    <w:p>
      <w:pPr>
        <w:spacing w:after="0" w:line="1" w:lineRule="exact"/>
        <w:rPr>
          <w:rFonts w:ascii="Arial" w:cs="Arial" w:eastAsia="Arial" w:hAnsi="Arial"/>
          <w:sz w:val="18"/>
          <w:szCs w:val="18"/>
          <w:color w:val="auto"/>
        </w:rPr>
      </w:pPr>
    </w:p>
    <w:p>
      <w:pPr>
        <w:jc w:val="both"/>
        <w:spacing w:after="0" w:line="267" w:lineRule="auto"/>
        <w:tabs>
          <w:tab w:leader="none" w:pos="313"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wire transfer of such funds, in each case in accordance with instructions provided to (and reasonably acceptable to) the Administrative Agent by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if, on the date a Loan Notice with respect to a Revolving Borrowing is received by the Administrative Agent, there are L/C Borrowings outstanding, then the proceeds of such Revolving Borrowing,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shall be applied to the payment in full of any such L/C Borrowings, and </w:t>
      </w:r>
      <w:r>
        <w:rPr>
          <w:rFonts w:ascii="Arial" w:cs="Arial" w:eastAsia="Arial" w:hAnsi="Arial"/>
          <w:sz w:val="19"/>
          <w:szCs w:val="19"/>
          <w:u w:val="single" w:color="auto"/>
          <w:color w:val="auto"/>
        </w:rPr>
        <w:t>second</w:t>
      </w:r>
      <w:r>
        <w:rPr>
          <w:rFonts w:ascii="Arial" w:cs="Arial" w:eastAsia="Arial" w:hAnsi="Arial"/>
          <w:sz w:val="19"/>
          <w:szCs w:val="19"/>
          <w:color w:val="auto"/>
        </w:rPr>
        <w:t>, shall be made available to the Borrower as provided above.</w:t>
      </w:r>
    </w:p>
    <w:p>
      <w:pPr>
        <w:spacing w:after="0" w:line="198" w:lineRule="exact"/>
        <w:rPr>
          <w:rFonts w:ascii="Arial" w:cs="Arial" w:eastAsia="Arial" w:hAnsi="Arial"/>
          <w:sz w:val="19"/>
          <w:szCs w:val="19"/>
          <w:color w:val="auto"/>
        </w:rPr>
      </w:pPr>
    </w:p>
    <w:p>
      <w:pPr>
        <w:jc w:val="both"/>
        <w:ind w:firstLine="599"/>
        <w:spacing w:after="0" w:line="260" w:lineRule="auto"/>
        <w:tabs>
          <w:tab w:leader="none" w:pos="1421" w:val="left"/>
        </w:tabs>
        <w:numPr>
          <w:ilvl w:val="1"/>
          <w:numId w:val="35"/>
        </w:numPr>
        <w:rPr>
          <w:rFonts w:ascii="Arial" w:cs="Arial" w:eastAsia="Arial" w:hAnsi="Arial"/>
          <w:sz w:val="20"/>
          <w:szCs w:val="20"/>
          <w:color w:val="auto"/>
        </w:rPr>
      </w:pPr>
      <w:r>
        <w:rPr>
          <w:rFonts w:ascii="Arial" w:cs="Arial" w:eastAsia="Arial" w:hAnsi="Arial"/>
          <w:sz w:val="20"/>
          <w:szCs w:val="20"/>
          <w:color w:val="auto"/>
        </w:rPr>
        <w:t>Except as otherwise provided herein, a Eurodollar Rate Loan may be continued or converted only on the last day of an Interest Period for such Eurodollar Rate Loan. During the existence of a Default, no Loans may be requested as, converted to or continued as Eurodollar Rate Loans without the consent of the Required Lenders.</w:t>
      </w:r>
    </w:p>
    <w:p>
      <w:pPr>
        <w:spacing w:after="0" w:line="201" w:lineRule="exact"/>
        <w:rPr>
          <w:rFonts w:ascii="Arial" w:cs="Arial" w:eastAsia="Arial" w:hAnsi="Arial"/>
          <w:sz w:val="20"/>
          <w:szCs w:val="20"/>
          <w:color w:val="auto"/>
        </w:rPr>
      </w:pPr>
    </w:p>
    <w:p>
      <w:pPr>
        <w:ind w:firstLine="599"/>
        <w:spacing w:after="0" w:line="272" w:lineRule="auto"/>
        <w:tabs>
          <w:tab w:leader="none" w:pos="1432" w:val="left"/>
        </w:tabs>
        <w:numPr>
          <w:ilvl w:val="1"/>
          <w:numId w:val="35"/>
        </w:numPr>
        <w:rPr>
          <w:rFonts w:ascii="Arial" w:cs="Arial" w:eastAsia="Arial" w:hAnsi="Arial"/>
          <w:sz w:val="20"/>
          <w:szCs w:val="20"/>
          <w:color w:val="auto"/>
        </w:rPr>
      </w:pPr>
      <w:r>
        <w:rPr>
          <w:rFonts w:ascii="Arial" w:cs="Arial" w:eastAsia="Arial" w:hAnsi="Arial"/>
          <w:sz w:val="20"/>
          <w:szCs w:val="20"/>
          <w:color w:val="auto"/>
        </w:rPr>
        <w:t>The Administrative Agent shall promptly notify the Borrower and the Appropriate Lenders of the interest rate applicable to any Interest Period for Eurodollar Rate Loans upon determination of such interest rate.</w:t>
      </w:r>
    </w:p>
    <w:p>
      <w:pPr>
        <w:spacing w:after="0" w:line="190" w:lineRule="exact"/>
        <w:rPr>
          <w:rFonts w:ascii="Arial" w:cs="Arial" w:eastAsia="Arial" w:hAnsi="Arial"/>
          <w:sz w:val="20"/>
          <w:szCs w:val="20"/>
          <w:color w:val="auto"/>
        </w:rPr>
      </w:pPr>
    </w:p>
    <w:p>
      <w:pPr>
        <w:jc w:val="both"/>
        <w:ind w:firstLine="599"/>
        <w:spacing w:after="0" w:line="253" w:lineRule="auto"/>
        <w:tabs>
          <w:tab w:leader="none" w:pos="1421" w:val="left"/>
        </w:tabs>
        <w:numPr>
          <w:ilvl w:val="1"/>
          <w:numId w:val="35"/>
        </w:numPr>
        <w:rPr>
          <w:rFonts w:ascii="Arial" w:cs="Arial" w:eastAsia="Arial" w:hAnsi="Arial"/>
          <w:sz w:val="20"/>
          <w:szCs w:val="20"/>
          <w:color w:val="auto"/>
        </w:rPr>
      </w:pPr>
      <w:r>
        <w:rPr>
          <w:rFonts w:ascii="Arial" w:cs="Arial" w:eastAsia="Arial" w:hAnsi="Arial"/>
          <w:sz w:val="20"/>
          <w:szCs w:val="20"/>
          <w:color w:val="auto"/>
        </w:rPr>
        <w:t>After giving effect to the Term Borrowing, all conversions of Term Loans from one Type to the other, and all continuations of Term Loans as the same Type, there shall not be more than five (5) Interest Periods in effect in respect of the Term Facilities. After giving effect to all Revolving Credit Borrowings, all conversions of Revolving Credit Loans from one Type to the other, and all continuations of Revolving Credit Loans as the same Type, there shall not be more than five (5) Interest Periods in effect in respect of the Revolving Credit Facility.</w:t>
      </w:r>
    </w:p>
    <w:p>
      <w:pPr>
        <w:spacing w:after="0" w:line="212"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82" w:lineRule="auto"/>
        <w:tabs>
          <w:tab w:leader="none" w:pos="143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 xml:space="preserve">. (i) Subject to the terms and conditions set forth herein, (A) each L/C Issuer agrees, in reliance upon the agreements of the Revolving Credit Lenders set forth in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(1) from time to time on any Business Day during the period from the Restatement Effective Date until the Letter of Credit Expiration Date, to issue Letters of Credit for the account of the Borrower or its Subsidiaries, and to amend or extend Letters of Credit previously issued by it, in accordance with </w:t>
      </w:r>
      <w:r>
        <w:rPr>
          <w:rFonts w:ascii="Arial" w:cs="Arial" w:eastAsia="Arial" w:hAnsi="Arial"/>
          <w:sz w:val="18"/>
          <w:szCs w:val="18"/>
          <w:u w:val="single" w:color="auto"/>
          <w:color w:val="auto"/>
        </w:rPr>
        <w:t>Section 2.03(b)</w:t>
      </w:r>
      <w:r>
        <w:rPr>
          <w:rFonts w:ascii="Arial" w:cs="Arial" w:eastAsia="Arial" w:hAnsi="Arial"/>
          <w:sz w:val="18"/>
          <w:szCs w:val="18"/>
          <w:color w:val="auto"/>
        </w:rPr>
        <w:t xml:space="preserve">, and (2) to honor drawings under the Letters of Credit; and (B) the Revolving Credit Lenders severally agree to participate in Letters of Credit issued for the account of the Borrower or its Subsidiaries and any drawings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L/C Credit Extension with respect to any Letter of Credit, (x) the Total Revolving Credit Outstandings shall not exceed the Revolving Credit Facility, (y) the Revolving Credit Exposure of any Revolving Credit Lender shall not exceed such Lender’s Revolving Credit</w:t>
      </w:r>
    </w:p>
    <w:p>
      <w:pPr>
        <w:spacing w:after="0" w:line="190"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43</w:t>
      </w:r>
      <w:r>
        <w:rPr>
          <w:rFonts w:ascii="MS PGothic" w:cs="MS PGothic" w:eastAsia="MS PGothic" w:hAnsi="MS PGothic"/>
          <w:sz w:val="20"/>
          <w:szCs w:val="20"/>
          <w:color w:val="auto"/>
        </w:rPr>
        <w:t>‑</w:t>
      </w:r>
    </w:p>
    <w:p>
      <w:pPr>
        <w:sectPr>
          <w:pgSz w:w="11900" w:h="16838" w:orient="portrait"/>
          <w:cols w:equalWidth="0" w:num="1">
            <w:col w:w="11420"/>
          </w:cols>
          <w:pgMar w:left="240" w:top="558" w:right="239" w:bottom="1440" w:gutter="0" w:footer="0" w:header="0"/>
        </w:sectPr>
      </w:pPr>
    </w:p>
    <w:bookmarkStart w:id="55" w:name="page56"/>
    <w:bookmarkEnd w:id="55"/>
    <w:p>
      <w:pPr>
        <w:jc w:val="both"/>
        <w:spacing w:after="0" w:line="252" w:lineRule="auto"/>
        <w:rPr>
          <w:sz w:val="20"/>
          <w:szCs w:val="20"/>
          <w:color w:val="auto"/>
        </w:rPr>
      </w:pPr>
      <w:r>
        <w:rPr>
          <w:rFonts w:ascii="Arial" w:cs="Arial" w:eastAsia="Arial" w:hAnsi="Arial"/>
          <w:sz w:val="20"/>
          <w:szCs w:val="20"/>
          <w:color w:val="auto"/>
        </w:rPr>
        <w:t>Commitment, and (z) the Outstanding Amount of all L/C Obligations shall not exceed the Letter of Credit Subfacility.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212" w:lineRule="exact"/>
        <w:rPr>
          <w:sz w:val="20"/>
          <w:szCs w:val="20"/>
          <w:color w:val="auto"/>
        </w:rPr>
      </w:pPr>
    </w:p>
    <w:p>
      <w:pPr>
        <w:jc w:val="both"/>
        <w:ind w:firstLine="1199"/>
        <w:spacing w:after="0" w:line="253" w:lineRule="auto"/>
        <w:tabs>
          <w:tab w:leader="none" w:pos="2043" w:val="left"/>
        </w:tabs>
        <w:numPr>
          <w:ilvl w:val="0"/>
          <w:numId w:val="37"/>
        </w:numPr>
        <w:rPr>
          <w:rFonts w:ascii="Arial" w:cs="Arial" w:eastAsia="Arial" w:hAnsi="Arial"/>
          <w:sz w:val="20"/>
          <w:szCs w:val="20"/>
          <w:color w:val="auto"/>
        </w:rPr>
      </w:pPr>
      <w:r>
        <w:rPr>
          <w:rFonts w:ascii="Arial" w:cs="Arial" w:eastAsia="Arial" w:hAnsi="Arial"/>
          <w:sz w:val="20"/>
          <w:szCs w:val="20"/>
          <w:color w:val="auto"/>
        </w:rPr>
        <w:t xml:space="preserve">No L/C Issuer shall issue, amend or extend any Letter of Credit if, subject to </w:t>
      </w:r>
      <w:r>
        <w:rPr>
          <w:rFonts w:ascii="Arial" w:cs="Arial" w:eastAsia="Arial" w:hAnsi="Arial"/>
          <w:sz w:val="20"/>
          <w:szCs w:val="20"/>
          <w:u w:val="single" w:color="auto"/>
          <w:color w:val="auto"/>
        </w:rPr>
        <w:t>Section 2.03(b)(iii)</w:t>
      </w:r>
      <w:r>
        <w:rPr>
          <w:rFonts w:ascii="Arial" w:cs="Arial" w:eastAsia="Arial" w:hAnsi="Arial"/>
          <w:sz w:val="20"/>
          <w:szCs w:val="20"/>
          <w:color w:val="auto"/>
        </w:rPr>
        <w:t xml:space="preserve">, after giving effect thereto the expiry date of the requested Letter of Credit would occur more than twelve months after the date of issuance or last extension, unless the Administrative Agent and the applicable L/C Issuer have approved such expiry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no event will any Letter of Credit have an expiry date that is later than the first anniversary of the Maturity Date for the Revolving Credit Facility, subject to the requirements of </w:t>
      </w:r>
      <w:r>
        <w:rPr>
          <w:rFonts w:ascii="Arial" w:cs="Arial" w:eastAsia="Arial" w:hAnsi="Arial"/>
          <w:sz w:val="20"/>
          <w:szCs w:val="20"/>
          <w:u w:val="single" w:color="auto"/>
          <w:color w:val="auto"/>
        </w:rPr>
        <w:t>Section 2.03(b)(v)</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ind w:left="2100" w:hanging="901"/>
        <w:spacing w:after="0"/>
        <w:tabs>
          <w:tab w:leader="none" w:pos="21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No L/C Issuer shall be under any obligation to issue any Letter of Credit if:</w:t>
      </w:r>
    </w:p>
    <w:p>
      <w:pPr>
        <w:spacing w:after="0" w:line="245" w:lineRule="exact"/>
        <w:rPr>
          <w:sz w:val="20"/>
          <w:szCs w:val="20"/>
          <w:color w:val="auto"/>
        </w:rPr>
      </w:pPr>
    </w:p>
    <w:p>
      <w:pPr>
        <w:jc w:val="both"/>
        <w:ind w:left="600" w:firstLine="599"/>
        <w:spacing w:after="0" w:line="251" w:lineRule="auto"/>
        <w:tabs>
          <w:tab w:leader="none" w:pos="2076" w:val="left"/>
        </w:tabs>
        <w:numPr>
          <w:ilvl w:val="0"/>
          <w:numId w:val="38"/>
        </w:numPr>
        <w:rPr>
          <w:rFonts w:ascii="Arial" w:cs="Arial" w:eastAsia="Arial" w:hAnsi="Arial"/>
          <w:sz w:val="20"/>
          <w:szCs w:val="20"/>
          <w:color w:val="auto"/>
        </w:rPr>
      </w:pPr>
      <w:r>
        <w:rPr>
          <w:rFonts w:ascii="Arial" w:cs="Arial" w:eastAsia="Arial" w:hAnsi="Arial"/>
          <w:sz w:val="20"/>
          <w:szCs w:val="20"/>
          <w:color w:val="auto"/>
        </w:rPr>
        <w:t>any order, judgment or decree of any Governmental Authority or arbitrator shall by its terms purport to enjoin or restrain such L/C Issuer from issuing the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the Letter of Credit in particular or shall impose upon such L/C Issuer with respect to the Letter of Credit any restriction, reserve or capital requirement (for which such L/C Issuer is not otherwise compensated hereunder) not in effect on the Restatement Effective Date, or shall impose upon such L/C Issuer any unreimbursed loss, cost or expense which was not applicable on the Restatement Effective Date and which such L/C Issuer in good faith deems material to it;</w:t>
      </w:r>
    </w:p>
    <w:p>
      <w:pPr>
        <w:spacing w:after="0" w:line="211" w:lineRule="exact"/>
        <w:rPr>
          <w:rFonts w:ascii="Arial" w:cs="Arial" w:eastAsia="Arial" w:hAnsi="Arial"/>
          <w:sz w:val="20"/>
          <w:szCs w:val="20"/>
          <w:color w:val="auto"/>
        </w:rPr>
      </w:pPr>
    </w:p>
    <w:p>
      <w:pPr>
        <w:ind w:left="2060" w:hanging="861"/>
        <w:spacing w:after="0"/>
        <w:tabs>
          <w:tab w:leader="none" w:pos="20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issuance of the Letter of Credit would violate one or more policies of such L/C Issuer applicable to letters of</w:t>
      </w:r>
    </w:p>
    <w:p>
      <w:pPr>
        <w:spacing w:after="0" w:line="34" w:lineRule="exact"/>
        <w:rPr>
          <w:rFonts w:ascii="Arial" w:cs="Arial" w:eastAsia="Arial" w:hAnsi="Arial"/>
          <w:sz w:val="19"/>
          <w:szCs w:val="19"/>
          <w:color w:val="auto"/>
        </w:rPr>
      </w:pPr>
    </w:p>
    <w:p>
      <w:pPr>
        <w:ind w:left="600"/>
        <w:spacing w:after="0"/>
        <w:rPr>
          <w:rFonts w:ascii="Arial" w:cs="Arial" w:eastAsia="Arial" w:hAnsi="Arial"/>
          <w:sz w:val="19"/>
          <w:szCs w:val="19"/>
          <w:color w:val="auto"/>
        </w:rPr>
      </w:pPr>
      <w:r>
        <w:rPr>
          <w:rFonts w:ascii="Arial" w:cs="Arial" w:eastAsia="Arial" w:hAnsi="Arial"/>
          <w:sz w:val="20"/>
          <w:szCs w:val="20"/>
          <w:color w:val="auto"/>
        </w:rPr>
        <w:t>credit generally;</w:t>
      </w:r>
    </w:p>
    <w:p>
      <w:pPr>
        <w:spacing w:after="0" w:line="228" w:lineRule="exact"/>
        <w:rPr>
          <w:rFonts w:ascii="Arial" w:cs="Arial" w:eastAsia="Arial" w:hAnsi="Arial"/>
          <w:sz w:val="19"/>
          <w:szCs w:val="19"/>
          <w:color w:val="auto"/>
        </w:rPr>
      </w:pPr>
    </w:p>
    <w:p>
      <w:pPr>
        <w:ind w:left="600" w:firstLine="599"/>
        <w:spacing w:after="0" w:line="272" w:lineRule="auto"/>
        <w:tabs>
          <w:tab w:leader="none" w:pos="2065" w:val="left"/>
        </w:tabs>
        <w:numPr>
          <w:ilvl w:val="0"/>
          <w:numId w:val="38"/>
        </w:numPr>
        <w:rPr>
          <w:rFonts w:ascii="Arial" w:cs="Arial" w:eastAsia="Arial" w:hAnsi="Arial"/>
          <w:sz w:val="20"/>
          <w:szCs w:val="20"/>
          <w:color w:val="auto"/>
        </w:rPr>
      </w:pPr>
      <w:r>
        <w:rPr>
          <w:rFonts w:ascii="Arial" w:cs="Arial" w:eastAsia="Arial" w:hAnsi="Arial"/>
          <w:sz w:val="20"/>
          <w:szCs w:val="20"/>
          <w:color w:val="auto"/>
        </w:rPr>
        <w:t>except as otherwise agreed by the Administrative Agent and such L/C Issuer, the Letter of Credit is in an initial stated amount less than $100,000;</w:t>
      </w:r>
    </w:p>
    <w:p>
      <w:pPr>
        <w:spacing w:after="0" w:line="190" w:lineRule="exact"/>
        <w:rPr>
          <w:rFonts w:ascii="Arial" w:cs="Arial" w:eastAsia="Arial" w:hAnsi="Arial"/>
          <w:sz w:val="20"/>
          <w:szCs w:val="20"/>
          <w:color w:val="auto"/>
        </w:rPr>
      </w:pPr>
    </w:p>
    <w:p>
      <w:pPr>
        <w:ind w:left="2080" w:hanging="881"/>
        <w:spacing w:after="0"/>
        <w:tabs>
          <w:tab w:leader="none" w:pos="20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Letter of Credit is to be denominated in a currency other than Dollars; or</w:t>
      </w:r>
    </w:p>
    <w:p>
      <w:pPr>
        <w:spacing w:after="0" w:line="244" w:lineRule="exact"/>
        <w:rPr>
          <w:rFonts w:ascii="Arial" w:cs="Arial" w:eastAsia="Arial" w:hAnsi="Arial"/>
          <w:sz w:val="20"/>
          <w:szCs w:val="20"/>
          <w:color w:val="auto"/>
        </w:rPr>
      </w:pPr>
    </w:p>
    <w:p>
      <w:pPr>
        <w:jc w:val="both"/>
        <w:ind w:left="600" w:firstLine="599"/>
        <w:spacing w:after="0" w:line="252" w:lineRule="auto"/>
        <w:tabs>
          <w:tab w:leader="none" w:pos="2054" w:val="left"/>
        </w:tabs>
        <w:numPr>
          <w:ilvl w:val="0"/>
          <w:numId w:val="38"/>
        </w:numPr>
        <w:rPr>
          <w:rFonts w:ascii="Arial" w:cs="Arial" w:eastAsia="Arial" w:hAnsi="Arial"/>
          <w:sz w:val="20"/>
          <w:szCs w:val="20"/>
          <w:color w:val="auto"/>
        </w:rPr>
      </w:pPr>
      <w:r>
        <w:rPr>
          <w:rFonts w:ascii="Arial" w:cs="Arial" w:eastAsia="Arial" w:hAnsi="Arial"/>
          <w:sz w:val="20"/>
          <w:szCs w:val="20"/>
          <w:color w:val="auto"/>
        </w:rPr>
        <w:t xml:space="preserve">any Revolving Credit Lender is at that time a Defaulting Lender, unless such L/C Issuer has entered into arrangements, including the delivery of Cash Collateral, satisfactory to such L/C Issuer (in its sole discretion) with the Borrower or such Revolving Credit Lender to eliminate such L/C Issuer’s actual or potential Fronting Exposure (after giving effect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2.19(a)(iv</w:t>
      </w:r>
      <w:r>
        <w:rPr>
          <w:rFonts w:ascii="Arial" w:cs="Arial" w:eastAsia="Arial" w:hAnsi="Arial"/>
          <w:sz w:val="20"/>
          <w:szCs w:val="20"/>
          <w:color w:val="auto"/>
        </w:rPr>
        <w:t>)) with respect to the Defaulting Lender arising from either the Letter of Credit then proposed to be issued or that Letter of Credit and all other L/C Obligations as to which such L/C Issuer has actual or potential Fronting Exposure, as it may elect in its sole discretion; or</w:t>
      </w:r>
    </w:p>
    <w:p>
      <w:pPr>
        <w:spacing w:after="0" w:line="212" w:lineRule="exact"/>
        <w:rPr>
          <w:rFonts w:ascii="Arial" w:cs="Arial" w:eastAsia="Arial" w:hAnsi="Arial"/>
          <w:sz w:val="20"/>
          <w:szCs w:val="20"/>
          <w:color w:val="auto"/>
        </w:rPr>
      </w:pPr>
    </w:p>
    <w:p>
      <w:pPr>
        <w:jc w:val="both"/>
        <w:ind w:left="600" w:firstLine="599"/>
        <w:spacing w:after="0" w:line="260" w:lineRule="auto"/>
        <w:tabs>
          <w:tab w:leader="none" w:pos="2002" w:val="left"/>
        </w:tabs>
        <w:numPr>
          <w:ilvl w:val="0"/>
          <w:numId w:val="38"/>
        </w:numPr>
        <w:rPr>
          <w:rFonts w:ascii="Arial" w:cs="Arial" w:eastAsia="Arial" w:hAnsi="Arial"/>
          <w:sz w:val="17"/>
          <w:szCs w:val="17"/>
          <w:color w:val="auto"/>
        </w:rPr>
      </w:pPr>
      <w:r>
        <w:rPr>
          <w:rFonts w:ascii="Arial" w:cs="Arial" w:eastAsia="Arial" w:hAnsi="Arial"/>
          <w:sz w:val="20"/>
          <w:szCs w:val="20"/>
          <w:color w:val="auto"/>
        </w:rPr>
        <w:t xml:space="preserve">after giving effect to any L/C Credit Extension with respect to such Letter of Credit, the L/C Obligations with respect to all Letters of Credit issued by such L/C Issuer would exceed such L/C Issuer’s Letter of Credit Sublimit;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subject to the limitations set forth in the proviso to the first sentence of </w:t>
      </w:r>
      <w:r>
        <w:rPr>
          <w:rFonts w:ascii="Arial" w:cs="Arial" w:eastAsia="Arial" w:hAnsi="Arial"/>
          <w:sz w:val="20"/>
          <w:szCs w:val="20"/>
          <w:u w:val="single" w:color="auto"/>
          <w:color w:val="auto"/>
        </w:rPr>
        <w:t>Section 2.03(a)(i)</w:t>
      </w:r>
      <w:r>
        <w:rPr>
          <w:rFonts w:ascii="Arial" w:cs="Arial" w:eastAsia="Arial" w:hAnsi="Arial"/>
          <w:sz w:val="20"/>
          <w:szCs w:val="20"/>
          <w:color w:val="auto"/>
        </w:rPr>
        <w:t>, any L/C Issuer in its sole discretion may issue Letters of Credit in excess of its Letter of Credit Sublimit.</w:t>
      </w:r>
    </w:p>
    <w:p>
      <w:pPr>
        <w:spacing w:after="0" w:line="20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44</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56" w:name="page57"/>
    <w:bookmarkEnd w:id="56"/>
    <w:p>
      <w:pPr>
        <w:ind w:firstLine="1199"/>
        <w:spacing w:after="0" w:line="285" w:lineRule="auto"/>
        <w:tabs>
          <w:tab w:leader="none" w:pos="2039" w:val="left"/>
        </w:tabs>
        <w:numPr>
          <w:ilvl w:val="1"/>
          <w:numId w:val="39"/>
        </w:numPr>
        <w:rPr>
          <w:rFonts w:ascii="Arial" w:cs="Arial" w:eastAsia="Arial" w:hAnsi="Arial"/>
          <w:sz w:val="17"/>
          <w:szCs w:val="17"/>
          <w:color w:val="auto"/>
        </w:rPr>
      </w:pPr>
      <w:r>
        <w:rPr>
          <w:rFonts w:ascii="Arial" w:cs="Arial" w:eastAsia="Arial" w:hAnsi="Arial"/>
          <w:sz w:val="20"/>
          <w:szCs w:val="20"/>
          <w:color w:val="auto"/>
        </w:rPr>
        <w:t>No L/C Issuer shall amend any Letter of Credit if such L/C Issuer would not be permitted at such time to issue the Letter of Credit in its amended form under the terms hereof.</w:t>
      </w:r>
    </w:p>
    <w:p>
      <w:pPr>
        <w:spacing w:after="0" w:line="178" w:lineRule="exact"/>
        <w:rPr>
          <w:rFonts w:ascii="Arial" w:cs="Arial" w:eastAsia="Arial" w:hAnsi="Arial"/>
          <w:sz w:val="17"/>
          <w:szCs w:val="17"/>
          <w:color w:val="auto"/>
        </w:rPr>
      </w:pPr>
    </w:p>
    <w:p>
      <w:pPr>
        <w:jc w:val="both"/>
        <w:ind w:firstLine="1199"/>
        <w:spacing w:after="0" w:line="266" w:lineRule="auto"/>
        <w:tabs>
          <w:tab w:leader="none" w:pos="1992" w:val="left"/>
        </w:tabs>
        <w:numPr>
          <w:ilvl w:val="1"/>
          <w:numId w:val="39"/>
        </w:numPr>
        <w:rPr>
          <w:rFonts w:ascii="Arial" w:cs="Arial" w:eastAsia="Arial" w:hAnsi="Arial"/>
          <w:sz w:val="17"/>
          <w:szCs w:val="17"/>
          <w:color w:val="auto"/>
        </w:rPr>
      </w:pPr>
      <w:r>
        <w:rPr>
          <w:rFonts w:ascii="Arial" w:cs="Arial" w:eastAsia="Arial" w:hAnsi="Arial"/>
          <w:sz w:val="20"/>
          <w:szCs w:val="20"/>
          <w:color w:val="auto"/>
        </w:rPr>
        <w:t>No L/C Issuer shall be under any obligation to amend any Letter of Credit if (A) such L/C Issuer would have no obligation at such time to issue the Letter of Credit in its amended form under the terms hereof, or (B) the beneficiary of the Letter of Credit does not accept the proposed amendment to the Letter of Credit.</w:t>
      </w:r>
    </w:p>
    <w:p>
      <w:pPr>
        <w:spacing w:after="0" w:line="197" w:lineRule="exact"/>
        <w:rPr>
          <w:rFonts w:ascii="Arial" w:cs="Arial" w:eastAsia="Arial" w:hAnsi="Arial"/>
          <w:sz w:val="17"/>
          <w:szCs w:val="17"/>
          <w:color w:val="auto"/>
        </w:rPr>
      </w:pPr>
    </w:p>
    <w:p>
      <w:pPr>
        <w:jc w:val="both"/>
        <w:ind w:firstLine="1199"/>
        <w:spacing w:after="0" w:line="255" w:lineRule="auto"/>
        <w:tabs>
          <w:tab w:leader="none" w:pos="2039" w:val="left"/>
        </w:tabs>
        <w:numPr>
          <w:ilvl w:val="1"/>
          <w:numId w:val="39"/>
        </w:numPr>
        <w:rPr>
          <w:rFonts w:ascii="Arial" w:cs="Arial" w:eastAsia="Arial" w:hAnsi="Arial"/>
          <w:sz w:val="17"/>
          <w:szCs w:val="17"/>
          <w:color w:val="auto"/>
        </w:rPr>
      </w:pPr>
      <w:r>
        <w:rPr>
          <w:rFonts w:ascii="Arial" w:cs="Arial" w:eastAsia="Arial" w:hAnsi="Arial"/>
          <w:sz w:val="20"/>
          <w:szCs w:val="20"/>
          <w:color w:val="auto"/>
        </w:rPr>
        <w:t xml:space="preserve">Each L/C Issuer shall act on behalf of the Revolving Credit Lenders with respect to any Letters of Credit issued by it and the documents associated therewith, and each L/C Issuer shall have all of the benefits and immunities (A) provided to the Administrative Agent in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included the L/C Issuers with respect to such acts or omissions, and (B) as additionally provided herein with respect to the L/C Issuers.</w:t>
      </w:r>
    </w:p>
    <w:p>
      <w:pPr>
        <w:spacing w:after="0" w:line="207" w:lineRule="exact"/>
        <w:rPr>
          <w:rFonts w:ascii="Arial" w:cs="Arial" w:eastAsia="Arial" w:hAnsi="Arial"/>
          <w:sz w:val="17"/>
          <w:szCs w:val="17"/>
          <w:color w:val="auto"/>
        </w:rPr>
      </w:pPr>
    </w:p>
    <w:p>
      <w:pPr>
        <w:jc w:val="both"/>
        <w:ind w:firstLine="599"/>
        <w:spacing w:after="0" w:line="278" w:lineRule="auto"/>
        <w:tabs>
          <w:tab w:leader="none" w:pos="143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Amendment of Letters of Credit; Auto-Extension Letters of Credit</w:t>
      </w:r>
      <w:r>
        <w:rPr>
          <w:rFonts w:ascii="Arial" w:cs="Arial" w:eastAsia="Arial" w:hAnsi="Arial"/>
          <w:sz w:val="18"/>
          <w:szCs w:val="18"/>
          <w:color w:val="auto"/>
        </w:rPr>
        <w:t>. (i) Each Letter of Credit shall be issued or amended, as the case may be, upon the request of the Borrower delivered to an L/C Issuer (with a copy to the Administrative Agent) in the form of a Letter of Credit Application, appropriately completed and signed by a Responsible Officer of the Borrower. Such Letter of Credit Application may be sent by facsimile, by United States mail, by overnight courier, by electronic transmission using the system provided by the applicable L/C Issuer, by personal delivery or by any other means acceptable to the applicable L/C Issuer. Such Letter of Credit Application must be received by the applicable L/C Issuer and the Administrative Agent not later than 11:00 a.m. at least two Business Days (or such later date and time as the Administrative Agent and the applicable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applicable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applicable L/C Issuer may require. In the case of a request for an amendment of any outstanding Letter of Credit, such Letter of Credit Application shall specify in form and detail satisfactory to the applicable L/C Issuer (1) the Letter of Credit to be amended; (2) the proposed date of amendment thereof (which shall be a Business Day); (3) the nature of the proposed amendment; and (4) such other matters as the applicable L/C Issuer may require. Additionally, the Borrower shall furnish to the applicable L/C Issuer and the Administrative Agent such other documents and information pertaining to such requested Letter of Credit issuance or amendment, including any Issuer Documents, as such L/C Issuer or the Administrative Agent may require.</w:t>
      </w:r>
    </w:p>
    <w:p>
      <w:pPr>
        <w:spacing w:after="0" w:line="193" w:lineRule="exact"/>
        <w:rPr>
          <w:rFonts w:ascii="Arial" w:cs="Arial" w:eastAsia="Arial" w:hAnsi="Arial"/>
          <w:sz w:val="18"/>
          <w:szCs w:val="18"/>
          <w:color w:val="auto"/>
        </w:rPr>
      </w:pPr>
    </w:p>
    <w:p>
      <w:pPr>
        <w:jc w:val="both"/>
        <w:ind w:firstLine="1199"/>
        <w:spacing w:after="0" w:line="251" w:lineRule="auto"/>
        <w:tabs>
          <w:tab w:leader="none" w:pos="2043" w:val="left"/>
        </w:tabs>
        <w:numPr>
          <w:ilvl w:val="1"/>
          <w:numId w:val="40"/>
        </w:numPr>
        <w:rPr>
          <w:rFonts w:ascii="Arial" w:cs="Arial" w:eastAsia="Arial" w:hAnsi="Arial"/>
          <w:sz w:val="20"/>
          <w:szCs w:val="20"/>
          <w:color w:val="auto"/>
        </w:rPr>
      </w:pPr>
      <w:r>
        <w:rPr>
          <w:rFonts w:ascii="Arial" w:cs="Arial" w:eastAsia="Arial" w:hAnsi="Arial"/>
          <w:sz w:val="20"/>
          <w:szCs w:val="20"/>
          <w:color w:val="auto"/>
        </w:rPr>
        <w:t xml:space="preserve">Promptly after receipt of any Letter of Credit Application, the applicable L/C Issuer will confirm with the Administrative Agent (by telephone or in writing) that the Administrative Agent has received a copy of such Letter of Credit Application from the Borrower and, if not, such L/C Issuer will provide the Administrative Agent with a copy thereof. Unless the applicable L/C Issuer has received written notice from any Revolving Credit Lender, the Administrative Agent, the REIT or the Borrower, at least one Business Day prior to the requested date of issuance or amendment of the applicable Letter of Credit, that one or more applicable conditions contained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shall not then be satisfied, then, subject to the terms and conditions hereof, such L/C Issuer shall, on the requested date, issue a Letter of Credit for the</w:t>
      </w:r>
    </w:p>
    <w:p>
      <w:pPr>
        <w:spacing w:after="0" w:line="21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45</w:t>
      </w:r>
      <w:r>
        <w:rPr>
          <w:rFonts w:ascii="MS PGothic" w:cs="MS PGothic" w:eastAsia="MS PGothic" w:hAnsi="MS PGothic"/>
          <w:sz w:val="20"/>
          <w:szCs w:val="20"/>
          <w:color w:val="auto"/>
        </w:rPr>
        <w:t>‑</w:t>
      </w:r>
    </w:p>
    <w:p>
      <w:pPr>
        <w:sectPr>
          <w:pgSz w:w="11900" w:h="16838" w:orient="portrait"/>
          <w:cols w:equalWidth="0" w:num="1">
            <w:col w:w="11420"/>
          </w:cols>
          <w:pgMar w:left="240" w:top="558" w:right="239" w:bottom="1440" w:gutter="0" w:footer="0" w:header="0"/>
        </w:sectPr>
      </w:pPr>
    </w:p>
    <w:bookmarkStart w:id="57" w:name="page58"/>
    <w:bookmarkEnd w:id="57"/>
    <w:p>
      <w:pPr>
        <w:jc w:val="both"/>
        <w:spacing w:after="0" w:line="253" w:lineRule="auto"/>
        <w:rPr>
          <w:sz w:val="20"/>
          <w:szCs w:val="20"/>
          <w:color w:val="auto"/>
        </w:rPr>
      </w:pPr>
      <w:r>
        <w:rPr>
          <w:rFonts w:ascii="Arial" w:cs="Arial" w:eastAsia="Arial" w:hAnsi="Arial"/>
          <w:sz w:val="20"/>
          <w:szCs w:val="20"/>
          <w:color w:val="auto"/>
        </w:rPr>
        <w:t xml:space="preserve">account of the Borrower (or the applicable Subsidiary) or enter into the applicable amendment, as the case may be, in each case in accordance with such L/C Issuer’s usual and customary business practices. Immediately upon the issuance of each Letter of Credit, each Revolving Credit Lender shall be deemed to, and hereby irrevocably and unconditionally agrees to, purchase from the applicable L/C Issuer a risk participation in such Letter of Credit in an amount equal to the product of such Revolving Credit Lender’s Applicable Revolving Credit Percentage </w:t>
      </w:r>
      <w:r>
        <w:rPr>
          <w:rFonts w:ascii="Arial" w:cs="Arial" w:eastAsia="Arial" w:hAnsi="Arial"/>
          <w:sz w:val="20"/>
          <w:szCs w:val="20"/>
          <w:u w:val="single" w:color="auto"/>
          <w:color w:val="auto"/>
        </w:rPr>
        <w:t>times</w:t>
      </w:r>
      <w:r>
        <w:rPr>
          <w:rFonts w:ascii="Arial" w:cs="Arial" w:eastAsia="Arial" w:hAnsi="Arial"/>
          <w:sz w:val="20"/>
          <w:szCs w:val="20"/>
          <w:color w:val="auto"/>
        </w:rPr>
        <w:t xml:space="preserve"> the amount of such Letter of Credit.</w:t>
      </w:r>
    </w:p>
    <w:p>
      <w:pPr>
        <w:spacing w:after="0" w:line="212" w:lineRule="exact"/>
        <w:rPr>
          <w:sz w:val="20"/>
          <w:szCs w:val="20"/>
          <w:color w:val="auto"/>
        </w:rPr>
      </w:pPr>
    </w:p>
    <w:p>
      <w:pPr>
        <w:jc w:val="both"/>
        <w:ind w:firstLine="1199"/>
        <w:spacing w:after="0" w:line="279" w:lineRule="auto"/>
        <w:tabs>
          <w:tab w:leader="none" w:pos="2098"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the Borrower so requests in any applicable Letter of Credit Application, an L/C Issuer may, in its sole discretion, agree to issue a Letter of Credit that has automatic extension provisions (each, an “</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Auto-Extension Letter of Credit must permit the applicable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xml:space="preserve">”) in each such twelve-month period to be agreed upon at the time such Letter of Credit is issued. Unless otherwise directed by an L/C Issuer, the Borrower shall not be required to make a specific request to such L/C Issuer for any such extension. Once an Auto-Extension Letter of Credit has been issued, the Revolving Credit Lenders shall be deemed to have authorized (but may not require) the applicable L/C Issuer to permit the extension of such Letter of Credit at any time to an expiry date not later than the expiry date permitted by </w:t>
      </w:r>
      <w:r>
        <w:rPr>
          <w:rFonts w:ascii="Arial" w:cs="Arial" w:eastAsia="Arial" w:hAnsi="Arial"/>
          <w:sz w:val="18"/>
          <w:szCs w:val="18"/>
          <w:u w:val="single" w:color="auto"/>
          <w:color w:val="auto"/>
        </w:rPr>
        <w:t>Section 2.03(a)(ii)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L/C Issuer shall permit any such extension if (A) such L/C Issuer has determined that it would not be permitted, or would have no obligation at such time to issue such Letter of Credit in its revised form (as extended) under the terms hereof (by reason of the provisions of clause (ii) or (iii) of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or otherwise), or (B) it has received notice (which may be by telephone or in writing) on or before the day that is seven Business Days before the Non-Extension Notice Date (1) from the Administrative Agent that the Required Revolving Lenders have elected not to permit such extension or (2) from the Administrative Agent, any Lender or the Borrower that one or more of the applicable conditions specified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is not then satisfied, and in each such case directing such L/C Issuer not to permit such extension.</w:t>
      </w:r>
    </w:p>
    <w:p>
      <w:pPr>
        <w:spacing w:after="0" w:line="187" w:lineRule="exact"/>
        <w:rPr>
          <w:rFonts w:ascii="Arial" w:cs="Arial" w:eastAsia="Arial" w:hAnsi="Arial"/>
          <w:sz w:val="18"/>
          <w:szCs w:val="18"/>
          <w:color w:val="auto"/>
        </w:rPr>
      </w:pPr>
    </w:p>
    <w:p>
      <w:pPr>
        <w:jc w:val="both"/>
        <w:ind w:firstLine="1199"/>
        <w:spacing w:after="0" w:line="260" w:lineRule="auto"/>
        <w:tabs>
          <w:tab w:leader="none" w:pos="2087" w:val="left"/>
        </w:tabs>
        <w:numPr>
          <w:ilvl w:val="1"/>
          <w:numId w:val="41"/>
        </w:numPr>
        <w:rPr>
          <w:rFonts w:ascii="Arial" w:cs="Arial" w:eastAsia="Arial" w:hAnsi="Arial"/>
          <w:sz w:val="20"/>
          <w:szCs w:val="20"/>
          <w:color w:val="auto"/>
        </w:rPr>
      </w:pPr>
      <w:r>
        <w:rPr>
          <w:rFonts w:ascii="Arial" w:cs="Arial" w:eastAsia="Arial" w:hAnsi="Arial"/>
          <w:sz w:val="20"/>
          <w:szCs w:val="20"/>
          <w:color w:val="auto"/>
        </w:rPr>
        <w:t>Promptly after its delivery of any Letter of Credit or any amendment to a Letter of Credit to an advising bank with respect thereto or to the beneficiary thereof, the applicable L/C Issuer will also deliver to the Borrower and the Administrative Agent a true and complete copy of such Letter of Credit or amendment.</w:t>
      </w:r>
    </w:p>
    <w:p>
      <w:pPr>
        <w:spacing w:after="0" w:line="201" w:lineRule="exact"/>
        <w:rPr>
          <w:rFonts w:ascii="Arial" w:cs="Arial" w:eastAsia="Arial" w:hAnsi="Arial"/>
          <w:sz w:val="20"/>
          <w:szCs w:val="20"/>
          <w:color w:val="auto"/>
        </w:rPr>
      </w:pPr>
    </w:p>
    <w:p>
      <w:pPr>
        <w:jc w:val="both"/>
        <w:ind w:firstLine="1199"/>
        <w:spacing w:after="0" w:line="273" w:lineRule="auto"/>
        <w:tabs>
          <w:tab w:leader="none" w:pos="2031" w:val="left"/>
        </w:tabs>
        <w:numPr>
          <w:ilvl w:val="1"/>
          <w:numId w:val="41"/>
        </w:numPr>
        <w:rPr>
          <w:rFonts w:ascii="Arial" w:cs="Arial" w:eastAsia="Arial" w:hAnsi="Arial"/>
          <w:sz w:val="19"/>
          <w:szCs w:val="19"/>
          <w:color w:val="auto"/>
        </w:rPr>
      </w:pPr>
      <w:r>
        <w:rPr>
          <w:rFonts w:ascii="Arial" w:cs="Arial" w:eastAsia="Arial" w:hAnsi="Arial"/>
          <w:sz w:val="19"/>
          <w:szCs w:val="19"/>
          <w:color w:val="auto"/>
        </w:rPr>
        <w:t>If the expiry date of any Letter of Credit would occur after the Maturity Date of the Revolving Credit Facility, the Borrower hereby agrees that it will at least thirty (30) days prior to the Maturity Date of the Revolving Credit Facility (or, in the case of a Letter of Credit issued, amended or extended on or after thirty (30) days prior to the Maturity Date of the Revolving Credit Facility, on the date of such issuance, amendment or extension, as applicable) Cash Collateralize such Letter of Credit.</w:t>
      </w:r>
    </w:p>
    <w:p>
      <w:pPr>
        <w:spacing w:after="0" w:line="192" w:lineRule="exact"/>
        <w:rPr>
          <w:rFonts w:ascii="Arial" w:cs="Arial" w:eastAsia="Arial" w:hAnsi="Arial"/>
          <w:sz w:val="19"/>
          <w:szCs w:val="19"/>
          <w:color w:val="auto"/>
        </w:rPr>
      </w:pPr>
    </w:p>
    <w:p>
      <w:pPr>
        <w:jc w:val="both"/>
        <w:ind w:firstLine="599"/>
        <w:spacing w:after="0" w:line="267" w:lineRule="auto"/>
        <w:tabs>
          <w:tab w:leader="none" w:pos="1421"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Drawings and Reimbursements; Funding of Participations</w:t>
      </w:r>
      <w:r>
        <w:rPr>
          <w:rFonts w:ascii="Arial" w:cs="Arial" w:eastAsia="Arial" w:hAnsi="Arial"/>
          <w:sz w:val="19"/>
          <w:szCs w:val="19"/>
          <w:color w:val="auto"/>
        </w:rPr>
        <w:t xml:space="preserve">. </w:t>
      </w:r>
      <w:r>
        <w:rPr>
          <w:rFonts w:ascii="Arial" w:cs="Arial" w:eastAsia="Arial" w:hAnsi="Arial"/>
          <w:sz w:val="15"/>
          <w:szCs w:val="15"/>
          <w:color w:val="auto"/>
        </w:rPr>
        <w:t>(i)</w:t>
      </w:r>
      <w:r>
        <w:rPr>
          <w:rFonts w:ascii="Arial" w:cs="Arial" w:eastAsia="Arial" w:hAnsi="Arial"/>
          <w:sz w:val="19"/>
          <w:szCs w:val="19"/>
          <w:color w:val="auto"/>
        </w:rPr>
        <w:t xml:space="preserve"> Upon receipt from the beneficiary of any Letter of Credit of any notice of a drawing under such Letter of Credit, the applicable L/C Issuer shall promptly notify the Borrower and the Administrative Agent thereof. Not later than 11:00 a.m. on the first Business Day after the date of any payment by the applicable L/C Issuer under a Letter of Credit (each such date, an “</w:t>
      </w:r>
      <w:r>
        <w:rPr>
          <w:rFonts w:ascii="Arial" w:cs="Arial" w:eastAsia="Arial" w:hAnsi="Arial"/>
          <w:sz w:val="19"/>
          <w:szCs w:val="19"/>
          <w:u w:val="single" w:color="auto"/>
          <w:color w:val="auto"/>
        </w:rPr>
        <w:t>Honor Date</w:t>
      </w:r>
      <w:r>
        <w:rPr>
          <w:rFonts w:ascii="Arial" w:cs="Arial" w:eastAsia="Arial" w:hAnsi="Arial"/>
          <w:sz w:val="19"/>
          <w:szCs w:val="19"/>
          <w:color w:val="auto"/>
        </w:rPr>
        <w:t xml:space="preserve">”), the Borrower shall reimburse such L/C Issuer through the Administrative Agent in an amount equal to the amount of such drawing;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unless the applicable L/C Issuer is reimbursed by the Borrower for the amount of such drawing on or before 11:00 a.m. on the date of such drawing, the unreimbursed amount of such drawing shall accrue interest from and including the date such drawing is made until such time as the applicable L/C Issuer is reimbursed in full therefor (whether through payment by the Borrower and/or through a Revolving Credit Loan or L/C Borrowing made in accordance with paragraph (ii) or (iii)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2.03(c)</w:t>
      </w:r>
      <w:r>
        <w:rPr>
          <w:rFonts w:ascii="Arial" w:cs="Arial" w:eastAsia="Arial" w:hAnsi="Arial"/>
          <w:sz w:val="19"/>
          <w:szCs w:val="19"/>
          <w:color w:val="auto"/>
        </w:rPr>
        <w:t>) at a rate equal to (A) for the period from and</w:t>
      </w:r>
    </w:p>
    <w:p>
      <w:pPr>
        <w:spacing w:after="0" w:line="198"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46</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58" w:name="page59"/>
    <w:bookmarkEnd w:id="58"/>
    <w:p>
      <w:pPr>
        <w:jc w:val="both"/>
        <w:spacing w:after="0" w:line="280" w:lineRule="auto"/>
        <w:rPr>
          <w:sz w:val="20"/>
          <w:szCs w:val="20"/>
          <w:color w:val="auto"/>
        </w:rPr>
      </w:pPr>
      <w:r>
        <w:rPr>
          <w:rFonts w:ascii="Arial" w:cs="Arial" w:eastAsia="Arial" w:hAnsi="Arial"/>
          <w:sz w:val="18"/>
          <w:szCs w:val="18"/>
          <w:color w:val="auto"/>
        </w:rPr>
        <w:t>including the date of such drawing to but excluding the first Business Day to occur thereafter, the rate of interest then applicable to a Base Rate Revolving Credit Loan and (B) thereafter, at the Default Rate applicable to a Base Rate Revolving Credit Loan. Interest accruing pursuant to the proviso to the immediately preceding sentence shall be payable by the Borrower upon demand to the Administrative Agent, solely for the account of the applicable L/C Issuer. If the Borrower fails to so reimburse the applicable L/C Issuer by 11:00 a.m. on the Honor Date, the Administrative Agent shall promptly notify each Revolving Credit Lender of the Honor Date, the amount of the unreimbursed drawing (the “</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and the amount of such Revolving Credit Lender’s Applicable Revolving Credit Percentage thereof. In such event, the Borrower shall be deemed to have requested a Revolving Credit Borrowing of Base Rate Loans to be disbursed on the Honor Date in an amount equal to the Unreimbursed Amount, without regard to the minimum and multiples specified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for the principal amount of Base Rate Loans, but subject to the amount of the unutilized portion of the Revolving Credit Commitments and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(other than the delivery of a Loan Notice). Any notice given by an L/C Issuer or the Administrative Agent pursuant to this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may be given by telephone if immediately confirmed in writing;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lack of such an immediate confirmation shall not affect the conclusiveness or binding effect of such notice.</w:t>
      </w:r>
    </w:p>
    <w:p>
      <w:pPr>
        <w:spacing w:after="0" w:line="187" w:lineRule="exact"/>
        <w:rPr>
          <w:sz w:val="20"/>
          <w:szCs w:val="20"/>
          <w:color w:val="auto"/>
        </w:rPr>
      </w:pPr>
    </w:p>
    <w:p>
      <w:pPr>
        <w:jc w:val="both"/>
        <w:ind w:firstLine="1199"/>
        <w:spacing w:after="0" w:line="286" w:lineRule="auto"/>
        <w:tabs>
          <w:tab w:leader="none" w:pos="20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Each Revolving Credit Lender shall upon any notice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make funds available (and the Administrative Agent may apply Cash Collateral provided for this purpose) for the account of the applicable L/C Issuer at the Administrative Agent’s Office in an amount equal to its Applicable Revolving Credit Percentage of the Unreimbursed Amount not later than 1:00 p.m. on the Business Day specified in such notice by the Administrative Agent, whereupon, subject to the provisions of </w:t>
      </w:r>
      <w:r>
        <w:rPr>
          <w:rFonts w:ascii="Arial" w:cs="Arial" w:eastAsia="Arial" w:hAnsi="Arial"/>
          <w:sz w:val="18"/>
          <w:szCs w:val="18"/>
          <w:u w:val="single" w:color="auto"/>
          <w:color w:val="auto"/>
        </w:rPr>
        <w:t>Section 2.03(c)(iii)</w:t>
      </w:r>
      <w:r>
        <w:rPr>
          <w:rFonts w:ascii="Arial" w:cs="Arial" w:eastAsia="Arial" w:hAnsi="Arial"/>
          <w:sz w:val="18"/>
          <w:szCs w:val="18"/>
          <w:color w:val="auto"/>
        </w:rPr>
        <w:t>, each Revolving Credit Lender that so makes funds available shall be deemed to have made a Base Rate Revolving Credit Loan to the Borrower in such amount. The Administrative Agent shall promptly remit the funds so received to the applicable L/C Issuer.</w:t>
      </w:r>
    </w:p>
    <w:p>
      <w:pPr>
        <w:spacing w:after="0" w:line="181" w:lineRule="exact"/>
        <w:rPr>
          <w:rFonts w:ascii="Arial" w:cs="Arial" w:eastAsia="Arial" w:hAnsi="Arial"/>
          <w:sz w:val="18"/>
          <w:szCs w:val="18"/>
          <w:color w:val="auto"/>
        </w:rPr>
      </w:pPr>
    </w:p>
    <w:p>
      <w:pPr>
        <w:jc w:val="both"/>
        <w:ind w:firstLine="1199"/>
        <w:spacing w:after="0" w:line="267" w:lineRule="auto"/>
        <w:tabs>
          <w:tab w:leader="none" w:pos="2098"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With respect to any Unreimbursed Amount that is not fully refinanced by a Revolving Credit Borrowing of Base Rate Loans because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cannot be satisfied or for any other reason, the Borrower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applicable L/C Issuer pursuant to </w:t>
      </w:r>
      <w:r>
        <w:rPr>
          <w:rFonts w:ascii="Arial" w:cs="Arial" w:eastAsia="Arial" w:hAnsi="Arial"/>
          <w:sz w:val="19"/>
          <w:szCs w:val="19"/>
          <w:u w:val="single" w:color="auto"/>
          <w:color w:val="auto"/>
        </w:rPr>
        <w:t>Section 2.03(c)(ii)</w:t>
      </w:r>
      <w:r>
        <w:rPr>
          <w:rFonts w:ascii="Arial" w:cs="Arial" w:eastAsia="Arial" w:hAnsi="Arial"/>
          <w:sz w:val="19"/>
          <w:szCs w:val="19"/>
          <w:color w:val="auto"/>
        </w:rPr>
        <w:t xml:space="preserve"> shall be deemed payment in respect of its participation in such L/C Borrowing and shall constitute an L/C Advance from such Revolving Credit Lender in satisfaction of its participation obligation under this </w:t>
      </w:r>
      <w:r>
        <w:rPr>
          <w:rFonts w:ascii="Arial" w:cs="Arial" w:eastAsia="Arial" w:hAnsi="Arial"/>
          <w:sz w:val="19"/>
          <w:szCs w:val="19"/>
          <w:u w:val="single" w:color="auto"/>
          <w:color w:val="auto"/>
        </w:rPr>
        <w:t>Section 2.03</w:t>
      </w:r>
      <w:r>
        <w:rPr>
          <w:rFonts w:ascii="Arial" w:cs="Arial" w:eastAsia="Arial" w:hAnsi="Arial"/>
          <w:sz w:val="19"/>
          <w:szCs w:val="19"/>
          <w:color w:val="auto"/>
        </w:rPr>
        <w:t>.</w:t>
      </w:r>
    </w:p>
    <w:p>
      <w:pPr>
        <w:spacing w:after="0" w:line="196" w:lineRule="exact"/>
        <w:rPr>
          <w:rFonts w:ascii="Arial" w:cs="Arial" w:eastAsia="Arial" w:hAnsi="Arial"/>
          <w:sz w:val="19"/>
          <w:szCs w:val="19"/>
          <w:color w:val="auto"/>
        </w:rPr>
      </w:pPr>
    </w:p>
    <w:p>
      <w:pPr>
        <w:jc w:val="both"/>
        <w:ind w:firstLine="1199"/>
        <w:spacing w:after="0" w:line="280" w:lineRule="auto"/>
        <w:tabs>
          <w:tab w:leader="none" w:pos="2087"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Until each Revolving Credit Lender funds its Revolving Credit Loan or L/C Advance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2.03(c)</w:t>
      </w:r>
      <w:r>
        <w:rPr>
          <w:rFonts w:ascii="Arial" w:cs="Arial" w:eastAsia="Arial" w:hAnsi="Arial"/>
          <w:sz w:val="19"/>
          <w:szCs w:val="19"/>
          <w:color w:val="auto"/>
        </w:rPr>
        <w:t xml:space="preserve"> to reimburse the applicable L/C Issuer for any amount drawn under any Letter of Credit, interest in respect of such Revolving Credit Lender’s Applicable Revolving Credit Percentage of such amount shall be solely for the account of such L/C Issuer.</w:t>
      </w:r>
    </w:p>
    <w:p>
      <w:pPr>
        <w:spacing w:after="0" w:line="184" w:lineRule="exact"/>
        <w:rPr>
          <w:rFonts w:ascii="Arial" w:cs="Arial" w:eastAsia="Arial" w:hAnsi="Arial"/>
          <w:sz w:val="19"/>
          <w:szCs w:val="19"/>
          <w:color w:val="auto"/>
        </w:rPr>
      </w:pPr>
    </w:p>
    <w:p>
      <w:pPr>
        <w:jc w:val="both"/>
        <w:ind w:firstLine="1199"/>
        <w:spacing w:after="0" w:line="284" w:lineRule="auto"/>
        <w:tabs>
          <w:tab w:leader="none" w:pos="20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Each Revolving Credit Lender’s obligation to make Revolving Credit Loans or L/C Advances to reimburse an L/C Issuer for amounts drawn under Letters of Credit, as contemplated by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Revolving Credit Lender may have against such L/C Issuer, the Borrower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Revolving Credit Lender’s obligation to make Revolving Credit Loans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(other than delivery by the Borrower of a Loan Notice). No such making of an L/C Advance shall relieve or otherwise</w:t>
      </w:r>
    </w:p>
    <w:p>
      <w:pPr>
        <w:spacing w:after="0" w:line="184"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47</w:t>
      </w:r>
      <w:r>
        <w:rPr>
          <w:rFonts w:ascii="MS PGothic" w:cs="MS PGothic" w:eastAsia="MS PGothic" w:hAnsi="MS PGothic"/>
          <w:sz w:val="20"/>
          <w:szCs w:val="20"/>
          <w:color w:val="auto"/>
        </w:rPr>
        <w:t>‑</w:t>
      </w:r>
    </w:p>
    <w:p>
      <w:pPr>
        <w:sectPr>
          <w:pgSz w:w="11900" w:h="16838" w:orient="portrait"/>
          <w:cols w:equalWidth="0" w:num="1">
            <w:col w:w="11420"/>
          </w:cols>
          <w:pgMar w:left="240" w:top="558" w:right="239" w:bottom="1440" w:gutter="0" w:footer="0" w:header="0"/>
        </w:sectPr>
      </w:pPr>
    </w:p>
    <w:bookmarkStart w:id="59" w:name="page60"/>
    <w:bookmarkEnd w:id="59"/>
    <w:p>
      <w:pPr>
        <w:spacing w:after="0" w:line="272" w:lineRule="auto"/>
        <w:rPr>
          <w:sz w:val="20"/>
          <w:szCs w:val="20"/>
          <w:color w:val="auto"/>
        </w:rPr>
      </w:pPr>
      <w:r>
        <w:rPr>
          <w:rFonts w:ascii="Arial" w:cs="Arial" w:eastAsia="Arial" w:hAnsi="Arial"/>
          <w:sz w:val="20"/>
          <w:szCs w:val="20"/>
          <w:color w:val="auto"/>
        </w:rPr>
        <w:t>impair the obligation of the Borrower to reimburse the applicable L/C Issuer for the amount of any payment made by such L/C Issuer under any Letter of Credit, together with interest as provided herein.</w:t>
      </w:r>
    </w:p>
    <w:p>
      <w:pPr>
        <w:spacing w:after="0" w:line="191" w:lineRule="exact"/>
        <w:rPr>
          <w:sz w:val="20"/>
          <w:szCs w:val="20"/>
          <w:color w:val="auto"/>
        </w:rPr>
      </w:pPr>
    </w:p>
    <w:p>
      <w:pPr>
        <w:jc w:val="both"/>
        <w:ind w:firstLine="1199"/>
        <w:spacing w:after="0" w:line="280" w:lineRule="auto"/>
        <w:tabs>
          <w:tab w:leader="none" w:pos="2087"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If any Revolving Credit Lender fails to make available to the Administrative Agent for the account of an L/C Issuer any amount required to be paid by such Revolving Credit Lender pursuant to the foregoing provisions of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2.03(c)(ii)</w:t>
      </w:r>
      <w:r>
        <w:rPr>
          <w:rFonts w:ascii="Arial" w:cs="Arial" w:eastAsia="Arial" w:hAnsi="Arial"/>
          <w:sz w:val="18"/>
          <w:szCs w:val="18"/>
          <w:color w:val="auto"/>
        </w:rPr>
        <w:t xml:space="preserve">, then, without limiting the other provisions of this Agreement, such L/C Issuer shall be entitled to recover from such Revolving Credit Lender (acting through the Administrative Agent), on demand, such amount with interest thereon for the period from the date such payment is required to the date on which such payment is immediately available to such L/C Issuer at a rate per annum equal to the greater of the Federal Funds Rate and a rate determined by such L/C Issuer in accordance with banking industry rules on interbank compensation, plus any administrative, processing or similar fees customarily charged by such L/C Issuer in connection with the foregoing. If such Revolving Credit Lender pays such amount (with interest and fees as aforesaid), the amount so paid shall constitute such Revolving Credit Lender’s Revolving Credit Loan included in the relevant Revolving Credit Borrowing or L/C Advance in respect of the relevant L/C Borrowing, as the case may be. A certificate of the applicable L/C Issuer submitted to any Revolving Credit Lender (through the Administrative Agent) with respect to any amounts owing under this </w:t>
      </w:r>
      <w:r>
        <w:rPr>
          <w:rFonts w:ascii="Arial" w:cs="Arial" w:eastAsia="Arial" w:hAnsi="Arial"/>
          <w:sz w:val="18"/>
          <w:szCs w:val="18"/>
          <w:u w:val="single" w:color="auto"/>
          <w:color w:val="auto"/>
        </w:rPr>
        <w:t>Section 2.03(c)(vi)</w:t>
      </w:r>
      <w:r>
        <w:rPr>
          <w:rFonts w:ascii="Arial" w:cs="Arial" w:eastAsia="Arial" w:hAnsi="Arial"/>
          <w:sz w:val="18"/>
          <w:szCs w:val="18"/>
          <w:color w:val="auto"/>
        </w:rPr>
        <w:t xml:space="preserve"> shall be conclusive absent manifest error.</w:t>
      </w:r>
    </w:p>
    <w:p>
      <w:pPr>
        <w:spacing w:after="0" w:line="191" w:lineRule="exact"/>
        <w:rPr>
          <w:rFonts w:ascii="Arial" w:cs="Arial" w:eastAsia="Arial" w:hAnsi="Arial"/>
          <w:sz w:val="18"/>
          <w:szCs w:val="18"/>
          <w:color w:val="auto"/>
        </w:rPr>
      </w:pPr>
    </w:p>
    <w:p>
      <w:pPr>
        <w:jc w:val="both"/>
        <w:ind w:firstLine="599"/>
        <w:spacing w:after="0" w:line="267" w:lineRule="auto"/>
        <w:tabs>
          <w:tab w:leader="none" w:pos="1432"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Repayment of Participations</w:t>
      </w:r>
      <w:r>
        <w:rPr>
          <w:rFonts w:ascii="Arial" w:cs="Arial" w:eastAsia="Arial" w:hAnsi="Arial"/>
          <w:sz w:val="19"/>
          <w:szCs w:val="19"/>
          <w:color w:val="auto"/>
        </w:rPr>
        <w:t xml:space="preserve">. (i) At any time after an L/C Issuer has made a payment under any Letter of Credit and has received from any Revolving Credit Lender such Lender’s L/C Advance in respect of such payment in accordance with </w:t>
      </w:r>
      <w:r>
        <w:rPr>
          <w:rFonts w:ascii="Arial" w:cs="Arial" w:eastAsia="Arial" w:hAnsi="Arial"/>
          <w:sz w:val="19"/>
          <w:szCs w:val="19"/>
          <w:u w:val="single" w:color="auto"/>
          <w:color w:val="auto"/>
        </w:rPr>
        <w:t>Section 2.03(c)</w:t>
      </w:r>
      <w:r>
        <w:rPr>
          <w:rFonts w:ascii="Arial" w:cs="Arial" w:eastAsia="Arial" w:hAnsi="Arial"/>
          <w:sz w:val="19"/>
          <w:szCs w:val="19"/>
          <w:color w:val="auto"/>
        </w:rPr>
        <w:t>, if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such Revolving Credit Lender its Applicable Revolving Credit Percentage thereof (appropriately adjusted, in the case of interest payments, to reflect the period of time during which such Revolving Credit Lender’s L/C Advance was outstanding) in the same funds as those received by the Administrative Agent.</w:t>
      </w:r>
    </w:p>
    <w:p>
      <w:pPr>
        <w:spacing w:after="0" w:line="196" w:lineRule="exact"/>
        <w:rPr>
          <w:rFonts w:ascii="Arial" w:cs="Arial" w:eastAsia="Arial" w:hAnsi="Arial"/>
          <w:sz w:val="19"/>
          <w:szCs w:val="19"/>
          <w:color w:val="auto"/>
        </w:rPr>
      </w:pPr>
    </w:p>
    <w:p>
      <w:pPr>
        <w:jc w:val="both"/>
        <w:ind w:firstLine="1199"/>
        <w:spacing w:after="0" w:line="251" w:lineRule="auto"/>
        <w:tabs>
          <w:tab w:leader="none" w:pos="2043" w:val="left"/>
        </w:tabs>
        <w:numPr>
          <w:ilvl w:val="1"/>
          <w:numId w:val="45"/>
        </w:numPr>
        <w:rPr>
          <w:rFonts w:ascii="Arial" w:cs="Arial" w:eastAsia="Arial" w:hAnsi="Arial"/>
          <w:sz w:val="20"/>
          <w:szCs w:val="20"/>
          <w:color w:val="auto"/>
        </w:rPr>
      </w:pPr>
      <w:r>
        <w:rPr>
          <w:rFonts w:ascii="Arial" w:cs="Arial" w:eastAsia="Arial" w:hAnsi="Arial"/>
          <w:sz w:val="20"/>
          <w:szCs w:val="20"/>
          <w:color w:val="auto"/>
        </w:rPr>
        <w:t xml:space="preserve">If any payment received by the Administrative Agent for the account of an L/C Issuer pursuant to </w:t>
      </w:r>
      <w:r>
        <w:rPr>
          <w:rFonts w:ascii="Arial" w:cs="Arial" w:eastAsia="Arial" w:hAnsi="Arial"/>
          <w:sz w:val="20"/>
          <w:szCs w:val="20"/>
          <w:u w:val="single" w:color="auto"/>
          <w:color w:val="auto"/>
        </w:rPr>
        <w:t>Section 2.03(c)(i)</w:t>
      </w:r>
      <w:r>
        <w:rPr>
          <w:rFonts w:ascii="Arial" w:cs="Arial" w:eastAsia="Arial" w:hAnsi="Arial"/>
          <w:sz w:val="20"/>
          <w:szCs w:val="20"/>
          <w:color w:val="auto"/>
        </w:rPr>
        <w:t xml:space="preserve"> is required to be returned under any of the circumstances described in </w:t>
      </w:r>
      <w:r>
        <w:rPr>
          <w:rFonts w:ascii="Arial" w:cs="Arial" w:eastAsia="Arial" w:hAnsi="Arial"/>
          <w:sz w:val="20"/>
          <w:szCs w:val="20"/>
          <w:u w:val="single" w:color="auto"/>
          <w:color w:val="auto"/>
        </w:rPr>
        <w:t>Section 10.05</w:t>
      </w:r>
      <w:r>
        <w:rPr>
          <w:rFonts w:ascii="Arial" w:cs="Arial" w:eastAsia="Arial" w:hAnsi="Arial"/>
          <w:sz w:val="20"/>
          <w:szCs w:val="20"/>
          <w:color w:val="auto"/>
        </w:rPr>
        <w:t xml:space="preserve"> (including pursuant to any settlement entered into by an L/C Issuer in its discretion), each Revolving Credit Lender shall pay to the Administrative Agent for the account of such L/C Issuer its Applicable Revolving Credit Percentage thereof on demand of the Administrative Agent,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interest thereon from the date of such demand to the date such amount is returned by such Revolving Credit Lender, at a rate per annum equal to the Federal Funds Rate from time to time in effect. The obligations of the Revolving Credit Lenders under this clause shall survive the payment in full of the Obligations and the termination of this Agreement.</w:t>
      </w:r>
    </w:p>
    <w:p>
      <w:pPr>
        <w:spacing w:after="0" w:line="214" w:lineRule="exact"/>
        <w:rPr>
          <w:rFonts w:ascii="Arial" w:cs="Arial" w:eastAsia="Arial" w:hAnsi="Arial"/>
          <w:sz w:val="20"/>
          <w:szCs w:val="20"/>
          <w:color w:val="auto"/>
        </w:rPr>
      </w:pPr>
    </w:p>
    <w:p>
      <w:pPr>
        <w:jc w:val="both"/>
        <w:ind w:firstLine="599"/>
        <w:spacing w:after="0" w:line="260" w:lineRule="auto"/>
        <w:tabs>
          <w:tab w:leader="none" w:pos="1421"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Obligations Absolute</w:t>
      </w:r>
      <w:r>
        <w:rPr>
          <w:rFonts w:ascii="Arial" w:cs="Arial" w:eastAsia="Arial" w:hAnsi="Arial"/>
          <w:sz w:val="20"/>
          <w:szCs w:val="20"/>
          <w:color w:val="auto"/>
        </w:rPr>
        <w:t>. The obligation of the Borrower to reimburse the applicable L/C Issuer for each drawing under a Letter of Credit and to repay each L/C Borrowing shall be absolute, unconditional and irrevocable, and shall be paid strictly in accordance with the terms of this Agreement under all circumstances, including the following:</w:t>
      </w:r>
    </w:p>
    <w:p>
      <w:pPr>
        <w:spacing w:after="0" w:line="201" w:lineRule="exact"/>
        <w:rPr>
          <w:rFonts w:ascii="Arial" w:cs="Arial" w:eastAsia="Arial" w:hAnsi="Arial"/>
          <w:sz w:val="20"/>
          <w:szCs w:val="20"/>
          <w:color w:val="auto"/>
        </w:rPr>
      </w:pPr>
    </w:p>
    <w:p>
      <w:pPr>
        <w:ind w:left="2580" w:hanging="782"/>
        <w:spacing w:after="0"/>
        <w:tabs>
          <w:tab w:leader="none" w:pos="2580" w:val="left"/>
        </w:tabs>
        <w:numPr>
          <w:ilvl w:val="2"/>
          <w:numId w:val="45"/>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267" w:lineRule="exact"/>
        <w:rPr>
          <w:rFonts w:ascii="Arial" w:cs="Arial" w:eastAsia="Arial" w:hAnsi="Arial"/>
          <w:sz w:val="18"/>
          <w:szCs w:val="18"/>
          <w:color w:val="auto"/>
        </w:rPr>
      </w:pPr>
    </w:p>
    <w:p>
      <w:pPr>
        <w:ind w:left="600" w:firstLine="1198"/>
        <w:spacing w:after="0" w:line="272" w:lineRule="auto"/>
        <w:tabs>
          <w:tab w:leader="none" w:pos="2643" w:val="left"/>
        </w:tabs>
        <w:numPr>
          <w:ilvl w:val="2"/>
          <w:numId w:val="45"/>
        </w:numPr>
        <w:rPr>
          <w:rFonts w:ascii="Arial" w:cs="Arial" w:eastAsia="Arial" w:hAnsi="Arial"/>
          <w:sz w:val="20"/>
          <w:szCs w:val="20"/>
          <w:color w:val="auto"/>
        </w:rPr>
      </w:pPr>
      <w:r>
        <w:rPr>
          <w:rFonts w:ascii="Arial" w:cs="Arial" w:eastAsia="Arial" w:hAnsi="Arial"/>
          <w:sz w:val="20"/>
          <w:szCs w:val="20"/>
          <w:color w:val="auto"/>
        </w:rPr>
        <w:t>the existence of any claim, counterclaim, setoff, defense or other right that the Borrower or any Subsidiary may have at any time against any beneficiary or any transferee of such</w:t>
      </w:r>
    </w:p>
    <w:p>
      <w:pPr>
        <w:spacing w:after="0" w:line="19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48</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60" w:name="page61"/>
    <w:bookmarkEnd w:id="60"/>
    <w:p>
      <w:pPr>
        <w:jc w:val="both"/>
        <w:ind w:left="600"/>
        <w:spacing w:after="0" w:line="260" w:lineRule="auto"/>
        <w:rPr>
          <w:sz w:val="20"/>
          <w:szCs w:val="20"/>
          <w:color w:val="auto"/>
        </w:rPr>
      </w:pPr>
      <w:r>
        <w:rPr>
          <w:rFonts w:ascii="Arial" w:cs="Arial" w:eastAsia="Arial" w:hAnsi="Arial"/>
          <w:sz w:val="20"/>
          <w:szCs w:val="20"/>
          <w:color w:val="auto"/>
        </w:rPr>
        <w:t>Letter of Credit (or any Person for whom any such beneficiary or any such transferee may be acting), the applicable L/C Issuer or any other Person, whether in connection with this Agreement, the transactions contemplated hereby or by such Letter of Credit or any agreement or instrument relating thereto, or any unrelated transaction;</w:t>
      </w:r>
    </w:p>
    <w:p>
      <w:pPr>
        <w:spacing w:after="0" w:line="202" w:lineRule="exact"/>
        <w:rPr>
          <w:sz w:val="20"/>
          <w:szCs w:val="20"/>
          <w:color w:val="auto"/>
        </w:rPr>
      </w:pPr>
    </w:p>
    <w:p>
      <w:pPr>
        <w:jc w:val="both"/>
        <w:ind w:left="600" w:firstLine="1198"/>
        <w:spacing w:after="0" w:line="280" w:lineRule="auto"/>
        <w:tabs>
          <w:tab w:leader="none" w:pos="2698" w:val="left"/>
        </w:tabs>
        <w:numPr>
          <w:ilvl w:val="0"/>
          <w:numId w:val="46"/>
        </w:numPr>
        <w:rPr>
          <w:rFonts w:ascii="Arial" w:cs="Arial" w:eastAsia="Arial" w:hAnsi="Arial"/>
          <w:sz w:val="19"/>
          <w:szCs w:val="19"/>
          <w:color w:val="auto"/>
        </w:rPr>
      </w:pPr>
      <w:r>
        <w:rPr>
          <w:rFonts w:ascii="Arial" w:cs="Arial" w:eastAsia="Arial" w:hAnsi="Arial"/>
          <w:sz w:val="19"/>
          <w:szCs w:val="19"/>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4" w:lineRule="exact"/>
        <w:rPr>
          <w:rFonts w:ascii="Arial" w:cs="Arial" w:eastAsia="Arial" w:hAnsi="Arial"/>
          <w:sz w:val="19"/>
          <w:szCs w:val="19"/>
          <w:color w:val="auto"/>
        </w:rPr>
      </w:pPr>
    </w:p>
    <w:p>
      <w:pPr>
        <w:ind w:left="600" w:firstLine="1198"/>
        <w:spacing w:after="0" w:line="299" w:lineRule="auto"/>
        <w:tabs>
          <w:tab w:leader="none" w:pos="2687" w:val="left"/>
        </w:tabs>
        <w:numPr>
          <w:ilvl w:val="0"/>
          <w:numId w:val="46"/>
        </w:numPr>
        <w:rPr>
          <w:rFonts w:ascii="Arial" w:cs="Arial" w:eastAsia="Arial" w:hAnsi="Arial"/>
          <w:sz w:val="19"/>
          <w:szCs w:val="19"/>
          <w:color w:val="auto"/>
        </w:rPr>
      </w:pPr>
      <w:r>
        <w:rPr>
          <w:rFonts w:ascii="Arial" w:cs="Arial" w:eastAsia="Arial" w:hAnsi="Arial"/>
          <w:sz w:val="19"/>
          <w:szCs w:val="19"/>
          <w:color w:val="auto"/>
        </w:rPr>
        <w:t>waiver by the applicable L/C Issuer of any requirement that exists for such L/C Issuer’s protection and not the protection of the Borrower or any waiver by such L/C Issuer which does not in fact materially prejudice the Borrower;</w:t>
      </w:r>
    </w:p>
    <w:p>
      <w:pPr>
        <w:spacing w:after="0" w:line="167" w:lineRule="exact"/>
        <w:rPr>
          <w:rFonts w:ascii="Arial" w:cs="Arial" w:eastAsia="Arial" w:hAnsi="Arial"/>
          <w:sz w:val="19"/>
          <w:szCs w:val="19"/>
          <w:color w:val="auto"/>
        </w:rPr>
      </w:pPr>
    </w:p>
    <w:p>
      <w:pPr>
        <w:ind w:left="2640" w:hanging="842"/>
        <w:spacing w:after="0"/>
        <w:tabs>
          <w:tab w:leader="none" w:pos="2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honor of a demand for payment presented electronically even if such Letter of Credit requires that demand be</w:t>
      </w:r>
    </w:p>
    <w:p>
      <w:pPr>
        <w:spacing w:after="0" w:line="46"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20"/>
          <w:szCs w:val="20"/>
          <w:color w:val="auto"/>
        </w:rPr>
        <w:t>in the form of a draft;</w:t>
      </w:r>
    </w:p>
    <w:p>
      <w:pPr>
        <w:spacing w:after="0" w:line="228" w:lineRule="exact"/>
        <w:rPr>
          <w:rFonts w:ascii="Arial" w:cs="Arial" w:eastAsia="Arial" w:hAnsi="Arial"/>
          <w:sz w:val="18"/>
          <w:szCs w:val="18"/>
          <w:color w:val="auto"/>
        </w:rPr>
      </w:pPr>
    </w:p>
    <w:p>
      <w:pPr>
        <w:jc w:val="both"/>
        <w:ind w:left="600" w:firstLine="1198"/>
        <w:spacing w:after="0" w:line="260" w:lineRule="auto"/>
        <w:tabs>
          <w:tab w:leader="none" w:pos="2687" w:val="left"/>
        </w:tabs>
        <w:numPr>
          <w:ilvl w:val="0"/>
          <w:numId w:val="46"/>
        </w:numPr>
        <w:rPr>
          <w:rFonts w:ascii="Arial" w:cs="Arial" w:eastAsia="Arial" w:hAnsi="Arial"/>
          <w:sz w:val="20"/>
          <w:szCs w:val="20"/>
          <w:color w:val="auto"/>
        </w:rPr>
      </w:pPr>
      <w:r>
        <w:rPr>
          <w:rFonts w:ascii="Arial" w:cs="Arial" w:eastAsia="Arial" w:hAnsi="Arial"/>
          <w:sz w:val="20"/>
          <w:szCs w:val="20"/>
          <w:color w:val="auto"/>
        </w:rPr>
        <w:t>any payment made by the applicable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201" w:lineRule="exact"/>
        <w:rPr>
          <w:rFonts w:ascii="Arial" w:cs="Arial" w:eastAsia="Arial" w:hAnsi="Arial"/>
          <w:sz w:val="20"/>
          <w:szCs w:val="20"/>
          <w:color w:val="auto"/>
        </w:rPr>
      </w:pPr>
    </w:p>
    <w:p>
      <w:pPr>
        <w:jc w:val="both"/>
        <w:ind w:left="600" w:firstLine="1198"/>
        <w:spacing w:after="0" w:line="270" w:lineRule="auto"/>
        <w:tabs>
          <w:tab w:leader="none" w:pos="2743" w:val="left"/>
        </w:tabs>
        <w:numPr>
          <w:ilvl w:val="0"/>
          <w:numId w:val="46"/>
        </w:numPr>
        <w:rPr>
          <w:rFonts w:ascii="Arial" w:cs="Arial" w:eastAsia="Arial" w:hAnsi="Arial"/>
          <w:sz w:val="19"/>
          <w:szCs w:val="19"/>
          <w:color w:val="auto"/>
        </w:rPr>
      </w:pPr>
      <w:r>
        <w:rPr>
          <w:rFonts w:ascii="Arial" w:cs="Arial" w:eastAsia="Arial" w:hAnsi="Arial"/>
          <w:sz w:val="19"/>
          <w:szCs w:val="19"/>
          <w:color w:val="auto"/>
        </w:rPr>
        <w:t>any payment by the applicable L/C Issuer under such Letter of Credit against presentation of a draft or certificate that does not strictly comply with the terms of such Letter of Credit; or any payment made by the applicable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94" w:lineRule="exact"/>
        <w:rPr>
          <w:rFonts w:ascii="Arial" w:cs="Arial" w:eastAsia="Arial" w:hAnsi="Arial"/>
          <w:sz w:val="19"/>
          <w:szCs w:val="19"/>
          <w:color w:val="auto"/>
        </w:rPr>
      </w:pPr>
    </w:p>
    <w:p>
      <w:pPr>
        <w:jc w:val="both"/>
        <w:ind w:left="600" w:firstLine="1198"/>
        <w:spacing w:after="0" w:line="329" w:lineRule="auto"/>
        <w:tabs>
          <w:tab w:leader="none" w:pos="2798"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Borrower or any of its Subsidiaries.</w:t>
      </w:r>
    </w:p>
    <w:p>
      <w:pPr>
        <w:spacing w:after="0" w:line="144"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 applicable L/C Issuer. The Borrower shall be conclusively deemed to have waived any such claim against the applicable L/C Issuer and its correspondents unless such notice is given as aforesaid.</w:t>
      </w:r>
    </w:p>
    <w:p>
      <w:pPr>
        <w:spacing w:after="0" w:line="168" w:lineRule="exact"/>
        <w:rPr>
          <w:sz w:val="20"/>
          <w:szCs w:val="20"/>
          <w:color w:val="auto"/>
        </w:rPr>
      </w:pPr>
    </w:p>
    <w:p>
      <w:pPr>
        <w:jc w:val="both"/>
        <w:ind w:firstLine="599"/>
        <w:spacing w:after="0" w:line="284" w:lineRule="auto"/>
        <w:tabs>
          <w:tab w:leader="none" w:pos="1399"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Role of L/C Issuer</w:t>
      </w:r>
      <w:r>
        <w:rPr>
          <w:rFonts w:ascii="Arial" w:cs="Arial" w:eastAsia="Arial" w:hAnsi="Arial"/>
          <w:sz w:val="18"/>
          <w:szCs w:val="18"/>
          <w:color w:val="auto"/>
        </w:rPr>
        <w:t>. Each Lender and the Borrower agree that, in paying any drawing under a Letter of Credit, the applicable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the Administrative Agent, any of their respective Related Parties nor any correspondent, participant or assignee of any L/C Issuer shall be liable to any Revolving Credit Lender for (i) any action taken or omitted in connection herewith at the request or with the approval of the Revolving Credit Lenders or the Required Revolving Lenders, as applicable; (ii) any action taken or omitted in the absence of gross negligence or willful misconduct; or (iii) the due execution,</w:t>
      </w:r>
    </w:p>
    <w:p>
      <w:pPr>
        <w:spacing w:after="0" w:line="184"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49</w:t>
      </w:r>
      <w:r>
        <w:rPr>
          <w:rFonts w:ascii="MS PGothic" w:cs="MS PGothic" w:eastAsia="MS PGothic" w:hAnsi="MS PGothic"/>
          <w:sz w:val="20"/>
          <w:szCs w:val="20"/>
          <w:color w:val="auto"/>
        </w:rPr>
        <w:t>‑</w:t>
      </w:r>
    </w:p>
    <w:p>
      <w:pPr>
        <w:sectPr>
          <w:pgSz w:w="11900" w:h="16838" w:orient="portrait"/>
          <w:cols w:equalWidth="0" w:num="1">
            <w:col w:w="11420"/>
          </w:cols>
          <w:pgMar w:left="240" w:top="558" w:right="239" w:bottom="1440" w:gutter="0" w:footer="0" w:header="0"/>
        </w:sectPr>
      </w:pPr>
    </w:p>
    <w:bookmarkStart w:id="61" w:name="page62"/>
    <w:bookmarkEnd w:id="61"/>
    <w:p>
      <w:pPr>
        <w:jc w:val="both"/>
        <w:spacing w:after="0" w:line="278" w:lineRule="auto"/>
        <w:rPr>
          <w:sz w:val="20"/>
          <w:szCs w:val="20"/>
          <w:color w:val="auto"/>
        </w:rPr>
      </w:pPr>
      <w:r>
        <w:rPr>
          <w:rFonts w:ascii="Arial" w:cs="Arial" w:eastAsia="Arial" w:hAnsi="Arial"/>
          <w:sz w:val="18"/>
          <w:szCs w:val="18"/>
          <w:color w:val="auto"/>
        </w:rPr>
        <w:t xml:space="preserve">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this assumption is not intended to, and shall not, preclude the Borrower’s pursuing such rights and remedies as it may have against the beneficiary or transferee at law or under any other agreement. None of the L/C Issuers, the Administrative Agent, any of their respective Related Parties nor any correspondent, participant or assignee of any L/C Issuer shall be liable or responsible for any of the matters described in clauses (i) through (viii) of </w:t>
      </w:r>
      <w:r>
        <w:rPr>
          <w:rFonts w:ascii="Arial" w:cs="Arial" w:eastAsia="Arial" w:hAnsi="Arial"/>
          <w:sz w:val="18"/>
          <w:szCs w:val="18"/>
          <w:u w:val="single" w:color="auto"/>
          <w:color w:val="auto"/>
        </w:rPr>
        <w:t>Section 2.03(e)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anything in such clauses to the contrary notwithstanding, the Borrower may have a claim against an L/C Issuer, and an L/C Issuer may be liable to the Borrower, to the extent, but only to the extent, of any direct, as opposed to consequential or exemplary, damages suffered by the Borrower which the Borrower proves were caused by such L/C Issuer’s willful misconduct or gross negligence or such L/C Issuer’s willful failure to pay under any Letter of Credit after the presentation to it by the beneficiary of a sight draft and certificate(s) strictly complying with the terms and conditions of a Letter of Credit. In furtherance and not in limitation of the foregoing, an L/C Issuer may accept documents that appear on their face to be in order, without responsibility for further investigation, regardless of any notice or information to the contrary, and such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An L/C Issuer may send a Letter of Credit or conduct any communication to or from the beneficiary via the Society for Worldwide Interbank Financial Telecommunication (“</w:t>
      </w:r>
      <w:r>
        <w:rPr>
          <w:rFonts w:ascii="Arial" w:cs="Arial" w:eastAsia="Arial" w:hAnsi="Arial"/>
          <w:sz w:val="18"/>
          <w:szCs w:val="18"/>
          <w:u w:val="single" w:color="auto"/>
          <w:color w:val="auto"/>
        </w:rPr>
        <w:t>SWIFT</w:t>
      </w:r>
      <w:r>
        <w:rPr>
          <w:rFonts w:ascii="Arial" w:cs="Arial" w:eastAsia="Arial" w:hAnsi="Arial"/>
          <w:sz w:val="18"/>
          <w:szCs w:val="18"/>
          <w:color w:val="auto"/>
        </w:rPr>
        <w:t>”) message or overnight courier, or any other commercially reasonable means of communicating with a beneficiary.</w:t>
      </w:r>
    </w:p>
    <w:p>
      <w:pPr>
        <w:spacing w:after="0" w:line="198" w:lineRule="exact"/>
        <w:rPr>
          <w:sz w:val="20"/>
          <w:szCs w:val="20"/>
          <w:color w:val="auto"/>
        </w:rPr>
      </w:pPr>
    </w:p>
    <w:p>
      <w:pPr>
        <w:jc w:val="both"/>
        <w:ind w:firstLine="599"/>
        <w:spacing w:after="0" w:line="282" w:lineRule="auto"/>
        <w:tabs>
          <w:tab w:leader="none" w:pos="1432"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Applicability of ISP and UCP; Limitation on Liability</w:t>
      </w:r>
      <w:r>
        <w:rPr>
          <w:rFonts w:ascii="Arial" w:cs="Arial" w:eastAsia="Arial" w:hAnsi="Arial"/>
          <w:sz w:val="18"/>
          <w:szCs w:val="18"/>
          <w:color w:val="auto"/>
        </w:rPr>
        <w:t>. Unless otherwise expressly agreed by the applicable L/C Issuer and the Borrower when a Letter of Credit is issued, the rules of the ISP shall apply to such Letter of Credit. Notwithstanding the foregoing, no L/C Issuer shall be responsible to the Borrower for, and no L/C Issuer’s rights and remedies against the Borrower shall be impaired by, any action or inaction of such L/C Issuer required or permitted under any law, order, or practice that is required or permitted to be applied to any Letter of Credit or this Agreement, including the Law or any order of a jurisdiction where such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90" w:lineRule="exact"/>
        <w:rPr>
          <w:rFonts w:ascii="Arial" w:cs="Arial" w:eastAsia="Arial" w:hAnsi="Arial"/>
          <w:sz w:val="18"/>
          <w:szCs w:val="18"/>
          <w:color w:val="auto"/>
        </w:rPr>
      </w:pPr>
    </w:p>
    <w:p>
      <w:pPr>
        <w:jc w:val="both"/>
        <w:ind w:firstLine="599"/>
        <w:spacing w:after="0" w:line="264" w:lineRule="auto"/>
        <w:tabs>
          <w:tab w:leader="none" w:pos="1432"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Letter of Credit Fees</w:t>
      </w:r>
      <w:r>
        <w:rPr>
          <w:rFonts w:ascii="Arial" w:cs="Arial" w:eastAsia="Arial" w:hAnsi="Arial"/>
          <w:sz w:val="19"/>
          <w:szCs w:val="19"/>
          <w:color w:val="auto"/>
        </w:rPr>
        <w:t>. The Borrower shall pay to the Administrative Agent for the account of each Revolving Credit Lender in accordance with its Applicable Revolving Credit Percentage a Letter of Credit fee (the “</w:t>
      </w:r>
      <w:r>
        <w:rPr>
          <w:rFonts w:ascii="Arial" w:cs="Arial" w:eastAsia="Arial" w:hAnsi="Arial"/>
          <w:sz w:val="19"/>
          <w:szCs w:val="19"/>
          <w:u w:val="single" w:color="auto"/>
          <w:color w:val="auto"/>
        </w:rPr>
        <w:t>Letter of Credit Fee</w:t>
      </w:r>
      <w:r>
        <w:rPr>
          <w:rFonts w:ascii="Arial" w:cs="Arial" w:eastAsia="Arial" w:hAnsi="Arial"/>
          <w:sz w:val="19"/>
          <w:szCs w:val="19"/>
          <w:color w:val="auto"/>
        </w:rPr>
        <w:t xml:space="preserve">”) for each Letter of Credit equal to the Applicable Rate then applicable to Eurodollar Rate Loans under the Revolving Credit Facility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daily amount available to be drawn under such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any Letter of Credit Fees otherwise payable for the account of a Defaulting Lender with respect to any Letter of Credit as to which such Defaulting Lender has not provided Cash Collateral satisfactory to the applicable L/C Issuer pursuant to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shall be payable, to the maximum extent permitted by applicable Law, to the other Revolving Credit Lenders in accordance with the upward adjustments in their respective Applicable Revolving Credit Percentages allocable to such Letter of Credit pursuant to </w:t>
      </w:r>
      <w:r>
        <w:rPr>
          <w:rFonts w:ascii="Arial" w:cs="Arial" w:eastAsia="Arial" w:hAnsi="Arial"/>
          <w:sz w:val="19"/>
          <w:szCs w:val="19"/>
          <w:u w:val="single" w:color="auto"/>
          <w:color w:val="auto"/>
        </w:rPr>
        <w:t>Section 2.19(a)(iv)</w:t>
      </w:r>
      <w:r>
        <w:rPr>
          <w:rFonts w:ascii="Arial" w:cs="Arial" w:eastAsia="Arial" w:hAnsi="Arial"/>
          <w:sz w:val="19"/>
          <w:szCs w:val="19"/>
          <w:color w:val="auto"/>
        </w:rPr>
        <w:t xml:space="preserve">, with the balance of such fee, if any, payable to the applicable L/C Issuer for its own account. For purposes of computing the daily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1.06</w:t>
      </w:r>
      <w:r>
        <w:rPr>
          <w:rFonts w:ascii="Arial" w:cs="Arial" w:eastAsia="Arial" w:hAnsi="Arial"/>
          <w:sz w:val="19"/>
          <w:szCs w:val="19"/>
          <w:color w:val="auto"/>
        </w:rPr>
        <w:t>. Letter of Credit Fees shall be (i) due and payable on the last Business Day after the end of each March, June, September and December, commencing with the first such date to occur after the issuance of such Letter of Credit, on expiry date for such Letter of Credit and thereafter on demand and (ii)</w:t>
      </w:r>
    </w:p>
    <w:p>
      <w:pPr>
        <w:spacing w:after="0" w:line="20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50</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62" w:name="page63"/>
    <w:bookmarkEnd w:id="62"/>
    <w:p>
      <w:pPr>
        <w:jc w:val="both"/>
        <w:spacing w:after="0" w:line="252" w:lineRule="auto"/>
        <w:rPr>
          <w:sz w:val="20"/>
          <w:szCs w:val="20"/>
          <w:color w:val="auto"/>
        </w:rPr>
      </w:pPr>
      <w:r>
        <w:rPr>
          <w:rFonts w:ascii="Arial" w:cs="Arial" w:eastAsia="Arial" w:hAnsi="Arial"/>
          <w:sz w:val="20"/>
          <w:szCs w:val="20"/>
          <w:color w:val="auto"/>
        </w:rPr>
        <w:t>computed on a quarterly basis in arrears. If there is any change in such Applicable Rate applicable to Eurodollar Rate Loans under the Revolving Credit Facility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occurrence and during the continuance of any Specified Event of Default or, upon request of the Required Revolving Lenders while any Financial Covenant Event of Default exists, all Letter of Credit Fees shall accrue at the Default Rate.</w:t>
      </w:r>
    </w:p>
    <w:p>
      <w:pPr>
        <w:spacing w:after="0" w:line="212" w:lineRule="exact"/>
        <w:rPr>
          <w:sz w:val="20"/>
          <w:szCs w:val="20"/>
          <w:color w:val="auto"/>
        </w:rPr>
      </w:pPr>
    </w:p>
    <w:p>
      <w:pPr>
        <w:jc w:val="both"/>
        <w:ind w:firstLine="599"/>
        <w:spacing w:after="0" w:line="265" w:lineRule="auto"/>
        <w:tabs>
          <w:tab w:leader="none" w:pos="1387"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Fronting Fee and Documentary and Processing Charges Payable to L/C Issuers</w:t>
      </w:r>
      <w:r>
        <w:rPr>
          <w:rFonts w:ascii="Arial" w:cs="Arial" w:eastAsia="Arial" w:hAnsi="Arial"/>
          <w:sz w:val="19"/>
          <w:szCs w:val="19"/>
          <w:color w:val="auto"/>
        </w:rPr>
        <w:t xml:space="preserve">. The Borrower shall pay directly to each L/C Issuer for its own account a fronting fee with respect to each Letter of Credit, at a rate equal to 0.125% per annum, computed on the daily amount available to be drawn under such Letter of Credit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expiry date for such Letter of Credit and thereafter on demand. For purposes of computing the daily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1.06</w:t>
      </w:r>
      <w:r>
        <w:rPr>
          <w:rFonts w:ascii="Arial" w:cs="Arial" w:eastAsia="Arial" w:hAnsi="Arial"/>
          <w:sz w:val="19"/>
          <w:szCs w:val="19"/>
          <w:color w:val="auto"/>
        </w:rPr>
        <w:t>. In addition, the Borrower shall pay directly to the applicable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197" w:lineRule="exact"/>
        <w:rPr>
          <w:rFonts w:ascii="Arial" w:cs="Arial" w:eastAsia="Arial" w:hAnsi="Arial"/>
          <w:sz w:val="19"/>
          <w:szCs w:val="19"/>
          <w:color w:val="auto"/>
        </w:rPr>
      </w:pPr>
    </w:p>
    <w:p>
      <w:pPr>
        <w:ind w:firstLine="599"/>
        <w:spacing w:after="0" w:line="272" w:lineRule="auto"/>
        <w:tabs>
          <w:tab w:leader="none" w:pos="1387"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Conflict with Issuer Documents</w:t>
      </w:r>
      <w:r>
        <w:rPr>
          <w:rFonts w:ascii="Arial" w:cs="Arial" w:eastAsia="Arial" w:hAnsi="Arial"/>
          <w:sz w:val="20"/>
          <w:szCs w:val="20"/>
          <w:color w:val="auto"/>
        </w:rPr>
        <w:t>. In the event of any conflict between the terms hereof and the terms of any Issuer Document, the terms hereof shall control.</w:t>
      </w:r>
    </w:p>
    <w:p>
      <w:pPr>
        <w:spacing w:after="0" w:line="190" w:lineRule="exact"/>
        <w:rPr>
          <w:rFonts w:ascii="Arial" w:cs="Arial" w:eastAsia="Arial" w:hAnsi="Arial"/>
          <w:sz w:val="20"/>
          <w:szCs w:val="20"/>
          <w:color w:val="auto"/>
        </w:rPr>
      </w:pPr>
    </w:p>
    <w:p>
      <w:pPr>
        <w:jc w:val="both"/>
        <w:ind w:firstLine="599"/>
        <w:spacing w:after="0" w:line="253" w:lineRule="auto"/>
        <w:tabs>
          <w:tab w:leader="none" w:pos="1432"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Letters of Credit Issued for Subsidiaries</w:t>
      </w:r>
      <w:r>
        <w:rPr>
          <w:rFonts w:ascii="Arial" w:cs="Arial" w:eastAsia="Arial" w:hAnsi="Arial"/>
          <w:sz w:val="20"/>
          <w:szCs w:val="20"/>
          <w:color w:val="auto"/>
        </w:rPr>
        <w:t>. Notwithstanding that a Letter of Credit issued or outstanding hereunder is in support of any obligations of, or is for the account of, a Subsidiary, the Borrower shall be obligated to reimburse the applicable L/C Issuer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211" w:lineRule="exact"/>
        <w:rPr>
          <w:rFonts w:ascii="Arial" w:cs="Arial" w:eastAsia="Arial" w:hAnsi="Arial"/>
          <w:sz w:val="20"/>
          <w:szCs w:val="20"/>
          <w:color w:val="auto"/>
        </w:rPr>
      </w:pPr>
    </w:p>
    <w:p>
      <w:pPr>
        <w:ind w:right="20" w:firstLine="599"/>
        <w:spacing w:after="0" w:line="260" w:lineRule="auto"/>
        <w:tabs>
          <w:tab w:leader="none" w:pos="1387"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L/C Issuer Reports to the Administrative Agent</w:t>
      </w:r>
      <w:r>
        <w:rPr>
          <w:rFonts w:ascii="Arial" w:cs="Arial" w:eastAsia="Arial" w:hAnsi="Arial"/>
          <w:sz w:val="20"/>
          <w:szCs w:val="20"/>
          <w:color w:val="auto"/>
        </w:rPr>
        <w:t>. Unless otherwise agreed by the Administrative Agent, each L/C Issuer shall, in addition to its notification obligations set forth elsewhere in this Section, provide the Administrative Agent with written reports from time to time, as follows:</w:t>
      </w:r>
    </w:p>
    <w:p>
      <w:pPr>
        <w:spacing w:after="0" w:line="201" w:lineRule="exact"/>
        <w:rPr>
          <w:rFonts w:ascii="Arial" w:cs="Arial" w:eastAsia="Arial" w:hAnsi="Arial"/>
          <w:sz w:val="20"/>
          <w:szCs w:val="20"/>
          <w:color w:val="auto"/>
        </w:rPr>
      </w:pPr>
    </w:p>
    <w:p>
      <w:pPr>
        <w:jc w:val="both"/>
        <w:ind w:firstLine="1199"/>
        <w:spacing w:after="0" w:line="280" w:lineRule="auto"/>
        <w:tabs>
          <w:tab w:leader="none" w:pos="1987" w:val="left"/>
        </w:tabs>
        <w:numPr>
          <w:ilvl w:val="1"/>
          <w:numId w:val="49"/>
        </w:numPr>
        <w:rPr>
          <w:rFonts w:ascii="Arial" w:cs="Arial" w:eastAsia="Arial" w:hAnsi="Arial"/>
          <w:sz w:val="19"/>
          <w:szCs w:val="19"/>
          <w:color w:val="auto"/>
        </w:rPr>
      </w:pPr>
      <w:r>
        <w:rPr>
          <w:rFonts w:ascii="Arial" w:cs="Arial" w:eastAsia="Arial" w:hAnsi="Arial"/>
          <w:sz w:val="19"/>
          <w:szCs w:val="19"/>
          <w:color w:val="auto"/>
        </w:rPr>
        <w:t>reasonably prior to the time that such L/C Issuer issues, amends, increases or extends a Letter of Credit, a written report that includes the date of such issuance, amendment, increase or extension and the stated amount of such Letter of Credit after giving effect to such issuance, amendment, increase or extension (and whether the amounts thereof shall have changed);</w:t>
      </w:r>
    </w:p>
    <w:p>
      <w:pPr>
        <w:spacing w:after="0" w:line="184" w:lineRule="exact"/>
        <w:rPr>
          <w:rFonts w:ascii="Arial" w:cs="Arial" w:eastAsia="Arial" w:hAnsi="Arial"/>
          <w:sz w:val="19"/>
          <w:szCs w:val="19"/>
          <w:color w:val="auto"/>
        </w:rPr>
      </w:pPr>
    </w:p>
    <w:p>
      <w:pPr>
        <w:ind w:firstLine="1199"/>
        <w:spacing w:after="0" w:line="272" w:lineRule="auto"/>
        <w:tabs>
          <w:tab w:leader="none" w:pos="2043" w:val="left"/>
        </w:tabs>
        <w:numPr>
          <w:ilvl w:val="1"/>
          <w:numId w:val="49"/>
        </w:numPr>
        <w:rPr>
          <w:rFonts w:ascii="Arial" w:cs="Arial" w:eastAsia="Arial" w:hAnsi="Arial"/>
          <w:sz w:val="20"/>
          <w:szCs w:val="20"/>
          <w:color w:val="auto"/>
        </w:rPr>
      </w:pPr>
      <w:r>
        <w:rPr>
          <w:rFonts w:ascii="Arial" w:cs="Arial" w:eastAsia="Arial" w:hAnsi="Arial"/>
          <w:sz w:val="20"/>
          <w:szCs w:val="20"/>
          <w:color w:val="auto"/>
        </w:rPr>
        <w:t>on each Business Day on which such L/C Issuer makes a payment pursuant to a Letter of Credit, a written report that includes the date and amount of such payment;</w:t>
      </w:r>
    </w:p>
    <w:p>
      <w:pPr>
        <w:spacing w:after="0" w:line="190" w:lineRule="exact"/>
        <w:rPr>
          <w:rFonts w:ascii="Arial" w:cs="Arial" w:eastAsia="Arial" w:hAnsi="Arial"/>
          <w:sz w:val="20"/>
          <w:szCs w:val="20"/>
          <w:color w:val="auto"/>
        </w:rPr>
      </w:pPr>
    </w:p>
    <w:p>
      <w:pPr>
        <w:jc w:val="both"/>
        <w:ind w:firstLine="1199"/>
        <w:spacing w:after="0" w:line="260" w:lineRule="auto"/>
        <w:tabs>
          <w:tab w:leader="none" w:pos="2098" w:val="left"/>
        </w:tabs>
        <w:numPr>
          <w:ilvl w:val="1"/>
          <w:numId w:val="49"/>
        </w:numPr>
        <w:rPr>
          <w:rFonts w:ascii="Arial" w:cs="Arial" w:eastAsia="Arial" w:hAnsi="Arial"/>
          <w:sz w:val="20"/>
          <w:szCs w:val="20"/>
          <w:color w:val="auto"/>
        </w:rPr>
      </w:pPr>
      <w:r>
        <w:rPr>
          <w:rFonts w:ascii="Arial" w:cs="Arial" w:eastAsia="Arial" w:hAnsi="Arial"/>
          <w:sz w:val="20"/>
          <w:szCs w:val="20"/>
          <w:color w:val="auto"/>
        </w:rPr>
        <w:t>on any Business Day on which the Borrower fails to reimburse a payment made pursuant to a Letter of Credit required to be reimbursed to such L/C Issuer on such day, a written report that includes the date of such failure and the amount of such payment;</w:t>
      </w:r>
    </w:p>
    <w:p>
      <w:pPr>
        <w:spacing w:after="0" w:line="200" w:lineRule="exact"/>
        <w:rPr>
          <w:sz w:val="20"/>
          <w:szCs w:val="20"/>
          <w:color w:val="auto"/>
        </w:rPr>
      </w:pPr>
    </w:p>
    <w:p>
      <w:pPr>
        <w:spacing w:after="0" w:line="239"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51</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63" w:name="page64"/>
    <w:bookmarkEnd w:id="63"/>
    <w:p>
      <w:pPr>
        <w:ind w:firstLine="1199"/>
        <w:spacing w:after="0" w:line="272" w:lineRule="auto"/>
        <w:tabs>
          <w:tab w:leader="none" w:pos="2087" w:val="left"/>
        </w:tabs>
        <w:numPr>
          <w:ilvl w:val="1"/>
          <w:numId w:val="50"/>
        </w:numPr>
        <w:rPr>
          <w:rFonts w:ascii="Arial" w:cs="Arial" w:eastAsia="Arial" w:hAnsi="Arial"/>
          <w:sz w:val="20"/>
          <w:szCs w:val="20"/>
          <w:color w:val="auto"/>
        </w:rPr>
      </w:pPr>
      <w:r>
        <w:rPr>
          <w:rFonts w:ascii="Arial" w:cs="Arial" w:eastAsia="Arial" w:hAnsi="Arial"/>
          <w:sz w:val="20"/>
          <w:szCs w:val="20"/>
          <w:color w:val="auto"/>
        </w:rPr>
        <w:t>on any other Business Day, a written report that includes such other information as the Administrative Agent shall reasonably request as to the Letters of Credit issued by such L/C Issuer; and</w:t>
      </w:r>
    </w:p>
    <w:p>
      <w:pPr>
        <w:spacing w:after="0" w:line="190" w:lineRule="exact"/>
        <w:rPr>
          <w:rFonts w:ascii="Arial" w:cs="Arial" w:eastAsia="Arial" w:hAnsi="Arial"/>
          <w:sz w:val="20"/>
          <w:szCs w:val="20"/>
          <w:color w:val="auto"/>
        </w:rPr>
      </w:pPr>
    </w:p>
    <w:p>
      <w:pPr>
        <w:ind w:left="2040" w:hanging="841"/>
        <w:spacing w:after="0"/>
        <w:tabs>
          <w:tab w:leader="none" w:pos="20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on the last Business Day of each calendar month and (B) on each date that (1) an L/C Credit Extension occurs or</w:t>
      </w:r>
    </w:p>
    <w:p>
      <w:pPr>
        <w:spacing w:after="0" w:line="46" w:lineRule="exact"/>
        <w:rPr>
          <w:rFonts w:ascii="Arial" w:cs="Arial" w:eastAsia="Arial" w:hAnsi="Arial"/>
          <w:sz w:val="18"/>
          <w:szCs w:val="18"/>
          <w:color w:val="auto"/>
        </w:rPr>
      </w:pPr>
    </w:p>
    <w:p>
      <w:pPr>
        <w:spacing w:after="0" w:line="256" w:lineRule="auto"/>
        <w:tabs>
          <w:tab w:leader="none" w:pos="299"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there is any expiration, cancellation and/or disbursement, in each case, with respect to any Letter of Credit issued by such L/C Issuer, a written report that includes the information for every outstanding Letter of Credit issued by such L/C Issuer.</w:t>
      </w:r>
    </w:p>
    <w:p>
      <w:pPr>
        <w:spacing w:after="0" w:line="20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2.04.</w:t>
      </w:r>
      <w:r>
        <w:rPr>
          <w:sz w:val="20"/>
          <w:szCs w:val="20"/>
          <w:color w:val="auto"/>
        </w:rPr>
        <w:tab/>
      </w:r>
      <w:r>
        <w:rPr>
          <w:rFonts w:ascii="Arial" w:cs="Arial" w:eastAsia="Arial" w:hAnsi="Arial"/>
          <w:sz w:val="18"/>
          <w:szCs w:val="18"/>
          <w:u w:val="single" w:color="auto"/>
          <w:color w:val="auto"/>
        </w:rPr>
        <w:t>Swing Line Loans</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77" w:lineRule="auto"/>
        <w:tabs>
          <w:tab w:leader="none" w:pos="1421"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The Swing Line</w:t>
      </w:r>
      <w:r>
        <w:rPr>
          <w:rFonts w:ascii="Arial" w:cs="Arial" w:eastAsia="Arial" w:hAnsi="Arial"/>
          <w:sz w:val="18"/>
          <w:szCs w:val="18"/>
          <w:color w:val="auto"/>
        </w:rPr>
        <w:t xml:space="preserve">. Subject to the terms and conditions set forth herein, each Swing Line Lender agrees that it, in reliance upon the agreements of the other Revolving Credit Lenders set forth in this </w:t>
      </w:r>
      <w:r>
        <w:rPr>
          <w:rFonts w:ascii="Arial" w:cs="Arial" w:eastAsia="Arial" w:hAnsi="Arial"/>
          <w:sz w:val="18"/>
          <w:szCs w:val="18"/>
          <w:u w:val="single" w:color="auto"/>
          <w:color w:val="auto"/>
        </w:rPr>
        <w:t>Section 2.04</w:t>
      </w:r>
      <w:r>
        <w:rPr>
          <w:rFonts w:ascii="Arial" w:cs="Arial" w:eastAsia="Arial" w:hAnsi="Arial"/>
          <w:sz w:val="18"/>
          <w:szCs w:val="18"/>
          <w:color w:val="auto"/>
        </w:rPr>
        <w:t>, shall make loans (each such loan, a “</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to the Borrower from time to time on any Business Day during the Availability Period in an aggregate amount not to exceed at any time such Swing Line Lender’s Swing Line Sublimit; and, when aggregated with the Outstanding Amount of Revolving Credit Loans and participation in L/C Obligations of such Swing Line Lender, shall not exceed the amount of such Swing Line Lender’s Revolving Credit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(x) after giving effect to any Swing Line Loan, (i) the aggregate Outstanding Amount of all Swing Line Loans shall not exceed the Swing Line Subfacility, (ii) the Total Revolving Credit Outstandings shall not exceed the Revolving Credit Facility and (iii) the Revolving Credit Exposure of any Revolving Credit Lender shall not exceed such Revolving Credit Lender’s Revolving Credit Commitment,</w:t>
      </w:r>
    </w:p>
    <w:p>
      <w:pPr>
        <w:spacing w:after="0" w:line="3" w:lineRule="exact"/>
        <w:rPr>
          <w:rFonts w:ascii="Arial" w:cs="Arial" w:eastAsia="Arial" w:hAnsi="Arial"/>
          <w:sz w:val="18"/>
          <w:szCs w:val="18"/>
          <w:color w:val="auto"/>
        </w:rPr>
      </w:pPr>
    </w:p>
    <w:p>
      <w:pPr>
        <w:jc w:val="both"/>
        <w:spacing w:after="0" w:line="280" w:lineRule="auto"/>
        <w:tabs>
          <w:tab w:leader="none" w:pos="299"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Borrower shall not use the proceeds of any Swing Line Loan to refinance any outstanding Swing Line Loan and (z) no Swing Line Lender shall be under any obligation to make any Swing Line Loan if it shall determine (which determination shall be conclusive and binding absent manifest error) that it has, or by such Credit Extension may have, Fronting Exposure (after giving effect to </w:t>
      </w:r>
      <w:r>
        <w:rPr>
          <w:rFonts w:ascii="Arial" w:cs="Arial" w:eastAsia="Arial" w:hAnsi="Arial"/>
          <w:sz w:val="18"/>
          <w:szCs w:val="18"/>
          <w:u w:val="single" w:color="auto"/>
          <w:color w:val="auto"/>
        </w:rPr>
        <w:t>Section 2.19(a)(iv)</w:t>
      </w:r>
      <w:r>
        <w:rPr>
          <w:rFonts w:ascii="Arial" w:cs="Arial" w:eastAsia="Arial" w:hAnsi="Arial"/>
          <w:sz w:val="18"/>
          <w:szCs w:val="18"/>
          <w:color w:val="auto"/>
        </w:rPr>
        <w:t xml:space="preserve">). Within the foregoing limits, and subject to the other terms and conditions hereof, the Borrower may 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Each Swing Line Loan shall bear interest only at a rate based on the Base Rate. Immediately upon the making of a Swing Line Loan, each Revolving Credit Lender shall be deemed to, and hereby irrevocably and unconditionally agrees to, purchase from the Swing Line Lenders a risk participation in such Swing Line Loan in an amount equal to the product of such Revolving Credit Lender’s Applicable Revolving Credit Percentage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amount of such Swing Line Loan.</w:t>
      </w:r>
    </w:p>
    <w:p>
      <w:pPr>
        <w:spacing w:after="0" w:line="187" w:lineRule="exact"/>
        <w:rPr>
          <w:rFonts w:ascii="Arial" w:cs="Arial" w:eastAsia="Arial" w:hAnsi="Arial"/>
          <w:sz w:val="18"/>
          <w:szCs w:val="18"/>
          <w:color w:val="auto"/>
        </w:rPr>
      </w:pPr>
    </w:p>
    <w:p>
      <w:pPr>
        <w:jc w:val="both"/>
        <w:ind w:firstLine="599"/>
        <w:spacing w:after="0" w:line="279" w:lineRule="auto"/>
        <w:tabs>
          <w:tab w:leader="none" w:pos="1432"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Borrowing Procedures</w:t>
      </w:r>
      <w:r>
        <w:rPr>
          <w:rFonts w:ascii="Arial" w:cs="Arial" w:eastAsia="Arial" w:hAnsi="Arial"/>
          <w:sz w:val="18"/>
          <w:szCs w:val="18"/>
          <w:color w:val="auto"/>
        </w:rPr>
        <w:t xml:space="preserve">. Each Swing Line Borrowing shall be made upon the Borrower’s irrevocable notice to each Swing Line Lender and the Administrative Agent, which may be given by telephone or by a Swing Line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telephonic notice must be confirmed promptly by delivery to each Swing Line Lender and the Administrative Agent of a Swing Line Loan Notice. Each such notice must be received by each Swing Line Lender and the Administrative Agent not later than 1:00 p.m. on the requested borrowing date, and shall specify (i) the amount to be borrowed, which shall be a minimum of $300,000 and (ii) the requested borrowing date, which shall be a Business Day. Promptly after receipt by the Swing Line Lenders of any Swing Line Loan Notice, each Swing Line Lender will confirm with the Administrative Agent (by telephone or in writing) that the Administrative Agent has also received such Swing Line Loan Notice and, if not, such Swing Line Lender will notify the Administrative Agent (by telephone or in writing) of the contents thereof. Unless a Swing Line Lender has received notice (by telephone or in writing) from the Administrative Agent (including at the request of any Revolving Credit Lender) prior to 2:00 p.m. on the date of the proposed Swing Line Borrowing (A) directing such Swing Line Lender not to make such Swing Line Loan as a result of the limitations set forth in the first proviso to the first sentence of </w:t>
      </w:r>
      <w:r>
        <w:rPr>
          <w:rFonts w:ascii="Arial" w:cs="Arial" w:eastAsia="Arial" w:hAnsi="Arial"/>
          <w:sz w:val="18"/>
          <w:szCs w:val="18"/>
          <w:u w:val="single" w:color="auto"/>
          <w:color w:val="auto"/>
        </w:rPr>
        <w:t>Section 2.04(a)</w:t>
      </w:r>
      <w:r>
        <w:rPr>
          <w:rFonts w:ascii="Arial" w:cs="Arial" w:eastAsia="Arial" w:hAnsi="Arial"/>
          <w:sz w:val="18"/>
          <w:szCs w:val="18"/>
          <w:color w:val="auto"/>
        </w:rPr>
        <w:t xml:space="preserve">, or (B) that one or more of the applicable conditions specified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is not then satisfied, then, subject to the terms and conditions hereof, each Swing Line Lender will, not later than 3:00 p.m. on the borrowing date specified in such Swing Line Loan Notice, make its Swing Line Percentage of the amount</w:t>
      </w:r>
    </w:p>
    <w:p>
      <w:pPr>
        <w:spacing w:after="0" w:line="194"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52</w:t>
      </w:r>
      <w:r>
        <w:rPr>
          <w:rFonts w:ascii="MS PGothic" w:cs="MS PGothic" w:eastAsia="MS PGothic" w:hAnsi="MS PGothic"/>
          <w:sz w:val="20"/>
          <w:szCs w:val="20"/>
          <w:color w:val="auto"/>
        </w:rPr>
        <w:t>‑</w:t>
      </w:r>
    </w:p>
    <w:p>
      <w:pPr>
        <w:sectPr>
          <w:pgSz w:w="11900" w:h="16838" w:orient="portrait"/>
          <w:cols w:equalWidth="0" w:num="1">
            <w:col w:w="11420"/>
          </w:cols>
          <w:pgMar w:left="240" w:top="558" w:right="239" w:bottom="1440" w:gutter="0" w:footer="0" w:header="0"/>
        </w:sectPr>
      </w:pPr>
    </w:p>
    <w:bookmarkStart w:id="64" w:name="page65"/>
    <w:bookmarkEnd w:id="64"/>
    <w:p>
      <w:pPr>
        <w:jc w:val="both"/>
        <w:spacing w:after="0" w:line="260" w:lineRule="auto"/>
        <w:rPr>
          <w:sz w:val="20"/>
          <w:szCs w:val="20"/>
          <w:color w:val="auto"/>
        </w:rPr>
      </w:pPr>
      <w:r>
        <w:rPr>
          <w:rFonts w:ascii="Arial" w:cs="Arial" w:eastAsia="Arial" w:hAnsi="Arial"/>
          <w:sz w:val="20"/>
          <w:szCs w:val="20"/>
          <w:color w:val="auto"/>
        </w:rPr>
        <w:t>of such Swing Line Loan available to the Borrower either (1) at its office by crediting the account of the Borrower on the books of such Swing Line Lender in immediately available funds or (2) by wire transfer of immediately available funds in accordance with instructions provided to (and reasonably acceptable to) such Swing Line Lender by the Borrower.</w:t>
      </w:r>
    </w:p>
    <w:p>
      <w:pPr>
        <w:spacing w:after="0" w:line="202" w:lineRule="exact"/>
        <w:rPr>
          <w:sz w:val="20"/>
          <w:szCs w:val="20"/>
          <w:color w:val="auto"/>
        </w:rPr>
      </w:pPr>
    </w:p>
    <w:p>
      <w:pPr>
        <w:jc w:val="both"/>
        <w:ind w:firstLine="599"/>
        <w:spacing w:after="0" w:line="263" w:lineRule="auto"/>
        <w:tabs>
          <w:tab w:leader="none" w:pos="1421"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Refinancing of Swing Line Loans</w:t>
      </w:r>
      <w:r>
        <w:rPr>
          <w:rFonts w:ascii="Arial" w:cs="Arial" w:eastAsia="Arial" w:hAnsi="Arial"/>
          <w:sz w:val="19"/>
          <w:szCs w:val="19"/>
          <w:color w:val="auto"/>
        </w:rPr>
        <w:t xml:space="preserve">. (i) Any Swing Line Lender at any time in its sole and absolute discretion may request, on behalf of the Borrower (which hereby irrevocably authorizes each Swing Line Lender to so request on its behalf), that each Revolving Credit Lender make a Base Rate Loan in an amount equal to such Revolving Credit Lender’s Applicable Revolving Credit Percentage of the amount of Swing Line Loans then outstanding. Such request shall be made in writing (which written request shall be deemed to be a Loan Notice for purposes hereof) and in accordance with the requirements of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without regard to the minimum and multiples specified therein for the principal amount of Base Rate Loans, but subject to the unutilized portion of the Revolving Credit Facility (after giving effect to the concurrent repayment of such Swing Line Loan). Such Swing Line Lender shall furnish the Borrower with a copy of the applicable Loan Notice promptly after delivering such notice to the Administrative Agent. Each Revolving Credit Lender shall make an amount equal to its Applicable Revolving Credit Percentage of the amount specified in such Loan Notice available to the Administrative Agent in immediately available funds (and the Administrative Agent may apply Cash Collateral available with respect to the applicable Swing Line Loan) for the account of the applicable Swing Line Lender at the Administrative Agent’s Office not later than 1:00 p.m. on the day specified in such Loan Notice, whereupon, subject to </w:t>
      </w:r>
      <w:r>
        <w:rPr>
          <w:rFonts w:ascii="Arial" w:cs="Arial" w:eastAsia="Arial" w:hAnsi="Arial"/>
          <w:sz w:val="19"/>
          <w:szCs w:val="19"/>
          <w:u w:val="single" w:color="auto"/>
          <w:color w:val="auto"/>
        </w:rPr>
        <w:t>Section 2.04(c)(ii)</w:t>
      </w:r>
      <w:r>
        <w:rPr>
          <w:rFonts w:ascii="Arial" w:cs="Arial" w:eastAsia="Arial" w:hAnsi="Arial"/>
          <w:sz w:val="19"/>
          <w:szCs w:val="19"/>
          <w:color w:val="auto"/>
        </w:rPr>
        <w:t>, each Revolving Credit Lender that so makes funds available shall be deemed to have made a Base Rate Loan to the Borrower in such amount. The Administrative Agent shall remit the funds so received to the applicable Swing Line Lender.</w:t>
      </w:r>
    </w:p>
    <w:p>
      <w:pPr>
        <w:spacing w:after="0" w:line="207" w:lineRule="exact"/>
        <w:rPr>
          <w:rFonts w:ascii="Arial" w:cs="Arial" w:eastAsia="Arial" w:hAnsi="Arial"/>
          <w:sz w:val="19"/>
          <w:szCs w:val="19"/>
          <w:color w:val="auto"/>
        </w:rPr>
      </w:pPr>
    </w:p>
    <w:p>
      <w:pPr>
        <w:jc w:val="both"/>
        <w:ind w:firstLine="1199"/>
        <w:spacing w:after="0" w:line="288" w:lineRule="auto"/>
        <w:tabs>
          <w:tab w:leader="none" w:pos="2043"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If for any reason any Swing Line Lender’s ratable portion of any Swing Line Loan cannot be refinanced by a Revolving Credit Borrowing in accordance with </w:t>
      </w:r>
      <w:r>
        <w:rPr>
          <w:rFonts w:ascii="Arial" w:cs="Arial" w:eastAsia="Arial" w:hAnsi="Arial"/>
          <w:sz w:val="18"/>
          <w:szCs w:val="18"/>
          <w:u w:val="single" w:color="auto"/>
          <w:color w:val="auto"/>
        </w:rPr>
        <w:t>Section 2.04(c)(i)</w:t>
      </w:r>
      <w:r>
        <w:rPr>
          <w:rFonts w:ascii="Arial" w:cs="Arial" w:eastAsia="Arial" w:hAnsi="Arial"/>
          <w:sz w:val="18"/>
          <w:szCs w:val="18"/>
          <w:color w:val="auto"/>
        </w:rPr>
        <w:t xml:space="preserve">, the request for a Base Rate Revolving Credit Loan submitted by such Swing Line Lender as set forth herein shall be deemed to be a request by such Swing Line Lender that each of the Revolving Credit Lenders fund its risk participation in the relevant Swing Line Loan and each Revolving Credit Lender’s payment to the Administrative Agent for the account of the Swing Line Lenders pursuant to </w:t>
      </w:r>
      <w:r>
        <w:rPr>
          <w:rFonts w:ascii="Arial" w:cs="Arial" w:eastAsia="Arial" w:hAnsi="Arial"/>
          <w:sz w:val="18"/>
          <w:szCs w:val="18"/>
          <w:u w:val="single" w:color="auto"/>
          <w:color w:val="auto"/>
        </w:rPr>
        <w:t>Section 2.04(c)(i)</w:t>
      </w:r>
      <w:r>
        <w:rPr>
          <w:rFonts w:ascii="Arial" w:cs="Arial" w:eastAsia="Arial" w:hAnsi="Arial"/>
          <w:sz w:val="18"/>
          <w:szCs w:val="18"/>
          <w:color w:val="auto"/>
        </w:rPr>
        <w:t xml:space="preserve"> shall be deemed payment in respect of such participation.</w:t>
      </w:r>
    </w:p>
    <w:p>
      <w:pPr>
        <w:spacing w:after="0" w:line="181" w:lineRule="exact"/>
        <w:rPr>
          <w:rFonts w:ascii="Arial" w:cs="Arial" w:eastAsia="Arial" w:hAnsi="Arial"/>
          <w:sz w:val="18"/>
          <w:szCs w:val="18"/>
          <w:color w:val="auto"/>
        </w:rPr>
      </w:pPr>
    </w:p>
    <w:p>
      <w:pPr>
        <w:jc w:val="both"/>
        <w:ind w:firstLine="1199"/>
        <w:spacing w:after="0" w:line="264" w:lineRule="auto"/>
        <w:tabs>
          <w:tab w:leader="none" w:pos="2098" w:val="left"/>
        </w:tabs>
        <w:numPr>
          <w:ilvl w:val="1"/>
          <w:numId w:val="54"/>
        </w:numPr>
        <w:rPr>
          <w:rFonts w:ascii="Arial" w:cs="Arial" w:eastAsia="Arial" w:hAnsi="Arial"/>
          <w:sz w:val="19"/>
          <w:szCs w:val="19"/>
          <w:color w:val="auto"/>
        </w:rPr>
      </w:pPr>
      <w:r>
        <w:rPr>
          <w:rFonts w:ascii="Arial" w:cs="Arial" w:eastAsia="Arial" w:hAnsi="Arial"/>
          <w:sz w:val="19"/>
          <w:szCs w:val="19"/>
          <w:color w:val="auto"/>
        </w:rPr>
        <w:t xml:space="preserve">If any Revolving Credit Lender fails to make available to the Administrative Agent for the account of the applicable Swing Line Lender any amount required to be paid by such Revolving Credit Lender pursuant to the foregoing provisions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2.04(c)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2.04(c)(i)</w:t>
      </w:r>
      <w:r>
        <w:rPr>
          <w:rFonts w:ascii="Arial" w:cs="Arial" w:eastAsia="Arial" w:hAnsi="Arial"/>
          <w:sz w:val="19"/>
          <w:szCs w:val="19"/>
          <w:color w:val="auto"/>
        </w:rPr>
        <w:t>, such Swing Line Lender shall be entitled to recover from such Revolving Credit Lender (acting through the Administrative Agent), on demand, such amount with interest thereon for the period from the date such payment is required to the date on which such payment is immediately available to such Swing Line Lender at a rate per annum equal to the greater of the Federal Funds Rate and a rate determined by such Swing Line Lender in accordance with banking industry rules on interbank compensation, plus any administrative, processing or similar fees customarily charged by such Swing Line Lender in connection with the foregoing. If such Revolving Credit Lender pays such amount (with interest and fees as aforesaid), the amount so paid shall constitute such Revolving Credit Lender’s Revolving Credit Loan included in the relevant Borrowing or funded participation in the relevant Swing Line Loan, as the case may be. A certificate of a Swing Line Lender submitted to any Revolving Credit Lender (through the Administrative Agent) with respect to any amounts owing under this clause (iii) shall be conclusive absent manifest error.</w:t>
      </w:r>
    </w:p>
    <w:p>
      <w:pPr>
        <w:spacing w:after="0" w:line="203" w:lineRule="exact"/>
        <w:rPr>
          <w:rFonts w:ascii="Arial" w:cs="Arial" w:eastAsia="Arial" w:hAnsi="Arial"/>
          <w:sz w:val="19"/>
          <w:szCs w:val="19"/>
          <w:color w:val="auto"/>
        </w:rPr>
      </w:pPr>
    </w:p>
    <w:p>
      <w:pPr>
        <w:ind w:firstLine="1199"/>
        <w:spacing w:after="0" w:line="272" w:lineRule="auto"/>
        <w:tabs>
          <w:tab w:leader="none" w:pos="2087" w:val="left"/>
        </w:tabs>
        <w:numPr>
          <w:ilvl w:val="1"/>
          <w:numId w:val="54"/>
        </w:numPr>
        <w:rPr>
          <w:rFonts w:ascii="Arial" w:cs="Arial" w:eastAsia="Arial" w:hAnsi="Arial"/>
          <w:sz w:val="20"/>
          <w:szCs w:val="20"/>
          <w:color w:val="auto"/>
        </w:rPr>
      </w:pPr>
      <w:r>
        <w:rPr>
          <w:rFonts w:ascii="Arial" w:cs="Arial" w:eastAsia="Arial" w:hAnsi="Arial"/>
          <w:sz w:val="20"/>
          <w:szCs w:val="20"/>
          <w:color w:val="auto"/>
        </w:rPr>
        <w:t xml:space="preserve">Each Revolving Credit Lender’s obligation to make Revolving Credit Loans or to purchase and fund risk participations in Swing Line Loans pursuant to this </w:t>
      </w:r>
      <w:r>
        <w:rPr>
          <w:rFonts w:ascii="Arial" w:cs="Arial" w:eastAsia="Arial" w:hAnsi="Arial"/>
          <w:sz w:val="20"/>
          <w:szCs w:val="20"/>
          <w:u w:val="single" w:color="auto"/>
          <w:color w:val="auto"/>
        </w:rPr>
        <w:t>Section 2.04(c)</w:t>
      </w:r>
      <w:r>
        <w:rPr>
          <w:rFonts w:ascii="Arial" w:cs="Arial" w:eastAsia="Arial" w:hAnsi="Arial"/>
          <w:sz w:val="20"/>
          <w:szCs w:val="20"/>
          <w:color w:val="auto"/>
        </w:rPr>
        <w:t xml:space="preserve"> shall be absolute</w:t>
      </w:r>
    </w:p>
    <w:p>
      <w:pPr>
        <w:spacing w:after="0" w:line="19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53</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65" w:name="page66"/>
    <w:bookmarkEnd w:id="65"/>
    <w:p>
      <w:pPr>
        <w:jc w:val="both"/>
        <w:spacing w:after="0" w:line="284" w:lineRule="auto"/>
        <w:rPr>
          <w:sz w:val="20"/>
          <w:szCs w:val="20"/>
          <w:color w:val="auto"/>
        </w:rPr>
      </w:pPr>
      <w:r>
        <w:rPr>
          <w:rFonts w:ascii="Arial" w:cs="Arial" w:eastAsia="Arial" w:hAnsi="Arial"/>
          <w:sz w:val="18"/>
          <w:szCs w:val="18"/>
          <w:color w:val="auto"/>
        </w:rPr>
        <w:t>and unconditional and shall not be affected by any circumstance, including (A) any setoff, counterclaim, recoupment, defense or other right which such Revolving Credit Lender may have against any Swing Line Lender, the Borrower or any other Person for any reason whatsoever,</w:t>
      </w:r>
    </w:p>
    <w:p>
      <w:pPr>
        <w:spacing w:after="0" w:line="1" w:lineRule="exact"/>
        <w:rPr>
          <w:sz w:val="20"/>
          <w:szCs w:val="20"/>
          <w:color w:val="auto"/>
        </w:rPr>
      </w:pPr>
    </w:p>
    <w:p>
      <w:pPr>
        <w:jc w:val="both"/>
        <w:spacing w:after="0" w:line="251" w:lineRule="auto"/>
        <w:tabs>
          <w:tab w:leader="none" w:pos="318"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occurrence or continuance of a Default, or (C) any other occurrence, event or condition, whether or not similar to any of the foregoing. No such funding of risk participations shall relieve or otherwise impair the obligation of the Borrower to repay Swing Line Loans, together with interest as provided herein.</w:t>
      </w:r>
    </w:p>
    <w:p>
      <w:pPr>
        <w:spacing w:after="0" w:line="211" w:lineRule="exact"/>
        <w:rPr>
          <w:rFonts w:ascii="Arial" w:cs="Arial" w:eastAsia="Arial" w:hAnsi="Arial"/>
          <w:sz w:val="20"/>
          <w:szCs w:val="20"/>
          <w:color w:val="auto"/>
        </w:rPr>
      </w:pPr>
    </w:p>
    <w:p>
      <w:pPr>
        <w:jc w:val="both"/>
        <w:ind w:firstLine="599"/>
        <w:spacing w:after="0" w:line="256" w:lineRule="auto"/>
        <w:tabs>
          <w:tab w:leader="none" w:pos="1432" w:val="left"/>
        </w:tabs>
        <w:numPr>
          <w:ilvl w:val="1"/>
          <w:numId w:val="55"/>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 (i) At any time after any Revolving Credit Lender has purchased and funded a risk participation in a Swing Line Loan, if any Swing Line Lender receives any payment on account of such Swing Line Loan, such Swing Line Lender will distribute to such Revolving Credit Lender its Applicable Revolving Credit Percentage thereof in the same funds as those received by such Swing Line Lender.</w:t>
      </w:r>
    </w:p>
    <w:p>
      <w:pPr>
        <w:spacing w:after="0" w:line="205" w:lineRule="exact"/>
        <w:rPr>
          <w:rFonts w:ascii="Arial" w:cs="Arial" w:eastAsia="Arial" w:hAnsi="Arial"/>
          <w:sz w:val="20"/>
          <w:szCs w:val="20"/>
          <w:color w:val="auto"/>
        </w:rPr>
      </w:pPr>
    </w:p>
    <w:p>
      <w:pPr>
        <w:jc w:val="both"/>
        <w:ind w:firstLine="1199"/>
        <w:spacing w:after="0" w:line="284" w:lineRule="auto"/>
        <w:tabs>
          <w:tab w:leader="none" w:pos="2043" w:val="left"/>
        </w:tabs>
        <w:numPr>
          <w:ilvl w:val="2"/>
          <w:numId w:val="55"/>
        </w:numPr>
        <w:rPr>
          <w:rFonts w:ascii="Arial" w:cs="Arial" w:eastAsia="Arial" w:hAnsi="Arial"/>
          <w:sz w:val="18"/>
          <w:szCs w:val="18"/>
          <w:color w:val="auto"/>
        </w:rPr>
      </w:pPr>
      <w:r>
        <w:rPr>
          <w:rFonts w:ascii="Arial" w:cs="Arial" w:eastAsia="Arial" w:hAnsi="Arial"/>
          <w:sz w:val="18"/>
          <w:szCs w:val="18"/>
          <w:color w:val="auto"/>
        </w:rPr>
        <w:t xml:space="preserve">If any payment received by a Swing Line Lender in respect of principal or interest on any such Swing Line Lender’s ratable portion of any Swing Line Loan made by such Swing Line Lender is required to be returned by such Swing Line Lender under any of the circumstances described in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(including pursuant to any settlement entered into by the Swing Line Lender in its discretion), each Revolving Credit Lender shall pay to such Swing Line Lender its Applicable Revolving Credit Percentage thereof on demand of the Administrative Agent,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thereon from the date of such demand to the date such amount is returned, at a rate per annum equal to the Federal Funds Rate. The Administrative Agent will make such demand upon the request of the applicable Swing Line Lender. The obligations of the Revolving Credit Lenders under this clause shall survive the payment in full of the Obligations and the termination of this Agreement.</w:t>
      </w:r>
    </w:p>
    <w:p>
      <w:pPr>
        <w:spacing w:after="0" w:line="183" w:lineRule="exact"/>
        <w:rPr>
          <w:rFonts w:ascii="Arial" w:cs="Arial" w:eastAsia="Arial" w:hAnsi="Arial"/>
          <w:sz w:val="18"/>
          <w:szCs w:val="18"/>
          <w:color w:val="auto"/>
        </w:rPr>
      </w:pPr>
    </w:p>
    <w:p>
      <w:pPr>
        <w:jc w:val="both"/>
        <w:ind w:firstLine="599"/>
        <w:spacing w:after="0" w:line="293" w:lineRule="auto"/>
        <w:tabs>
          <w:tab w:leader="none" w:pos="1421"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Interest for Account of Swing Line Lenders</w:t>
      </w:r>
      <w:r>
        <w:rPr>
          <w:rFonts w:ascii="Arial" w:cs="Arial" w:eastAsia="Arial" w:hAnsi="Arial"/>
          <w:sz w:val="18"/>
          <w:szCs w:val="18"/>
          <w:color w:val="auto"/>
        </w:rPr>
        <w:t xml:space="preserve">. Each Swing Line Lender shall be responsible for invoicing the Borrower for interest on the Swing Line Loans made by such Swing Line Lender. Until each Revolving Credit Lender funds its Base Rate Loan or risk participation pursuant to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to refinance such Revolving Credit Lender’s Applicable Revolving Credit Percentage of any Swing Line Loan, interest in respect of such Applicable Revolving Credit Percentage shall be solely for the account of the Swing Line Lenders.</w:t>
      </w:r>
    </w:p>
    <w:p>
      <w:pPr>
        <w:spacing w:after="0" w:line="175" w:lineRule="exact"/>
        <w:rPr>
          <w:rFonts w:ascii="Arial" w:cs="Arial" w:eastAsia="Arial" w:hAnsi="Arial"/>
          <w:sz w:val="18"/>
          <w:szCs w:val="18"/>
          <w:color w:val="auto"/>
        </w:rPr>
      </w:pPr>
    </w:p>
    <w:p>
      <w:pPr>
        <w:ind w:firstLine="599"/>
        <w:spacing w:after="0" w:line="272" w:lineRule="auto"/>
        <w:tabs>
          <w:tab w:leader="none" w:pos="1399" w:val="left"/>
        </w:tabs>
        <w:numPr>
          <w:ilvl w:val="1"/>
          <w:numId w:val="55"/>
        </w:numPr>
        <w:rPr>
          <w:rFonts w:ascii="Arial" w:cs="Arial" w:eastAsia="Arial" w:hAnsi="Arial"/>
          <w:sz w:val="20"/>
          <w:szCs w:val="20"/>
          <w:color w:val="auto"/>
        </w:rPr>
      </w:pPr>
      <w:r>
        <w:rPr>
          <w:rFonts w:ascii="Arial" w:cs="Arial" w:eastAsia="Arial" w:hAnsi="Arial"/>
          <w:sz w:val="20"/>
          <w:szCs w:val="20"/>
          <w:u w:val="single" w:color="auto"/>
          <w:color w:val="auto"/>
        </w:rPr>
        <w:t>Payments Directly to Swing Line Lenders</w:t>
      </w:r>
      <w:r>
        <w:rPr>
          <w:rFonts w:ascii="Arial" w:cs="Arial" w:eastAsia="Arial" w:hAnsi="Arial"/>
          <w:sz w:val="20"/>
          <w:szCs w:val="20"/>
          <w:color w:val="auto"/>
        </w:rPr>
        <w:t>. The Borrower shall make all payments of principal and interest in respect of each Swing Line Loan directly to the relevant Swing Line Lender by wire transfer of immediately available funds.</w:t>
      </w:r>
    </w:p>
    <w:p>
      <w:pPr>
        <w:spacing w:after="0" w:line="191"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2.05.</w:t>
      </w:r>
      <w:r>
        <w:rPr>
          <w:sz w:val="20"/>
          <w:szCs w:val="20"/>
          <w:color w:val="auto"/>
        </w:rPr>
        <w:tab/>
      </w:r>
      <w:r>
        <w:rPr>
          <w:rFonts w:ascii="Arial" w:cs="Arial" w:eastAsia="Arial" w:hAnsi="Arial"/>
          <w:sz w:val="17"/>
          <w:szCs w:val="17"/>
          <w:u w:val="single" w:color="auto"/>
          <w:color w:val="auto"/>
        </w:rPr>
        <w:t>Prepayments</w:t>
      </w:r>
      <w:r>
        <w:rPr>
          <w:rFonts w:ascii="Arial" w:cs="Arial" w:eastAsia="Arial" w:hAnsi="Arial"/>
          <w:sz w:val="17"/>
          <w:szCs w:val="17"/>
          <w:color w:val="auto"/>
        </w:rPr>
        <w:t>.</w:t>
      </w:r>
    </w:p>
    <w:p>
      <w:pPr>
        <w:spacing w:after="0" w:line="245" w:lineRule="exact"/>
        <w:rPr>
          <w:sz w:val="20"/>
          <w:szCs w:val="20"/>
          <w:color w:val="auto"/>
        </w:rPr>
      </w:pPr>
    </w:p>
    <w:p>
      <w:pPr>
        <w:jc w:val="both"/>
        <w:ind w:firstLine="599"/>
        <w:spacing w:after="0" w:line="265" w:lineRule="auto"/>
        <w:tabs>
          <w:tab w:leader="none" w:pos="1421"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Optional</w:t>
      </w:r>
      <w:r>
        <w:rPr>
          <w:rFonts w:ascii="Arial" w:cs="Arial" w:eastAsia="Arial" w:hAnsi="Arial"/>
          <w:sz w:val="19"/>
          <w:szCs w:val="19"/>
          <w:color w:val="auto"/>
        </w:rPr>
        <w:t xml:space="preserve">. (i) The Borrower may, upon notice to the Administrative Agent (which notice, in the case of a termination of the full amount of any Facility and prepayment of all Loans thereunder in connection therewith, may state that it is conditioned on the Borrower receiving proceeds of other financing, in which case such notice may be revoked by the Borrower (by providing notice to the Administrative Agent) if such financing is not received by the Borrower on or prior to the proposed termination date of the applicable Facility and prepayment of all Loans thereunder in connection therewith), at any time or from time to time voluntarily prepay Term Loans and Revolving Credit Loans in whole or in part without premium or penalty;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notice must be in a form reasonably acceptable to the Administrative Agent and received by the Administrative Agent not later than 11:00 a.m. (1) three Business Days prior to any date of prepayment of Eurodollar Rate Loans and (2) on the date of prepayment of Base Rate Loans; (B) any prepayment of Eurodollar Rate Loans shall be in a principal amount of $3,000,000 or a whole multiple of $1,000,000 in excess thereof; and (C) any prepayment of Base Rate Loans shall be in a principal amount of</w:t>
      </w:r>
    </w:p>
    <w:p>
      <w:pPr>
        <w:spacing w:after="0" w:line="198"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54</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66" w:name="page67"/>
    <w:bookmarkEnd w:id="66"/>
    <w:p>
      <w:pPr>
        <w:jc w:val="both"/>
        <w:spacing w:after="0" w:line="264" w:lineRule="auto"/>
        <w:rPr>
          <w:sz w:val="20"/>
          <w:szCs w:val="20"/>
          <w:color w:val="auto"/>
        </w:rPr>
      </w:pPr>
      <w:r>
        <w:rPr>
          <w:rFonts w:ascii="Arial" w:cs="Arial" w:eastAsia="Arial" w:hAnsi="Arial"/>
          <w:sz w:val="19"/>
          <w:szCs w:val="19"/>
          <w:color w:val="auto"/>
        </w:rPr>
        <w:t xml:space="preserve">$300,000 or a whole multiple of $100,000 in excess thereof or, in each case, if less, the entire principal amount thereof then outstanding. Each such notice shall specify the date and amount of such prepayment and the Type(s) of Loans to be prepaid and, if Eurodollar Rate Loans are to be prepaid, the Interest Period(s) of such Loans and each Facility to which such prepayment shall apply (and if multiple Facilities are specified, the allocation among such Facilities); provided that any prepayment made during the continuance of an Event of Default shall be allocated among the Facilities on a pro rata basis. The Administrative Agent will promptly notify each Lender of its receipt of each such notice, and of the amount of such Lender’s ratable portion of such prepayment (based on such Lender’s Applicable Percentage in respect of the relevant Facility). If such notice is given by the Borrower, the Borrower shall make such prepayment and the payment amount specified in such notice shall be due and payable on the date specified therein. Any prepayment of a Eurodollar Rate Loan shall be accompanied by all accrued interest on the amount prepaid, together with any additional amounts required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2.19</w:t>
      </w:r>
      <w:r>
        <w:rPr>
          <w:rFonts w:ascii="Arial" w:cs="Arial" w:eastAsia="Arial" w:hAnsi="Arial"/>
          <w:sz w:val="19"/>
          <w:szCs w:val="19"/>
          <w:color w:val="auto"/>
        </w:rPr>
        <w:t>, each such prepayment shall be paid to the Lenders in accordance with their respective Applicable Percentages in respect of each of the relevant Facilities.</w:t>
      </w:r>
    </w:p>
    <w:p>
      <w:pPr>
        <w:spacing w:after="0" w:line="204" w:lineRule="exact"/>
        <w:rPr>
          <w:sz w:val="20"/>
          <w:szCs w:val="20"/>
          <w:color w:val="auto"/>
        </w:rPr>
      </w:pPr>
    </w:p>
    <w:p>
      <w:pPr>
        <w:jc w:val="both"/>
        <w:ind w:firstLine="1199"/>
        <w:spacing w:after="0" w:line="252" w:lineRule="auto"/>
        <w:tabs>
          <w:tab w:leader="none" w:pos="2043" w:val="left"/>
        </w:tabs>
        <w:numPr>
          <w:ilvl w:val="1"/>
          <w:numId w:val="57"/>
        </w:numPr>
        <w:rPr>
          <w:rFonts w:ascii="Arial" w:cs="Arial" w:eastAsia="Arial" w:hAnsi="Arial"/>
          <w:sz w:val="20"/>
          <w:szCs w:val="20"/>
          <w:color w:val="auto"/>
        </w:rPr>
      </w:pPr>
      <w:r>
        <w:rPr>
          <w:rFonts w:ascii="Arial" w:cs="Arial" w:eastAsia="Arial" w:hAnsi="Arial"/>
          <w:sz w:val="20"/>
          <w:szCs w:val="20"/>
          <w:color w:val="auto"/>
        </w:rPr>
        <w:t xml:space="preserve">The Borrower may, upon notice to the Swing Line Lenders (with a copy to the Administrative Agent), at any time or from time to time, voluntarily prepay Swing Line Loans in whole or in part without premium or penalty;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such notice must be received by the Swing Line Lenders and the Administrative Agent not later than 1:00 p.m. on the date of the prepayment, and (B) any such prepayment shall be in a minimum principal amount of $300,000.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212" w:lineRule="exact"/>
        <w:rPr>
          <w:rFonts w:ascii="Arial" w:cs="Arial" w:eastAsia="Arial" w:hAnsi="Arial"/>
          <w:sz w:val="20"/>
          <w:szCs w:val="20"/>
          <w:color w:val="auto"/>
        </w:rPr>
      </w:pPr>
    </w:p>
    <w:p>
      <w:pPr>
        <w:jc w:val="both"/>
        <w:ind w:firstLine="599"/>
        <w:spacing w:after="0" w:line="280" w:lineRule="auto"/>
        <w:tabs>
          <w:tab w:leader="none" w:pos="1432"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Mandatory</w:t>
      </w:r>
      <w:r>
        <w:rPr>
          <w:rFonts w:ascii="Arial" w:cs="Arial" w:eastAsia="Arial" w:hAnsi="Arial"/>
          <w:sz w:val="19"/>
          <w:szCs w:val="19"/>
          <w:color w:val="auto"/>
        </w:rPr>
        <w:t>. (i) If for any reason the sum of the Total Revolving Credit Outstandings at any time exceeds the Revolving Credit Facility then in effect, the Borrower shall immediately prepay Revolving Credit Loans, Swing Line Loans and L/C Borrowings and/or Cash Collateralize the L/C Obligations (other than the L/C Borrowings) in an aggregate amount equal to such excess.</w:t>
      </w:r>
    </w:p>
    <w:p>
      <w:pPr>
        <w:spacing w:after="0" w:line="184" w:lineRule="exact"/>
        <w:rPr>
          <w:rFonts w:ascii="Arial" w:cs="Arial" w:eastAsia="Arial" w:hAnsi="Arial"/>
          <w:sz w:val="19"/>
          <w:szCs w:val="19"/>
          <w:color w:val="auto"/>
        </w:rPr>
      </w:pPr>
    </w:p>
    <w:p>
      <w:pPr>
        <w:jc w:val="both"/>
        <w:ind w:firstLine="1199"/>
        <w:spacing w:after="0" w:line="253" w:lineRule="auto"/>
        <w:tabs>
          <w:tab w:leader="none" w:pos="2043" w:val="left"/>
        </w:tabs>
        <w:numPr>
          <w:ilvl w:val="1"/>
          <w:numId w:val="58"/>
        </w:numPr>
        <w:rPr>
          <w:rFonts w:ascii="Arial" w:cs="Arial" w:eastAsia="Arial" w:hAnsi="Arial"/>
          <w:sz w:val="20"/>
          <w:szCs w:val="20"/>
          <w:color w:val="auto"/>
        </w:rPr>
      </w:pPr>
      <w:r>
        <w:rPr>
          <w:rFonts w:ascii="Arial" w:cs="Arial" w:eastAsia="Arial" w:hAnsi="Arial"/>
          <w:sz w:val="20"/>
          <w:szCs w:val="20"/>
          <w:color w:val="auto"/>
        </w:rPr>
        <w:t xml:space="preserve">Amounts paid by the Borrower pursuant to this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shall be applied ratably to the L/C Borrowings and the Swing Line Loans,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shall be applied ratably to the outstanding Revolving Credit Loans, and, </w:t>
      </w:r>
      <w:r>
        <w:rPr>
          <w:rFonts w:ascii="Arial" w:cs="Arial" w:eastAsia="Arial" w:hAnsi="Arial"/>
          <w:sz w:val="20"/>
          <w:szCs w:val="20"/>
          <w:u w:val="single" w:color="auto"/>
          <w:color w:val="auto"/>
        </w:rPr>
        <w:t>third</w:t>
      </w:r>
      <w:r>
        <w:rPr>
          <w:rFonts w:ascii="Arial" w:cs="Arial" w:eastAsia="Arial" w:hAnsi="Arial"/>
          <w:sz w:val="20"/>
          <w:szCs w:val="20"/>
          <w:color w:val="auto"/>
        </w:rPr>
        <w:t>, shall be used to Cash Collateralize the remaining L/C Obligations. Upon the drawing of any Letter of Credit that has been Cash Collateralized, the funds held as Cash Collateral shall be applied (without any further action by or notice to or from the Borrower or any other Person) to reimburse the L/C Issuers or the Revolving Credit Lenders, as applicable.</w:t>
      </w:r>
    </w:p>
    <w:p>
      <w:pPr>
        <w:spacing w:after="0" w:line="212"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2.06.</w:t>
      </w:r>
      <w:r>
        <w:rPr>
          <w:sz w:val="20"/>
          <w:szCs w:val="20"/>
          <w:color w:val="auto"/>
        </w:rPr>
        <w:tab/>
      </w:r>
      <w:r>
        <w:rPr>
          <w:rFonts w:ascii="Arial" w:cs="Arial" w:eastAsia="Arial" w:hAnsi="Arial"/>
          <w:sz w:val="18"/>
          <w:szCs w:val="18"/>
          <w:u w:val="single" w:color="auto"/>
          <w:color w:val="auto"/>
        </w:rPr>
        <w:t>Termination or Reduction of Commitments</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65" w:lineRule="auto"/>
        <w:tabs>
          <w:tab w:leader="none" w:pos="1421"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Optional</w:t>
      </w:r>
      <w:r>
        <w:rPr>
          <w:rFonts w:ascii="Arial" w:cs="Arial" w:eastAsia="Arial" w:hAnsi="Arial"/>
          <w:sz w:val="19"/>
          <w:szCs w:val="19"/>
          <w:color w:val="auto"/>
        </w:rPr>
        <w:t xml:space="preserve">. The Borrower may, upon notice to the Administrative Agent, terminate the Revolving Credit Facility, the Letter of Credit Subfacility or the Swing Line Subfacility, or from time to time permanently reduce the Revolving Credit Facility, the Letter of Credit Subfacility or the Swing Line Subfacility;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such notice shall be received by the Administrative Agent not later than 11:00 a.m. five Business Days (or such shorter period as is acceptable to the Administrative Agent) prior to the date of termination or reduction (which notice, in the case of a termination of the full amount of any Facility and prepayment of all Loans thereunder in connection therewith, may state that it is conditioned on the Borrower receiving proceeds of other financing, in which case such notice may be revoked by the Borrower (by providing notice to the Administrative Agent) if such financing is not received by the Borrower on or prior to the proposed termination date of the applicable Facility and prepayment of all Loans thereunder in connection therewith), (ii) any such partial reduction shall be in an aggregate amount of $3,000,000 or any</w:t>
      </w:r>
    </w:p>
    <w:p>
      <w:pPr>
        <w:spacing w:after="0" w:line="20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55</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67" w:name="page68"/>
    <w:bookmarkEnd w:id="67"/>
    <w:p>
      <w:pPr>
        <w:jc w:val="both"/>
        <w:spacing w:after="0" w:line="252" w:lineRule="auto"/>
        <w:rPr>
          <w:sz w:val="20"/>
          <w:szCs w:val="20"/>
          <w:color w:val="auto"/>
        </w:rPr>
      </w:pPr>
      <w:r>
        <w:rPr>
          <w:rFonts w:ascii="Arial" w:cs="Arial" w:eastAsia="Arial" w:hAnsi="Arial"/>
          <w:sz w:val="20"/>
          <w:szCs w:val="20"/>
          <w:color w:val="auto"/>
        </w:rPr>
        <w:t>whole multiple of $1,000,000 in excess thereof and (iii) the Borrower shall not terminate or reduce (A) the Revolving Credit Facility if, after giving effect thereto and to any concurrent prepayments hereunder, the Total Revolving Credit Outstandings would exceed the Revolving Credit Facility (as so reduced), (B) the Letter of Credit Subfacility if, after giving effect thereto, the Outstanding Amount of L/C Obligations not fully Cash Collateralized hereunder would exceed the Letter of Credit Subfacility, or (C) the Swing Line Subfacility if, after giving effect thereto and to any concurrent prepayments hereunder, the Outstanding Amount of Swing Line Loans would exceed the Swing Line Subfacility.</w:t>
      </w:r>
    </w:p>
    <w:p>
      <w:pPr>
        <w:spacing w:after="0" w:line="212" w:lineRule="exact"/>
        <w:rPr>
          <w:sz w:val="20"/>
          <w:szCs w:val="20"/>
          <w:color w:val="auto"/>
        </w:rPr>
      </w:pPr>
    </w:p>
    <w:p>
      <w:pPr>
        <w:ind w:firstLine="599"/>
        <w:spacing w:after="0" w:line="272" w:lineRule="auto"/>
        <w:tabs>
          <w:tab w:leader="none" w:pos="1432"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Mandatory</w:t>
      </w:r>
      <w:r>
        <w:rPr>
          <w:rFonts w:ascii="Arial" w:cs="Arial" w:eastAsia="Arial" w:hAnsi="Arial"/>
          <w:sz w:val="20"/>
          <w:szCs w:val="20"/>
          <w:color w:val="auto"/>
        </w:rPr>
        <w:t>. The Revolving Credit Facility shall be reduced to zero automatically and permanently on the last day of the Availability Period.</w:t>
      </w:r>
    </w:p>
    <w:p>
      <w:pPr>
        <w:spacing w:after="0" w:line="190" w:lineRule="exact"/>
        <w:rPr>
          <w:rFonts w:ascii="Arial" w:cs="Arial" w:eastAsia="Arial" w:hAnsi="Arial"/>
          <w:sz w:val="20"/>
          <w:szCs w:val="20"/>
          <w:color w:val="auto"/>
        </w:rPr>
      </w:pPr>
    </w:p>
    <w:p>
      <w:pPr>
        <w:jc w:val="both"/>
        <w:ind w:firstLine="599"/>
        <w:spacing w:after="0" w:line="265" w:lineRule="auto"/>
        <w:tabs>
          <w:tab w:leader="none" w:pos="1421"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Application of Commitment Reductions; Payment of Fees</w:t>
      </w:r>
      <w:r>
        <w:rPr>
          <w:rFonts w:ascii="Arial" w:cs="Arial" w:eastAsia="Arial" w:hAnsi="Arial"/>
          <w:sz w:val="19"/>
          <w:szCs w:val="19"/>
          <w:color w:val="auto"/>
        </w:rPr>
        <w:t xml:space="preserve">. The Administrative Agent will promptly notify the Lenders of any termination or reduction of the Letter of Credit Subfacility, Swing Line Subfacility or the Revolving Credit Facility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2.06</w:t>
      </w:r>
      <w:r>
        <w:rPr>
          <w:rFonts w:ascii="Arial" w:cs="Arial" w:eastAsia="Arial" w:hAnsi="Arial"/>
          <w:sz w:val="19"/>
          <w:szCs w:val="19"/>
          <w:color w:val="auto"/>
        </w:rPr>
        <w:t xml:space="preserve">. Upon any reduction of the Letter of Credit Subfacility, the Letter of Credit Sublimit of each L/C Issuer shall be reduced on a pro rata basis. Upon any reduction of the Swing Line Subfacility, the Swing Line Sublimit of each Swing Line Lender shall be reduced on a pro rata basis. Upon any reduction of the Revolving Credit Facility, the Revolving Credit Commitment of each Revolving Credit Lender shall be reduced by such Revolving Credit Lender’s Applicable Revolving Credit Percentage of such reduction amount. All fees in respect of the Revolving Credit Facility accrued until the effective date of any termination of the Revolving Credit Facility shall be paid on the effective date of such termination. Following any such termination or reduction, the Administrative Agent shall replace the existing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with an amended and restated schedule that reflects such termination or reduction.</w:t>
      </w:r>
    </w:p>
    <w:p>
      <w:pPr>
        <w:spacing w:after="0" w:line="202"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2.07.</w:t>
      </w:r>
      <w:r>
        <w:rPr>
          <w:sz w:val="20"/>
          <w:szCs w:val="20"/>
          <w:color w:val="auto"/>
        </w:rPr>
        <w:tab/>
      </w:r>
      <w:r>
        <w:rPr>
          <w:rFonts w:ascii="Arial" w:cs="Arial" w:eastAsia="Arial" w:hAnsi="Arial"/>
          <w:sz w:val="18"/>
          <w:szCs w:val="18"/>
          <w:u w:val="single" w:color="auto"/>
          <w:color w:val="auto"/>
        </w:rPr>
        <w:t>Repayment of Loans</w:t>
      </w:r>
      <w:r>
        <w:rPr>
          <w:rFonts w:ascii="Arial" w:cs="Arial" w:eastAsia="Arial" w:hAnsi="Arial"/>
          <w:sz w:val="18"/>
          <w:szCs w:val="18"/>
          <w:color w:val="auto"/>
        </w:rPr>
        <w:t>.</w:t>
      </w:r>
    </w:p>
    <w:p>
      <w:pPr>
        <w:spacing w:after="0" w:line="245" w:lineRule="exact"/>
        <w:rPr>
          <w:sz w:val="20"/>
          <w:szCs w:val="20"/>
          <w:color w:val="auto"/>
        </w:rPr>
      </w:pPr>
    </w:p>
    <w:p>
      <w:pPr>
        <w:ind w:firstLine="599"/>
        <w:spacing w:after="0" w:line="272" w:lineRule="auto"/>
        <w:tabs>
          <w:tab w:leader="none" w:pos="1421"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Closing Date Term Loans</w:t>
      </w:r>
      <w:r>
        <w:rPr>
          <w:rFonts w:ascii="Arial" w:cs="Arial" w:eastAsia="Arial" w:hAnsi="Arial"/>
          <w:sz w:val="20"/>
          <w:szCs w:val="20"/>
          <w:color w:val="auto"/>
        </w:rPr>
        <w:t>. The Borrower shall repay to the Closing Date Term Lenders on the Maturity Date for the Closing Date Term Facility the aggregate principal amount of Closing Date Term Loans outstanding on such date.</w:t>
      </w:r>
    </w:p>
    <w:p>
      <w:pPr>
        <w:spacing w:after="0" w:line="190" w:lineRule="exact"/>
        <w:rPr>
          <w:rFonts w:ascii="Arial" w:cs="Arial" w:eastAsia="Arial" w:hAnsi="Arial"/>
          <w:sz w:val="20"/>
          <w:szCs w:val="20"/>
          <w:color w:val="auto"/>
        </w:rPr>
      </w:pPr>
    </w:p>
    <w:p>
      <w:pPr>
        <w:ind w:firstLine="599"/>
        <w:spacing w:after="0" w:line="272" w:lineRule="auto"/>
        <w:tabs>
          <w:tab w:leader="none" w:pos="1432"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Revolving Credit Loans</w:t>
      </w:r>
      <w:r>
        <w:rPr>
          <w:rFonts w:ascii="Arial" w:cs="Arial" w:eastAsia="Arial" w:hAnsi="Arial"/>
          <w:sz w:val="20"/>
          <w:szCs w:val="20"/>
          <w:color w:val="auto"/>
        </w:rPr>
        <w:t>. The Borrower shall repay to the Revolving Credit Lenders on the Maturity Date for the Revolving Credit Facility the aggregate principal amount of all Revolving Credit Loans outstanding on such date.</w:t>
      </w:r>
    </w:p>
    <w:p>
      <w:pPr>
        <w:spacing w:after="0" w:line="190" w:lineRule="exact"/>
        <w:rPr>
          <w:rFonts w:ascii="Arial" w:cs="Arial" w:eastAsia="Arial" w:hAnsi="Arial"/>
          <w:sz w:val="20"/>
          <w:szCs w:val="20"/>
          <w:color w:val="auto"/>
        </w:rPr>
      </w:pPr>
    </w:p>
    <w:p>
      <w:pPr>
        <w:ind w:firstLine="599"/>
        <w:spacing w:after="0" w:line="272" w:lineRule="auto"/>
        <w:tabs>
          <w:tab w:leader="none" w:pos="1421"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Swing Line Loans</w:t>
      </w:r>
      <w:r>
        <w:rPr>
          <w:rFonts w:ascii="Arial" w:cs="Arial" w:eastAsia="Arial" w:hAnsi="Arial"/>
          <w:sz w:val="20"/>
          <w:szCs w:val="20"/>
          <w:color w:val="auto"/>
        </w:rPr>
        <w:t>. The Borrower shall repay each Swing Line Loan on the earlier to occur of (i) the date five Business Days after such Swing Line Loan is made and (ii) the Maturity Date for the Revolving Credit Facility.</w:t>
      </w:r>
    </w:p>
    <w:p>
      <w:pPr>
        <w:spacing w:after="0" w:line="190" w:lineRule="exact"/>
        <w:rPr>
          <w:rFonts w:ascii="Arial" w:cs="Arial" w:eastAsia="Arial" w:hAnsi="Arial"/>
          <w:sz w:val="20"/>
          <w:szCs w:val="20"/>
          <w:color w:val="auto"/>
        </w:rPr>
      </w:pPr>
    </w:p>
    <w:p>
      <w:pPr>
        <w:jc w:val="both"/>
        <w:ind w:firstLine="599"/>
        <w:spacing w:after="0" w:line="260" w:lineRule="auto"/>
        <w:tabs>
          <w:tab w:leader="none" w:pos="1432"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Additional TL Tranches</w:t>
      </w:r>
      <w:r>
        <w:rPr>
          <w:rFonts w:ascii="Arial" w:cs="Arial" w:eastAsia="Arial" w:hAnsi="Arial"/>
          <w:sz w:val="20"/>
          <w:szCs w:val="20"/>
          <w:color w:val="auto"/>
        </w:rPr>
        <w:t>. The Borrower shall repay to the Lenders holding Term Loans of any Additional TL Tranche on the Maturity Date for such Additional TL Tranche the aggregate principal amount of Term Loans of such Additional TL Tranche outstanding on such date.</w:t>
      </w:r>
    </w:p>
    <w:p>
      <w:pPr>
        <w:spacing w:after="0" w:line="202"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2.08.</w:t>
      </w:r>
      <w:r>
        <w:rPr>
          <w:sz w:val="20"/>
          <w:szCs w:val="20"/>
          <w:color w:val="auto"/>
        </w:rPr>
        <w:tab/>
      </w:r>
      <w:r>
        <w:rPr>
          <w:rFonts w:ascii="Arial" w:cs="Arial" w:eastAsia="Arial" w:hAnsi="Arial"/>
          <w:sz w:val="17"/>
          <w:szCs w:val="17"/>
          <w:u w:val="single" w:color="auto"/>
          <w:color w:val="auto"/>
        </w:rPr>
        <w:t>Interest</w:t>
      </w:r>
      <w:r>
        <w:rPr>
          <w:rFonts w:ascii="Arial" w:cs="Arial" w:eastAsia="Arial" w:hAnsi="Arial"/>
          <w:sz w:val="17"/>
          <w:szCs w:val="17"/>
          <w:color w:val="auto"/>
        </w:rPr>
        <w:t>.</w:t>
      </w:r>
    </w:p>
    <w:p>
      <w:pPr>
        <w:spacing w:after="0" w:line="245" w:lineRule="exact"/>
        <w:rPr>
          <w:sz w:val="20"/>
          <w:szCs w:val="20"/>
          <w:color w:val="auto"/>
        </w:rPr>
      </w:pPr>
    </w:p>
    <w:p>
      <w:pPr>
        <w:jc w:val="both"/>
        <w:ind w:firstLine="599"/>
        <w:spacing w:after="0" w:line="293" w:lineRule="auto"/>
        <w:tabs>
          <w:tab w:leader="none" w:pos="1421"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 2.08(b)</w:t>
      </w:r>
      <w:r>
        <w:rPr>
          <w:rFonts w:ascii="Arial" w:cs="Arial" w:eastAsia="Arial" w:hAnsi="Arial"/>
          <w:sz w:val="18"/>
          <w:szCs w:val="18"/>
          <w:color w:val="auto"/>
        </w:rPr>
        <w:t xml:space="preserve">, (i) each Eurodollar Rate Loan under a Facility shall bear interest on the outstanding principal amount thereof for each Interest Period at a rate per annum equal to the Eurodollar Rate for such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then applicable to Eurodollar Rate Loans under such Facility; (ii) each Base Rate Loan under a Facility shall bear interest on the outstanding principal amount thereof from the applicable borrowing date at a rate per annum equal to the Base Rate </w:t>
      </w:r>
      <w:r>
        <w:rPr>
          <w:rFonts w:ascii="Arial" w:cs="Arial" w:eastAsia="Arial" w:hAnsi="Arial"/>
          <w:sz w:val="18"/>
          <w:szCs w:val="18"/>
          <w:u w:val="single" w:color="auto"/>
          <w:color w:val="auto"/>
        </w:rPr>
        <w:t>plus</w:t>
      </w:r>
    </w:p>
    <w:p>
      <w:pPr>
        <w:spacing w:after="0" w:line="176"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56</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68" w:name="page69"/>
    <w:bookmarkEnd w:id="68"/>
    <w:p>
      <w:pPr>
        <w:jc w:val="both"/>
        <w:spacing w:after="0" w:line="260" w:lineRule="auto"/>
        <w:rPr>
          <w:sz w:val="20"/>
          <w:szCs w:val="20"/>
          <w:color w:val="auto"/>
        </w:rPr>
      </w:pPr>
      <w:r>
        <w:rPr>
          <w:rFonts w:ascii="Arial" w:cs="Arial" w:eastAsia="Arial" w:hAnsi="Arial"/>
          <w:sz w:val="20"/>
          <w:szCs w:val="20"/>
          <w:color w:val="auto"/>
        </w:rPr>
        <w:t xml:space="preserve">the Applicable Rate then applicable to Base Rate Loans under such Facility; and (iii) each Swing Line Loan shall bear interest on the outstanding principal amount thereof from the applicable borrowing date at a rate per annum equal to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 then applicable to Base Rate Revolving Credit Loans.</w:t>
      </w:r>
    </w:p>
    <w:p>
      <w:pPr>
        <w:spacing w:after="0" w:line="202" w:lineRule="exact"/>
        <w:rPr>
          <w:sz w:val="20"/>
          <w:szCs w:val="20"/>
          <w:color w:val="auto"/>
        </w:rPr>
      </w:pPr>
    </w:p>
    <w:p>
      <w:pPr>
        <w:jc w:val="both"/>
        <w:ind w:firstLine="599"/>
        <w:spacing w:after="0" w:line="280" w:lineRule="auto"/>
        <w:tabs>
          <w:tab w:leader="none" w:pos="1432" w:val="left"/>
        </w:tabs>
        <w:numPr>
          <w:ilvl w:val="0"/>
          <w:numId w:val="63"/>
        </w:numPr>
        <w:rPr>
          <w:rFonts w:ascii="Arial" w:cs="Arial" w:eastAsia="Arial" w:hAnsi="Arial"/>
          <w:sz w:val="19"/>
          <w:szCs w:val="19"/>
          <w:color w:val="auto"/>
        </w:rPr>
      </w:pPr>
      <w:r>
        <w:rPr>
          <w:rFonts w:ascii="Arial" w:cs="Arial" w:eastAsia="Arial" w:hAnsi="Arial"/>
          <w:sz w:val="19"/>
          <w:szCs w:val="19"/>
          <w:color w:val="auto"/>
        </w:rPr>
        <w:t>(i) While any Specified Event of Default exists, or upon the request of the Required Lenders while any Financial Covenant Event of Default exists, the Borrower shall pay interest on the principal amount of all outstanding Obligations hereunder at a fluctuating interest rate per annum at all times equal to the Default Rate to the fullest extent permitted by applicable Laws.</w:t>
      </w:r>
    </w:p>
    <w:p>
      <w:pPr>
        <w:spacing w:after="0" w:line="184" w:lineRule="exact"/>
        <w:rPr>
          <w:rFonts w:ascii="Arial" w:cs="Arial" w:eastAsia="Arial" w:hAnsi="Arial"/>
          <w:sz w:val="19"/>
          <w:szCs w:val="19"/>
          <w:color w:val="auto"/>
        </w:rPr>
      </w:pPr>
    </w:p>
    <w:p>
      <w:pPr>
        <w:ind w:left="2040" w:hanging="841"/>
        <w:spacing w:after="0"/>
        <w:tabs>
          <w:tab w:leader="none" w:pos="20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Accrued and unpaid interest on past due amounts (including interest on past due interest) shall be due and payable</w:t>
      </w:r>
    </w:p>
    <w:p>
      <w:pPr>
        <w:spacing w:after="0" w:line="4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upon demand.</w:t>
      </w:r>
    </w:p>
    <w:p>
      <w:pPr>
        <w:spacing w:after="0" w:line="228" w:lineRule="exact"/>
        <w:rPr>
          <w:rFonts w:ascii="Arial" w:cs="Arial" w:eastAsia="Arial" w:hAnsi="Arial"/>
          <w:sz w:val="18"/>
          <w:szCs w:val="18"/>
          <w:color w:val="auto"/>
        </w:rPr>
      </w:pPr>
    </w:p>
    <w:p>
      <w:pPr>
        <w:jc w:val="both"/>
        <w:ind w:firstLine="599"/>
        <w:spacing w:after="0" w:line="260" w:lineRule="auto"/>
        <w:tabs>
          <w:tab w:leader="none" w:pos="1421" w:val="left"/>
        </w:tabs>
        <w:numPr>
          <w:ilvl w:val="0"/>
          <w:numId w:val="63"/>
        </w:numPr>
        <w:rPr>
          <w:rFonts w:ascii="Arial" w:cs="Arial" w:eastAsia="Arial" w:hAnsi="Arial"/>
          <w:sz w:val="20"/>
          <w:szCs w:val="20"/>
          <w:color w:val="auto"/>
        </w:rPr>
      </w:pPr>
      <w:r>
        <w:rPr>
          <w:rFonts w:ascii="Arial" w:cs="Arial" w:eastAsia="Arial" w:hAnsi="Arial"/>
          <w:sz w:val="20"/>
          <w:szCs w:val="20"/>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202"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2.09.</w:t>
      </w:r>
      <w:r>
        <w:rPr>
          <w:sz w:val="20"/>
          <w:szCs w:val="20"/>
          <w:color w:val="auto"/>
        </w:rPr>
        <w:tab/>
      </w:r>
      <w:r>
        <w:rPr>
          <w:rFonts w:ascii="Arial" w:cs="Arial" w:eastAsia="Arial" w:hAnsi="Arial"/>
          <w:sz w:val="18"/>
          <w:szCs w:val="18"/>
          <w:u w:val="single" w:color="auto"/>
          <w:color w:val="auto"/>
        </w:rPr>
        <w:t>Fees</w:t>
      </w:r>
      <w:r>
        <w:rPr>
          <w:rFonts w:ascii="Arial" w:cs="Arial" w:eastAsia="Arial" w:hAnsi="Arial"/>
          <w:sz w:val="18"/>
          <w:szCs w:val="18"/>
          <w:color w:val="auto"/>
        </w:rPr>
        <w:t>. In addition to fees described in</w:t>
      </w:r>
      <w:r>
        <w:rPr>
          <w:rFonts w:ascii="Arial" w:cs="Arial" w:eastAsia="Arial" w:hAnsi="Arial"/>
          <w:sz w:val="18"/>
          <w:szCs w:val="18"/>
          <w:u w:val="single" w:color="auto"/>
          <w:color w:val="auto"/>
        </w:rPr>
        <w:t xml:space="preserve"> Sections 2.03(h) </w:t>
      </w:r>
      <w:r>
        <w:rPr>
          <w:rFonts w:ascii="Arial" w:cs="Arial" w:eastAsia="Arial" w:hAnsi="Arial"/>
          <w:sz w:val="18"/>
          <w:szCs w:val="18"/>
          <w:color w:val="auto"/>
        </w:rPr>
        <w:t>and</w:t>
      </w:r>
      <w:r>
        <w:rPr>
          <w:rFonts w:ascii="Arial" w:cs="Arial" w:eastAsia="Arial" w:hAnsi="Arial"/>
          <w:sz w:val="18"/>
          <w:szCs w:val="18"/>
          <w:u w:val="single" w:color="auto"/>
          <w:color w:val="auto"/>
        </w:rPr>
        <w:t xml:space="preserve"> (i)</w:t>
      </w:r>
      <w:r>
        <w:rPr>
          <w:rFonts w:ascii="Arial" w:cs="Arial" w:eastAsia="Arial" w:hAnsi="Arial"/>
          <w:sz w:val="18"/>
          <w:szCs w:val="18"/>
          <w:color w:val="auto"/>
        </w:rPr>
        <w:t>,</w:t>
      </w:r>
      <w:r>
        <w:rPr>
          <w:rFonts w:ascii="Arial" w:cs="Arial" w:eastAsia="Arial" w:hAnsi="Arial"/>
          <w:sz w:val="18"/>
          <w:szCs w:val="18"/>
          <w:u w:val="single" w:color="auto"/>
          <w:color w:val="auto"/>
        </w:rPr>
        <w:t xml:space="preserve"> Section 2.14(b) </w:t>
      </w:r>
      <w:r>
        <w:rPr>
          <w:rFonts w:ascii="Arial" w:cs="Arial" w:eastAsia="Arial" w:hAnsi="Arial"/>
          <w:sz w:val="18"/>
          <w:szCs w:val="18"/>
          <w:color w:val="auto"/>
        </w:rPr>
        <w:t>and</w:t>
      </w:r>
      <w:r>
        <w:rPr>
          <w:rFonts w:ascii="Arial" w:cs="Arial" w:eastAsia="Arial" w:hAnsi="Arial"/>
          <w:sz w:val="18"/>
          <w:szCs w:val="18"/>
          <w:u w:val="single" w:color="auto"/>
          <w:color w:val="auto"/>
        </w:rPr>
        <w:t xml:space="preserve"> Section 2.16(d)</w:t>
      </w:r>
      <w:r>
        <w:rPr>
          <w:rFonts w:ascii="Arial" w:cs="Arial" w:eastAsia="Arial" w:hAnsi="Arial"/>
          <w:sz w:val="18"/>
          <w:szCs w:val="18"/>
          <w:color w:val="auto"/>
        </w:rPr>
        <w:t>:</w:t>
      </w:r>
    </w:p>
    <w:p>
      <w:pPr>
        <w:spacing w:after="0" w:line="245" w:lineRule="exact"/>
        <w:rPr>
          <w:sz w:val="20"/>
          <w:szCs w:val="20"/>
          <w:color w:val="auto"/>
        </w:rPr>
      </w:pPr>
    </w:p>
    <w:p>
      <w:pPr>
        <w:ind w:left="1420" w:hanging="821"/>
        <w:spacing w:after="0"/>
        <w:tabs>
          <w:tab w:leader="none" w:pos="14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44" w:lineRule="exact"/>
        <w:rPr>
          <w:rFonts w:ascii="Arial" w:cs="Arial" w:eastAsia="Arial" w:hAnsi="Arial"/>
          <w:sz w:val="20"/>
          <w:szCs w:val="20"/>
          <w:color w:val="auto"/>
        </w:rPr>
      </w:pPr>
    </w:p>
    <w:p>
      <w:pPr>
        <w:jc w:val="both"/>
        <w:ind w:firstLine="599"/>
        <w:spacing w:after="0" w:line="264" w:lineRule="auto"/>
        <w:tabs>
          <w:tab w:leader="none" w:pos="1432"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Revolving Credit Facility Fee</w:t>
      </w:r>
      <w:r>
        <w:rPr>
          <w:rFonts w:ascii="Arial" w:cs="Arial" w:eastAsia="Arial" w:hAnsi="Arial"/>
          <w:sz w:val="19"/>
          <w:szCs w:val="19"/>
          <w:color w:val="auto"/>
        </w:rPr>
        <w:t>. The Borrower shall pay to the Administrative Agent for the account of each Revolving Credit Lender in accordance with its Applicable Revolving Credit Percentage, a facility fee (the “</w:t>
      </w:r>
      <w:r>
        <w:rPr>
          <w:rFonts w:ascii="Arial" w:cs="Arial" w:eastAsia="Arial" w:hAnsi="Arial"/>
          <w:sz w:val="19"/>
          <w:szCs w:val="19"/>
          <w:u w:val="single" w:color="auto"/>
          <w:color w:val="auto"/>
        </w:rPr>
        <w:t>Revolving Credit Facility Fee</w:t>
      </w:r>
      <w:r>
        <w:rPr>
          <w:rFonts w:ascii="Arial" w:cs="Arial" w:eastAsia="Arial" w:hAnsi="Arial"/>
          <w:sz w:val="19"/>
          <w:szCs w:val="19"/>
          <w:color w:val="auto"/>
        </w:rPr>
        <w:t xml:space="preserve">”) equal to the Applicable Rate then applicable to the Revolving Credit Facility Fee times the actual daily amount of the Revolving Credit Facility (or, if the Revolving Credit Facility has terminated, on the Outstanding Amount of all Revolving Credit Loans, Swing Line Loans and L/C Obligations), regardless of usage, subject to adjustment as provided in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The Revolving Credit Facility Fee shall accrue at all times during the Availability Period (and thereafter so long as any Revolving Credit Loans, Swing Line Loans or L/C Obligations remain outstanding), including at any time during which one or more of the conditions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is not met, and shall be due and payable quarterly in arrears on the last Business Day of each March, June, September and December, commencing with the first such date to occur after the Restatement Effective Date, on the last day of the Availability Period, and, if applicable, thereafter on demand. The Revolving Credit Facility Fee shall be calculated quarterly in arrears, and if there is any change in the Applicable Rate applicable to the Revolving Credit Facility Fee during any quarter, the actual daily amount shall be computed and multiplied by such Applicable Rate separately for each period during such quarter that such Applicable Rate was in effect.</w:t>
      </w:r>
    </w:p>
    <w:p>
      <w:pPr>
        <w:spacing w:after="0" w:line="200" w:lineRule="exact"/>
        <w:rPr>
          <w:rFonts w:ascii="Arial" w:cs="Arial" w:eastAsia="Arial" w:hAnsi="Arial"/>
          <w:sz w:val="19"/>
          <w:szCs w:val="19"/>
          <w:color w:val="auto"/>
        </w:rPr>
      </w:pPr>
    </w:p>
    <w:p>
      <w:pPr>
        <w:jc w:val="both"/>
        <w:ind w:firstLine="599"/>
        <w:spacing w:after="0" w:line="260" w:lineRule="auto"/>
        <w:tabs>
          <w:tab w:leader="none" w:pos="1421"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Other Fees</w:t>
      </w:r>
      <w:r>
        <w:rPr>
          <w:rFonts w:ascii="Arial" w:cs="Arial" w:eastAsia="Arial" w:hAnsi="Arial"/>
          <w:sz w:val="20"/>
          <w:szCs w:val="20"/>
          <w:color w:val="auto"/>
        </w:rPr>
        <w:t>. (i) The Borrower shall pay to the Bookrunners and the Administrative Agent for their own respective accounts fees in the amounts and at the times specified in the Fee Letters. Such fees shall be fully earned when paid and shall not be refundable for any reason whatsoever.</w:t>
      </w:r>
    </w:p>
    <w:p>
      <w:pPr>
        <w:spacing w:after="0" w:line="201" w:lineRule="exact"/>
        <w:rPr>
          <w:rFonts w:ascii="Arial" w:cs="Arial" w:eastAsia="Arial" w:hAnsi="Arial"/>
          <w:sz w:val="20"/>
          <w:szCs w:val="20"/>
          <w:color w:val="auto"/>
        </w:rPr>
      </w:pPr>
    </w:p>
    <w:p>
      <w:pPr>
        <w:jc w:val="both"/>
        <w:ind w:left="1200" w:firstLine="973"/>
        <w:spacing w:after="0" w:line="260" w:lineRule="auto"/>
        <w:tabs>
          <w:tab w:leader="none" w:pos="3243"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Borrower shall pay to the Lenders such fees as shall have been separately agreed upon in writing in the amounts and at the times so specified. Such fees shall be fully earned when paid and shall not be refundable for any reason whatsoever.</w:t>
      </w:r>
    </w:p>
    <w:p>
      <w:pPr>
        <w:spacing w:after="0" w:line="200" w:lineRule="exact"/>
        <w:rPr>
          <w:sz w:val="20"/>
          <w:szCs w:val="20"/>
          <w:color w:val="auto"/>
        </w:rPr>
      </w:pPr>
    </w:p>
    <w:p>
      <w:pPr>
        <w:spacing w:after="0" w:line="239"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57</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69" w:name="page70"/>
    <w:bookmarkEnd w:id="69"/>
    <w:p>
      <w:pPr>
        <w:ind w:left="600"/>
        <w:spacing w:after="0"/>
        <w:tabs>
          <w:tab w:leader="none" w:pos="118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8"/>
          <w:szCs w:val="18"/>
          <w:u w:val="single" w:color="auto"/>
          <w:color w:val="auto"/>
        </w:rPr>
        <w:t>Computation of Interest and Fees; Retroactive Adjustments of Applicable Rate</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84" w:lineRule="auto"/>
        <w:tabs>
          <w:tab w:leader="none" w:pos="1076"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(which may result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 </w:t>
      </w:r>
      <w:r>
        <w:rPr>
          <w:rFonts w:ascii="Arial" w:cs="Arial" w:eastAsia="Arial" w:hAnsi="Arial"/>
          <w:sz w:val="18"/>
          <w:szCs w:val="18"/>
          <w:u w:val="single" w:color="auto"/>
          <w:color w:val="auto"/>
        </w:rPr>
        <w:t>Section 2.12(a)</w:t>
      </w:r>
      <w:r>
        <w:rPr>
          <w:rFonts w:ascii="Arial" w:cs="Arial" w:eastAsia="Arial" w:hAnsi="Arial"/>
          <w:sz w:val="18"/>
          <w:szCs w:val="18"/>
          <w:color w:val="auto"/>
        </w:rPr>
        <w:t>, bear interest for one day. Each determination by the Administrative Agent of an interest rate or fee hereunder shall be conclusive and binding for all purposes, absent manifest error.</w:t>
      </w:r>
    </w:p>
    <w:p>
      <w:pPr>
        <w:spacing w:after="0" w:line="146" w:lineRule="exact"/>
        <w:rPr>
          <w:rFonts w:ascii="Arial" w:cs="Arial" w:eastAsia="Arial" w:hAnsi="Arial"/>
          <w:sz w:val="18"/>
          <w:szCs w:val="18"/>
          <w:color w:val="auto"/>
        </w:rPr>
      </w:pPr>
    </w:p>
    <w:p>
      <w:pPr>
        <w:jc w:val="both"/>
        <w:ind w:firstLine="599"/>
        <w:spacing w:after="0" w:line="278" w:lineRule="auto"/>
        <w:tabs>
          <w:tab w:leader="none" w:pos="1094"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If, as a result of any restatement of or other adjustment to the financial statements of the Consolidated Group or for any other reason, the Borrower or the Lenders determine that (i) the Consolidated Total Leverage Ratio as calculated by the REIT as of any applicable date was inaccurate and (ii) a proper calculation of the Consolidated Total Leverage Ratio would have resulted in higher pricing for such period, the Borrower shall immediately and retroactively be obligated to pay to the Administrative Agent for the account of the applicable Lenders or the L/C Issuers,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any L/C Issuer), an amount equal to the excess of the amount of interest and fees that should have been paid for such period over the amount of interest and fees actually paid for such period. This paragraph shall not limit the rights of the Administrative Agent, any Lender or any L/C Issuer, as the case may be, under </w:t>
      </w:r>
      <w:r>
        <w:rPr>
          <w:rFonts w:ascii="Arial" w:cs="Arial" w:eastAsia="Arial" w:hAnsi="Arial"/>
          <w:sz w:val="18"/>
          <w:szCs w:val="18"/>
          <w:u w:val="single" w:color="auto"/>
          <w:color w:val="auto"/>
        </w:rPr>
        <w:t>Section 2.03(c)(iii)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2.08(b)</w:t>
      </w:r>
      <w:r>
        <w:rPr>
          <w:rFonts w:ascii="Arial" w:cs="Arial" w:eastAsia="Arial" w:hAnsi="Arial"/>
          <w:sz w:val="18"/>
          <w:szCs w:val="18"/>
          <w:color w:val="auto"/>
        </w:rPr>
        <w:t xml:space="preserve"> or under </w:t>
      </w:r>
      <w:r>
        <w:rPr>
          <w:rFonts w:ascii="Arial" w:cs="Arial" w:eastAsia="Arial" w:hAnsi="Arial"/>
          <w:sz w:val="18"/>
          <w:szCs w:val="18"/>
          <w:u w:val="single" w:color="auto"/>
          <w:color w:val="auto"/>
        </w:rPr>
        <w:t>Article VIII</w:t>
      </w:r>
      <w:r>
        <w:rPr>
          <w:rFonts w:ascii="Arial" w:cs="Arial" w:eastAsia="Arial" w:hAnsi="Arial"/>
          <w:sz w:val="18"/>
          <w:szCs w:val="18"/>
          <w:color w:val="auto"/>
        </w:rPr>
        <w:t>. The Borrower’s obligations under this paragraph shall survive for a period of nine (9) months following the termination of the Facilities and the repayment of all other Obligations hereunder (the last day of such nine-month period being referred to herein as the “</w:t>
      </w:r>
      <w:r>
        <w:rPr>
          <w:rFonts w:ascii="Arial" w:cs="Arial" w:eastAsia="Arial" w:hAnsi="Arial"/>
          <w:sz w:val="18"/>
          <w:szCs w:val="18"/>
          <w:u w:val="single" w:color="auto"/>
          <w:color w:val="auto"/>
        </w:rPr>
        <w:t>Section 2.10(b) Termination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after the Section 2.10(b) Termination Date it is discovered that there was an inaccuracy in the calculation of the Consolidated Total Leverage Ratio for a period ending prior to the termination of the Facilities and repayment in full of the Obligations, and such inaccuracy (x) resulted from the gross negligence, willful misconduct or fraud of the REIT and (y) gives rise to obligations under this </w:t>
      </w:r>
      <w:r>
        <w:rPr>
          <w:rFonts w:ascii="Arial" w:cs="Arial" w:eastAsia="Arial" w:hAnsi="Arial"/>
          <w:sz w:val="18"/>
          <w:szCs w:val="18"/>
          <w:u w:val="single" w:color="auto"/>
          <w:color w:val="auto"/>
        </w:rPr>
        <w:t>Section 2.10(b</w:t>
      </w:r>
      <w:r>
        <w:rPr>
          <w:rFonts w:ascii="Arial" w:cs="Arial" w:eastAsia="Arial" w:hAnsi="Arial"/>
          <w:sz w:val="18"/>
          <w:szCs w:val="18"/>
          <w:color w:val="auto"/>
        </w:rPr>
        <w:t>), then such obligations of the Borrower under this paragraph shall nevertheless survive the Section 2.10(b) Termination Date and shall be due and payable by the Borrower on the date of discovery of such inaccuracy.</w:t>
      </w:r>
    </w:p>
    <w:p>
      <w:pPr>
        <w:spacing w:after="0" w:line="161"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8"/>
          <w:szCs w:val="18"/>
          <w:u w:val="single" w:color="auto"/>
          <w:color w:val="auto"/>
        </w:rPr>
        <w:t>Evidence of Debt</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81" w:lineRule="auto"/>
        <w:tabs>
          <w:tab w:leader="none" w:pos="1421"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written request of any Lender made through the Administrative Agent, the Borrower shall execute and deliver to such Lender (through the Administrative Agent) Notes that evidence such Lender’s Loans in addition to such accounts or records. Each Lender may attach schedules to its Notes and endorse thereon the date, Type (if applicable), amount and maturity of its Loans and payments with respect thereto.</w:t>
      </w:r>
    </w:p>
    <w:p>
      <w:pPr>
        <w:spacing w:after="0" w:line="187"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58</w:t>
      </w:r>
      <w:r>
        <w:rPr>
          <w:rFonts w:ascii="MS PGothic" w:cs="MS PGothic" w:eastAsia="MS PGothic" w:hAnsi="MS PGothic"/>
          <w:sz w:val="20"/>
          <w:szCs w:val="20"/>
          <w:color w:val="auto"/>
        </w:rPr>
        <w:t>‑</w:t>
      </w:r>
    </w:p>
    <w:p>
      <w:pPr>
        <w:sectPr>
          <w:pgSz w:w="11900" w:h="16838" w:orient="portrait"/>
          <w:cols w:equalWidth="0" w:num="1">
            <w:col w:w="11420"/>
          </w:cols>
          <w:pgMar w:left="240" w:top="558" w:right="239" w:bottom="1440" w:gutter="0" w:footer="0" w:header="0"/>
        </w:sectPr>
      </w:pPr>
    </w:p>
    <w:bookmarkStart w:id="70" w:name="page71"/>
    <w:bookmarkEnd w:id="70"/>
    <w:p>
      <w:pPr>
        <w:jc w:val="both"/>
        <w:ind w:firstLine="599"/>
        <w:spacing w:after="0" w:line="253" w:lineRule="auto"/>
        <w:tabs>
          <w:tab w:leader="none" w:pos="1432" w:val="left"/>
        </w:tabs>
        <w:numPr>
          <w:ilvl w:val="0"/>
          <w:numId w:val="67"/>
        </w:numPr>
        <w:rPr>
          <w:rFonts w:ascii="Arial" w:cs="Arial" w:eastAsia="Arial" w:hAnsi="Arial"/>
          <w:sz w:val="20"/>
          <w:szCs w:val="20"/>
          <w:color w:val="auto"/>
        </w:rPr>
      </w:pPr>
      <w:r>
        <w:rPr>
          <w:rFonts w:ascii="Arial" w:cs="Arial" w:eastAsia="Arial" w:hAnsi="Arial"/>
          <w:sz w:val="20"/>
          <w:szCs w:val="20"/>
          <w:color w:val="auto"/>
        </w:rPr>
        <w:t xml:space="preserve">In addition to the accounts and records referred to in </w:t>
      </w:r>
      <w:r>
        <w:rPr>
          <w:rFonts w:ascii="Arial" w:cs="Arial" w:eastAsia="Arial" w:hAnsi="Arial"/>
          <w:sz w:val="20"/>
          <w:szCs w:val="20"/>
          <w:u w:val="single" w:color="auto"/>
          <w:color w:val="auto"/>
        </w:rPr>
        <w:t>Section 2.11(a)</w:t>
      </w:r>
      <w:r>
        <w:rPr>
          <w:rFonts w:ascii="Arial" w:cs="Arial" w:eastAsia="Arial" w:hAnsi="Arial"/>
          <w:sz w:val="20"/>
          <w:szCs w:val="20"/>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212"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8"/>
          <w:szCs w:val="18"/>
          <w:u w:val="single" w:color="auto"/>
          <w:color w:val="auto"/>
        </w:rPr>
        <w:t>Payments Generally; Administrative Agent’s Clawback</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81" w:lineRule="auto"/>
        <w:tabs>
          <w:tab w:leader="none" w:pos="1421"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91" w:lineRule="exact"/>
        <w:rPr>
          <w:rFonts w:ascii="Arial" w:cs="Arial" w:eastAsia="Arial" w:hAnsi="Arial"/>
          <w:sz w:val="18"/>
          <w:szCs w:val="18"/>
          <w:color w:val="auto"/>
        </w:rPr>
      </w:pPr>
    </w:p>
    <w:p>
      <w:pPr>
        <w:jc w:val="both"/>
        <w:ind w:firstLine="599"/>
        <w:spacing w:after="0" w:line="278" w:lineRule="auto"/>
        <w:tabs>
          <w:tab w:leader="none" w:pos="1432"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Funding by Lenders; Presumption by Administrative Agent</w:t>
      </w:r>
      <w:r>
        <w:rPr>
          <w:rFonts w:ascii="Arial" w:cs="Arial" w:eastAsia="Arial" w:hAnsi="Arial"/>
          <w:sz w:val="18"/>
          <w:szCs w:val="18"/>
          <w:color w:val="auto"/>
        </w:rPr>
        <w:t xml:space="preserve">. Unless the Administrative Agent shall have received notice from a Lender prior to the proposed date of any Borrowing of Eurodollar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(or, in the case of a Borrowing of Base Rate Loans, that such Lender has made such share available in accordance with and at the time required by </w:t>
      </w:r>
      <w:r>
        <w:rPr>
          <w:rFonts w:ascii="Arial" w:cs="Arial" w:eastAsia="Arial" w:hAnsi="Arial"/>
          <w:sz w:val="18"/>
          <w:szCs w:val="18"/>
          <w:u w:val="single" w:color="auto"/>
          <w:color w:val="auto"/>
        </w:rPr>
        <w:t>Section 2.02</w:t>
      </w:r>
      <w:r>
        <w:rPr>
          <w:rFonts w:ascii="Arial" w:cs="Arial" w:eastAsia="Arial" w:hAnsi="Arial"/>
          <w:sz w:val="18"/>
          <w:szCs w:val="18"/>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under the applicable Facility.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93" w:lineRule="exact"/>
        <w:rPr>
          <w:rFonts w:ascii="Arial" w:cs="Arial" w:eastAsia="Arial" w:hAnsi="Arial"/>
          <w:sz w:val="18"/>
          <w:szCs w:val="18"/>
          <w:color w:val="auto"/>
        </w:rPr>
      </w:pPr>
    </w:p>
    <w:p>
      <w:pPr>
        <w:jc w:val="both"/>
        <w:ind w:firstLine="1199"/>
        <w:spacing w:after="0" w:line="260" w:lineRule="auto"/>
        <w:tabs>
          <w:tab w:leader="none" w:pos="2043" w:val="left"/>
        </w:tabs>
        <w:numPr>
          <w:ilvl w:val="1"/>
          <w:numId w:val="68"/>
        </w:numPr>
        <w:rPr>
          <w:rFonts w:ascii="Arial" w:cs="Arial" w:eastAsia="Arial" w:hAnsi="Arial"/>
          <w:sz w:val="20"/>
          <w:szCs w:val="20"/>
          <w:color w:val="auto"/>
        </w:rPr>
      </w:pPr>
      <w:r>
        <w:rPr>
          <w:rFonts w:ascii="Arial" w:cs="Arial" w:eastAsia="Arial" w:hAnsi="Arial"/>
          <w:sz w:val="20"/>
          <w:szCs w:val="20"/>
          <w:u w:val="single" w:color="auto"/>
          <w:color w:val="auto"/>
        </w:rPr>
        <w:t>Payments by Borrower; Presumptions by Administrative Agent</w:t>
      </w:r>
      <w:r>
        <w:rPr>
          <w:rFonts w:ascii="Arial" w:cs="Arial" w:eastAsia="Arial" w:hAnsi="Arial"/>
          <w:sz w:val="20"/>
          <w:szCs w:val="20"/>
          <w:color w:val="auto"/>
        </w:rPr>
        <w:t>. Unless the Administrative Agent shall have received notice from the Borrower prior to the time at which any payment is due to the Administrative Agent for the account of the Lenders or an L/C Issuer hereunder that the Borrower</w:t>
      </w:r>
    </w:p>
    <w:p>
      <w:pPr>
        <w:spacing w:after="0" w:line="20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59</w:t>
      </w:r>
      <w:r>
        <w:rPr>
          <w:rFonts w:ascii="MS PGothic" w:cs="MS PGothic" w:eastAsia="MS PGothic" w:hAnsi="MS PGothic"/>
          <w:sz w:val="20"/>
          <w:szCs w:val="20"/>
          <w:color w:val="auto"/>
        </w:rPr>
        <w:t>‑</w:t>
      </w:r>
    </w:p>
    <w:p>
      <w:pPr>
        <w:sectPr>
          <w:pgSz w:w="11900" w:h="16838" w:orient="portrait"/>
          <w:cols w:equalWidth="0" w:num="1">
            <w:col w:w="11420"/>
          </w:cols>
          <w:pgMar w:left="240" w:top="558" w:right="239" w:bottom="1440" w:gutter="0" w:footer="0" w:header="0"/>
        </w:sectPr>
      </w:pPr>
    </w:p>
    <w:bookmarkStart w:id="71" w:name="page72"/>
    <w:bookmarkEnd w:id="71"/>
    <w:p>
      <w:pPr>
        <w:jc w:val="both"/>
        <w:spacing w:after="0" w:line="267" w:lineRule="auto"/>
        <w:rPr>
          <w:sz w:val="20"/>
          <w:szCs w:val="20"/>
          <w:color w:val="auto"/>
        </w:rPr>
      </w:pPr>
      <w:r>
        <w:rPr>
          <w:rFonts w:ascii="Arial" w:cs="Arial" w:eastAsia="Arial" w:hAnsi="Arial"/>
          <w:sz w:val="19"/>
          <w:szCs w:val="19"/>
          <w:color w:val="auto"/>
        </w:rPr>
        <w:t>will not make such payment, the Administrative Agent may assume that the Borrower has made such payment on such date in accordance herewith and may, in reliance upon such assumption, distribute to the Appropriate Lenders or the applicable L/C Issuer, as the case may be, the amount due. In such event, if the Borrower has not in fact made such payment, then each of the Appropriate Lenders or such L/C Issuer, as the case may be, severally agrees to repay to the Administrative Agent forthwith on demand the amount so distributed to such Lender or such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9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 xml:space="preserve">A notice of the Administrative Agent to any Lender or the Borrower with respect to any amount owing under this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shall be conclusive, absent manifest error.</w:t>
      </w:r>
    </w:p>
    <w:p>
      <w:pPr>
        <w:spacing w:after="0" w:line="153" w:lineRule="exact"/>
        <w:rPr>
          <w:sz w:val="20"/>
          <w:szCs w:val="20"/>
          <w:color w:val="auto"/>
        </w:rPr>
      </w:pPr>
    </w:p>
    <w:p>
      <w:pPr>
        <w:jc w:val="both"/>
        <w:ind w:firstLine="599"/>
        <w:spacing w:after="0" w:line="253" w:lineRule="auto"/>
        <w:tabs>
          <w:tab w:leader="none" w:pos="1421"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Failure to Satisfy Conditions Precedent</w:t>
      </w:r>
      <w:r>
        <w:rPr>
          <w:rFonts w:ascii="Arial" w:cs="Arial" w:eastAsia="Arial" w:hAnsi="Arial"/>
          <w:sz w:val="20"/>
          <w:szCs w:val="20"/>
          <w:color w:val="auto"/>
        </w:rPr>
        <w:t xml:space="preserve">. If any Lender makes available to the Administrative Agent funds for any Loan to be made by such Lender as provided in the foregoing provisions of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and such funds are not made available to the Borrower by the Administrative Agent because the conditions to the applicable Credit Extension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211" w:lineRule="exact"/>
        <w:rPr>
          <w:rFonts w:ascii="Arial" w:cs="Arial" w:eastAsia="Arial" w:hAnsi="Arial"/>
          <w:sz w:val="20"/>
          <w:szCs w:val="20"/>
          <w:color w:val="auto"/>
        </w:rPr>
      </w:pPr>
    </w:p>
    <w:p>
      <w:pPr>
        <w:jc w:val="both"/>
        <w:ind w:firstLine="599"/>
        <w:spacing w:after="0" w:line="288" w:lineRule="auto"/>
        <w:tabs>
          <w:tab w:leader="none" w:pos="1432"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xml:space="preserve">. The obligations of the Lenders hereunder to make Term Loans and Revolving Credit Loans, to fund participations in Letters of Credit and Swing Line Loans and to make payments pursuant to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are several and not joint. The failure of any Lender to make any Loan, to fund any such participation or to make any payment under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8"/>
          <w:szCs w:val="18"/>
          <w:u w:val="single" w:color="auto"/>
          <w:color w:val="auto"/>
        </w:rPr>
        <w:t>Section 10.04(c)</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599"/>
        <w:spacing w:after="0" w:line="260" w:lineRule="auto"/>
        <w:tabs>
          <w:tab w:leader="none" w:pos="1421"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Funding Source</w:t>
      </w:r>
      <w:r>
        <w:rPr>
          <w:rFonts w:ascii="Arial" w:cs="Arial" w:eastAsia="Arial" w:hAnsi="Arial"/>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201" w:lineRule="exact"/>
        <w:rPr>
          <w:rFonts w:ascii="Arial" w:cs="Arial" w:eastAsia="Arial" w:hAnsi="Arial"/>
          <w:sz w:val="20"/>
          <w:szCs w:val="20"/>
          <w:color w:val="auto"/>
        </w:rPr>
      </w:pPr>
    </w:p>
    <w:p>
      <w:pPr>
        <w:jc w:val="both"/>
        <w:ind w:firstLine="599"/>
        <w:spacing w:after="0" w:line="270" w:lineRule="auto"/>
        <w:tabs>
          <w:tab w:leader="none" w:pos="1399"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Insufficient Funds</w:t>
      </w:r>
      <w:r>
        <w:rPr>
          <w:rFonts w:ascii="Arial" w:cs="Arial" w:eastAsia="Arial" w:hAnsi="Arial"/>
          <w:sz w:val="19"/>
          <w:szCs w:val="19"/>
          <w:color w:val="auto"/>
        </w:rPr>
        <w:t xml:space="preserve">. If at any time insufficient funds are received by and available to the Administrative Agent to pay fully all amounts of principal, L/C Borrowings, interest and fees then due hereunder, such funds shall be applied (i)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19"/>
          <w:szCs w:val="19"/>
          <w:u w:val="single" w:color="auto"/>
          <w:color w:val="auto"/>
        </w:rPr>
        <w:t>second</w:t>
      </w:r>
      <w:r>
        <w:rPr>
          <w:rFonts w:ascii="Arial" w:cs="Arial" w:eastAsia="Arial" w:hAnsi="Arial"/>
          <w:sz w:val="19"/>
          <w:szCs w:val="19"/>
          <w:color w:val="auto"/>
        </w:rPr>
        <w:t>, toward payment of principal and L/C Borrowings then due hereunder, ratably among the parties entitled thereto in accordance with the amounts of principal and L/C Borrowings then due to such parties.</w:t>
      </w:r>
    </w:p>
    <w:p>
      <w:pPr>
        <w:spacing w:after="0" w:line="195" w:lineRule="exact"/>
        <w:rPr>
          <w:sz w:val="20"/>
          <w:szCs w:val="20"/>
          <w:color w:val="auto"/>
        </w:rPr>
      </w:pPr>
    </w:p>
    <w:p>
      <w:pPr>
        <w:jc w:val="both"/>
        <w:ind w:firstLine="599"/>
        <w:spacing w:after="0" w:line="28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Sharing of Payments by Lenders</w:t>
      </w:r>
      <w:r>
        <w:rPr>
          <w:rFonts w:ascii="Arial" w:cs="Arial" w:eastAsia="Arial" w:hAnsi="Arial"/>
          <w:sz w:val="18"/>
          <w:szCs w:val="18"/>
          <w:color w:val="auto"/>
        </w:rPr>
        <w:t>. If any Lender shall, by exercising any right of setoff or counterclaim or otherwise, obtain payment in respect of (a) Obligations due and payable to such Lender hereunder and under the other Loan Documents at such time in excess of its ratable share (according to the proportion of (i) the amount of such Obligations due and payable to such Lender at such time to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w:t>
      </w:r>
    </w:p>
    <w:p>
      <w:pPr>
        <w:spacing w:after="0" w:line="184"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60</w:t>
      </w:r>
      <w:r>
        <w:rPr>
          <w:rFonts w:ascii="MS PGothic" w:cs="MS PGothic" w:eastAsia="MS PGothic" w:hAnsi="MS PGothic"/>
          <w:sz w:val="20"/>
          <w:szCs w:val="20"/>
          <w:color w:val="auto"/>
        </w:rPr>
        <w:t>‑</w:t>
      </w:r>
    </w:p>
    <w:p>
      <w:pPr>
        <w:sectPr>
          <w:pgSz w:w="11900" w:h="16838" w:orient="portrait"/>
          <w:cols w:equalWidth="0" w:num="1">
            <w:col w:w="11420"/>
          </w:cols>
          <w:pgMar w:left="240" w:top="558" w:right="239" w:bottom="1440" w:gutter="0" w:footer="0" w:header="0"/>
        </w:sectPr>
      </w:pPr>
    </w:p>
    <w:bookmarkStart w:id="72" w:name="page73"/>
    <w:bookmarkEnd w:id="72"/>
    <w:p>
      <w:pPr>
        <w:jc w:val="both"/>
        <w:spacing w:after="0" w:line="251" w:lineRule="auto"/>
        <w:rPr>
          <w:sz w:val="20"/>
          <w:szCs w:val="20"/>
          <w:color w:val="auto"/>
        </w:rPr>
      </w:pPr>
      <w:r>
        <w:rPr>
          <w:rFonts w:ascii="Arial" w:cs="Arial" w:eastAsia="Arial" w:hAnsi="Arial"/>
          <w:sz w:val="20"/>
          <w:szCs w:val="20"/>
          <w:color w:val="auto"/>
        </w:rPr>
        <w:t xml:space="preserve">not due and payable) to such Lender at such time to (ii) the aggregate amount of the Obligations owing (but not due and payable) to all Lenders hereunder and under the other Loan Documents at such time) of payment on account of the Obligations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212" w:lineRule="exact"/>
        <w:rPr>
          <w:sz w:val="20"/>
          <w:szCs w:val="20"/>
          <w:color w:val="auto"/>
        </w:rPr>
      </w:pPr>
    </w:p>
    <w:p>
      <w:pPr>
        <w:jc w:val="both"/>
        <w:ind w:left="600" w:firstLine="1198"/>
        <w:spacing w:after="0" w:line="260" w:lineRule="auto"/>
        <w:tabs>
          <w:tab w:leader="none" w:pos="2587" w:val="left"/>
        </w:tabs>
        <w:numPr>
          <w:ilvl w:val="0"/>
          <w:numId w:val="70"/>
        </w:numPr>
        <w:rPr>
          <w:rFonts w:ascii="Arial" w:cs="Arial" w:eastAsia="Arial" w:hAnsi="Arial"/>
          <w:sz w:val="20"/>
          <w:szCs w:val="20"/>
          <w:color w:val="auto"/>
        </w:rPr>
      </w:pPr>
      <w:r>
        <w:rPr>
          <w:rFonts w:ascii="Arial" w:cs="Arial" w:eastAsia="Arial" w:hAnsi="Arial"/>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201" w:lineRule="exact"/>
        <w:rPr>
          <w:rFonts w:ascii="Arial" w:cs="Arial" w:eastAsia="Arial" w:hAnsi="Arial"/>
          <w:sz w:val="20"/>
          <w:szCs w:val="20"/>
          <w:color w:val="auto"/>
        </w:rPr>
      </w:pPr>
    </w:p>
    <w:p>
      <w:pPr>
        <w:jc w:val="both"/>
        <w:ind w:left="600" w:firstLine="1198"/>
        <w:spacing w:after="0" w:line="268" w:lineRule="auto"/>
        <w:tabs>
          <w:tab w:leader="none" w:pos="2643"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the provisions of this Section shall not be construed to apply to (x) any payment made by or on behalf of the Borrower pursuant to and in accordance with the express terms of this Agreement (including the application of funds arising from the existence of a Defaulting Lender), (y) the application of Cash Collateral provided for in </w:t>
      </w:r>
      <w:r>
        <w:rPr>
          <w:rFonts w:ascii="Arial" w:cs="Arial" w:eastAsia="Arial" w:hAnsi="Arial"/>
          <w:sz w:val="19"/>
          <w:szCs w:val="19"/>
          <w:u w:val="single" w:color="auto"/>
          <w:color w:val="auto"/>
        </w:rPr>
        <w:t>Section 2.18</w:t>
      </w:r>
      <w:r>
        <w:rPr>
          <w:rFonts w:ascii="Arial" w:cs="Arial" w:eastAsia="Arial" w:hAnsi="Arial"/>
          <w:sz w:val="19"/>
          <w:szCs w:val="19"/>
          <w:color w:val="auto"/>
        </w:rPr>
        <w:t>, or (z) any payment obtained by a Lender as consideration for the assignment of or sale of a participation in any of its Loans or subparticipations in L/C Obligations or Swing Line Loans to any assignee or participant, other than an assignment to the REIT, the Borrower or any of their respective Affiliates (as to which the provisions of this Section shall apply).</w:t>
      </w:r>
    </w:p>
    <w:p>
      <w:pPr>
        <w:spacing w:after="0" w:line="197"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The Borrower and the REIT consents to the foregoing and agrees, to the extent it may effectively do so under applicable law, that any Lender acquiring a participation pursuant to the foregoing arrangements may exercise against the Borrower or any Guarantor rights of setoff and counterclaim with respect to such participation as fully as if such Lender were a direct creditor of the Borrower or such Guarantor in the amount of such participation.</w:t>
      </w:r>
    </w:p>
    <w:p>
      <w:pPr>
        <w:spacing w:after="0" w:line="168"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8"/>
          <w:szCs w:val="18"/>
          <w:u w:val="single" w:color="auto"/>
          <w:color w:val="auto"/>
        </w:rPr>
        <w:t>Extension of Maturity Date in respect of Revolving Credit Facility</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51" w:lineRule="auto"/>
        <w:tabs>
          <w:tab w:leader="none" w:pos="1421"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Requests for Extension</w:t>
      </w:r>
      <w:r>
        <w:rPr>
          <w:rFonts w:ascii="Arial" w:cs="Arial" w:eastAsia="Arial" w:hAnsi="Arial"/>
          <w:sz w:val="20"/>
          <w:szCs w:val="20"/>
          <w:color w:val="auto"/>
        </w:rPr>
        <w:t>. The Borrower may, by written notice to the Administrative Agent (such notice, a “</w:t>
      </w:r>
      <w:r>
        <w:rPr>
          <w:rFonts w:ascii="Arial" w:cs="Arial" w:eastAsia="Arial" w:hAnsi="Arial"/>
          <w:sz w:val="20"/>
          <w:szCs w:val="20"/>
          <w:u w:val="single" w:color="auto"/>
          <w:color w:val="auto"/>
        </w:rPr>
        <w:t>Revolver</w:t>
      </w:r>
      <w:r>
        <w:rPr>
          <w:rFonts w:ascii="Arial" w:cs="Arial" w:eastAsia="Arial" w:hAnsi="Arial"/>
          <w:sz w:val="20"/>
          <w:szCs w:val="20"/>
          <w:color w:val="auto"/>
        </w:rPr>
        <w:t xml:space="preserve"> </w:t>
      </w:r>
      <w:r>
        <w:rPr>
          <w:rFonts w:ascii="Arial" w:cs="Arial" w:eastAsia="Arial" w:hAnsi="Arial"/>
          <w:sz w:val="20"/>
          <w:szCs w:val="20"/>
          <w:u w:val="single" w:color="auto"/>
          <w:color w:val="auto"/>
        </w:rPr>
        <w:t>Extension Notice</w:t>
      </w:r>
      <w:r>
        <w:rPr>
          <w:rFonts w:ascii="Arial" w:cs="Arial" w:eastAsia="Arial" w:hAnsi="Arial"/>
          <w:sz w:val="20"/>
          <w:szCs w:val="20"/>
          <w:color w:val="auto"/>
        </w:rPr>
        <w:t>”) not earlier than 90 days and not later than 30 days prior to (i) the Initial Revolver Maturity Date, elect to extend the then applicable Maturity Date of the Revolving Credit Facility for an additional six (6) months beyond the Initial Revolver Maturity Date (such new Maturity Date, the “</w:t>
      </w:r>
      <w:r>
        <w:rPr>
          <w:rFonts w:ascii="Arial" w:cs="Arial" w:eastAsia="Arial" w:hAnsi="Arial"/>
          <w:sz w:val="20"/>
          <w:szCs w:val="20"/>
          <w:u w:val="single" w:color="auto"/>
          <w:color w:val="auto"/>
        </w:rPr>
        <w:t>First Extended Revolver Maturity Date</w:t>
      </w:r>
      <w:r>
        <w:rPr>
          <w:rFonts w:ascii="Arial" w:cs="Arial" w:eastAsia="Arial" w:hAnsi="Arial"/>
          <w:sz w:val="20"/>
          <w:szCs w:val="20"/>
          <w:color w:val="auto"/>
        </w:rPr>
        <w:t>”) and (ii) the First Extended Revolver Maturity Date, elect to extend the then applicable Maturity Date of the Revolving Credit Facility for an additional six (6) months beyond the First Extended Revolver Maturity Date to the fifth anniversary of the Restatement Effective Date. The Administrative Agent shall distribute any such Revolver Extension Notice promptly to the Lenders following receipt thereof.</w:t>
      </w:r>
    </w:p>
    <w:p>
      <w:pPr>
        <w:spacing w:after="0" w:line="214" w:lineRule="exact"/>
        <w:rPr>
          <w:rFonts w:ascii="Arial" w:cs="Arial" w:eastAsia="Arial" w:hAnsi="Arial"/>
          <w:sz w:val="20"/>
          <w:szCs w:val="20"/>
          <w:color w:val="auto"/>
        </w:rPr>
      </w:pPr>
    </w:p>
    <w:p>
      <w:pPr>
        <w:jc w:val="both"/>
        <w:ind w:firstLine="599"/>
        <w:spacing w:after="0" w:line="302" w:lineRule="auto"/>
        <w:tabs>
          <w:tab w:leader="none" w:pos="1432"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Conditions Precedent to Effectiveness of the Revolver Maturity Date Extension</w:t>
      </w:r>
      <w:r>
        <w:rPr>
          <w:rFonts w:ascii="Arial" w:cs="Arial" w:eastAsia="Arial" w:hAnsi="Arial"/>
          <w:sz w:val="18"/>
          <w:szCs w:val="18"/>
          <w:color w:val="auto"/>
        </w:rPr>
        <w:t>. As conditions precedent to each extension of the Maturity Date of the Revolving Credit Facility, the Borrower shall satisfy each of the following requirements for such extension to become effective (in each case, the first date on which such conditions precedent are satisfied or waived, the “</w:t>
      </w:r>
      <w:r>
        <w:rPr>
          <w:rFonts w:ascii="Arial" w:cs="Arial" w:eastAsia="Arial" w:hAnsi="Arial"/>
          <w:sz w:val="18"/>
          <w:szCs w:val="18"/>
          <w:u w:val="single" w:color="auto"/>
          <w:color w:val="auto"/>
        </w:rPr>
        <w:t>Extension Effective Date</w:t>
      </w:r>
      <w:r>
        <w:rPr>
          <w:rFonts w:ascii="Arial" w:cs="Arial" w:eastAsia="Arial" w:hAnsi="Arial"/>
          <w:sz w:val="18"/>
          <w:szCs w:val="18"/>
          <w:color w:val="auto"/>
        </w:rPr>
        <w:t>”):</w:t>
      </w:r>
    </w:p>
    <w:p>
      <w:pPr>
        <w:spacing w:after="0" w:line="168" w:lineRule="exact"/>
        <w:rPr>
          <w:sz w:val="20"/>
          <w:szCs w:val="20"/>
          <w:color w:val="auto"/>
        </w:rPr>
      </w:pPr>
    </w:p>
    <w:p>
      <w:pPr>
        <w:ind w:left="2580" w:hanging="782"/>
        <w:spacing w:after="0"/>
        <w:tabs>
          <w:tab w:leader="none" w:pos="2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Administrative Agent shall have received a Revolver Extension Notice within the period required under</w:t>
      </w:r>
    </w:p>
    <w:p>
      <w:pPr>
        <w:spacing w:after="0" w:line="46"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20"/>
          <w:szCs w:val="20"/>
          <w:color w:val="auto"/>
        </w:rPr>
        <w:t>clause (a) above;</w:t>
      </w:r>
    </w:p>
    <w:p>
      <w:pPr>
        <w:spacing w:after="0" w:line="229"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61</w:t>
      </w:r>
      <w:r>
        <w:rPr>
          <w:rFonts w:ascii="MS PGothic" w:cs="MS PGothic" w:eastAsia="MS PGothic" w:hAnsi="MS PGothic"/>
          <w:sz w:val="20"/>
          <w:szCs w:val="20"/>
          <w:color w:val="auto"/>
        </w:rPr>
        <w:t>‑</w:t>
      </w:r>
    </w:p>
    <w:p>
      <w:pPr>
        <w:sectPr>
          <w:pgSz w:w="11900" w:h="16838" w:orient="portrait"/>
          <w:cols w:equalWidth="0" w:num="1">
            <w:col w:w="11420"/>
          </w:cols>
          <w:pgMar w:left="240" w:top="558" w:right="239" w:bottom="1440" w:gutter="0" w:footer="0" w:header="0"/>
        </w:sectPr>
      </w:pPr>
    </w:p>
    <w:bookmarkStart w:id="73" w:name="page74"/>
    <w:bookmarkEnd w:id="73"/>
    <w:p>
      <w:pPr>
        <w:jc w:val="both"/>
        <w:ind w:left="600" w:firstLine="1198"/>
        <w:spacing w:after="0" w:line="260" w:lineRule="auto"/>
        <w:tabs>
          <w:tab w:leader="none" w:pos="2643" w:val="left"/>
        </w:tabs>
        <w:numPr>
          <w:ilvl w:val="1"/>
          <w:numId w:val="73"/>
        </w:numPr>
        <w:rPr>
          <w:rFonts w:ascii="Arial" w:cs="Arial" w:eastAsia="Arial" w:hAnsi="Arial"/>
          <w:sz w:val="20"/>
          <w:szCs w:val="20"/>
          <w:color w:val="auto"/>
        </w:rPr>
      </w:pPr>
      <w:r>
        <w:rPr>
          <w:rFonts w:ascii="Arial" w:cs="Arial" w:eastAsia="Arial" w:hAnsi="Arial"/>
          <w:sz w:val="20"/>
          <w:szCs w:val="20"/>
          <w:color w:val="auto"/>
        </w:rPr>
        <w:t>On the date of the applicable Revolver Extension Notice and both immediately before and immediately after giving effect to the applicable extension of the Maturity Date for the Revolving Credit Facility, no Default shall have occurred and be continuing;</w:t>
      </w:r>
    </w:p>
    <w:p>
      <w:pPr>
        <w:spacing w:after="0" w:line="201" w:lineRule="exact"/>
        <w:rPr>
          <w:rFonts w:ascii="Arial" w:cs="Arial" w:eastAsia="Arial" w:hAnsi="Arial"/>
          <w:sz w:val="20"/>
          <w:szCs w:val="20"/>
          <w:color w:val="auto"/>
        </w:rPr>
      </w:pPr>
    </w:p>
    <w:p>
      <w:pPr>
        <w:jc w:val="both"/>
        <w:ind w:left="600" w:firstLine="1198"/>
        <w:spacing w:after="0" w:line="267" w:lineRule="auto"/>
        <w:tabs>
          <w:tab w:leader="none" w:pos="2698" w:val="left"/>
        </w:tabs>
        <w:numPr>
          <w:ilvl w:val="1"/>
          <w:numId w:val="73"/>
        </w:numPr>
        <w:rPr>
          <w:rFonts w:ascii="Arial" w:cs="Arial" w:eastAsia="Arial" w:hAnsi="Arial"/>
          <w:sz w:val="19"/>
          <w:szCs w:val="19"/>
          <w:color w:val="auto"/>
        </w:rPr>
      </w:pPr>
      <w:r>
        <w:rPr>
          <w:rFonts w:ascii="Arial" w:cs="Arial" w:eastAsia="Arial" w:hAnsi="Arial"/>
          <w:sz w:val="19"/>
          <w:szCs w:val="19"/>
          <w:color w:val="auto"/>
        </w:rPr>
        <w:t>The Borrower shall have paid to the Administrative Agent, for the pro rata benefit of the Revolving Credit Lenders based on their respective Applicable Revolving Credit Percentages as of such date, (A) in the case of an extension of the Initial Revolver Maturity Date to the First Extended Revolver Maturity Date, an extension fee in an amount equal to 0.0625% of the Revolving Credit Facility as in effect on the Extension Effective Date and (B) in the case of an extension of the First Extended Revolver Maturity Date to the fifth anniversary of the Restatement Effective Date, an extension fee in an amount equal to 0.075% of the Revolving Credit Facility as in effect on the date the proposed extension is to become effective; it being agreed that each such extension fee shall be fully earned when paid and shall not be refundable for any reason; and</w:t>
      </w:r>
    </w:p>
    <w:p>
      <w:pPr>
        <w:spacing w:after="0" w:line="196" w:lineRule="exact"/>
        <w:rPr>
          <w:rFonts w:ascii="Arial" w:cs="Arial" w:eastAsia="Arial" w:hAnsi="Arial"/>
          <w:sz w:val="19"/>
          <w:szCs w:val="19"/>
          <w:color w:val="auto"/>
        </w:rPr>
      </w:pPr>
    </w:p>
    <w:p>
      <w:pPr>
        <w:jc w:val="both"/>
        <w:ind w:left="600" w:firstLine="1198"/>
        <w:spacing w:after="0" w:line="279" w:lineRule="auto"/>
        <w:tabs>
          <w:tab w:leader="none" w:pos="2687"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certificate of each Loan Party dated as of the Extension Effective Date, signed by a Responsible Officer of such Loan Party (i) (A) certifying and attaching the resolutions adopted by such Loan Party approving or consenting to such extension or (B) certifying that, as of such Extension Effective Date, the resolutions delivered to the Administrative Agent and the Lenders on the Restatement Effective Date include approval for an extension of the Maturity Date for the Revolving Credit Facility for a period that is not less than an additional six (6) months from the Initial Revolving Maturity Date and/or not less than an additional six (6) months from the First Extended Revolving Maturity Date, as applicable and are and remain in full force and effect and have not been modified, rescinded or superseded since the date of adoption, and (ii) in the case of the Borrower, certifying that, before and after giving effect to such extension, (A) the representations and warranties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the other Loan Documents are true and correct in all material respects on and as of such date, except (x) to the extent that such representations and warranties specifically refer to an earlier date, in which case they are true and correct in all material respects as of such earlier date, (y) any representation or warranty that is already by its terms qualified as to “materiality”, “Material Adverse Effect” or similar language shall be true and correct in all respects as of such date (including such earlier date set forth in the foregoing clause (x)) after giving effect to such qualification and (z) for purposes of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the representations and warranties contained in subsections (a) and (b) of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shall be deemed to refer to the most recent statements furnished pursuant to subsections (a) and (b), respectively, of </w:t>
      </w:r>
      <w:r>
        <w:rPr>
          <w:rFonts w:ascii="Arial" w:cs="Arial" w:eastAsia="Arial" w:hAnsi="Arial"/>
          <w:sz w:val="18"/>
          <w:szCs w:val="18"/>
          <w:u w:val="single" w:color="auto"/>
          <w:color w:val="auto"/>
        </w:rPr>
        <w:t>Section 6.01</w:t>
      </w:r>
      <w:r>
        <w:rPr>
          <w:rFonts w:ascii="Arial" w:cs="Arial" w:eastAsia="Arial" w:hAnsi="Arial"/>
          <w:sz w:val="18"/>
          <w:szCs w:val="18"/>
          <w:color w:val="auto"/>
        </w:rPr>
        <w:t>, and (B) no Default exists.</w:t>
      </w:r>
    </w:p>
    <w:p>
      <w:pPr>
        <w:spacing w:after="0" w:line="187" w:lineRule="exact"/>
        <w:rPr>
          <w:rFonts w:ascii="Arial" w:cs="Arial" w:eastAsia="Arial" w:hAnsi="Arial"/>
          <w:sz w:val="18"/>
          <w:szCs w:val="18"/>
          <w:color w:val="auto"/>
        </w:rPr>
      </w:pPr>
    </w:p>
    <w:p>
      <w:pPr>
        <w:jc w:val="both"/>
        <w:ind w:firstLine="599"/>
        <w:spacing w:after="0" w:line="280" w:lineRule="auto"/>
        <w:tabs>
          <w:tab w:leader="none" w:pos="1421"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Increase in Applicable Capitalization Rate</w:t>
      </w:r>
      <w:r>
        <w:rPr>
          <w:rFonts w:ascii="Arial" w:cs="Arial" w:eastAsia="Arial" w:hAnsi="Arial"/>
          <w:sz w:val="18"/>
          <w:szCs w:val="18"/>
          <w:color w:val="auto"/>
        </w:rPr>
        <w:t xml:space="preserve">. If the Borrower requests an extension of the Initial Revolver Maturity Date in accordance with the provisions of clause (a) of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then, at the request of the Required Lenders, each of the percentages set forth in clauses (i) through (v) of the definition of “Applicable Capitalization Rate” may be increased by up to 0.50%, on a one-time basis, effective as of the date such extension takes effect. Any such increase of one or more of such percentages shall be reasonably determined by the Required Lenders on the basis of then current market conditions and data and in consultation with the Borrower. The Administrative Agent shall notify the Borrower in writing of any increase in any of the percentages set forth in the definition of “Applicable Capitalization Rate” within fifteen (15) Business Days following the Administrative Agent’s and Lenders’ receipt of the Revolver Extension Notice;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Revolver Extension Notice is received by the Administrative Agent and the Lenders less than forty-five (45) days prior to the Initial Revolver Maturity Date, then the Administrative Agent shall notify the Borrower in writing of any such increases in such percentages within ten (10) Business Days following the Administrative Agent’s and Lenders’ receipt of the Revolver Extension Notice. In the event the Required Lenders request to increase any of the percentages set forth in clauses (i) through (v) of the definition of</w:t>
      </w:r>
    </w:p>
    <w:p>
      <w:pPr>
        <w:spacing w:after="0" w:line="19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62</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74" w:name="page75"/>
    <w:bookmarkEnd w:id="74"/>
    <w:p>
      <w:pPr>
        <w:jc w:val="both"/>
        <w:spacing w:after="0" w:line="253" w:lineRule="auto"/>
        <w:rPr>
          <w:sz w:val="20"/>
          <w:szCs w:val="20"/>
          <w:color w:val="auto"/>
        </w:rPr>
      </w:pPr>
      <w:r>
        <w:rPr>
          <w:rFonts w:ascii="Arial" w:cs="Arial" w:eastAsia="Arial" w:hAnsi="Arial"/>
          <w:sz w:val="20"/>
          <w:szCs w:val="20"/>
          <w:color w:val="auto"/>
        </w:rPr>
        <w:t xml:space="preserve">“Applicable Capitalization Rate”, then the Borrower may withdraw its Revolver Extension Notice by providing written notice of such withdrawal to the Administrative Agent and the Lenders; </w:t>
      </w:r>
      <w:r>
        <w:rPr>
          <w:rFonts w:ascii="Arial" w:cs="Arial" w:eastAsia="Arial" w:hAnsi="Arial"/>
          <w:sz w:val="20"/>
          <w:szCs w:val="20"/>
          <w:u w:val="single" w:color="auto"/>
          <w:color w:val="auto"/>
        </w:rPr>
        <w:t>provided</w:t>
      </w:r>
      <w:r>
        <w:rPr>
          <w:rFonts w:ascii="Arial" w:cs="Arial" w:eastAsia="Arial" w:hAnsi="Arial"/>
          <w:sz w:val="20"/>
          <w:szCs w:val="20"/>
          <w:color w:val="auto"/>
        </w:rPr>
        <w:t>, that any such notice of withdrawal must be received by the Administrative Agent and the Lenders no later than thirty (30) days prior to the Initial Revolver Maturity Date (and, in any event, if such notice of withdrawal is received by the Administrative Agent and the Lenders after the date the proposed extension takes effect, it shall not be an effective withdrawal).</w:t>
      </w:r>
    </w:p>
    <w:p>
      <w:pPr>
        <w:spacing w:after="0" w:line="212" w:lineRule="exact"/>
        <w:rPr>
          <w:sz w:val="20"/>
          <w:szCs w:val="20"/>
          <w:color w:val="auto"/>
        </w:rPr>
      </w:pPr>
    </w:p>
    <w:p>
      <w:pPr>
        <w:ind w:firstLine="599"/>
        <w:spacing w:after="0" w:line="272" w:lineRule="auto"/>
        <w:tabs>
          <w:tab w:leader="none" w:pos="1432"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Effectiveness of Extension</w:t>
      </w:r>
      <w:r>
        <w:rPr>
          <w:rFonts w:ascii="Arial" w:cs="Arial" w:eastAsia="Arial" w:hAnsi="Arial"/>
          <w:sz w:val="20"/>
          <w:szCs w:val="20"/>
          <w:color w:val="auto"/>
        </w:rPr>
        <w:t>. Any such extension of the Maturity Date of the Revolving Credit Facility shall become effective on the applicable Extension Effective Date.</w:t>
      </w:r>
    </w:p>
    <w:p>
      <w:pPr>
        <w:spacing w:after="0" w:line="190" w:lineRule="exact"/>
        <w:rPr>
          <w:rFonts w:ascii="Arial" w:cs="Arial" w:eastAsia="Arial" w:hAnsi="Arial"/>
          <w:sz w:val="20"/>
          <w:szCs w:val="20"/>
          <w:color w:val="auto"/>
        </w:rPr>
      </w:pPr>
    </w:p>
    <w:p>
      <w:pPr>
        <w:ind w:left="1420" w:hanging="821"/>
        <w:spacing w:after="0"/>
        <w:tabs>
          <w:tab w:leader="none" w:pos="1420"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Conflicting Provisions</w:t>
      </w:r>
      <w:r>
        <w:rPr>
          <w:rFonts w:ascii="Arial" w:cs="Arial" w:eastAsia="Arial" w:hAnsi="Arial"/>
          <w:sz w:val="20"/>
          <w:szCs w:val="20"/>
          <w:color w:val="auto"/>
        </w:rPr>
        <w:t xml:space="preserve">. This Section shall supersede any provisions in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to the contrary.</w:t>
      </w:r>
    </w:p>
    <w:p>
      <w:pPr>
        <w:spacing w:after="0" w:line="24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4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8"/>
          <w:szCs w:val="18"/>
          <w:u w:val="single" w:color="auto"/>
          <w:color w:val="auto"/>
        </w:rPr>
        <w:t>Increase in Facilities</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78" w:lineRule="auto"/>
        <w:tabs>
          <w:tab w:leader="none" w:pos="1421"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Request for Increase</w:t>
      </w:r>
      <w:r>
        <w:rPr>
          <w:rFonts w:ascii="Arial" w:cs="Arial" w:eastAsia="Arial" w:hAnsi="Arial"/>
          <w:sz w:val="18"/>
          <w:szCs w:val="18"/>
          <w:color w:val="auto"/>
        </w:rPr>
        <w:t>. Provided there exists no Default, upon written notice to the Administrative Agent, the Borrower may from time to time, request an increase in the aggregate amount of the Facilities to an amount not exceeding $700,000,000 in the aggregate after giving effect to such increase by requesting an increase in the Revolving Credit Facility (each such increase, an “</w:t>
      </w:r>
      <w:r>
        <w:rPr>
          <w:rFonts w:ascii="Arial" w:cs="Arial" w:eastAsia="Arial" w:hAnsi="Arial"/>
          <w:sz w:val="18"/>
          <w:szCs w:val="18"/>
          <w:u w:val="single" w:color="auto"/>
          <w:color w:val="auto"/>
        </w:rPr>
        <w:t>Incremental Revolving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Increase</w:t>
      </w:r>
      <w:r>
        <w:rPr>
          <w:rFonts w:ascii="Arial" w:cs="Arial" w:eastAsia="Arial" w:hAnsi="Arial"/>
          <w:sz w:val="18"/>
          <w:szCs w:val="18"/>
          <w:color w:val="auto"/>
        </w:rPr>
        <w:t>”), requesting an increase in the Closing Date Term Facility (each such increase, an “</w:t>
      </w:r>
      <w:r>
        <w:rPr>
          <w:rFonts w:ascii="Arial" w:cs="Arial" w:eastAsia="Arial" w:hAnsi="Arial"/>
          <w:sz w:val="18"/>
          <w:szCs w:val="18"/>
          <w:u w:val="single" w:color="auto"/>
          <w:color w:val="auto"/>
        </w:rPr>
        <w:t>Incremental Term Loan Increase</w:t>
      </w:r>
      <w:r>
        <w:rPr>
          <w:rFonts w:ascii="Arial" w:cs="Arial" w:eastAsia="Arial" w:hAnsi="Arial"/>
          <w:sz w:val="18"/>
          <w:szCs w:val="18"/>
          <w:color w:val="auto"/>
        </w:rPr>
        <w:t>”) or establishing a new (or increasing an existing) tranche of pari passu term loans (each an “</w:t>
      </w:r>
      <w:r>
        <w:rPr>
          <w:rFonts w:ascii="Arial" w:cs="Arial" w:eastAsia="Arial" w:hAnsi="Arial"/>
          <w:sz w:val="18"/>
          <w:szCs w:val="18"/>
          <w:u w:val="single" w:color="auto"/>
          <w:color w:val="auto"/>
        </w:rPr>
        <w:t>Additional TL Tranche</w:t>
      </w:r>
      <w:r>
        <w:rPr>
          <w:rFonts w:ascii="Arial" w:cs="Arial" w:eastAsia="Arial" w:hAnsi="Arial"/>
          <w:sz w:val="18"/>
          <w:szCs w:val="18"/>
          <w:color w:val="auto"/>
        </w:rPr>
        <w:t>”; each Additional TL Tranche, Incremental Revolving Increase, and Incremental Term Loan Increase are collectively referred to as “</w:t>
      </w:r>
      <w:r>
        <w:rPr>
          <w:rFonts w:ascii="Arial" w:cs="Arial" w:eastAsia="Arial" w:hAnsi="Arial"/>
          <w:sz w:val="18"/>
          <w:szCs w:val="18"/>
          <w:u w:val="single" w:color="auto"/>
          <w:color w:val="auto"/>
        </w:rPr>
        <w:t>Incremental Facilities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 w:lineRule="exact"/>
        <w:rPr>
          <w:rFonts w:ascii="Arial" w:cs="Arial" w:eastAsia="Arial" w:hAnsi="Arial"/>
          <w:sz w:val="18"/>
          <w:szCs w:val="18"/>
          <w:color w:val="auto"/>
        </w:rPr>
      </w:pPr>
    </w:p>
    <w:p>
      <w:pPr>
        <w:jc w:val="both"/>
        <w:spacing w:after="0" w:line="277" w:lineRule="auto"/>
        <w:tabs>
          <w:tab w:leader="none" w:pos="274"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any such request for an increase shall be in a minimum amount of $25,000,000 or any lesser amount if such amount represents all remaining availability under the aggregate limit in respect of the increases set forth above (or such lesser amount as the Borrower and the Administrative Agent may agree), (ii) the Borrower may make a maximum of three such requests, (iii) the written consent of the Administrative Agent (which consent shall not be unreasonably withheld) shall be required for any such increase, (iv) all Incremental Revolving Increases and Incremental Term Loan Increases shall be on the same terms as the Facility being increased and (v) all incremental commitments and loans provided as part of an Additional TL Tranche shall be on terms agreed to by the Borrower and the Lenders providing such Additional TL Tranche,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the final maturity date therefor may not be earlier than the latest maturity date (including any available extension option) of any then existing Facility and (y) if the terms of such Additional TL Tranche (other than final maturity) are not the same as the terms of the Closing Date Term Facility or a then existing Additional TL Tranche, such new Additional TL Tranche shall be on terms reasonably acceptable to the Administrative Agent and the Lenders providing such Additional TL Tranche. The Borrower may approach any Lender or any Person that would constitute an Eligible Assignee to provide all or a portion of the requested increase;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 any Lender offered or approached to provide all or a portion of the requested increase may elect or decline, in its sole discretion, to provide all or a portion of such increase, (x) no Person approached shall become a Lender without the written consent of the Administrative Agent (which consent shall not be unreasonably withheld), if such consent would be required for such Person to be an assignee of a Revolving Credit Commitment or a Revolving Credit Loan pursuant to </w:t>
      </w:r>
      <w:r>
        <w:rPr>
          <w:rFonts w:ascii="Arial" w:cs="Arial" w:eastAsia="Arial" w:hAnsi="Arial"/>
          <w:sz w:val="18"/>
          <w:szCs w:val="18"/>
          <w:u w:val="single" w:color="auto"/>
          <w:color w:val="auto"/>
        </w:rPr>
        <w:t>Section 10.06(b)(iii)(B)</w:t>
      </w:r>
      <w:r>
        <w:rPr>
          <w:rFonts w:ascii="Arial" w:cs="Arial" w:eastAsia="Arial" w:hAnsi="Arial"/>
          <w:sz w:val="18"/>
          <w:szCs w:val="18"/>
          <w:color w:val="auto"/>
        </w:rPr>
        <w:t>, (y) no Person approached shall become a Revolving Credit Lender without the written consent of the L/C Issuers and the Swing Line Lenders and (z) the Borrower shall not be obligated to offer any existing Lender the opportunity to provide any portion of a requested increase. At the time of sending its notice, the Borrower (in consultation with the Administrative Agent) shall specify the time period within which each Lender and other Person approached</w:t>
      </w:r>
    </w:p>
    <w:p>
      <w:pPr>
        <w:spacing w:after="0" w:line="193"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63</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75" w:name="page76"/>
    <w:bookmarkEnd w:id="75"/>
    <w:p>
      <w:pPr>
        <w:spacing w:after="0" w:line="272" w:lineRule="auto"/>
        <w:rPr>
          <w:sz w:val="20"/>
          <w:szCs w:val="20"/>
          <w:color w:val="auto"/>
        </w:rPr>
      </w:pPr>
      <w:r>
        <w:rPr>
          <w:rFonts w:ascii="Arial" w:cs="Arial" w:eastAsia="Arial" w:hAnsi="Arial"/>
          <w:sz w:val="20"/>
          <w:szCs w:val="20"/>
          <w:color w:val="auto"/>
        </w:rPr>
        <w:t>by the Borrower is requested to respond (which shall in no event be less than ten Business Days from the date of delivery of such notice to such Lenders).</w:t>
      </w:r>
    </w:p>
    <w:p>
      <w:pPr>
        <w:spacing w:after="0" w:line="191" w:lineRule="exact"/>
        <w:rPr>
          <w:sz w:val="20"/>
          <w:szCs w:val="20"/>
          <w:color w:val="auto"/>
        </w:rPr>
      </w:pPr>
    </w:p>
    <w:p>
      <w:pPr>
        <w:jc w:val="both"/>
        <w:ind w:firstLine="599"/>
        <w:spacing w:after="0" w:line="252" w:lineRule="auto"/>
        <w:tabs>
          <w:tab w:leader="none" w:pos="1432"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Elections to Increase</w:t>
      </w:r>
      <w:r>
        <w:rPr>
          <w:rFonts w:ascii="Arial" w:cs="Arial" w:eastAsia="Arial" w:hAnsi="Arial"/>
          <w:sz w:val="20"/>
          <w:szCs w:val="20"/>
          <w:color w:val="auto"/>
        </w:rPr>
        <w:t xml:space="preserve">. Each Lender and other Person approached by the Borrower shall notify the Administrative Agent within the specified time period whether or not it agrees to provide all or a portion of such increase and, if so, the amount of such requested increase that it proposes to provide;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Lender or other Person not responding within such time period shall be deemed to have declined to provide any portion of the requested increase. Any Person providing any portion of the requested increase that is not an existing Lender shall become a Lender pursuant to a joinder agreement in form and substance reasonably satisfactory to the Administrative Agent and its counsel (each, a “</w:t>
      </w:r>
      <w:r>
        <w:rPr>
          <w:rFonts w:ascii="Arial" w:cs="Arial" w:eastAsia="Arial" w:hAnsi="Arial"/>
          <w:sz w:val="20"/>
          <w:szCs w:val="20"/>
          <w:u w:val="single" w:color="auto"/>
          <w:color w:val="auto"/>
        </w:rPr>
        <w:t>Joinder Agreement</w:t>
      </w:r>
      <w:r>
        <w:rPr>
          <w:rFonts w:ascii="Arial" w:cs="Arial" w:eastAsia="Arial" w:hAnsi="Arial"/>
          <w:sz w:val="20"/>
          <w:szCs w:val="20"/>
          <w:color w:val="auto"/>
        </w:rPr>
        <w:t>”).</w:t>
      </w:r>
    </w:p>
    <w:p>
      <w:pPr>
        <w:spacing w:after="0" w:line="212" w:lineRule="exact"/>
        <w:rPr>
          <w:rFonts w:ascii="Arial" w:cs="Arial" w:eastAsia="Arial" w:hAnsi="Arial"/>
          <w:sz w:val="20"/>
          <w:szCs w:val="20"/>
          <w:color w:val="auto"/>
        </w:rPr>
      </w:pPr>
    </w:p>
    <w:p>
      <w:pPr>
        <w:jc w:val="both"/>
        <w:ind w:firstLine="599"/>
        <w:spacing w:after="0" w:line="286" w:lineRule="auto"/>
        <w:tabs>
          <w:tab w:leader="none" w:pos="1421"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Effective Date and Allocations. If the Facilities are increased pursuant to an Incremental</w:t>
      </w:r>
      <w:r>
        <w:rPr>
          <w:rFonts w:ascii="Arial" w:cs="Arial" w:eastAsia="Arial" w:hAnsi="Arial"/>
          <w:sz w:val="18"/>
          <w:szCs w:val="18"/>
          <w:color w:val="auto"/>
        </w:rPr>
        <w:t xml:space="preserve"> Facility in accordance with this Section, the Administrative Agent and the Borrower shall determine the effective date (the “</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and the final allocation of such Incremental Facility, and promptly notify the Lenders thereof. Upon the effectiveness of any Incremental Facility, unless otherwise specifically provided herein, all references in the Loan Documents to Revolving Credit Loans or Term Loans shall be deemed, unless the context otherwise requires, to include references to Revolving Credit Loans made pursuant to Incremental Revolving Increases and Term Loans that are made pursuant to Incremental Term Loan Increases and Additional TL Tranches, respectively.</w:t>
      </w:r>
    </w:p>
    <w:p>
      <w:pPr>
        <w:spacing w:after="0" w:line="181" w:lineRule="exact"/>
        <w:rPr>
          <w:rFonts w:ascii="Arial" w:cs="Arial" w:eastAsia="Arial" w:hAnsi="Arial"/>
          <w:sz w:val="18"/>
          <w:szCs w:val="18"/>
          <w:color w:val="auto"/>
        </w:rPr>
      </w:pPr>
    </w:p>
    <w:p>
      <w:pPr>
        <w:jc w:val="both"/>
        <w:ind w:firstLine="599"/>
        <w:spacing w:after="0" w:line="277" w:lineRule="auto"/>
        <w:tabs>
          <w:tab w:leader="none" w:pos="1432"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 of Incremental Facilities</w:t>
      </w:r>
      <w:r>
        <w:rPr>
          <w:rFonts w:ascii="Arial" w:cs="Arial" w:eastAsia="Arial" w:hAnsi="Arial"/>
          <w:sz w:val="18"/>
          <w:szCs w:val="18"/>
          <w:color w:val="auto"/>
        </w:rPr>
        <w:t xml:space="preserve">. In each case, the Incremental Facility shall become effective as of the applicable Increase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Default shall exist on such Increase Effective Date both before and after giving effect to such increase, (ii) before and after giving effect to such increase, each of the representations and warranties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the other Loan Documents that are made by a Loan Party are true and correct in all material respects on and as of the Increase Effective Date, except to the extent that (1) such representations and warranties specifically refer to an earlier date, in which case they are true and correct in all material respects as of such earlier date, (2) any representation or warranty that is already by its terms qualified as to “materiality”, “Material Adverse Effect” or similar language shall be true and correct in all respects as of such date (including such earlier date set forth in the foregoing clause (1)) after giving effect to such qualification and (3) that for purposes of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the representations and warranties contained in subsections (a) and (b) of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shall be deemed to refer to the most recent statements furnished pursuant to clauses (a) and (b), respectively,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(iii) the Borrower shall have delivered to the Administrative Agent a certificate of each Loan Party dated as of the applicable Increase Effective Date, signed by a Responsible Officer of such Loan Party (x) (1) certifying and attaching the resolutions adopted by such Loan Party approving or consenting to such increase or (2) certifying that, as of such Increase Effective Date, the resolutions delivered to the Administrative Agent on the Restatement Effective Date include approval to increase the maximum aggregate principal amount of all commitments and outstanding loans under this Agreement to an amount at least equal to $700,000,000 and are and remain in full force and effect and have not been modified, rescinded or superseded since the date of adoption, and (y) in the case of the Borrower, certifying to the Administrative Agent that the conditions in clauses (i) and (ii) above have been satisfied, (iv) the Administrative Agent shall have received (x) a Joinder Agreement for each Person (other than a Lender), if any, participating in such increase, which Joinder Agreement shall be duly executed by the Borrower and each such Person and acknowledged and consented to in writing by the Administrative Agent, and in the case of an Incremental Revolving Increase, the Swing Line Lenders and the L/C Issuers and (y) written confirmation from each existing Lender, if any, participating in such increase of the amount by which its Revolving Credit Commitment will be increased, and/or the amount of Term Loans and/or Term Commitments to be provided by it, (v) if requested by the Administrative Agent or any new Lender or Lender participating in the Incremental Facility, the Administrative Agent shall have received a favorable opinion of counsel (which counsel shall</w:t>
      </w:r>
    </w:p>
    <w:p>
      <w:pPr>
        <w:spacing w:after="0" w:line="200" w:lineRule="exact"/>
        <w:rPr>
          <w:sz w:val="20"/>
          <w:szCs w:val="20"/>
          <w:color w:val="auto"/>
        </w:rPr>
      </w:pPr>
    </w:p>
    <w:p>
      <w:pPr>
        <w:spacing w:after="0" w:line="240"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64</w:t>
      </w:r>
      <w:r>
        <w:rPr>
          <w:rFonts w:ascii="MS PGothic" w:cs="MS PGothic" w:eastAsia="MS PGothic" w:hAnsi="MS PGothic"/>
          <w:sz w:val="20"/>
          <w:szCs w:val="20"/>
          <w:color w:val="auto"/>
        </w:rPr>
        <w:t>‑</w:t>
      </w:r>
    </w:p>
    <w:p>
      <w:pPr>
        <w:sectPr>
          <w:pgSz w:w="11900" w:h="16838" w:orient="portrait"/>
          <w:cols w:equalWidth="0" w:num="1">
            <w:col w:w="11420"/>
          </w:cols>
          <w:pgMar w:left="240" w:top="558" w:right="239" w:bottom="1440" w:gutter="0" w:footer="0" w:header="0"/>
        </w:sectPr>
      </w:pPr>
    </w:p>
    <w:bookmarkStart w:id="76" w:name="page77"/>
    <w:bookmarkEnd w:id="76"/>
    <w:p>
      <w:pPr>
        <w:jc w:val="both"/>
        <w:spacing w:after="0" w:line="281" w:lineRule="auto"/>
        <w:rPr>
          <w:sz w:val="20"/>
          <w:szCs w:val="20"/>
          <w:color w:val="auto"/>
        </w:rPr>
      </w:pPr>
      <w:r>
        <w:rPr>
          <w:rFonts w:ascii="Arial" w:cs="Arial" w:eastAsia="Arial" w:hAnsi="Arial"/>
          <w:sz w:val="18"/>
          <w:szCs w:val="18"/>
          <w:color w:val="auto"/>
        </w:rPr>
        <w:t xml:space="preserve">be reasonably acceptable to the Administrative Agent), addressed to the Administrative Agent and each Lender, as to such customary matters concerning the Incremental Facility as the Administrative Agent may reasonably request, (vi) if requested by any new Lender joining on the Increase Effective Date, the Administrative Agent shall have received a Note executed by the Borrower in favor of such new Lender, (vii) in the case of an Incremental Term Loan Increase or an Additional TL Tranche, the Administrative Agent shall have received a written notice setting forth the Type of Term Loans being requested not later than 11:00 a.m. (x) three Business Days prior to the Increase Effective Date (if the Term Loans requested are Eurodollar Rate Loans), and (y) on the Increase Effective Date (if the Term Loans requested are Base Rate Loans); (viii) in the case of an Incremental Term Loan Increase or an Additional TL Tranche, all of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shall be satisfied with respect to the funding of such Term Loans and (ix) the Borrower shall have paid such fees to the Administrative Agent, for its own account and for the benefit of the Lenders participating in the increase as are agreed mutually at the time, and shall have paid any fees required to be paid to the Bookrunners pursuant to the Fee Letters in connection therewith.</w:t>
      </w:r>
    </w:p>
    <w:p>
      <w:pPr>
        <w:spacing w:after="0" w:line="187" w:lineRule="exact"/>
        <w:rPr>
          <w:sz w:val="20"/>
          <w:szCs w:val="20"/>
          <w:color w:val="auto"/>
        </w:rPr>
      </w:pPr>
    </w:p>
    <w:p>
      <w:pPr>
        <w:ind w:left="1420" w:hanging="821"/>
        <w:spacing w:after="0"/>
        <w:tabs>
          <w:tab w:leader="none" w:pos="1420"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Settlement Procedures</w:t>
      </w:r>
      <w:r>
        <w:rPr>
          <w:rFonts w:ascii="Arial" w:cs="Arial" w:eastAsia="Arial" w:hAnsi="Arial"/>
          <w:sz w:val="18"/>
          <w:szCs w:val="18"/>
          <w:color w:val="auto"/>
        </w:rPr>
        <w:t>. On each Increase Effective Date, promptly following fulfillment of the conditions set forth in clause</w:t>
      </w:r>
    </w:p>
    <w:p>
      <w:pPr>
        <w:spacing w:after="0" w:line="46" w:lineRule="exact"/>
        <w:rPr>
          <w:rFonts w:ascii="Arial" w:cs="Arial" w:eastAsia="Arial" w:hAnsi="Arial"/>
          <w:sz w:val="18"/>
          <w:szCs w:val="18"/>
          <w:color w:val="auto"/>
        </w:rPr>
      </w:pPr>
    </w:p>
    <w:p>
      <w:pPr>
        <w:jc w:val="both"/>
        <w:spacing w:after="0" w:line="277" w:lineRule="auto"/>
        <w:tabs>
          <w:tab w:leader="none" w:pos="308"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the Administrative Agent shall notify the Lenders of the occurrence of the Incremental Facility effected on such Increase Effective Date and, in the case of a Revolving Credit Increase or an Additional TL Tranche, the amount of the Commitments and the Applicable Percentage of each Lender as a result thereof, and in the case of an Incremental Term Loan Increase, the allocated portion and applicable percentage of each Lender participating in such Incremental Term Loan Increase and each such Lender participating in such Incremental Term Loan Increase or Additional TL Tranche, as the case may be, shall make the amount of its Term Loan available in accordance with and at the time required by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In the event that an Incremental Revolving Increase results in any change to the Applicable Revolving Credit Percentage of any Lender, then on the Increase Effective Date, as applicable, (i) the participation interests of the Lenders in any outstanding Letters of Credit and Swing Line Loans shall be automatically reallocated among the Lenders in accordance with their respective Applicable Revolving Credit Percentages after giving effect to such increase, (ii) any new Lender, and any existing Lender whose Revolving Credit Commitment has increased, shall pay to the Administrative Agent such amounts as are necessary to fund its new or increased Applicable Revolving Credit Percentage of all existing Revolving Credit Loans, (iii) the Administrative Agent will use the proceeds thereof to pay to all existing Lenders whose Applicable Revolving Credit Percentage is decreasing such amounts as are necessary so that each Lender’s share of all Revolving Credit Loans, will be equal to its adjusted Applicable Revolving Credit Percentage, and (iv) the Borrower shall pay any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on account of the payments made pursuant to clause (iii) of this sentence.</w:t>
      </w:r>
    </w:p>
    <w:p>
      <w:pPr>
        <w:spacing w:after="0" w:line="199" w:lineRule="exact"/>
        <w:rPr>
          <w:rFonts w:ascii="Arial" w:cs="Arial" w:eastAsia="Arial" w:hAnsi="Arial"/>
          <w:sz w:val="18"/>
          <w:szCs w:val="18"/>
          <w:color w:val="auto"/>
        </w:rPr>
      </w:pPr>
    </w:p>
    <w:p>
      <w:pPr>
        <w:ind w:left="1400" w:hanging="801"/>
        <w:spacing w:after="0"/>
        <w:tabs>
          <w:tab w:leader="none" w:pos="1400" w:val="left"/>
        </w:tabs>
        <w:numPr>
          <w:ilvl w:val="1"/>
          <w:numId w:val="80"/>
        </w:numPr>
        <w:rPr>
          <w:rFonts w:ascii="Arial" w:cs="Arial" w:eastAsia="Arial" w:hAnsi="Arial"/>
          <w:sz w:val="20"/>
          <w:szCs w:val="20"/>
          <w:color w:val="auto"/>
        </w:rPr>
      </w:pPr>
      <w:r>
        <w:rPr>
          <w:rFonts w:ascii="Arial" w:cs="Arial" w:eastAsia="Arial" w:hAnsi="Arial"/>
          <w:sz w:val="20"/>
          <w:szCs w:val="20"/>
          <w:u w:val="single" w:color="auto"/>
          <w:color w:val="auto"/>
        </w:rPr>
        <w:t>Conflicting Provisions</w:t>
      </w:r>
      <w:r>
        <w:rPr>
          <w:rFonts w:ascii="Arial" w:cs="Arial" w:eastAsia="Arial" w:hAnsi="Arial"/>
          <w:sz w:val="20"/>
          <w:szCs w:val="20"/>
          <w:color w:val="auto"/>
        </w:rPr>
        <w:t xml:space="preserve">. This Section shall supersede any provisions in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10.01</w:t>
      </w:r>
      <w:r>
        <w:rPr>
          <w:rFonts w:ascii="Arial" w:cs="Arial" w:eastAsia="Arial" w:hAnsi="Arial"/>
          <w:sz w:val="20"/>
          <w:szCs w:val="20"/>
          <w:color w:val="auto"/>
        </w:rPr>
        <w:t xml:space="preserve"> to the contrary.</w:t>
      </w:r>
    </w:p>
    <w:p>
      <w:pPr>
        <w:spacing w:after="0" w:line="24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2.17.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4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2.18.</w:t>
      </w:r>
      <w:r>
        <w:rPr>
          <w:sz w:val="20"/>
          <w:szCs w:val="20"/>
          <w:color w:val="auto"/>
        </w:rPr>
        <w:tab/>
      </w:r>
      <w:r>
        <w:rPr>
          <w:rFonts w:ascii="Arial" w:cs="Arial" w:eastAsia="Arial" w:hAnsi="Arial"/>
          <w:sz w:val="17"/>
          <w:szCs w:val="17"/>
          <w:u w:val="single" w:color="auto"/>
          <w:color w:val="auto"/>
        </w:rPr>
        <w:t>Cash Collateral</w:t>
      </w:r>
      <w:r>
        <w:rPr>
          <w:rFonts w:ascii="Arial" w:cs="Arial" w:eastAsia="Arial" w:hAnsi="Arial"/>
          <w:sz w:val="17"/>
          <w:szCs w:val="17"/>
          <w:color w:val="auto"/>
        </w:rPr>
        <w:t>.</w:t>
      </w:r>
    </w:p>
    <w:p>
      <w:pPr>
        <w:spacing w:after="0" w:line="245" w:lineRule="exact"/>
        <w:rPr>
          <w:sz w:val="20"/>
          <w:szCs w:val="20"/>
          <w:color w:val="auto"/>
        </w:rPr>
      </w:pPr>
    </w:p>
    <w:p>
      <w:pPr>
        <w:jc w:val="both"/>
        <w:ind w:firstLine="599"/>
        <w:spacing w:after="0" w:line="252" w:lineRule="auto"/>
        <w:tabs>
          <w:tab w:leader="none" w:pos="1421"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Certain Credit Support Events</w:t>
      </w:r>
      <w:r>
        <w:rPr>
          <w:rFonts w:ascii="Arial" w:cs="Arial" w:eastAsia="Arial" w:hAnsi="Arial"/>
          <w:sz w:val="20"/>
          <w:szCs w:val="20"/>
          <w:color w:val="auto"/>
        </w:rPr>
        <w:t xml:space="preserve">. If (i) any L/C Issuer has honored any full or partial drawing request under any Letter of Credit and such drawing has resulted in an L/C Borrowing, (ii) as of the Letter of Credit Expiration Date, any L/C Obligation for any reason remains outstanding, (iii) as of the date that is thirty (30) days prior to the Maturity Date for the Revolving Credit Facility then in effect, there are any Letters of Credit that have an expiry date after such Maturity Date, or if any new Letter of Credit is issued on or after the date that is thirty (30) days prior to the Maturity Date for the Revolving Credit Facility then in effect, (iv) the Borrower shall be required to provide Cash Collateral pursuant to </w:t>
      </w:r>
      <w:r>
        <w:rPr>
          <w:rFonts w:ascii="Arial" w:cs="Arial" w:eastAsia="Arial" w:hAnsi="Arial"/>
          <w:sz w:val="20"/>
          <w:szCs w:val="20"/>
          <w:u w:val="single" w:color="auto"/>
          <w:color w:val="auto"/>
        </w:rPr>
        <w:t>Section 8.02(c)</w:t>
      </w:r>
      <w:r>
        <w:rPr>
          <w:rFonts w:ascii="Arial" w:cs="Arial" w:eastAsia="Arial" w:hAnsi="Arial"/>
          <w:sz w:val="20"/>
          <w:szCs w:val="20"/>
          <w:color w:val="auto"/>
        </w:rPr>
        <w:t>, or (v)</w:t>
      </w:r>
    </w:p>
    <w:p>
      <w:pPr>
        <w:spacing w:after="0" w:line="21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65</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77" w:name="page78"/>
    <w:bookmarkEnd w:id="77"/>
    <w:p>
      <w:pPr>
        <w:jc w:val="both"/>
        <w:spacing w:after="0" w:line="268" w:lineRule="auto"/>
        <w:rPr>
          <w:sz w:val="20"/>
          <w:szCs w:val="20"/>
          <w:color w:val="auto"/>
        </w:rPr>
      </w:pPr>
      <w:r>
        <w:rPr>
          <w:rFonts w:ascii="Arial" w:cs="Arial" w:eastAsia="Arial" w:hAnsi="Arial"/>
          <w:sz w:val="19"/>
          <w:szCs w:val="19"/>
          <w:color w:val="auto"/>
        </w:rPr>
        <w:t xml:space="preserve">there shall exist a Defaulting Lender, the Borrower shall immediately (in the case of clauses (iii) and (iv) above) or within one Business Day (in all other cases), following any request by the Administrative Agent or an L/C Issuer that has issued a Letter of Credit that remains outstanding, provide Cash Collateral in an amount not less than the applicable Minimum Collateral Amount (determined in the case of Cash Collateral provided pursuant to clause (v) above, after giving effect to </w:t>
      </w:r>
      <w:r>
        <w:rPr>
          <w:rFonts w:ascii="Arial" w:cs="Arial" w:eastAsia="Arial" w:hAnsi="Arial"/>
          <w:sz w:val="19"/>
          <w:szCs w:val="19"/>
          <w:u w:val="single" w:color="auto"/>
          <w:color w:val="auto"/>
        </w:rPr>
        <w:t>Section 2.19(a)(iv)</w:t>
      </w:r>
      <w:r>
        <w:rPr>
          <w:rFonts w:ascii="Arial" w:cs="Arial" w:eastAsia="Arial" w:hAnsi="Arial"/>
          <w:sz w:val="19"/>
          <w:szCs w:val="19"/>
          <w:color w:val="auto"/>
        </w:rPr>
        <w:t xml:space="preserve"> and any Cash Collateral provided by the Defaulting Lender). Upon the drawing of any Letter of Credit for which funds are on deposit as Cash Collateral, such funds shall be applied, to the extent permitted under applicable Laws, to reimburse the applicable L/C Issuer.</w:t>
      </w:r>
    </w:p>
    <w:p>
      <w:pPr>
        <w:spacing w:after="0" w:line="197" w:lineRule="exact"/>
        <w:rPr>
          <w:sz w:val="20"/>
          <w:szCs w:val="20"/>
          <w:color w:val="auto"/>
        </w:rPr>
      </w:pPr>
    </w:p>
    <w:p>
      <w:pPr>
        <w:jc w:val="both"/>
        <w:ind w:firstLine="599"/>
        <w:spacing w:after="0" w:line="280" w:lineRule="auto"/>
        <w:tabs>
          <w:tab w:leader="none" w:pos="1432"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xml:space="preserve">. The Borrower, and to the extent provided by any Defaulting Lender, such Defaulting Lender, hereby grants to (and subjects to the control of) the Administrative Agent, for the benefit of the Administrative Agent, the L/C Issuers and the Revolving Credit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8"/>
          <w:szCs w:val="18"/>
          <w:u w:val="single" w:color="auto"/>
          <w:color w:val="auto"/>
        </w:rPr>
        <w:t>Section 2.18(c)</w:t>
      </w:r>
      <w:r>
        <w:rPr>
          <w:rFonts w:ascii="Arial" w:cs="Arial" w:eastAsia="Arial" w:hAnsi="Arial"/>
          <w:sz w:val="18"/>
          <w:szCs w:val="18"/>
          <w:color w:val="auto"/>
        </w:rPr>
        <w:t>. If at any time the Administrative Agent determines that Cash Collateral is subject to any right or claim of any Person other than the Administrative Agent or the L/C Issuers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Borrower shall pay on demand therefor from time to time all customary account opening, activity and other administrative fees and charges in connection with the maintenance and disbursement of Cash Collateral.</w:t>
      </w:r>
    </w:p>
    <w:p>
      <w:pPr>
        <w:spacing w:after="0" w:line="191" w:lineRule="exact"/>
        <w:rPr>
          <w:rFonts w:ascii="Arial" w:cs="Arial" w:eastAsia="Arial" w:hAnsi="Arial"/>
          <w:sz w:val="18"/>
          <w:szCs w:val="18"/>
          <w:color w:val="auto"/>
        </w:rPr>
      </w:pPr>
    </w:p>
    <w:p>
      <w:pPr>
        <w:jc w:val="both"/>
        <w:ind w:firstLine="599"/>
        <w:spacing w:after="0" w:line="253" w:lineRule="auto"/>
        <w:tabs>
          <w:tab w:leader="none" w:pos="1421" w:val="left"/>
        </w:tabs>
        <w:numPr>
          <w:ilvl w:val="1"/>
          <w:numId w:val="82"/>
        </w:numPr>
        <w:rPr>
          <w:rFonts w:ascii="Arial" w:cs="Arial" w:eastAsia="Arial" w:hAnsi="Arial"/>
          <w:sz w:val="20"/>
          <w:szCs w:val="20"/>
          <w:color w:val="auto"/>
        </w:rPr>
      </w:pPr>
      <w:r>
        <w:rPr>
          <w:rFonts w:ascii="Arial" w:cs="Arial" w:eastAsia="Arial" w:hAnsi="Arial"/>
          <w:sz w:val="20"/>
          <w:szCs w:val="20"/>
          <w:u w:val="single" w:color="auto"/>
          <w:color w:val="auto"/>
        </w:rPr>
        <w:t>Application</w:t>
      </w:r>
      <w:r>
        <w:rPr>
          <w:rFonts w:ascii="Arial" w:cs="Arial" w:eastAsia="Arial" w:hAnsi="Arial"/>
          <w:sz w:val="20"/>
          <w:szCs w:val="20"/>
          <w:color w:val="auto"/>
        </w:rPr>
        <w:t xml:space="preserve">. Notwithstanding anything to the contrary contained in this Agreement, Cash Collateral provided under any of this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Sections 2.04</w:t>
      </w:r>
      <w:r>
        <w:rPr>
          <w:rFonts w:ascii="Arial" w:cs="Arial" w:eastAsia="Arial" w:hAnsi="Arial"/>
          <w:sz w:val="20"/>
          <w:szCs w:val="20"/>
          <w:color w:val="auto"/>
        </w:rPr>
        <w:t xml:space="preserve">, </w:t>
      </w:r>
      <w:r>
        <w:rPr>
          <w:rFonts w:ascii="Arial" w:cs="Arial" w:eastAsia="Arial" w:hAnsi="Arial"/>
          <w:sz w:val="20"/>
          <w:szCs w:val="20"/>
          <w:u w:val="single" w:color="auto"/>
          <w:color w:val="auto"/>
        </w:rPr>
        <w:t>2.05</w:t>
      </w:r>
      <w:r>
        <w:rPr>
          <w:rFonts w:ascii="Arial" w:cs="Arial" w:eastAsia="Arial" w:hAnsi="Arial"/>
          <w:sz w:val="20"/>
          <w:szCs w:val="20"/>
          <w:color w:val="auto"/>
        </w:rPr>
        <w:t xml:space="preserve">, </w:t>
      </w:r>
      <w:r>
        <w:rPr>
          <w:rFonts w:ascii="Arial" w:cs="Arial" w:eastAsia="Arial" w:hAnsi="Arial"/>
          <w:sz w:val="20"/>
          <w:szCs w:val="20"/>
          <w:u w:val="single" w:color="auto"/>
          <w:color w:val="auto"/>
        </w:rPr>
        <w:t>2.06</w:t>
      </w:r>
      <w:r>
        <w:rPr>
          <w:rFonts w:ascii="Arial" w:cs="Arial" w:eastAsia="Arial" w:hAnsi="Arial"/>
          <w:sz w:val="20"/>
          <w:szCs w:val="20"/>
          <w:color w:val="auto"/>
        </w:rPr>
        <w:t xml:space="preserve">, </w:t>
      </w:r>
      <w:r>
        <w:rPr>
          <w:rFonts w:ascii="Arial" w:cs="Arial" w:eastAsia="Arial" w:hAnsi="Arial"/>
          <w:sz w:val="20"/>
          <w:szCs w:val="20"/>
          <w:u w:val="single" w:color="auto"/>
          <w:color w:val="auto"/>
        </w:rPr>
        <w:t>2.19</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8.02</w:t>
      </w:r>
      <w:r>
        <w:rPr>
          <w:rFonts w:ascii="Arial" w:cs="Arial" w:eastAsia="Arial" w:hAnsi="Arial"/>
          <w:sz w:val="20"/>
          <w:szCs w:val="20"/>
          <w:color w:val="auto"/>
        </w:rPr>
        <w:t xml:space="preserve"> in respect of Letters of Credit or Swing Line Loans shall be held and applied to the satisfaction of the specific L/C Obligations or obligations to fund participations in Swing Line Loans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211" w:lineRule="exact"/>
        <w:rPr>
          <w:rFonts w:ascii="Arial" w:cs="Arial" w:eastAsia="Arial" w:hAnsi="Arial"/>
          <w:sz w:val="20"/>
          <w:szCs w:val="20"/>
          <w:color w:val="auto"/>
        </w:rPr>
      </w:pPr>
    </w:p>
    <w:p>
      <w:pPr>
        <w:jc w:val="both"/>
        <w:ind w:firstLine="599"/>
        <w:spacing w:after="0" w:line="279" w:lineRule="auto"/>
        <w:tabs>
          <w:tab w:leader="none" w:pos="1432"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8"/>
          <w:szCs w:val="18"/>
          <w:u w:val="single" w:color="auto"/>
          <w:color w:val="auto"/>
        </w:rPr>
        <w:t>Section 10.06(b)(vi)</w:t>
      </w:r>
      <w:r>
        <w:rPr>
          <w:rFonts w:ascii="Arial" w:cs="Arial" w:eastAsia="Arial" w:hAnsi="Arial"/>
          <w:sz w:val="18"/>
          <w:szCs w:val="18"/>
          <w:color w:val="auto"/>
        </w:rPr>
        <w:t xml:space="preserve">)) or (ii) the Administrative Agent’s good faith determination that there exists excess Cash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jc w:val="both"/>
        <w:spacing w:after="0" w:line="250" w:lineRule="auto"/>
        <w:tabs>
          <w:tab w:leader="none" w:pos="283"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that Cash Collateral furnished by or on behalf of the Borrower shall not be released during the continuance of a Default or Event of Default (and following application as provided in this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may be otherwise applied in accordance with </w:t>
      </w:r>
      <w:r>
        <w:rPr>
          <w:rFonts w:ascii="Arial" w:cs="Arial" w:eastAsia="Arial" w:hAnsi="Arial"/>
          <w:sz w:val="20"/>
          <w:szCs w:val="20"/>
          <w:u w:val="single" w:color="auto"/>
          <w:color w:val="auto"/>
        </w:rPr>
        <w:t>Section 8.03</w:t>
      </w:r>
      <w:r>
        <w:rPr>
          <w:rFonts w:ascii="Arial" w:cs="Arial" w:eastAsia="Arial" w:hAnsi="Arial"/>
          <w:sz w:val="20"/>
          <w:szCs w:val="20"/>
          <w:color w:val="auto"/>
        </w:rPr>
        <w:t>), and (y) the Person providing Cash Collateral and the L/C Issuers or Swing Line Lenders, as applicable, may agree that Cash Collateral shall not be released but instead held to support future anticipated Fronting Exposure or other obligations.</w:t>
      </w:r>
    </w:p>
    <w:p>
      <w:pPr>
        <w:spacing w:after="0" w:line="212"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2.19.</w:t>
      </w:r>
      <w:r>
        <w:rPr>
          <w:sz w:val="20"/>
          <w:szCs w:val="20"/>
          <w:color w:val="auto"/>
        </w:rPr>
        <w:tab/>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245" w:lineRule="exact"/>
        <w:rPr>
          <w:sz w:val="20"/>
          <w:szCs w:val="20"/>
          <w:color w:val="auto"/>
        </w:rPr>
      </w:pPr>
    </w:p>
    <w:p>
      <w:pPr>
        <w:ind w:firstLine="599"/>
        <w:spacing w:after="0" w:line="299" w:lineRule="auto"/>
        <w:tabs>
          <w:tab w:leader="none" w:pos="1421"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68"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66</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78" w:name="page79"/>
    <w:bookmarkEnd w:id="78"/>
    <w:p>
      <w:pPr>
        <w:jc w:val="both"/>
        <w:ind w:left="-600" w:firstLine="1198"/>
        <w:spacing w:after="0" w:line="280" w:lineRule="auto"/>
        <w:tabs>
          <w:tab w:leader="none" w:pos="1387"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Waivers and Amendments</w:t>
      </w:r>
      <w:r>
        <w:rPr>
          <w:rFonts w:ascii="Arial" w:cs="Arial" w:eastAsia="Arial" w:hAnsi="Arial"/>
          <w:sz w:val="19"/>
          <w:szCs w:val="19"/>
          <w:color w:val="auto"/>
        </w:rPr>
        <w:t xml:space="preserve">. That Defaulting Lender’s right to approve or disapprove any amendment, waiver or consent with respect to this Agreement shall be restricted as set forth in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and in definitions of “Required Lenders”, “Required Facility Lenders”, “Required Term Lenders” and “Required Revolving Lenders.”</w:t>
      </w:r>
    </w:p>
    <w:p>
      <w:pPr>
        <w:spacing w:after="0" w:line="184" w:lineRule="exact"/>
        <w:rPr>
          <w:rFonts w:ascii="Arial" w:cs="Arial" w:eastAsia="Arial" w:hAnsi="Arial"/>
          <w:sz w:val="19"/>
          <w:szCs w:val="19"/>
          <w:color w:val="auto"/>
        </w:rPr>
      </w:pPr>
    </w:p>
    <w:p>
      <w:pPr>
        <w:jc w:val="both"/>
        <w:ind w:left="-600" w:firstLine="1198"/>
        <w:spacing w:after="0" w:line="277" w:lineRule="auto"/>
        <w:tabs>
          <w:tab w:leader="none" w:pos="1443"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 or received by the Administrative Agent from a Defaulting Lender pursuant to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shall be applied at such time or times as may be determined by the Administrative Agent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the payment on a pro rata basis of any amounts owing by such Defaulting Lender to any L/C Issuer or any Swing Line Lender hereunder; </w:t>
      </w:r>
      <w:r>
        <w:rPr>
          <w:rFonts w:ascii="Arial" w:cs="Arial" w:eastAsia="Arial" w:hAnsi="Arial"/>
          <w:sz w:val="18"/>
          <w:szCs w:val="18"/>
          <w:i w:val="1"/>
          <w:iCs w:val="1"/>
          <w:color w:val="auto"/>
        </w:rPr>
        <w:t>third</w:t>
      </w:r>
      <w:r>
        <w:rPr>
          <w:rFonts w:ascii="Arial" w:cs="Arial" w:eastAsia="Arial" w:hAnsi="Arial"/>
          <w:sz w:val="18"/>
          <w:szCs w:val="18"/>
          <w:color w:val="auto"/>
        </w:rPr>
        <w:t xml:space="preserve">, to Cash Collateralize the L/C Issuers’ Fronting Exposure with respect to such Defaulting Lender in accordance with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w:t>
      </w:r>
      <w:r>
        <w:rPr>
          <w:rFonts w:ascii="Arial" w:cs="Arial" w:eastAsia="Arial" w:hAnsi="Arial"/>
          <w:sz w:val="18"/>
          <w:szCs w:val="18"/>
          <w:i w:val="1"/>
          <w:iCs w:val="1"/>
          <w:color w:val="auto"/>
        </w:rPr>
        <w:t>fourth</w:t>
      </w:r>
      <w:r>
        <w:rPr>
          <w:rFonts w:ascii="Arial" w:cs="Arial" w:eastAsia="Arial" w:hAnsi="Arial"/>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8"/>
          <w:szCs w:val="18"/>
          <w:i w:val="1"/>
          <w:iCs w:val="1"/>
          <w:color w:val="auto"/>
        </w:rPr>
        <w:t>fifth</w:t>
      </w:r>
      <w:r>
        <w:rPr>
          <w:rFonts w:ascii="Arial" w:cs="Arial" w:eastAsia="Arial" w:hAnsi="Arial"/>
          <w:sz w:val="18"/>
          <w:szCs w:val="18"/>
          <w:color w:val="auto"/>
        </w:rPr>
        <w:t xml:space="preserve">, if so determined by the Administrative Agent and the Borrower, to be held in a deposit account and released pro rata in order to (x) satisfy such Defaulting Lender’s potential future funding obligations with respect to Loans or unfunded participations under this Agreement and (y) Cash Collateralize the L/C Issuers’ future Fronting Exposure with respect to such Defaulting Lender with respect to future Letters of Credit issued under this Agreement, in accordance with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w:t>
      </w:r>
      <w:r>
        <w:rPr>
          <w:rFonts w:ascii="Arial" w:cs="Arial" w:eastAsia="Arial" w:hAnsi="Arial"/>
          <w:sz w:val="18"/>
          <w:szCs w:val="18"/>
          <w:i w:val="1"/>
          <w:iCs w:val="1"/>
          <w:color w:val="auto"/>
        </w:rPr>
        <w:t>sixth</w:t>
      </w:r>
      <w:r>
        <w:rPr>
          <w:rFonts w:ascii="Arial" w:cs="Arial" w:eastAsia="Arial" w:hAnsi="Arial"/>
          <w:sz w:val="18"/>
          <w:szCs w:val="18"/>
          <w:color w:val="auto"/>
        </w:rPr>
        <w:t xml:space="preserve">, to the payment of any amounts owing to the Lenders or any L/C Issuer or any Swing Line Lender as a result of any judgment of a court of competent jurisdiction obtained by any Lender, such L/C Issuer or such Swing Line Lender against such Defaulting Lender as a result of such Defaulting Lender’s breach of its obligations under this Agreement; </w:t>
      </w:r>
      <w:r>
        <w:rPr>
          <w:rFonts w:ascii="Arial" w:cs="Arial" w:eastAsia="Arial" w:hAnsi="Arial"/>
          <w:sz w:val="18"/>
          <w:szCs w:val="18"/>
          <w:i w:val="1"/>
          <w:iCs w:val="1"/>
          <w:color w:val="auto"/>
        </w:rPr>
        <w:t>seventh</w:t>
      </w:r>
      <w:r>
        <w:rPr>
          <w:rFonts w:ascii="Arial" w:cs="Arial" w:eastAsia="Arial" w:hAnsi="Arial"/>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8"/>
          <w:szCs w:val="18"/>
          <w:i w:val="1"/>
          <w:iCs w:val="1"/>
          <w:color w:val="auto"/>
        </w:rPr>
        <w:t>eighth</w:t>
      </w:r>
      <w:r>
        <w:rPr>
          <w:rFonts w:ascii="Arial" w:cs="Arial" w:eastAsia="Arial" w:hAnsi="Arial"/>
          <w:sz w:val="18"/>
          <w:szCs w:val="18"/>
          <w:color w:val="auto"/>
        </w:rPr>
        <w:t xml:space="preserve">, to such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Revolving Credit Commitments hereunder without giving effect to </w:t>
      </w:r>
      <w:r>
        <w:rPr>
          <w:rFonts w:ascii="Arial" w:cs="Arial" w:eastAsia="Arial" w:hAnsi="Arial"/>
          <w:sz w:val="18"/>
          <w:szCs w:val="18"/>
          <w:u w:val="single" w:color="auto"/>
          <w:color w:val="auto"/>
        </w:rPr>
        <w:t>Section 2.19(a)(iv)</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2.19(a)(ii)</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194" w:lineRule="exact"/>
        <w:rPr>
          <w:rFonts w:ascii="Arial" w:cs="Arial" w:eastAsia="Arial" w:hAnsi="Arial"/>
          <w:sz w:val="18"/>
          <w:szCs w:val="18"/>
          <w:color w:val="auto"/>
        </w:rPr>
      </w:pPr>
    </w:p>
    <w:p>
      <w:pPr>
        <w:ind w:left="1500" w:hanging="902"/>
        <w:spacing w:after="0"/>
        <w:tabs>
          <w:tab w:leader="none" w:pos="1500"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w:t>
      </w:r>
    </w:p>
    <w:p>
      <w:pPr>
        <w:spacing w:after="0" w:line="245" w:lineRule="exact"/>
        <w:rPr>
          <w:sz w:val="20"/>
          <w:szCs w:val="20"/>
          <w:color w:val="auto"/>
        </w:rPr>
      </w:pPr>
    </w:p>
    <w:p>
      <w:pPr>
        <w:jc w:val="both"/>
        <w:ind w:firstLine="598"/>
        <w:spacing w:after="0" w:line="280" w:lineRule="auto"/>
        <w:tabs>
          <w:tab w:leader="none" w:pos="1476"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Each Revolving Credit Lender that is a Defaulting Lender shall be entitled to receive fees payable under </w:t>
      </w:r>
      <w:r>
        <w:rPr>
          <w:rFonts w:ascii="Arial" w:cs="Arial" w:eastAsia="Arial" w:hAnsi="Arial"/>
          <w:sz w:val="19"/>
          <w:szCs w:val="19"/>
          <w:u w:val="single" w:color="auto"/>
          <w:color w:val="auto"/>
        </w:rPr>
        <w:t>Section 2.09(b)</w:t>
      </w:r>
      <w:r>
        <w:rPr>
          <w:rFonts w:ascii="Arial" w:cs="Arial" w:eastAsia="Arial" w:hAnsi="Arial"/>
          <w:sz w:val="19"/>
          <w:szCs w:val="19"/>
          <w:color w:val="auto"/>
        </w:rPr>
        <w:t xml:space="preserve"> for any period during which that Lender is a Defaulting Lender only to the extent allocable to the sum of (1) the outstanding principal amount of the Revolving Credit Loans funded by it and (2) its Applicable Revolving Credit</w:t>
      </w:r>
    </w:p>
    <w:p>
      <w:pPr>
        <w:spacing w:after="0" w:line="185" w:lineRule="exact"/>
        <w:rPr>
          <w:sz w:val="20"/>
          <w:szCs w:val="20"/>
          <w:color w:val="auto"/>
        </w:rPr>
      </w:pPr>
    </w:p>
    <w:p>
      <w:pPr>
        <w:ind w:left="434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67</w:t>
      </w:r>
      <w:r>
        <w:rPr>
          <w:rFonts w:ascii="MS PGothic" w:cs="MS PGothic" w:eastAsia="MS PGothic" w:hAnsi="MS PGothic"/>
          <w:sz w:val="20"/>
          <w:szCs w:val="20"/>
          <w:color w:val="auto"/>
        </w:rPr>
        <w:t>‑</w:t>
      </w:r>
    </w:p>
    <w:p>
      <w:pPr>
        <w:sectPr>
          <w:pgSz w:w="11900" w:h="16838" w:orient="portrait"/>
          <w:cols w:equalWidth="0" w:num="1">
            <w:col w:w="10220"/>
          </w:cols>
          <w:pgMar w:left="1440" w:top="557" w:right="239" w:bottom="1440" w:gutter="0" w:footer="0" w:header="0"/>
        </w:sectPr>
      </w:pPr>
    </w:p>
    <w:bookmarkStart w:id="79" w:name="page80"/>
    <w:bookmarkEnd w:id="79"/>
    <w:p>
      <w:pPr>
        <w:ind w:left="1200"/>
        <w:spacing w:after="0" w:line="272" w:lineRule="auto"/>
        <w:rPr>
          <w:sz w:val="20"/>
          <w:szCs w:val="20"/>
          <w:color w:val="auto"/>
        </w:rPr>
      </w:pPr>
      <w:r>
        <w:rPr>
          <w:rFonts w:ascii="Arial" w:cs="Arial" w:eastAsia="Arial" w:hAnsi="Arial"/>
          <w:sz w:val="20"/>
          <w:szCs w:val="20"/>
          <w:color w:val="auto"/>
        </w:rPr>
        <w:t>Percentage of the stated amount of Letters of Credit for which such Defaulting Lender has provided Cash Collateral pursuant to the terms of this Agreement.</w:t>
      </w:r>
    </w:p>
    <w:p>
      <w:pPr>
        <w:spacing w:after="0" w:line="191" w:lineRule="exact"/>
        <w:rPr>
          <w:sz w:val="20"/>
          <w:szCs w:val="20"/>
          <w:color w:val="auto"/>
        </w:rPr>
      </w:pPr>
    </w:p>
    <w:p>
      <w:pPr>
        <w:jc w:val="both"/>
        <w:ind w:left="1200" w:firstLine="598"/>
        <w:spacing w:after="0" w:line="256" w:lineRule="auto"/>
        <w:tabs>
          <w:tab w:leader="none" w:pos="2665" w:val="left"/>
        </w:tabs>
        <w:numPr>
          <w:ilvl w:val="3"/>
          <w:numId w:val="87"/>
        </w:numPr>
        <w:rPr>
          <w:rFonts w:ascii="Arial" w:cs="Arial" w:eastAsia="Arial" w:hAnsi="Arial"/>
          <w:sz w:val="20"/>
          <w:szCs w:val="20"/>
          <w:color w:val="auto"/>
        </w:rPr>
      </w:pPr>
      <w:r>
        <w:rPr>
          <w:rFonts w:ascii="Arial" w:cs="Arial" w:eastAsia="Arial" w:hAnsi="Arial"/>
          <w:sz w:val="20"/>
          <w:szCs w:val="20"/>
          <w:color w:val="auto"/>
        </w:rPr>
        <w:t>Each Revolving Credit Lender that is a Defaulting Lender shall be entitled to receive Letter of Credit Fees for any period during which that Revolving Credit Lender is a Defaulting Lender only to the extent allocable to its Applicable Revolving Credit Percentage of the stated amount of Letters of Credit for which such Defaulting Lender has provided Cash Collateral pursuant to the terms of this Agreement.</w:t>
      </w:r>
    </w:p>
    <w:p>
      <w:pPr>
        <w:spacing w:after="0" w:line="205" w:lineRule="exact"/>
        <w:rPr>
          <w:rFonts w:ascii="Arial" w:cs="Arial" w:eastAsia="Arial" w:hAnsi="Arial"/>
          <w:sz w:val="20"/>
          <w:szCs w:val="20"/>
          <w:color w:val="auto"/>
        </w:rPr>
      </w:pPr>
    </w:p>
    <w:p>
      <w:pPr>
        <w:jc w:val="both"/>
        <w:ind w:left="1200" w:firstLine="598"/>
        <w:spacing w:after="0" w:line="279" w:lineRule="auto"/>
        <w:tabs>
          <w:tab w:leader="none" w:pos="2665" w:val="left"/>
        </w:tabs>
        <w:numPr>
          <w:ilvl w:val="3"/>
          <w:numId w:val="87"/>
        </w:numPr>
        <w:rPr>
          <w:rFonts w:ascii="Arial" w:cs="Arial" w:eastAsia="Arial" w:hAnsi="Arial"/>
          <w:sz w:val="18"/>
          <w:szCs w:val="18"/>
          <w:color w:val="auto"/>
        </w:rPr>
      </w:pPr>
      <w:r>
        <w:rPr>
          <w:rFonts w:ascii="Arial" w:cs="Arial" w:eastAsia="Arial" w:hAnsi="Arial"/>
          <w:sz w:val="18"/>
          <w:szCs w:val="18"/>
          <w:color w:val="auto"/>
        </w:rPr>
        <w:t xml:space="preserve">With respect to any fee payable under </w:t>
      </w:r>
      <w:r>
        <w:rPr>
          <w:rFonts w:ascii="Arial" w:cs="Arial" w:eastAsia="Arial" w:hAnsi="Arial"/>
          <w:sz w:val="18"/>
          <w:szCs w:val="18"/>
          <w:u w:val="single" w:color="auto"/>
          <w:color w:val="auto"/>
        </w:rPr>
        <w:t>Section 2.09(b)</w:t>
      </w:r>
      <w:r>
        <w:rPr>
          <w:rFonts w:ascii="Arial" w:cs="Arial" w:eastAsia="Arial" w:hAnsi="Arial"/>
          <w:sz w:val="18"/>
          <w:szCs w:val="18"/>
          <w:color w:val="auto"/>
        </w:rPr>
        <w:t xml:space="preserve"> or any Letter of Credit Fee not required to be paid to any Defaulting Lender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the Borrower shall (x) pay to each Non-Defaulting Lender that portion of any such fee otherwise payable to such Defaulting Lender with respect to such Defaulting Lender’s participation in L/C Obligations or Swing Line Loans that has been reallocated to such Non-Defaulting Lender pursuant to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below,</w:t>
      </w:r>
    </w:p>
    <w:p>
      <w:pPr>
        <w:spacing w:after="0" w:line="2" w:lineRule="exact"/>
        <w:rPr>
          <w:rFonts w:ascii="Arial" w:cs="Arial" w:eastAsia="Arial" w:hAnsi="Arial"/>
          <w:sz w:val="18"/>
          <w:szCs w:val="18"/>
          <w:color w:val="auto"/>
        </w:rPr>
      </w:pPr>
    </w:p>
    <w:p>
      <w:pPr>
        <w:jc w:val="both"/>
        <w:ind w:left="1200" w:hanging="1"/>
        <w:spacing w:after="0" w:line="271" w:lineRule="auto"/>
        <w:tabs>
          <w:tab w:leader="none" w:pos="1510" w:val="left"/>
        </w:tabs>
        <w:numPr>
          <w:ilvl w:val="1"/>
          <w:numId w:val="88"/>
        </w:numPr>
        <w:rPr>
          <w:rFonts w:ascii="Arial" w:cs="Arial" w:eastAsia="Arial" w:hAnsi="Arial"/>
          <w:sz w:val="19"/>
          <w:szCs w:val="19"/>
          <w:color w:val="auto"/>
        </w:rPr>
      </w:pPr>
      <w:r>
        <w:rPr>
          <w:rFonts w:ascii="Arial" w:cs="Arial" w:eastAsia="Arial" w:hAnsi="Arial"/>
          <w:sz w:val="19"/>
          <w:szCs w:val="19"/>
          <w:color w:val="auto"/>
        </w:rPr>
        <w:t>pay to the applicable L/C Issuers and applicable Swing Line Lenders, as the case may be, the amount of any such fee otherwise payable to such Defaulting Lender to the extent allocable to such L/C Issuer’s or such Swing Line Lender’s Fronting Exposure to such Defaulting Lender, and (z) not be required to pay the remaining amount of any such fee.</w:t>
      </w:r>
    </w:p>
    <w:p>
      <w:pPr>
        <w:spacing w:after="0" w:line="193" w:lineRule="exact"/>
        <w:rPr>
          <w:rFonts w:ascii="Arial" w:cs="Arial" w:eastAsia="Arial" w:hAnsi="Arial"/>
          <w:sz w:val="19"/>
          <w:szCs w:val="19"/>
          <w:color w:val="auto"/>
        </w:rPr>
      </w:pPr>
    </w:p>
    <w:p>
      <w:pPr>
        <w:jc w:val="both"/>
        <w:ind w:left="1120" w:firstLine="591"/>
        <w:spacing w:after="0" w:line="282" w:lineRule="auto"/>
        <w:tabs>
          <w:tab w:leader="none" w:pos="2682" w:val="left"/>
        </w:tabs>
        <w:numPr>
          <w:ilvl w:val="2"/>
          <w:numId w:val="88"/>
        </w:numPr>
        <w:rPr>
          <w:rFonts w:ascii="Arial" w:cs="Arial" w:eastAsia="Arial" w:hAnsi="Arial"/>
          <w:sz w:val="18"/>
          <w:szCs w:val="18"/>
          <w:color w:val="auto"/>
        </w:rPr>
      </w:pPr>
      <w:r>
        <w:rPr>
          <w:rFonts w:ascii="Arial" w:cs="Arial" w:eastAsia="Arial" w:hAnsi="Arial"/>
          <w:sz w:val="18"/>
          <w:szCs w:val="18"/>
          <w:u w:val="single" w:color="auto"/>
          <w:color w:val="auto"/>
        </w:rPr>
        <w:t>Reallocation of Applicable Percentages to Reduce Fronting Exposure</w:t>
      </w:r>
      <w:r>
        <w:rPr>
          <w:rFonts w:ascii="Arial" w:cs="Arial" w:eastAsia="Arial" w:hAnsi="Arial"/>
          <w:sz w:val="18"/>
          <w:szCs w:val="18"/>
          <w:color w:val="auto"/>
        </w:rPr>
        <w:t xml:space="preserve">. All or any part of such Defaulting Lender’s participation in L/C Obligations and Swing Line Loans shall be reallocated among the Revolving Credit Lenders that are Non-Defaulting Lenders in accordance with their respective Applicable Revolving Credit Percentages (calculated without regard to such Defaulting Lender’s Revolving Credit Commitment) but only to the extent that such reallocation does not cause the aggregate Revolving Credit Exposure of any Non-Defaulting Lender to exceed such Non-Defaulting Lender’s Revolving Credit Commitment. Subject to </w:t>
      </w:r>
      <w:r>
        <w:rPr>
          <w:rFonts w:ascii="Arial" w:cs="Arial" w:eastAsia="Arial" w:hAnsi="Arial"/>
          <w:sz w:val="18"/>
          <w:szCs w:val="18"/>
          <w:u w:val="single" w:color="auto"/>
          <w:color w:val="auto"/>
        </w:rPr>
        <w:t>Section 10.21</w:t>
      </w:r>
      <w:r>
        <w:rPr>
          <w:rFonts w:ascii="Arial" w:cs="Arial" w:eastAsia="Arial" w:hAnsi="Arial"/>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90" w:lineRule="exact"/>
        <w:rPr>
          <w:rFonts w:ascii="Arial" w:cs="Arial" w:eastAsia="Arial" w:hAnsi="Arial"/>
          <w:sz w:val="18"/>
          <w:szCs w:val="18"/>
          <w:color w:val="auto"/>
        </w:rPr>
      </w:pPr>
    </w:p>
    <w:p>
      <w:pPr>
        <w:jc w:val="both"/>
        <w:ind w:left="1120" w:firstLine="591"/>
        <w:spacing w:after="0" w:line="293" w:lineRule="auto"/>
        <w:tabs>
          <w:tab w:leader="none" w:pos="2627" w:val="left"/>
        </w:tabs>
        <w:numPr>
          <w:ilvl w:val="2"/>
          <w:numId w:val="88"/>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clause (a)(iv)</w:t>
      </w:r>
      <w:r>
        <w:rPr>
          <w:rFonts w:ascii="Arial" w:cs="Arial" w:eastAsia="Arial" w:hAnsi="Arial"/>
          <w:sz w:val="18"/>
          <w:szCs w:val="18"/>
          <w:color w:val="auto"/>
        </w:rPr>
        <w:t xml:space="preserve"> above cannot, or can only partially, be effected, the Borrower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Arial" w:cs="Arial" w:eastAsia="Arial" w:hAnsi="Arial"/>
          <w:sz w:val="18"/>
          <w:szCs w:val="18"/>
          <w:u w:val="single" w:color="auto"/>
          <w:color w:val="auto"/>
        </w:rPr>
        <w:t>Section 2.18</w:t>
      </w:r>
      <w:r>
        <w:rPr>
          <w:rFonts w:ascii="Arial" w:cs="Arial" w:eastAsia="Arial" w:hAnsi="Arial"/>
          <w:sz w:val="18"/>
          <w:szCs w:val="18"/>
          <w:color w:val="auto"/>
        </w:rPr>
        <w:t>.</w:t>
      </w:r>
    </w:p>
    <w:p>
      <w:pPr>
        <w:spacing w:after="0" w:line="169" w:lineRule="exact"/>
        <w:rPr>
          <w:rFonts w:ascii="Arial" w:cs="Arial" w:eastAsia="Arial" w:hAnsi="Arial"/>
          <w:sz w:val="18"/>
          <w:szCs w:val="18"/>
          <w:color w:val="auto"/>
        </w:rPr>
      </w:pPr>
    </w:p>
    <w:p>
      <w:pPr>
        <w:jc w:val="both"/>
        <w:ind w:firstLine="599"/>
        <w:spacing w:after="0" w:line="267" w:lineRule="auto"/>
        <w:tabs>
          <w:tab w:leader="none" w:pos="1432" w:val="left"/>
        </w:tabs>
        <w:numPr>
          <w:ilvl w:val="0"/>
          <w:numId w:val="89"/>
        </w:numPr>
        <w:rPr>
          <w:rFonts w:ascii="Arial" w:cs="Arial" w:eastAsia="Arial" w:hAnsi="Arial"/>
          <w:sz w:val="19"/>
          <w:szCs w:val="19"/>
          <w:color w:val="auto"/>
        </w:rPr>
      </w:pPr>
      <w:r>
        <w:rPr>
          <w:rFonts w:ascii="Arial" w:cs="Arial" w:eastAsia="Arial" w:hAnsi="Arial"/>
          <w:sz w:val="19"/>
          <w:szCs w:val="19"/>
          <w:b w:val="1"/>
          <w:bCs w:val="1"/>
          <w:u w:val="single" w:color="auto"/>
          <w:color w:val="auto"/>
        </w:rPr>
        <w:t>Defaulting Lender Cure</w:t>
      </w:r>
      <w:r>
        <w:rPr>
          <w:rFonts w:ascii="Arial" w:cs="Arial" w:eastAsia="Arial" w:hAnsi="Arial"/>
          <w:sz w:val="19"/>
          <w:szCs w:val="19"/>
          <w:b w:val="1"/>
          <w:bCs w:val="1"/>
          <w:color w:val="auto"/>
        </w:rPr>
        <w:t xml:space="preserve">. </w:t>
      </w:r>
      <w:r>
        <w:rPr>
          <w:rFonts w:ascii="Arial" w:cs="Arial" w:eastAsia="Arial" w:hAnsi="Arial"/>
          <w:sz w:val="19"/>
          <w:szCs w:val="19"/>
          <w:color w:val="auto"/>
        </w:rPr>
        <w:t>If the Borrower, the Administrative Agent, the Swing Line Lenders and the L/C Issuers agree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writing in their sole discretion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Revolving Credit Loans of the other Revolving Credit Lenders or take such other actions as the Administrative Agent may determine to be necessary to cause the Revolving Credit Loans and funded and unfunded participations in Letters of Credit and Swing Line Loans to be held on a pro rata basis by the Revolving Credit Lenders in accordance with their Applicable Revolving Credit Percentages (without giving effect to </w:t>
      </w:r>
      <w:r>
        <w:rPr>
          <w:rFonts w:ascii="Arial" w:cs="Arial" w:eastAsia="Arial" w:hAnsi="Arial"/>
          <w:sz w:val="19"/>
          <w:szCs w:val="19"/>
          <w:u w:val="single" w:color="auto"/>
          <w:color w:val="auto"/>
        </w:rPr>
        <w:t>Section 2.19(a)</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whereupon 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w:t>
      </w:r>
    </w:p>
    <w:p>
      <w:pPr>
        <w:spacing w:after="0" w:line="197"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68</w:t>
      </w:r>
      <w:r>
        <w:rPr>
          <w:rFonts w:ascii="MS PGothic" w:cs="MS PGothic" w:eastAsia="MS PGothic" w:hAnsi="MS PGothic"/>
          <w:sz w:val="20"/>
          <w:szCs w:val="20"/>
          <w:color w:val="auto"/>
        </w:rPr>
        <w:t>‑</w:t>
      </w:r>
    </w:p>
    <w:p>
      <w:pPr>
        <w:sectPr>
          <w:pgSz w:w="11900" w:h="16838" w:orient="portrait"/>
          <w:cols w:equalWidth="0" w:num="1">
            <w:col w:w="11420"/>
          </w:cols>
          <w:pgMar w:left="240" w:top="558" w:right="239" w:bottom="1440" w:gutter="0" w:footer="0" w:header="0"/>
        </w:sectPr>
      </w:pPr>
    </w:p>
    <w:bookmarkStart w:id="80" w:name="page81"/>
    <w:bookmarkEnd w:id="80"/>
    <w:p>
      <w:pPr>
        <w:jc w:val="both"/>
        <w:spacing w:after="0" w:line="256" w:lineRule="auto"/>
        <w:rPr>
          <w:sz w:val="20"/>
          <w:szCs w:val="20"/>
          <w:color w:val="auto"/>
        </w:rPr>
      </w:pPr>
      <w:r>
        <w:rPr>
          <w:rFonts w:ascii="Arial" w:cs="Arial" w:eastAsia="Arial" w:hAnsi="Arial"/>
          <w:sz w:val="20"/>
          <w:szCs w:val="20"/>
          <w:color w:val="auto"/>
        </w:rPr>
        <w:t xml:space="preserve">adjustments will be made retroactively with respect to fees accrued or payments made by or on behalf of the Borrower while that Lender was a Defaulting Lender;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TAXES, YIELD PROTECTION AND ILLEGALITY</w:t>
      </w:r>
    </w:p>
    <w:p>
      <w:pPr>
        <w:spacing w:after="0" w:line="7"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3.01.</w:t>
      </w:r>
      <w:r>
        <w:rPr>
          <w:sz w:val="20"/>
          <w:szCs w:val="20"/>
          <w:color w:val="auto"/>
        </w:rPr>
        <w:tab/>
      </w:r>
      <w:r>
        <w:rPr>
          <w:rFonts w:ascii="Arial" w:cs="Arial" w:eastAsia="Arial" w:hAnsi="Arial"/>
          <w:sz w:val="16"/>
          <w:szCs w:val="16"/>
          <w:u w:val="single" w:color="auto"/>
          <w:color w:val="auto"/>
        </w:rPr>
        <w:t>Taxes</w:t>
      </w:r>
    </w:p>
    <w:p>
      <w:pPr>
        <w:spacing w:after="0" w:line="229" w:lineRule="exact"/>
        <w:rPr>
          <w:sz w:val="20"/>
          <w:szCs w:val="20"/>
          <w:color w:val="auto"/>
        </w:rPr>
      </w:pPr>
    </w:p>
    <w:p>
      <w:pPr>
        <w:jc w:val="both"/>
        <w:ind w:firstLine="599"/>
        <w:spacing w:after="0" w:line="252" w:lineRule="auto"/>
        <w:tabs>
          <w:tab w:leader="none" w:pos="1421"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Payments Free of Taxes; Obligation to Withhold; Payments on Account of Taxes</w:t>
      </w:r>
      <w:r>
        <w:rPr>
          <w:rFonts w:ascii="Arial" w:cs="Arial" w:eastAsia="Arial" w:hAnsi="Arial"/>
          <w:sz w:val="20"/>
          <w:szCs w:val="20"/>
          <w:color w:val="auto"/>
        </w:rPr>
        <w:t xml:space="preserve">. (i) Any and all payments by or on account of any obligation of any Loan Party hereunder or under any Loan Document shall be made without deduction or withholding for any Taxes, except as required by applicable Laws. If any applicable Laws (as determined in the good faith discretion of the Withholding Agent) require the deduction or withholding of any Tax from any such payment by the Withholding Agent, then such Withholding Agent shall be entitled to make such deduction or withholding in accordance with applicable law and upon the basis of the information and documentation to be delivered pursuant to </w:t>
      </w:r>
      <w:r>
        <w:rPr>
          <w:rFonts w:ascii="Arial" w:cs="Arial" w:eastAsia="Arial" w:hAnsi="Arial"/>
          <w:sz w:val="20"/>
          <w:szCs w:val="20"/>
          <w:u w:val="single" w:color="auto"/>
          <w:color w:val="auto"/>
        </w:rPr>
        <w:t>subsection (e)</w:t>
      </w:r>
      <w:r>
        <w:rPr>
          <w:rFonts w:ascii="Arial" w:cs="Arial" w:eastAsia="Arial" w:hAnsi="Arial"/>
          <w:sz w:val="20"/>
          <w:szCs w:val="20"/>
          <w:color w:val="auto"/>
        </w:rPr>
        <w:t xml:space="preserve"> below.</w:t>
      </w:r>
    </w:p>
    <w:p>
      <w:pPr>
        <w:spacing w:after="0" w:line="212" w:lineRule="exact"/>
        <w:rPr>
          <w:rFonts w:ascii="Arial" w:cs="Arial" w:eastAsia="Arial" w:hAnsi="Arial"/>
          <w:sz w:val="20"/>
          <w:szCs w:val="20"/>
          <w:color w:val="auto"/>
        </w:rPr>
      </w:pPr>
    </w:p>
    <w:p>
      <w:pPr>
        <w:jc w:val="both"/>
        <w:ind w:firstLine="1199"/>
        <w:spacing w:after="0" w:line="282" w:lineRule="auto"/>
        <w:tabs>
          <w:tab w:leader="none" w:pos="2043"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If any Withholding Agent shall be required by any applicable Laws to withhold or deduct any Taxes from any payment, then (A) such Withholding Agent, as required by such Laws, shall withhold or make such deductions as are determined by it to be required in accordance with applicable Law and based upon the information and documentation it has received pursuant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below, (B) such Withholding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applicable Recipient receives an amount equal to the sum it would have received had no such withholding or deduction been made.</w:t>
      </w:r>
    </w:p>
    <w:p>
      <w:pPr>
        <w:spacing w:after="0" w:line="190" w:lineRule="exact"/>
        <w:rPr>
          <w:rFonts w:ascii="Arial" w:cs="Arial" w:eastAsia="Arial" w:hAnsi="Arial"/>
          <w:sz w:val="18"/>
          <w:szCs w:val="18"/>
          <w:color w:val="auto"/>
        </w:rPr>
      </w:pPr>
    </w:p>
    <w:p>
      <w:pPr>
        <w:jc w:val="both"/>
        <w:ind w:firstLine="599"/>
        <w:spacing w:after="0" w:line="260" w:lineRule="auto"/>
        <w:tabs>
          <w:tab w:leader="none" w:pos="1432"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Loan Parties</w:t>
      </w:r>
      <w:r>
        <w:rPr>
          <w:rFonts w:ascii="Arial" w:cs="Arial" w:eastAsia="Arial" w:hAnsi="Arial"/>
          <w:sz w:val="20"/>
          <w:szCs w:val="20"/>
          <w:color w:val="auto"/>
        </w:rPr>
        <w:t xml:space="preserve">. Without limiting the provisions of </w:t>
      </w:r>
      <w:r>
        <w:rPr>
          <w:rFonts w:ascii="Arial" w:cs="Arial" w:eastAsia="Arial" w:hAnsi="Arial"/>
          <w:sz w:val="20"/>
          <w:szCs w:val="20"/>
          <w:u w:val="single" w:color="auto"/>
          <w:color w:val="auto"/>
        </w:rPr>
        <w:t>subsection (a)</w:t>
      </w:r>
      <w:r>
        <w:rPr>
          <w:rFonts w:ascii="Arial" w:cs="Arial" w:eastAsia="Arial" w:hAnsi="Arial"/>
          <w:sz w:val="20"/>
          <w:szCs w:val="20"/>
          <w:color w:val="auto"/>
        </w:rPr>
        <w:t xml:space="preserve"> above, the relevant Loan Party shall timely pay to the relevant Governmental Authority in accordance with applicable law, or at the option of the Administrative Agent timely reimburse it for the payment of, any Other Taxes.</w:t>
      </w:r>
    </w:p>
    <w:p>
      <w:pPr>
        <w:spacing w:after="0" w:line="201" w:lineRule="exact"/>
        <w:rPr>
          <w:rFonts w:ascii="Arial" w:cs="Arial" w:eastAsia="Arial" w:hAnsi="Arial"/>
          <w:sz w:val="20"/>
          <w:szCs w:val="20"/>
          <w:color w:val="auto"/>
        </w:rPr>
      </w:pPr>
    </w:p>
    <w:p>
      <w:pPr>
        <w:jc w:val="both"/>
        <w:ind w:firstLine="599"/>
        <w:spacing w:after="0" w:line="265" w:lineRule="auto"/>
        <w:tabs>
          <w:tab w:leader="none" w:pos="1421"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Tax Indemnifications</w:t>
      </w:r>
      <w:r>
        <w:rPr>
          <w:rFonts w:ascii="Arial" w:cs="Arial" w:eastAsia="Arial" w:hAnsi="Arial"/>
          <w:sz w:val="19"/>
          <w:szCs w:val="19"/>
          <w:color w:val="auto"/>
        </w:rPr>
        <w:t xml:space="preserve">. (i) The Borrower shall, and does hereby, indemnify each Recipient, and shall make payment in respect thereof within 10 days after demand therefor, for the full amount of any Indemnified Taxes (including Indemnified Taxes imposed or asserted on or attributable to amounts payable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the L/C Issuer (with a copy to the Administrative Agent, or by the Administrative Agent on its own behalf or on behalf of a Lender or an L/C Issuer, shall be conclusive absent manifest error. The Borrower shall, and does hereby, indemnify the Administrative Agent, and shall make payment in respect thereof within 10 days after demand therefor, for any amount which a Lender or the L/C Issuer for any reason fails to pay indefeasibly to the Administrative Agent as required pursuant to </w:t>
      </w:r>
      <w:r>
        <w:rPr>
          <w:rFonts w:ascii="Arial" w:cs="Arial" w:eastAsia="Arial" w:hAnsi="Arial"/>
          <w:sz w:val="19"/>
          <w:szCs w:val="19"/>
          <w:u w:val="single" w:color="auto"/>
          <w:color w:val="auto"/>
        </w:rPr>
        <w:t>Section 3.01(c)(ii)</w:t>
      </w:r>
      <w:r>
        <w:rPr>
          <w:rFonts w:ascii="Arial" w:cs="Arial" w:eastAsia="Arial" w:hAnsi="Arial"/>
          <w:sz w:val="19"/>
          <w:szCs w:val="19"/>
          <w:color w:val="auto"/>
        </w:rPr>
        <w:t xml:space="preserve"> below.</w:t>
      </w:r>
    </w:p>
    <w:p>
      <w:pPr>
        <w:spacing w:after="0" w:line="200" w:lineRule="exact"/>
        <w:rPr>
          <w:sz w:val="20"/>
          <w:szCs w:val="20"/>
          <w:color w:val="auto"/>
        </w:rPr>
      </w:pPr>
    </w:p>
    <w:p>
      <w:pPr>
        <w:spacing w:after="0" w:line="23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69</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81" w:name="page82"/>
    <w:bookmarkEnd w:id="81"/>
    <w:p>
      <w:pPr>
        <w:jc w:val="both"/>
        <w:ind w:firstLine="1199"/>
        <w:spacing w:after="0" w:line="280" w:lineRule="auto"/>
        <w:tabs>
          <w:tab w:leader="none" w:pos="2043"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Each Lender and the L/C Issuer shall, and does hereby, severally indemnify, and shall make payment in respect thereof within 10 days after demand therefor, (x) the Administrative Agent against any Indemnified Taxes attributable to such Lender or the L/C Issuer (but only to the extent that the Borrower has not already indemnified the Administrative Agent for such Indemnified Taxes and without limiting the obligation of the Borrower to do so), (y) the Administrative Agent and the Borrower, as applicable, against any Taxes attributable to such Lender’s failure to comply with the provisions of </w:t>
      </w:r>
      <w:r>
        <w:rPr>
          <w:rFonts w:ascii="Arial" w:cs="Arial" w:eastAsia="Arial" w:hAnsi="Arial"/>
          <w:sz w:val="18"/>
          <w:szCs w:val="18"/>
          <w:u w:val="single" w:color="auto"/>
          <w:color w:val="auto"/>
        </w:rPr>
        <w:t>Section 10.06(d)</w:t>
      </w:r>
      <w:r>
        <w:rPr>
          <w:rFonts w:ascii="Arial" w:cs="Arial" w:eastAsia="Arial" w:hAnsi="Arial"/>
          <w:sz w:val="18"/>
          <w:szCs w:val="18"/>
          <w:color w:val="auto"/>
        </w:rPr>
        <w:t xml:space="preserve"> relating to the maintenance of a Participant Register and (z) the Administrative Agent and the Borrower, as applicable, against any Excluded Taxes attributable to such Lender or such L/C Issuer, in each case, that are payable or paid by the Administrative Agent or the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the L/C Issuer hereby authorizes the Administrative Agent to set off and apply any and all amounts at any time owing to such Lender or such L/C Issuer, as the case may be, under this Agreement or any other Loan Document against any amount due to the Administrative Agent under this </w:t>
      </w:r>
      <w:r>
        <w:rPr>
          <w:rFonts w:ascii="Arial" w:cs="Arial" w:eastAsia="Arial" w:hAnsi="Arial"/>
          <w:sz w:val="18"/>
          <w:szCs w:val="18"/>
          <w:u w:val="single" w:color="auto"/>
          <w:color w:val="auto"/>
        </w:rPr>
        <w:t>clause (ii)</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599"/>
        <w:spacing w:after="0" w:line="288" w:lineRule="auto"/>
        <w:tabs>
          <w:tab w:leader="none" w:pos="1432"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Upon request by the Borrower or the Administrative Agent, as the case may be, after any payment of Taxes by the Borrower or by the Administrative Agent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81" w:lineRule="exact"/>
        <w:rPr>
          <w:rFonts w:ascii="Arial" w:cs="Arial" w:eastAsia="Arial" w:hAnsi="Arial"/>
          <w:sz w:val="18"/>
          <w:szCs w:val="18"/>
          <w:color w:val="auto"/>
        </w:rPr>
      </w:pPr>
    </w:p>
    <w:p>
      <w:pPr>
        <w:ind w:left="1420" w:hanging="821"/>
        <w:spacing w:after="0"/>
        <w:tabs>
          <w:tab w:leader="none" w:pos="1420"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Status of Lenders; Tax Documentation.</w:t>
      </w:r>
    </w:p>
    <w:p>
      <w:pPr>
        <w:spacing w:after="0" w:line="244" w:lineRule="exact"/>
        <w:rPr>
          <w:rFonts w:ascii="Arial" w:cs="Arial" w:eastAsia="Arial" w:hAnsi="Arial"/>
          <w:sz w:val="20"/>
          <w:szCs w:val="20"/>
          <w:color w:val="auto"/>
        </w:rPr>
      </w:pPr>
    </w:p>
    <w:p>
      <w:pPr>
        <w:jc w:val="both"/>
        <w:ind w:firstLine="1199"/>
        <w:spacing w:after="0" w:line="264" w:lineRule="auto"/>
        <w:tabs>
          <w:tab w:leader="none" w:pos="1987" w:val="left"/>
        </w:tabs>
        <w:numPr>
          <w:ilvl w:val="1"/>
          <w:numId w:val="92"/>
        </w:numPr>
        <w:rPr>
          <w:rFonts w:ascii="Arial" w:cs="Arial" w:eastAsia="Arial" w:hAnsi="Arial"/>
          <w:sz w:val="19"/>
          <w:szCs w:val="19"/>
          <w:color w:val="auto"/>
        </w:rPr>
      </w:pPr>
      <w:r>
        <w:rPr>
          <w:rFonts w:ascii="Arial" w:cs="Arial" w:eastAsia="Arial" w:hAnsi="Arial"/>
          <w:sz w:val="19"/>
          <w:szCs w:val="19"/>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9"/>
          <w:szCs w:val="19"/>
          <w:u w:val="single" w:color="auto"/>
          <w:color w:val="auto"/>
        </w:rPr>
        <w:t>Section 3.01(e)(ii)(A)</w:t>
      </w:r>
      <w:r>
        <w:rPr>
          <w:rFonts w:ascii="Arial" w:cs="Arial" w:eastAsia="Arial" w:hAnsi="Arial"/>
          <w:sz w:val="19"/>
          <w:szCs w:val="19"/>
          <w:color w:val="auto"/>
        </w:rPr>
        <w:t xml:space="preserve">, </w:t>
      </w:r>
      <w:r>
        <w:rPr>
          <w:rFonts w:ascii="Arial" w:cs="Arial" w:eastAsia="Arial" w:hAnsi="Arial"/>
          <w:sz w:val="19"/>
          <w:szCs w:val="19"/>
          <w:u w:val="single" w:color="auto"/>
          <w:color w:val="auto"/>
        </w:rPr>
        <w:t>(ii)(B)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(ii)(D)</w:t>
      </w:r>
      <w:r>
        <w:rPr>
          <w:rFonts w:ascii="Arial" w:cs="Arial" w:eastAsia="Arial" w:hAnsi="Arial"/>
          <w:sz w:val="19"/>
          <w:szCs w:val="19"/>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04" w:lineRule="exact"/>
        <w:rPr>
          <w:sz w:val="20"/>
          <w:szCs w:val="20"/>
          <w:color w:val="auto"/>
        </w:rPr>
      </w:pPr>
    </w:p>
    <w:p>
      <w:pPr>
        <w:ind w:left="2040" w:hanging="841"/>
        <w:spacing w:after="0"/>
        <w:tabs>
          <w:tab w:leader="none" w:pos="2040" w:val="left"/>
        </w:tabs>
        <w:numPr>
          <w:ilvl w:val="0"/>
          <w:numId w:val="93"/>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the Borrower is a U.S. Person,</w:t>
      </w:r>
    </w:p>
    <w:p>
      <w:pPr>
        <w:spacing w:after="0" w:line="245" w:lineRule="exact"/>
        <w:rPr>
          <w:sz w:val="20"/>
          <w:szCs w:val="20"/>
          <w:color w:val="auto"/>
        </w:rPr>
      </w:pPr>
    </w:p>
    <w:p>
      <w:pPr>
        <w:jc w:val="both"/>
        <w:ind w:left="600" w:firstLine="599"/>
        <w:spacing w:after="0" w:line="302" w:lineRule="auto"/>
        <w:tabs>
          <w:tab w:leader="none" w:pos="2076"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Administrative Agent and any Lender that is a U.S. Person shall deliver to the Borrower and the Administrative Agent on or prior to the date on which the Administrative Agent or such Lender becomes the Administrative Agent or a Lender under this Agreement (and from time to time thereafter upon the reasonable request of the Borrower or the Administrative Agent), executed</w:t>
      </w:r>
    </w:p>
    <w:p>
      <w:pPr>
        <w:spacing w:after="0" w:line="168"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70</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82" w:name="page83"/>
    <w:bookmarkEnd w:id="82"/>
    <w:p>
      <w:pPr>
        <w:spacing w:after="0"/>
        <w:rPr>
          <w:sz w:val="20"/>
          <w:szCs w:val="20"/>
          <w:color w:val="auto"/>
        </w:rPr>
      </w:pPr>
      <w:r>
        <w:rPr>
          <w:rFonts w:ascii="Arial" w:cs="Arial" w:eastAsia="Arial" w:hAnsi="Arial"/>
          <w:sz w:val="20"/>
          <w:szCs w:val="20"/>
          <w:color w:val="auto"/>
        </w:rPr>
        <w:t>copies of IRS Form W-9 certifying that such Lender is exempt from U.S. federal backup withholding tax;</w:t>
      </w:r>
    </w:p>
    <w:p>
      <w:pPr>
        <w:spacing w:after="0" w:line="245" w:lineRule="exact"/>
        <w:rPr>
          <w:sz w:val="20"/>
          <w:szCs w:val="20"/>
          <w:color w:val="auto"/>
        </w:rPr>
      </w:pPr>
    </w:p>
    <w:p>
      <w:pPr>
        <w:jc w:val="both"/>
        <w:ind w:firstLine="599"/>
        <w:spacing w:after="0" w:line="256" w:lineRule="auto"/>
        <w:tabs>
          <w:tab w:leader="none" w:pos="1465" w:val="left"/>
        </w:tabs>
        <w:numPr>
          <w:ilvl w:val="0"/>
          <w:numId w:val="95"/>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205" w:lineRule="exact"/>
        <w:rPr>
          <w:rFonts w:ascii="Arial" w:cs="Arial" w:eastAsia="Arial" w:hAnsi="Arial"/>
          <w:sz w:val="20"/>
          <w:szCs w:val="20"/>
          <w:color w:val="auto"/>
        </w:rPr>
      </w:pPr>
    </w:p>
    <w:p>
      <w:pPr>
        <w:jc w:val="both"/>
        <w:ind w:left="1200" w:firstLine="598"/>
        <w:spacing w:after="0" w:line="286" w:lineRule="auto"/>
        <w:tabs>
          <w:tab w:leader="none" w:pos="2599" w:val="left"/>
        </w:tabs>
        <w:numPr>
          <w:ilvl w:val="1"/>
          <w:numId w:val="95"/>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81" w:lineRule="exact"/>
        <w:rPr>
          <w:sz w:val="20"/>
          <w:szCs w:val="20"/>
          <w:color w:val="auto"/>
        </w:rPr>
      </w:pPr>
    </w:p>
    <w:p>
      <w:pPr>
        <w:ind w:left="2660" w:hanging="862"/>
        <w:spacing w:after="0"/>
        <w:tabs>
          <w:tab w:leader="none" w:pos="2660" w:val="left"/>
        </w:tabs>
        <w:numPr>
          <w:ilvl w:val="0"/>
          <w:numId w:val="96"/>
        </w:numPr>
        <w:rPr>
          <w:rFonts w:ascii="Arial" w:cs="Arial" w:eastAsia="Arial" w:hAnsi="Arial"/>
          <w:sz w:val="20"/>
          <w:szCs w:val="20"/>
          <w:color w:val="auto"/>
        </w:rPr>
      </w:pPr>
      <w:r>
        <w:rPr>
          <w:rFonts w:ascii="Arial" w:cs="Arial" w:eastAsia="Arial" w:hAnsi="Arial"/>
          <w:sz w:val="20"/>
          <w:szCs w:val="20"/>
          <w:color w:val="auto"/>
        </w:rPr>
        <w:t>executed copies of IRS Form W-8ECI;</w:t>
      </w:r>
    </w:p>
    <w:p>
      <w:pPr>
        <w:spacing w:after="0" w:line="245" w:lineRule="exact"/>
        <w:rPr>
          <w:sz w:val="20"/>
          <w:szCs w:val="20"/>
          <w:color w:val="auto"/>
        </w:rPr>
      </w:pPr>
    </w:p>
    <w:p>
      <w:pPr>
        <w:jc w:val="both"/>
        <w:ind w:left="1200" w:firstLine="598"/>
        <w:spacing w:after="0" w:line="252" w:lineRule="auto"/>
        <w:tabs>
          <w:tab w:leader="none" w:pos="2732" w:val="left"/>
        </w:tabs>
        <w:numPr>
          <w:ilvl w:val="0"/>
          <w:numId w:val="97"/>
        </w:numPr>
        <w:rPr>
          <w:rFonts w:ascii="Arial" w:cs="Arial" w:eastAsia="Arial" w:hAnsi="Arial"/>
          <w:sz w:val="20"/>
          <w:szCs w:val="20"/>
          <w:color w:val="auto"/>
        </w:rPr>
      </w:pPr>
      <w:r>
        <w:rPr>
          <w:rFonts w:ascii="Arial" w:cs="Arial" w:eastAsia="Arial" w:hAnsi="Arial"/>
          <w:sz w:val="20"/>
          <w:szCs w:val="20"/>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20"/>
          <w:szCs w:val="20"/>
          <w:u w:val="single" w:color="auto"/>
          <w:color w:val="auto"/>
        </w:rPr>
        <w:t>Exhibit H-1</w:t>
      </w:r>
      <w:r>
        <w:rPr>
          <w:rFonts w:ascii="Arial" w:cs="Arial" w:eastAsia="Arial" w:hAnsi="Arial"/>
          <w:sz w:val="20"/>
          <w:szCs w:val="20"/>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and (y) executed copies of IRS Form W-8BENE (or W-8BEN, as applicable); or</w:t>
      </w:r>
    </w:p>
    <w:p>
      <w:pPr>
        <w:spacing w:after="0" w:line="212" w:lineRule="exact"/>
        <w:rPr>
          <w:sz w:val="20"/>
          <w:szCs w:val="20"/>
          <w:color w:val="auto"/>
        </w:rPr>
      </w:pPr>
    </w:p>
    <w:p>
      <w:pPr>
        <w:jc w:val="both"/>
        <w:ind w:left="1200" w:firstLine="600"/>
        <w:spacing w:after="0" w:line="251" w:lineRule="auto"/>
        <w:rPr>
          <w:sz w:val="20"/>
          <w:szCs w:val="20"/>
          <w:color w:val="auto"/>
        </w:rPr>
      </w:pPr>
      <w:r>
        <w:rPr>
          <w:rFonts w:ascii="Arial" w:cs="Arial" w:eastAsia="Arial" w:hAnsi="Arial"/>
          <w:sz w:val="20"/>
          <w:szCs w:val="20"/>
          <w:color w:val="auto"/>
        </w:rPr>
        <w:t xml:space="preserve">(IV) to the extent a Foreign Lender is not the beneficial owner, executed copies of IRS Form W-8IMY, accompanied by IRS Form W-8ECI, IRS Form W-8BENE (or W-8BEN, as applicable), a U.S. Tax Compliance Certificate substantially in the form of </w:t>
      </w:r>
      <w:r>
        <w:rPr>
          <w:rFonts w:ascii="Arial" w:cs="Arial" w:eastAsia="Arial" w:hAnsi="Arial"/>
          <w:sz w:val="20"/>
          <w:szCs w:val="20"/>
          <w:u w:val="single" w:color="auto"/>
          <w:color w:val="auto"/>
        </w:rPr>
        <w:t>Exhibit H-2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Exhibit H-3</w:t>
      </w:r>
      <w:r>
        <w:rPr>
          <w:rFonts w:ascii="Arial" w:cs="Arial" w:eastAsia="Arial" w:hAnsi="Arial"/>
          <w:sz w:val="20"/>
          <w:szCs w:val="20"/>
          <w:color w:val="auto"/>
        </w:rPr>
        <w:t xml:space="preserve">, IRS Form W-9, and/or other certification documents from each beneficial owner, as applicable;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20"/>
          <w:szCs w:val="20"/>
          <w:u w:val="single" w:color="auto"/>
          <w:color w:val="auto"/>
        </w:rPr>
        <w:t>Exhibit H-4</w:t>
      </w:r>
      <w:r>
        <w:rPr>
          <w:rFonts w:ascii="Arial" w:cs="Arial" w:eastAsia="Arial" w:hAnsi="Arial"/>
          <w:sz w:val="20"/>
          <w:szCs w:val="20"/>
          <w:color w:val="auto"/>
        </w:rPr>
        <w:t xml:space="preserve"> on behalf of each such direct and indirect partner;</w:t>
      </w:r>
    </w:p>
    <w:p>
      <w:pPr>
        <w:spacing w:after="0" w:line="215" w:lineRule="exact"/>
        <w:rPr>
          <w:sz w:val="20"/>
          <w:szCs w:val="20"/>
          <w:color w:val="auto"/>
        </w:rPr>
      </w:pPr>
    </w:p>
    <w:p>
      <w:pPr>
        <w:jc w:val="both"/>
        <w:ind w:firstLine="599"/>
        <w:spacing w:after="0" w:line="286" w:lineRule="auto"/>
        <w:tabs>
          <w:tab w:leader="none" w:pos="146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1" w:lineRule="exact"/>
        <w:rPr>
          <w:sz w:val="20"/>
          <w:szCs w:val="20"/>
          <w:color w:val="auto"/>
        </w:rPr>
      </w:pPr>
    </w:p>
    <w:p>
      <w:pPr>
        <w:ind w:left="494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71</w:t>
      </w:r>
      <w:r>
        <w:rPr>
          <w:rFonts w:ascii="MS PGothic" w:cs="MS PGothic" w:eastAsia="MS PGothic" w:hAnsi="MS PGothic"/>
          <w:sz w:val="20"/>
          <w:szCs w:val="20"/>
          <w:color w:val="auto"/>
        </w:rPr>
        <w:t>‑</w:t>
      </w:r>
    </w:p>
    <w:p>
      <w:pPr>
        <w:sectPr>
          <w:pgSz w:w="11900" w:h="16838" w:orient="portrait"/>
          <w:cols w:equalWidth="0" w:num="1">
            <w:col w:w="10820"/>
          </w:cols>
          <w:pgMar w:left="840" w:top="557" w:right="239" w:bottom="1440" w:gutter="0" w:footer="0" w:header="0"/>
        </w:sectPr>
      </w:pPr>
    </w:p>
    <w:bookmarkStart w:id="83" w:name="page84"/>
    <w:bookmarkEnd w:id="83"/>
    <w:p>
      <w:pPr>
        <w:jc w:val="both"/>
        <w:ind w:left="600" w:firstLine="599"/>
        <w:spacing w:after="0" w:line="281" w:lineRule="auto"/>
        <w:tabs>
          <w:tab w:leader="none" w:pos="2076"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Restatement Effective Date.</w:t>
      </w:r>
    </w:p>
    <w:p>
      <w:pPr>
        <w:spacing w:after="0" w:line="192" w:lineRule="exact"/>
        <w:rPr>
          <w:sz w:val="20"/>
          <w:szCs w:val="20"/>
          <w:color w:val="auto"/>
        </w:rPr>
      </w:pPr>
    </w:p>
    <w:p>
      <w:pPr>
        <w:jc w:val="both"/>
        <w:ind w:firstLine="1199"/>
        <w:spacing w:after="0" w:line="260" w:lineRule="auto"/>
        <w:tabs>
          <w:tab w:leader="none" w:pos="2098" w:val="left"/>
        </w:tabs>
        <w:numPr>
          <w:ilvl w:val="1"/>
          <w:numId w:val="100"/>
        </w:numPr>
        <w:rPr>
          <w:rFonts w:ascii="Arial" w:cs="Arial" w:eastAsia="Arial" w:hAnsi="Arial"/>
          <w:sz w:val="20"/>
          <w:szCs w:val="20"/>
          <w:color w:val="auto"/>
        </w:rPr>
      </w:pPr>
      <w:r>
        <w:rPr>
          <w:rFonts w:ascii="Arial" w:cs="Arial" w:eastAsia="Arial" w:hAnsi="Arial"/>
          <w:sz w:val="20"/>
          <w:szCs w:val="20"/>
          <w:color w:val="auto"/>
        </w:rPr>
        <w:t xml:space="preserve">Each Lender agrees that if any form or certification it previously delivered pursuant to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201" w:lineRule="exact"/>
        <w:rPr>
          <w:rFonts w:ascii="Arial" w:cs="Arial" w:eastAsia="Arial" w:hAnsi="Arial"/>
          <w:sz w:val="20"/>
          <w:szCs w:val="20"/>
          <w:color w:val="auto"/>
        </w:rPr>
      </w:pPr>
    </w:p>
    <w:p>
      <w:pPr>
        <w:jc w:val="both"/>
        <w:ind w:firstLine="1199"/>
        <w:spacing w:after="0" w:line="256" w:lineRule="auto"/>
        <w:tabs>
          <w:tab w:leader="none" w:pos="2087" w:val="left"/>
        </w:tabs>
        <w:numPr>
          <w:ilvl w:val="1"/>
          <w:numId w:val="100"/>
        </w:numPr>
        <w:rPr>
          <w:rFonts w:ascii="Arial" w:cs="Arial" w:eastAsia="Arial" w:hAnsi="Arial"/>
          <w:sz w:val="20"/>
          <w:szCs w:val="20"/>
          <w:color w:val="auto"/>
        </w:rPr>
      </w:pPr>
      <w:r>
        <w:rPr>
          <w:rFonts w:ascii="Arial" w:cs="Arial" w:eastAsia="Arial" w:hAnsi="Arial"/>
          <w:sz w:val="20"/>
          <w:szCs w:val="20"/>
          <w:color w:val="auto"/>
        </w:rPr>
        <w:t>For purposes of determining withholding Taxes imposed under FATCA, from and after the Restatement Effective Date, the Borrower and the Administrative Agent shall treat (and the Lenders and L/C Issuers hereby authorize the Administrative Agent to treat) the Loan Documents and the Credit Extensions as not qualifying as "grandfathered obligations" within the meaning of Treasury Regulation Section 1.1471-2(b)(2)(i).</w:t>
      </w:r>
    </w:p>
    <w:p>
      <w:pPr>
        <w:spacing w:after="0" w:line="205" w:lineRule="exact"/>
        <w:rPr>
          <w:rFonts w:ascii="Arial" w:cs="Arial" w:eastAsia="Arial" w:hAnsi="Arial"/>
          <w:sz w:val="20"/>
          <w:szCs w:val="20"/>
          <w:color w:val="auto"/>
        </w:rPr>
      </w:pPr>
    </w:p>
    <w:p>
      <w:pPr>
        <w:jc w:val="both"/>
        <w:ind w:firstLine="599"/>
        <w:spacing w:after="0" w:line="278" w:lineRule="auto"/>
        <w:tabs>
          <w:tab w:leader="none" w:pos="1399"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xml:space="preserve">. Unless required by applicable Laws, at no time shall the Administrative Agent have any obligation to file for or otherwise pursue on behalf of a Lender or an L/C Issuer, or have any obligation to pay to any Lender or any L/C Issuer, any refund of Taxes withheld or deducted from funds paid for the account of such Lender or such L/C Issuer, as the case may be. If any Recipient determines, in its sole discretion exercised in good faith, that it has received a refund of any Taxes as to which it has been indemnified by the Borrower or with respect to which the Borrower has paid additional amounts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it shall pay to the Borrower an amount equal to such refund (but only to the extent of indemnity payments made, or additional amounts paid, by the Borrower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upon the request of the Recipient, agrees to repay the amount paid over to the Borrower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Borrower pursuant to this subsection the payment of which would place the Recipient in a less favorable net after-Tax position than such Recipient would have been in if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Borrower or any other Person.</w:t>
      </w:r>
    </w:p>
    <w:p>
      <w:pPr>
        <w:spacing w:after="0" w:line="198" w:lineRule="exact"/>
        <w:rPr>
          <w:rFonts w:ascii="Arial" w:cs="Arial" w:eastAsia="Arial" w:hAnsi="Arial"/>
          <w:sz w:val="18"/>
          <w:szCs w:val="18"/>
          <w:color w:val="auto"/>
        </w:rPr>
      </w:pPr>
    </w:p>
    <w:p>
      <w:pPr>
        <w:ind w:firstLine="599"/>
        <w:spacing w:after="0" w:line="272" w:lineRule="auto"/>
        <w:tabs>
          <w:tab w:leader="none" w:pos="1432"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shall survive the resignation or replacement of the Administrative Agent or any assignment of rights by, or the replacement of, a Lender or</w:t>
      </w:r>
    </w:p>
    <w:p>
      <w:pPr>
        <w:spacing w:after="0" w:line="19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72</w:t>
      </w:r>
      <w:r>
        <w:rPr>
          <w:rFonts w:ascii="MS PGothic" w:cs="MS PGothic" w:eastAsia="MS PGothic" w:hAnsi="MS PGothic"/>
          <w:sz w:val="20"/>
          <w:szCs w:val="20"/>
          <w:color w:val="auto"/>
        </w:rPr>
        <w:t>‑</w:t>
      </w:r>
    </w:p>
    <w:p>
      <w:pPr>
        <w:sectPr>
          <w:pgSz w:w="11900" w:h="16838" w:orient="portrait"/>
          <w:cols w:equalWidth="0" w:num="1">
            <w:col w:w="11420"/>
          </w:cols>
          <w:pgMar w:left="240" w:top="558" w:right="239" w:bottom="1440" w:gutter="0" w:footer="0" w:header="0"/>
        </w:sectPr>
      </w:pPr>
    </w:p>
    <w:bookmarkStart w:id="84" w:name="page85"/>
    <w:bookmarkEnd w:id="84"/>
    <w:p>
      <w:pPr>
        <w:spacing w:after="0"/>
        <w:rPr>
          <w:sz w:val="20"/>
          <w:szCs w:val="20"/>
          <w:color w:val="auto"/>
        </w:rPr>
      </w:pPr>
      <w:r>
        <w:rPr>
          <w:rFonts w:ascii="Arial" w:cs="Arial" w:eastAsia="Arial" w:hAnsi="Arial"/>
          <w:sz w:val="20"/>
          <w:szCs w:val="20"/>
          <w:color w:val="auto"/>
        </w:rPr>
        <w:t>an L/C Issuer, the termination of the Commitments and the repayment, satisfaction or discharge of all other Obligations.</w:t>
      </w:r>
    </w:p>
    <w:p>
      <w:pPr>
        <w:spacing w:after="0" w:line="245" w:lineRule="exact"/>
        <w:rPr>
          <w:sz w:val="20"/>
          <w:szCs w:val="20"/>
          <w:color w:val="auto"/>
        </w:rPr>
      </w:pPr>
    </w:p>
    <w:p>
      <w:pPr>
        <w:jc w:val="both"/>
        <w:ind w:firstLine="599"/>
        <w:spacing w:after="0" w:line="277" w:lineRule="auto"/>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Illegality</w:t>
      </w:r>
      <w:r>
        <w:rPr>
          <w:rFonts w:ascii="Arial" w:cs="Arial" w:eastAsia="Arial" w:hAnsi="Arial"/>
          <w:sz w:val="18"/>
          <w:szCs w:val="18"/>
          <w:color w:val="auto"/>
        </w:rPr>
        <w:t>. If any Lender determines that any Law has made it unlawful, or that any Governmental Authority has asserted that it is unlawful, for any Lender or its applicable Lending Office to make, maintain or fund Loans whose interest is determined by reference to the Eurodollar Rate,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make or continue Eurodollar Rate Loans or to convert Base Rate Loans to Eurodollar Rate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w:t>
      </w:r>
    </w:p>
    <w:p>
      <w:pPr>
        <w:jc w:val="both"/>
        <w:spacing w:after="0" w:line="248" w:lineRule="auto"/>
        <w:tabs>
          <w:tab w:leader="none" w:pos="316"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p>
    <w:p>
      <w:pPr>
        <w:spacing w:after="0" w:line="218" w:lineRule="exact"/>
        <w:rPr>
          <w:sz w:val="20"/>
          <w:szCs w:val="20"/>
          <w:color w:val="auto"/>
        </w:rPr>
      </w:pPr>
    </w:p>
    <w:p>
      <w:pPr>
        <w:jc w:val="both"/>
        <w:ind w:firstLine="599"/>
        <w:spacing w:after="0" w:line="279" w:lineRule="auto"/>
        <w:rPr>
          <w:sz w:val="20"/>
          <w:szCs w:val="20"/>
          <w:color w:val="auto"/>
        </w:rPr>
      </w:pPr>
      <w:r>
        <w:rPr>
          <w:rFonts w:ascii="Arial" w:cs="Arial" w:eastAsia="Arial" w:hAnsi="Arial"/>
          <w:sz w:val="18"/>
          <w:szCs w:val="18"/>
          <w:color w:val="auto"/>
        </w:rPr>
        <w:t xml:space="preserve">3.03. </w:t>
      </w:r>
      <w:r>
        <w:rPr>
          <w:rFonts w:ascii="Arial" w:cs="Arial" w:eastAsia="Arial" w:hAnsi="Arial"/>
          <w:sz w:val="18"/>
          <w:szCs w:val="18"/>
          <w:u w:val="single" w:color="auto"/>
          <w:color w:val="auto"/>
        </w:rPr>
        <w:t>Inability to Determine Rates</w:t>
      </w:r>
      <w:r>
        <w:rPr>
          <w:rFonts w:ascii="Arial" w:cs="Arial" w:eastAsia="Arial" w:hAnsi="Arial"/>
          <w:sz w:val="18"/>
          <w:szCs w:val="18"/>
          <w:color w:val="auto"/>
        </w:rPr>
        <w:t>. If in connection with any request for a Eurodollar Rate Loan or a conversion to or continuation thereof, (a) the Administrative Agent determines that (i) Dollar deposits are not being offered to banks in the applicable offshore interbank market for such currency for the applicable amount and Interest Period of such Eurodollar Rate Loan or (ii) adequate and reasonable means do not exist for determining the Eurodollar Rate for any requested Interest Period with respect to a proposed Eurodollar Rate Loan or in connection with an existing or proposed Base Rate Loan (in each case with respect to clause (a)(i) above, “</w:t>
      </w:r>
      <w:r>
        <w:rPr>
          <w:rFonts w:ascii="Arial" w:cs="Arial" w:eastAsia="Arial" w:hAnsi="Arial"/>
          <w:sz w:val="18"/>
          <w:szCs w:val="18"/>
          <w:u w:val="single" w:color="auto"/>
          <w:color w:val="auto"/>
        </w:rPr>
        <w:t>Impacted Loans</w:t>
      </w:r>
      <w:r>
        <w:rPr>
          <w:rFonts w:ascii="Arial" w:cs="Arial" w:eastAsia="Arial" w:hAnsi="Arial"/>
          <w:sz w:val="18"/>
          <w:szCs w:val="18"/>
          <w:color w:val="auto"/>
        </w:rPr>
        <w:t>”) or (b) the Administrative Agent or the Required Lenders determine that for any reason the Eurodollar Rate for any requested Interest Period with respect to a proposed Eurodollar Rate Loan does not adequately and fairly reflect the cost to such Lenders of funding such Eurodollar Rate Loan, the Administrative Agent will promptly so notify the Borrower and each Lender. Thereafter, (x) the obligation of the Lenders to make or maintain Eurodollar Rate Loans shall be suspended, (to the extent of the affected Eurodollar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19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73</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85" w:name="page86"/>
    <w:bookmarkEnd w:id="85"/>
    <w:p>
      <w:pPr>
        <w:jc w:val="both"/>
        <w:ind w:firstLine="599"/>
        <w:spacing w:after="0" w:line="281" w:lineRule="auto"/>
        <w:rPr>
          <w:sz w:val="20"/>
          <w:szCs w:val="20"/>
          <w:color w:val="auto"/>
        </w:rPr>
      </w:pPr>
      <w:r>
        <w:rPr>
          <w:rFonts w:ascii="Arial" w:cs="Arial" w:eastAsia="Arial" w:hAnsi="Arial"/>
          <w:sz w:val="18"/>
          <w:szCs w:val="18"/>
          <w:color w:val="auto"/>
        </w:rPr>
        <w:t>Notwithstanding the foregoing, if the Administrative Agent has made the determination described in clause (a)(i) of the first sentence of this section, the Administrative Agent, in consultation with the Borrower and the affected Lenders, may establish an alternative interest rate for the Impacted Loans, in which case, such alternative rate of interest shall apply with respect to the Impacted Loans until (1) the Administrative Agent revokes the notice delivered with respect to the Impacted Loans under clause (a) of the first sentence of this section, (2) the Administrative Agent determines, or the affected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149"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3.04.</w:t>
      </w:r>
      <w:r>
        <w:rPr>
          <w:sz w:val="20"/>
          <w:szCs w:val="20"/>
          <w:color w:val="auto"/>
        </w:rPr>
        <w:tab/>
      </w:r>
      <w:r>
        <w:rPr>
          <w:rFonts w:ascii="Arial" w:cs="Arial" w:eastAsia="Arial" w:hAnsi="Arial"/>
          <w:sz w:val="17"/>
          <w:szCs w:val="17"/>
          <w:u w:val="single" w:color="auto"/>
          <w:color w:val="auto"/>
        </w:rPr>
        <w:t>Increased Costs; Reserves on Eurodollar Rate Loans</w:t>
      </w:r>
      <w:r>
        <w:rPr>
          <w:rFonts w:ascii="Arial" w:cs="Arial" w:eastAsia="Arial" w:hAnsi="Arial"/>
          <w:sz w:val="17"/>
          <w:szCs w:val="17"/>
          <w:color w:val="auto"/>
        </w:rPr>
        <w:t>.</w:t>
      </w:r>
    </w:p>
    <w:p>
      <w:pPr>
        <w:spacing w:after="0" w:line="245" w:lineRule="exact"/>
        <w:rPr>
          <w:sz w:val="20"/>
          <w:szCs w:val="20"/>
          <w:color w:val="auto"/>
        </w:rPr>
      </w:pPr>
    </w:p>
    <w:p>
      <w:pPr>
        <w:ind w:left="1420" w:hanging="821"/>
        <w:spacing w:after="0"/>
        <w:tabs>
          <w:tab w:leader="none" w:pos="1420"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44" w:lineRule="exact"/>
        <w:rPr>
          <w:rFonts w:ascii="Arial" w:cs="Arial" w:eastAsia="Arial" w:hAnsi="Arial"/>
          <w:sz w:val="20"/>
          <w:szCs w:val="20"/>
          <w:color w:val="auto"/>
        </w:rPr>
      </w:pPr>
    </w:p>
    <w:p>
      <w:pPr>
        <w:jc w:val="both"/>
        <w:ind w:left="600" w:firstLine="1198"/>
        <w:spacing w:after="0" w:line="260" w:lineRule="auto"/>
        <w:tabs>
          <w:tab w:leader="none" w:pos="2587" w:val="left"/>
        </w:tabs>
        <w:numPr>
          <w:ilvl w:val="1"/>
          <w:numId w:val="103"/>
        </w:numPr>
        <w:rPr>
          <w:rFonts w:ascii="Arial" w:cs="Arial" w:eastAsia="Arial" w:hAnsi="Arial"/>
          <w:sz w:val="20"/>
          <w:szCs w:val="20"/>
          <w:color w:val="auto"/>
        </w:rPr>
      </w:pPr>
      <w:r>
        <w:rPr>
          <w:rFonts w:ascii="Arial" w:cs="Arial" w:eastAsia="Arial" w:hAnsi="Arial"/>
          <w:sz w:val="20"/>
          <w:szCs w:val="20"/>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20"/>
          <w:szCs w:val="20"/>
          <w:u w:val="single" w:color="auto"/>
          <w:color w:val="auto"/>
        </w:rPr>
        <w:t>Section 3.04(e)</w:t>
      </w:r>
      <w:r>
        <w:rPr>
          <w:rFonts w:ascii="Arial" w:cs="Arial" w:eastAsia="Arial" w:hAnsi="Arial"/>
          <w:sz w:val="20"/>
          <w:szCs w:val="20"/>
          <w:color w:val="auto"/>
        </w:rPr>
        <w:t>) or the L/C Issuer;</w:t>
      </w:r>
    </w:p>
    <w:p>
      <w:pPr>
        <w:spacing w:after="0" w:line="201" w:lineRule="exact"/>
        <w:rPr>
          <w:rFonts w:ascii="Arial" w:cs="Arial" w:eastAsia="Arial" w:hAnsi="Arial"/>
          <w:sz w:val="20"/>
          <w:szCs w:val="20"/>
          <w:color w:val="auto"/>
        </w:rPr>
      </w:pPr>
    </w:p>
    <w:p>
      <w:pPr>
        <w:jc w:val="both"/>
        <w:ind w:left="600" w:firstLine="1198"/>
        <w:spacing w:after="0" w:line="280" w:lineRule="auto"/>
        <w:tabs>
          <w:tab w:leader="none" w:pos="2643" w:val="left"/>
        </w:tabs>
        <w:numPr>
          <w:ilvl w:val="1"/>
          <w:numId w:val="103"/>
        </w:numPr>
        <w:rPr>
          <w:rFonts w:ascii="Arial" w:cs="Arial" w:eastAsia="Arial" w:hAnsi="Arial"/>
          <w:sz w:val="19"/>
          <w:szCs w:val="19"/>
          <w:color w:val="auto"/>
        </w:rPr>
      </w:pPr>
      <w:r>
        <w:rPr>
          <w:rFonts w:ascii="Arial" w:cs="Arial" w:eastAsia="Arial" w:hAnsi="Arial"/>
          <w:sz w:val="19"/>
          <w:szCs w:val="19"/>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84" w:lineRule="exact"/>
        <w:rPr>
          <w:rFonts w:ascii="Arial" w:cs="Arial" w:eastAsia="Arial" w:hAnsi="Arial"/>
          <w:sz w:val="19"/>
          <w:szCs w:val="19"/>
          <w:color w:val="auto"/>
        </w:rPr>
      </w:pPr>
    </w:p>
    <w:p>
      <w:pPr>
        <w:ind w:left="600" w:firstLine="1198"/>
        <w:spacing w:after="0" w:line="299" w:lineRule="auto"/>
        <w:tabs>
          <w:tab w:leader="none" w:pos="2698" w:val="left"/>
        </w:tabs>
        <w:numPr>
          <w:ilvl w:val="1"/>
          <w:numId w:val="103"/>
        </w:numPr>
        <w:rPr>
          <w:rFonts w:ascii="Arial" w:cs="Arial" w:eastAsia="Arial" w:hAnsi="Arial"/>
          <w:sz w:val="19"/>
          <w:szCs w:val="19"/>
          <w:color w:val="auto"/>
        </w:rPr>
      </w:pPr>
      <w:r>
        <w:rPr>
          <w:rFonts w:ascii="Arial" w:cs="Arial" w:eastAsia="Arial" w:hAnsi="Arial"/>
          <w:sz w:val="19"/>
          <w:szCs w:val="19"/>
          <w:color w:val="auto"/>
        </w:rPr>
        <w:t>impose on any Lender or the L/C Issuer or the London interbank market any other condition, cost or expense affecting this Agreement or Eurodollar Rate Loans made by such Lender or any Letter of Credit or participation therein;</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and the result of any of the foregoing shall be to increase the cost to such Lender of making, converting to, continuing or maintaining any Loan the interest on which is determined by reference to the Eurodollar Rate (or, in the case of clause (ii) above, any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such L/C Issuer, the Borrower will pay to such Lender or such L/C Issuer, as the case may be, such additional amount or amounts as will compensate such Lender or such L/C Issuer, as the case may be, for such additional costs incurred or reduction suffered.</w:t>
      </w:r>
    </w:p>
    <w:p>
      <w:pPr>
        <w:spacing w:after="0" w:line="146" w:lineRule="exact"/>
        <w:rPr>
          <w:sz w:val="20"/>
          <w:szCs w:val="20"/>
          <w:color w:val="auto"/>
        </w:rPr>
      </w:pPr>
    </w:p>
    <w:p>
      <w:pPr>
        <w:jc w:val="both"/>
        <w:ind w:firstLine="599"/>
        <w:spacing w:after="0" w:line="252" w:lineRule="auto"/>
        <w:tabs>
          <w:tab w:leader="none" w:pos="1432"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Capital Requirements</w:t>
      </w:r>
      <w:r>
        <w:rPr>
          <w:rFonts w:ascii="Arial" w:cs="Arial" w:eastAsia="Arial" w:hAnsi="Arial"/>
          <w:sz w:val="20"/>
          <w:szCs w:val="20"/>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such L/C Issuer, to a level below that which such Lender or the L/C Issuer</w:t>
      </w:r>
    </w:p>
    <w:p>
      <w:pPr>
        <w:spacing w:after="0" w:line="21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74</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86" w:name="page87"/>
    <w:bookmarkEnd w:id="86"/>
    <w:p>
      <w:pPr>
        <w:jc w:val="both"/>
        <w:spacing w:after="0" w:line="253" w:lineRule="auto"/>
        <w:rPr>
          <w:sz w:val="20"/>
          <w:szCs w:val="20"/>
          <w:color w:val="auto"/>
        </w:rPr>
      </w:pPr>
      <w:r>
        <w:rPr>
          <w:rFonts w:ascii="Arial" w:cs="Arial" w:eastAsia="Arial" w:hAnsi="Arial"/>
          <w:sz w:val="20"/>
          <w:szCs w:val="20"/>
          <w:color w:val="auto"/>
        </w:rPr>
        <w:t>or such Lender’s or the L/C Issuer’s holding company could have achieved but for such Change in Law (taking into consideration such Lender’s or the L/C Issuer’s policies and the policies of such Lender’s or the L/C Issuer’s holding company with respect to capital adequacy and liquidity), then from time to time the Borrower will pay to such Lender or such L/C Issuer, as the case may be, such additional amount or amounts as will compensate such Lender or the L/C Issuer or such Lender’s or the L/C Issuer’s holding company for any such reduction suffered.</w:t>
      </w:r>
    </w:p>
    <w:p>
      <w:pPr>
        <w:spacing w:after="0" w:line="212" w:lineRule="exact"/>
        <w:rPr>
          <w:sz w:val="20"/>
          <w:szCs w:val="20"/>
          <w:color w:val="auto"/>
        </w:rPr>
      </w:pPr>
    </w:p>
    <w:p>
      <w:pPr>
        <w:jc w:val="both"/>
        <w:ind w:firstLine="599"/>
        <w:spacing w:after="0" w:line="273" w:lineRule="auto"/>
        <w:tabs>
          <w:tab w:leader="none" w:pos="1421"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Certificates for Reimbursement</w:t>
      </w:r>
      <w:r>
        <w:rPr>
          <w:rFonts w:ascii="Arial" w:cs="Arial" w:eastAsia="Arial" w:hAnsi="Arial"/>
          <w:sz w:val="19"/>
          <w:szCs w:val="19"/>
          <w:color w:val="auto"/>
        </w:rPr>
        <w:t>. A certificate of a Lender or the L/C Issuer setting forth the amount or amounts necessary to compensate such Lender or the L/C Issuer or its holding company, as the case may be, as specified in subsection (a) or (b) of this Section and delivered to the Borrower shall be conclusive absent manifest error. The Borrower shall pay such Lender or such L/C Issuer, as the case may be, the amount shown as due on any such certificate within 10 days after receipt thereof.</w:t>
      </w:r>
    </w:p>
    <w:p>
      <w:pPr>
        <w:spacing w:after="0" w:line="192" w:lineRule="exact"/>
        <w:rPr>
          <w:rFonts w:ascii="Arial" w:cs="Arial" w:eastAsia="Arial" w:hAnsi="Arial"/>
          <w:sz w:val="19"/>
          <w:szCs w:val="19"/>
          <w:color w:val="auto"/>
        </w:rPr>
      </w:pPr>
    </w:p>
    <w:p>
      <w:pPr>
        <w:jc w:val="both"/>
        <w:ind w:firstLine="599"/>
        <w:spacing w:after="0" w:line="284" w:lineRule="auto"/>
        <w:tabs>
          <w:tab w:leader="none" w:pos="1432"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Delay in Requests</w:t>
      </w:r>
      <w:r>
        <w:rPr>
          <w:rFonts w:ascii="Arial" w:cs="Arial" w:eastAsia="Arial" w:hAnsi="Arial"/>
          <w:sz w:val="18"/>
          <w:szCs w:val="18"/>
          <w:color w:val="auto"/>
        </w:rPr>
        <w:t xml:space="preserve">. Failure or delay on the part of any Lender or the L/C Issuer to demand compensation pursuant to the foregoing provisions of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shall not constitute a waiver of such Lender’s or the L/C Issuer’s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compensate a Lender or the L/C Issuer pursuant to the foregoing provisions of this Section for any increased costs incurred or reductions suffered more than nine months prior to the date that such Lender or such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83" w:lineRule="exact"/>
        <w:rPr>
          <w:rFonts w:ascii="Arial" w:cs="Arial" w:eastAsia="Arial" w:hAnsi="Arial"/>
          <w:sz w:val="18"/>
          <w:szCs w:val="18"/>
          <w:color w:val="auto"/>
        </w:rPr>
      </w:pPr>
    </w:p>
    <w:p>
      <w:pPr>
        <w:jc w:val="both"/>
        <w:ind w:firstLine="599"/>
        <w:spacing w:after="0" w:line="284" w:lineRule="auto"/>
        <w:tabs>
          <w:tab w:leader="none" w:pos="1421"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Reserves on Eurodollar Rate Loans</w:t>
      </w:r>
      <w:r>
        <w:rPr>
          <w:rFonts w:ascii="Arial" w:cs="Arial" w:eastAsia="Arial" w:hAnsi="Arial"/>
          <w:sz w:val="18"/>
          <w:szCs w:val="18"/>
          <w:color w:val="auto"/>
        </w:rPr>
        <w:t xml:space="preserve">. The Borrower shall pay to each Lender, as long as such Lender shall be required to maintain reserves with respect to liabilities or assets consisting of or including Eurocurrency funds or deposits (currently known as “Eurocurrency liabilities”), additional interest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Borrower shall have received at least 10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184"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 xml:space="preserve">3.05. </w:t>
      </w:r>
      <w:r>
        <w:rPr>
          <w:rFonts w:ascii="Arial" w:cs="Arial" w:eastAsia="Arial" w:hAnsi="Arial"/>
          <w:sz w:val="20"/>
          <w:szCs w:val="20"/>
          <w:u w:val="single" w:color="auto"/>
          <w:color w:val="auto"/>
        </w:rPr>
        <w:t>Compensation for Losses</w:t>
      </w:r>
      <w:r>
        <w:rPr>
          <w:rFonts w:ascii="Arial" w:cs="Arial" w:eastAsia="Arial" w:hAnsi="Arial"/>
          <w:sz w:val="20"/>
          <w:szCs w:val="20"/>
          <w:color w:val="auto"/>
        </w:rPr>
        <w:t>. Upon demand of any Lender (with a copy to the Administrative Agent) from time to time, the Borrower shall promptly compensate such Lender for and hold such Lender harmless from any loss, cost or expense incurred by it as a result of:</w:t>
      </w:r>
    </w:p>
    <w:p>
      <w:pPr>
        <w:spacing w:after="0" w:line="202" w:lineRule="exact"/>
        <w:rPr>
          <w:sz w:val="20"/>
          <w:szCs w:val="20"/>
          <w:color w:val="auto"/>
        </w:rPr>
      </w:pPr>
    </w:p>
    <w:p>
      <w:pPr>
        <w:ind w:firstLine="599"/>
        <w:spacing w:after="0" w:line="299" w:lineRule="auto"/>
        <w:tabs>
          <w:tab w:leader="none" w:pos="1421"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67" w:lineRule="exact"/>
        <w:rPr>
          <w:rFonts w:ascii="Arial" w:cs="Arial" w:eastAsia="Arial" w:hAnsi="Arial"/>
          <w:sz w:val="19"/>
          <w:szCs w:val="19"/>
          <w:color w:val="auto"/>
        </w:rPr>
      </w:pPr>
    </w:p>
    <w:p>
      <w:pPr>
        <w:ind w:firstLine="599"/>
        <w:spacing w:after="0" w:line="272" w:lineRule="auto"/>
        <w:tabs>
          <w:tab w:leader="none" w:pos="1432"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90" w:lineRule="exact"/>
        <w:rPr>
          <w:rFonts w:ascii="Arial" w:cs="Arial" w:eastAsia="Arial" w:hAnsi="Arial"/>
          <w:sz w:val="20"/>
          <w:szCs w:val="20"/>
          <w:color w:val="auto"/>
        </w:rPr>
      </w:pPr>
    </w:p>
    <w:p>
      <w:pPr>
        <w:ind w:firstLine="599"/>
        <w:spacing w:after="0" w:line="272" w:lineRule="auto"/>
        <w:tabs>
          <w:tab w:leader="none" w:pos="1421" w:val="left"/>
        </w:tabs>
        <w:numPr>
          <w:ilvl w:val="0"/>
          <w:numId w:val="106"/>
        </w:numPr>
        <w:rPr>
          <w:rFonts w:ascii="Arial" w:cs="Arial" w:eastAsia="Arial" w:hAnsi="Arial"/>
          <w:sz w:val="20"/>
          <w:szCs w:val="20"/>
          <w:color w:val="auto"/>
        </w:rPr>
      </w:pPr>
      <w:r>
        <w:rPr>
          <w:rFonts w:ascii="Arial" w:cs="Arial" w:eastAsia="Arial" w:hAnsi="Arial"/>
          <w:sz w:val="20"/>
          <w:szCs w:val="20"/>
          <w:color w:val="auto"/>
        </w:rPr>
        <w:t xml:space="preserve">any assignment of a Eurodollar Rate Loan on a day other than the last day of the Interest Period therefor as a result of a request by the Borrower pursuant to </w:t>
      </w:r>
      <w:r>
        <w:rPr>
          <w:rFonts w:ascii="Arial" w:cs="Arial" w:eastAsia="Arial" w:hAnsi="Arial"/>
          <w:sz w:val="20"/>
          <w:szCs w:val="20"/>
          <w:u w:val="single" w:color="auto"/>
          <w:color w:val="auto"/>
        </w:rPr>
        <w:t>Section 10.13</w:t>
      </w:r>
      <w:r>
        <w:rPr>
          <w:rFonts w:ascii="Arial" w:cs="Arial" w:eastAsia="Arial" w:hAnsi="Arial"/>
          <w:sz w:val="20"/>
          <w:szCs w:val="20"/>
          <w:color w:val="auto"/>
        </w:rPr>
        <w:t>;</w:t>
      </w:r>
    </w:p>
    <w:p>
      <w:pPr>
        <w:spacing w:after="0" w:line="200" w:lineRule="exact"/>
        <w:rPr>
          <w:sz w:val="20"/>
          <w:szCs w:val="20"/>
          <w:color w:val="auto"/>
        </w:rPr>
      </w:pPr>
    </w:p>
    <w:p>
      <w:pPr>
        <w:spacing w:after="0" w:line="228"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75</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87" w:name="page88"/>
    <w:bookmarkEnd w:id="87"/>
    <w:p>
      <w:pPr>
        <w:jc w:val="both"/>
        <w:spacing w:after="0" w:line="280" w:lineRule="auto"/>
        <w:rPr>
          <w:sz w:val="20"/>
          <w:szCs w:val="20"/>
          <w:color w:val="auto"/>
        </w:rPr>
      </w:pPr>
      <w:r>
        <w:rPr>
          <w:rFonts w:ascii="Arial" w:cs="Arial" w:eastAsia="Arial" w:hAnsi="Arial"/>
          <w:sz w:val="19"/>
          <w:szCs w:val="19"/>
          <w:color w:val="auto"/>
        </w:rPr>
        <w:t>including any loss or expense arising from the liquidation or reemployment of funds obtained by it to maintain such Loan or from fees payable to terminate the deposits from which such funds were obtained (but excluding any lost profit or loss of margin or Applicable Rate). The Borrower shall also pay any customary administrative fees charged by such Lender in connection with the foregoing.</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 xml:space="preserve">For purposes of calculating amounts payable by the Borrower to the Lenders under this </w:t>
      </w:r>
      <w:r>
        <w:rPr>
          <w:rFonts w:ascii="Arial" w:cs="Arial" w:eastAsia="Arial" w:hAnsi="Arial"/>
          <w:sz w:val="20"/>
          <w:szCs w:val="20"/>
          <w:u w:val="single" w:color="auto"/>
          <w:color w:val="auto"/>
        </w:rPr>
        <w:t>Section 3.05</w:t>
      </w:r>
      <w:r>
        <w:rPr>
          <w:rFonts w:ascii="Arial" w:cs="Arial" w:eastAsia="Arial" w:hAnsi="Arial"/>
          <w:sz w:val="20"/>
          <w:szCs w:val="20"/>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168"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3.06.</w:t>
      </w:r>
      <w:r>
        <w:rPr>
          <w:sz w:val="20"/>
          <w:szCs w:val="20"/>
          <w:color w:val="auto"/>
        </w:rPr>
        <w:tab/>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81" w:lineRule="auto"/>
        <w:tabs>
          <w:tab w:leader="none" w:pos="1421"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Designation of a Different Lending Office</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requires the Borrower to pay any Indemnified Taxes or additional amounts to any Lender, any L/C Issuer, or any Governmental Authority for the account of any Lender or the L/C Issuer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if any Lender gives a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then at the request of the Borrower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(i) would eliminate or reduce amounts payable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as the case may be, in the future, or eliminate the need for the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as applicable, and (ii) in each case, would not subject such Lender or such L/C Issuer, as the case may be, to any unreimbursed cost or expense and would not otherwise be disadvantageous to such Lender such L/C Issuer, as the case may be. The Borrower hereby agrees to pay all reasonable costs and expenses incurred by any Lender or any L/C Issuer in connection with any such designation or assignment.</w:t>
      </w:r>
    </w:p>
    <w:p>
      <w:pPr>
        <w:spacing w:after="0" w:line="186" w:lineRule="exact"/>
        <w:rPr>
          <w:rFonts w:ascii="Arial" w:cs="Arial" w:eastAsia="Arial" w:hAnsi="Arial"/>
          <w:sz w:val="18"/>
          <w:szCs w:val="18"/>
          <w:color w:val="auto"/>
        </w:rPr>
      </w:pPr>
    </w:p>
    <w:p>
      <w:pPr>
        <w:jc w:val="both"/>
        <w:ind w:firstLine="599"/>
        <w:spacing w:after="0" w:line="293" w:lineRule="auto"/>
        <w:tabs>
          <w:tab w:leader="none" w:pos="1432"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w:t>
      </w:r>
      <w:r>
        <w:rPr>
          <w:rFonts w:ascii="Arial" w:cs="Arial" w:eastAsia="Arial" w:hAnsi="Arial"/>
          <w:sz w:val="18"/>
          <w:szCs w:val="18"/>
          <w:color w:val="auto"/>
        </w:rPr>
        <w:t xml:space="preserve">, or if a Lender gives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and in each case, such Lender has declined or is unable to designate a different lending office in accordance with </w:t>
      </w:r>
      <w:r>
        <w:rPr>
          <w:rFonts w:ascii="Arial" w:cs="Arial" w:eastAsia="Arial" w:hAnsi="Arial"/>
          <w:sz w:val="18"/>
          <w:szCs w:val="18"/>
          <w:u w:val="single" w:color="auto"/>
          <w:color w:val="auto"/>
        </w:rPr>
        <w:t>Section 3.06(a)</w:t>
      </w:r>
      <w:r>
        <w:rPr>
          <w:rFonts w:ascii="Arial" w:cs="Arial" w:eastAsia="Arial" w:hAnsi="Arial"/>
          <w:sz w:val="18"/>
          <w:szCs w:val="18"/>
          <w:color w:val="auto"/>
        </w:rPr>
        <w:t xml:space="preserve">, the Borrower may replace such Lender in accordance with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176"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 xml:space="preserve">3.07. </w:t>
      </w:r>
      <w:r>
        <w:rPr>
          <w:rFonts w:ascii="Arial" w:cs="Arial" w:eastAsia="Arial" w:hAnsi="Arial"/>
          <w:sz w:val="20"/>
          <w:szCs w:val="20"/>
          <w:u w:val="single" w:color="auto"/>
          <w:color w:val="auto"/>
        </w:rPr>
        <w:t>LIBOR Successor Rate</w:t>
      </w:r>
      <w:r>
        <w:rPr>
          <w:rFonts w:ascii="Arial" w:cs="Arial" w:eastAsia="Arial" w:hAnsi="Arial"/>
          <w:sz w:val="20"/>
          <w:szCs w:val="20"/>
          <w:color w:val="auto"/>
        </w:rPr>
        <w:t>. (a)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205" w:lineRule="exact"/>
        <w:rPr>
          <w:sz w:val="20"/>
          <w:szCs w:val="20"/>
          <w:color w:val="auto"/>
        </w:rPr>
      </w:pPr>
    </w:p>
    <w:p>
      <w:pPr>
        <w:ind w:firstLine="1199"/>
        <w:spacing w:after="0" w:line="329" w:lineRule="auto"/>
        <w:tabs>
          <w:tab w:leader="none" w:pos="198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LIBOR for any requested Interest Period, including because the LIBOR Screen Rate is not available or published on a current basis and such circumstances are unlikely to be temporary; or</w:t>
      </w:r>
    </w:p>
    <w:p>
      <w:pPr>
        <w:spacing w:after="0" w:line="144" w:lineRule="exact"/>
        <w:rPr>
          <w:rFonts w:ascii="Arial" w:cs="Arial" w:eastAsia="Arial" w:hAnsi="Arial"/>
          <w:sz w:val="18"/>
          <w:szCs w:val="18"/>
          <w:color w:val="auto"/>
        </w:rPr>
      </w:pPr>
    </w:p>
    <w:p>
      <w:pPr>
        <w:jc w:val="both"/>
        <w:ind w:firstLine="1199"/>
        <w:spacing w:after="0" w:line="280" w:lineRule="auto"/>
        <w:tabs>
          <w:tab w:leader="none" w:pos="2043"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(such specific date, the “</w:t>
      </w:r>
      <w:r>
        <w:rPr>
          <w:rFonts w:ascii="Arial" w:cs="Arial" w:eastAsia="Arial" w:hAnsi="Arial"/>
          <w:sz w:val="19"/>
          <w:szCs w:val="19"/>
          <w:u w:val="single" w:color="auto"/>
          <w:color w:val="auto"/>
        </w:rPr>
        <w:t>Scheduled Unavailability Date</w:t>
      </w:r>
      <w:r>
        <w:rPr>
          <w:rFonts w:ascii="Arial" w:cs="Arial" w:eastAsia="Arial" w:hAnsi="Arial"/>
          <w:sz w:val="19"/>
          <w:szCs w:val="19"/>
          <w:color w:val="auto"/>
        </w:rPr>
        <w:t>”), or</w:t>
      </w:r>
    </w:p>
    <w:p>
      <w:pPr>
        <w:spacing w:after="0" w:line="200" w:lineRule="exact"/>
        <w:rPr>
          <w:sz w:val="20"/>
          <w:szCs w:val="20"/>
          <w:color w:val="auto"/>
        </w:rPr>
      </w:pPr>
    </w:p>
    <w:p>
      <w:pPr>
        <w:spacing w:after="0" w:line="22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76</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88" w:name="page89"/>
    <w:bookmarkEnd w:id="88"/>
    <w:p>
      <w:pPr>
        <w:ind w:firstLine="1199"/>
        <w:spacing w:after="0" w:line="299" w:lineRule="auto"/>
        <w:tabs>
          <w:tab w:leader="none" w:pos="209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syndicated loans currently being executed, or that include language similar to that contained in this </w:t>
      </w:r>
      <w:r>
        <w:rPr>
          <w:rFonts w:ascii="Arial" w:cs="Arial" w:eastAsia="Arial" w:hAnsi="Arial"/>
          <w:sz w:val="19"/>
          <w:szCs w:val="19"/>
          <w:u w:val="single" w:color="auto"/>
          <w:color w:val="auto"/>
        </w:rPr>
        <w:t>Section 3.07</w:t>
      </w:r>
      <w:r>
        <w:rPr>
          <w:rFonts w:ascii="Arial" w:cs="Arial" w:eastAsia="Arial" w:hAnsi="Arial"/>
          <w:sz w:val="19"/>
          <w:szCs w:val="19"/>
          <w:color w:val="auto"/>
        </w:rPr>
        <w:t>, are being executed or amended (as applicable) to incorporate or adopt a new benchmark interest rate to replace LIBOR,</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then, reasonably promptly after such determination by the Administrative Agent or receipt by the Administrative Agent of such notice , as applicable, the Administrative Agent and the Borrower may amend this Agreement to replace LIBOR with an alternate benchmark rate (including any mathematical or other adjustments to the benchmark (if any) incorporated therein), giving due consideration to any evolving or then existing convention for similar U.S. dollar denominated syndicated credit facilities for such alternative benchmarks (any such proposed rate, a “</w:t>
      </w:r>
      <w:r>
        <w:rPr>
          <w:rFonts w:ascii="Arial" w:cs="Arial" w:eastAsia="Arial" w:hAnsi="Arial"/>
          <w:sz w:val="20"/>
          <w:szCs w:val="20"/>
          <w:u w:val="single" w:color="auto"/>
          <w:color w:val="auto"/>
        </w:rPr>
        <w:t>LIBOR Successor Rate</w:t>
      </w:r>
      <w:r>
        <w:rPr>
          <w:rFonts w:ascii="Arial" w:cs="Arial" w:eastAsia="Arial" w:hAnsi="Arial"/>
          <w:sz w:val="20"/>
          <w:szCs w:val="20"/>
          <w:color w:val="auto"/>
        </w:rPr>
        <w:t xml:space="preserve">”), together with any proposed LIBOR Successor Rate Conforming Changes (as defined below) and, notwithstanding anything to the contrary in </w:t>
      </w:r>
      <w:r>
        <w:rPr>
          <w:rFonts w:ascii="Arial" w:cs="Arial" w:eastAsia="Arial" w:hAnsi="Arial"/>
          <w:sz w:val="20"/>
          <w:szCs w:val="20"/>
          <w:u w:val="single" w:color="auto"/>
          <w:color w:val="auto"/>
        </w:rPr>
        <w:t>Section 10.01(e)</w:t>
      </w:r>
      <w:r>
        <w:rPr>
          <w:rFonts w:ascii="Arial" w:cs="Arial" w:eastAsia="Arial" w:hAnsi="Arial"/>
          <w:sz w:val="20"/>
          <w:szCs w:val="20"/>
          <w:color w:val="auto"/>
        </w:rPr>
        <w:t>,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do not accept such amendment.</w:t>
      </w:r>
    </w:p>
    <w:p>
      <w:pPr>
        <w:spacing w:after="0" w:line="180" w:lineRule="exact"/>
        <w:rPr>
          <w:sz w:val="20"/>
          <w:szCs w:val="20"/>
          <w:color w:val="auto"/>
        </w:rPr>
      </w:pPr>
    </w:p>
    <w:p>
      <w:pPr>
        <w:jc w:val="both"/>
        <w:ind w:firstLine="599"/>
        <w:spacing w:after="0" w:line="284" w:lineRule="auto"/>
        <w:tabs>
          <w:tab w:leader="none" w:pos="143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If no LIBOR Successor Rate has been determined and the circumstances under </w:t>
      </w:r>
      <w:r>
        <w:rPr>
          <w:rFonts w:ascii="Arial" w:cs="Arial" w:eastAsia="Arial" w:hAnsi="Arial"/>
          <w:sz w:val="18"/>
          <w:szCs w:val="18"/>
          <w:u w:val="single" w:color="auto"/>
          <w:color w:val="auto"/>
        </w:rPr>
        <w:t>clause (a)(i)</w:t>
      </w:r>
      <w:r>
        <w:rPr>
          <w:rFonts w:ascii="Arial" w:cs="Arial" w:eastAsia="Arial" w:hAnsi="Arial"/>
          <w:sz w:val="18"/>
          <w:szCs w:val="18"/>
          <w:color w:val="auto"/>
        </w:rPr>
        <w:t xml:space="preserve"> above exist or the Scheduled Unavailability Date has occurred (as applicable), the Administrative Agent will promptly so notify the Borrower and each Lender. Thereafter,</w:t>
      </w:r>
    </w:p>
    <w:p>
      <w:pPr>
        <w:jc w:val="both"/>
        <w:spacing w:after="0" w:line="284" w:lineRule="auto"/>
        <w:tabs>
          <w:tab w:leader="none" w:pos="28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obligation of the Lenders to make or maintain Eurodollar Rate Loans shall be suspended, (to the extent of the affected Eurodollar Rate Loans or Interest Periods), and (y) the Eurodollar Rate component shall no longer be utilized in determining the Base Rate.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(subject to the foregoing clause (y)) in the amount specified therein.</w:t>
      </w:r>
    </w:p>
    <w:p>
      <w:pPr>
        <w:spacing w:after="0" w:line="183"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Notwithstanding anything else herein, any definition of LIBOR Successor Rate shall provide that in no event shall such LIBOR Successor Rate be less than zero for purposes of this Agreement.</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As used above:</w:t>
      </w:r>
    </w:p>
    <w:p>
      <w:pPr>
        <w:spacing w:after="0" w:line="207"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Screen Rate</w:t>
      </w:r>
      <w:r>
        <w:rPr>
          <w:rFonts w:ascii="Arial" w:cs="Arial" w:eastAsia="Arial" w:hAnsi="Arial"/>
          <w:sz w:val="20"/>
          <w:szCs w:val="20"/>
          <w:color w:val="auto"/>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164"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Successor Rate Conforming Changes</w:t>
      </w:r>
      <w:r>
        <w:rPr>
          <w:rFonts w:ascii="Arial" w:cs="Arial" w:eastAsia="Arial" w:hAnsi="Arial"/>
          <w:sz w:val="20"/>
          <w:szCs w:val="20"/>
          <w:color w:val="auto"/>
        </w:rPr>
        <w:t>” means, with respect to any proposed LIBOR Successor Rate, any conforming changes to the definition of Base Rate, Interest Period, timing and frequency of determining rates and making payments of interest and other administrative matters as may be appropriate, in the discretion of the Administrative Agent,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in consultation with the Borrower).</w:t>
      </w:r>
    </w:p>
    <w:p>
      <w:pPr>
        <w:spacing w:after="0" w:line="17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 xml:space="preserve">3.08. </w:t>
      </w: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All of the Borrower’s obligations under this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shall survive termination of the Commitments, repayment of all other Obligations hereunder, and resignation of the Administrative Agent.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77</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20"/>
          <w:szCs w:val="20"/>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CONDITIONS PRECEDENT TO CREDIT EXTENSIONS</w:t>
      </w:r>
    </w:p>
    <w:p>
      <w:pPr>
        <w:spacing w:after="0" w:line="229" w:lineRule="exact"/>
        <w:rPr>
          <w:sz w:val="20"/>
          <w:szCs w:val="20"/>
          <w:color w:val="auto"/>
        </w:rPr>
      </w:pPr>
    </w:p>
    <w:p>
      <w:pPr>
        <w:ind w:firstLine="599"/>
        <w:spacing w:after="0" w:line="272" w:lineRule="auto"/>
        <w:rPr>
          <w:sz w:val="20"/>
          <w:szCs w:val="20"/>
          <w:color w:val="auto"/>
        </w:rPr>
      </w:pPr>
      <w:r>
        <w:rPr>
          <w:rFonts w:ascii="Arial" w:cs="Arial" w:eastAsia="Arial" w:hAnsi="Arial"/>
          <w:sz w:val="20"/>
          <w:szCs w:val="20"/>
          <w:color w:val="auto"/>
        </w:rPr>
        <w:t xml:space="preserve">4.01. </w:t>
      </w:r>
      <w:r>
        <w:rPr>
          <w:rFonts w:ascii="Arial" w:cs="Arial" w:eastAsia="Arial" w:hAnsi="Arial"/>
          <w:sz w:val="20"/>
          <w:szCs w:val="20"/>
          <w:u w:val="single" w:color="auto"/>
          <w:color w:val="auto"/>
        </w:rPr>
        <w:t>Conditions of Effectiveness</w:t>
      </w:r>
      <w:r>
        <w:rPr>
          <w:rFonts w:ascii="Arial" w:cs="Arial" w:eastAsia="Arial" w:hAnsi="Arial"/>
          <w:sz w:val="20"/>
          <w:szCs w:val="20"/>
          <w:color w:val="auto"/>
        </w:rPr>
        <w:t>. This Agreement shall become effective on and as of the first date (the “</w:t>
      </w:r>
      <w:r>
        <w:rPr>
          <w:rFonts w:ascii="Arial" w:cs="Arial" w:eastAsia="Arial" w:hAnsi="Arial"/>
          <w:sz w:val="20"/>
          <w:szCs w:val="20"/>
          <w:u w:val="single" w:color="auto"/>
          <w:color w:val="auto"/>
        </w:rPr>
        <w:t>Restatement Effective</w:t>
      </w:r>
      <w:r>
        <w:rPr>
          <w:rFonts w:ascii="Arial" w:cs="Arial" w:eastAsia="Arial" w:hAnsi="Arial"/>
          <w:sz w:val="20"/>
          <w:szCs w:val="20"/>
          <w:color w:val="auto"/>
        </w:rPr>
        <w:t xml:space="preserve"> </w:t>
      </w:r>
      <w:r>
        <w:rPr>
          <w:rFonts w:ascii="Arial" w:cs="Arial" w:eastAsia="Arial" w:hAnsi="Arial"/>
          <w:sz w:val="20"/>
          <w:szCs w:val="20"/>
          <w:u w:val="single" w:color="auto"/>
          <w:color w:val="auto"/>
        </w:rPr>
        <w:t>Date</w:t>
      </w:r>
      <w:r>
        <w:rPr>
          <w:rFonts w:ascii="Arial" w:cs="Arial" w:eastAsia="Arial" w:hAnsi="Arial"/>
          <w:sz w:val="20"/>
          <w:szCs w:val="20"/>
          <w:color w:val="auto"/>
        </w:rPr>
        <w:t>”) on which all of the following conditions precedent shall have been satisfied:</w:t>
      </w:r>
    </w:p>
    <w:p>
      <w:pPr>
        <w:spacing w:after="0" w:line="191" w:lineRule="exact"/>
        <w:rPr>
          <w:sz w:val="20"/>
          <w:szCs w:val="20"/>
          <w:color w:val="auto"/>
        </w:rPr>
      </w:pPr>
    </w:p>
    <w:p>
      <w:pPr>
        <w:jc w:val="both"/>
        <w:ind w:firstLine="599"/>
        <w:spacing w:after="0" w:line="273" w:lineRule="auto"/>
        <w:tabs>
          <w:tab w:leader="none" w:pos="1421"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Administrative Agent’s receipt of the following, each of which shall be original, or e-mail (in a .pdf format) or telecopies (followed promptly by originals) unless otherwise specified, each properly executed by a Responsible Officer of the signing Loan Party, each dated the Restatement Effective Date (or, in the case of certificates of governmental officials, a recent date before the Restatement Effective Date) and each in form and substance satisfactory to the Administrative Agent and each of the Lenders:</w:t>
      </w:r>
    </w:p>
    <w:p>
      <w:pPr>
        <w:spacing w:after="0" w:line="192" w:lineRule="exact"/>
        <w:rPr>
          <w:rFonts w:ascii="Arial" w:cs="Arial" w:eastAsia="Arial" w:hAnsi="Arial"/>
          <w:sz w:val="19"/>
          <w:szCs w:val="19"/>
          <w:color w:val="auto"/>
        </w:rPr>
      </w:pPr>
    </w:p>
    <w:p>
      <w:pPr>
        <w:ind w:left="3180" w:hanging="782"/>
        <w:spacing w:after="0"/>
        <w:tabs>
          <w:tab w:leader="none" w:pos="3180" w:val="left"/>
        </w:tabs>
        <w:numPr>
          <w:ilvl w:val="1"/>
          <w:numId w:val="112"/>
        </w:numPr>
        <w:rPr>
          <w:rFonts w:ascii="Arial" w:cs="Arial" w:eastAsia="Arial" w:hAnsi="Arial"/>
          <w:sz w:val="20"/>
          <w:szCs w:val="20"/>
          <w:color w:val="auto"/>
        </w:rPr>
      </w:pPr>
      <w:r>
        <w:rPr>
          <w:rFonts w:ascii="Arial" w:cs="Arial" w:eastAsia="Arial" w:hAnsi="Arial"/>
          <w:sz w:val="20"/>
          <w:szCs w:val="20"/>
          <w:color w:val="auto"/>
        </w:rPr>
        <w:t>executed counterparts of this Agreement and the Guaranty;</w:t>
      </w:r>
    </w:p>
    <w:p>
      <w:pPr>
        <w:spacing w:after="0" w:line="244" w:lineRule="exact"/>
        <w:rPr>
          <w:rFonts w:ascii="Arial" w:cs="Arial" w:eastAsia="Arial" w:hAnsi="Arial"/>
          <w:sz w:val="20"/>
          <w:szCs w:val="20"/>
          <w:color w:val="auto"/>
        </w:rPr>
      </w:pPr>
    </w:p>
    <w:p>
      <w:pPr>
        <w:ind w:left="3240" w:hanging="842"/>
        <w:spacing w:after="0"/>
        <w:tabs>
          <w:tab w:leader="none" w:pos="32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 Note executed by the Borrower in favor of each Lender requesting a Note prior to the Restatement</w:t>
      </w:r>
    </w:p>
    <w:p>
      <w:pPr>
        <w:spacing w:after="0" w:line="46"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20"/>
          <w:szCs w:val="20"/>
          <w:color w:val="auto"/>
        </w:rPr>
        <w:t>Effective Date;</w:t>
      </w:r>
    </w:p>
    <w:p>
      <w:pPr>
        <w:spacing w:after="0" w:line="228" w:lineRule="exact"/>
        <w:rPr>
          <w:rFonts w:ascii="Arial" w:cs="Arial" w:eastAsia="Arial" w:hAnsi="Arial"/>
          <w:sz w:val="18"/>
          <w:szCs w:val="18"/>
          <w:color w:val="auto"/>
        </w:rPr>
      </w:pPr>
    </w:p>
    <w:p>
      <w:pPr>
        <w:jc w:val="both"/>
        <w:ind w:left="1200" w:firstLine="1198"/>
        <w:spacing w:after="0" w:line="273" w:lineRule="auto"/>
        <w:tabs>
          <w:tab w:leader="none" w:pos="3298" w:val="left"/>
        </w:tabs>
        <w:numPr>
          <w:ilvl w:val="1"/>
          <w:numId w:val="112"/>
        </w:numPr>
        <w:rPr>
          <w:rFonts w:ascii="Arial" w:cs="Arial" w:eastAsia="Arial" w:hAnsi="Arial"/>
          <w:sz w:val="19"/>
          <w:szCs w:val="19"/>
          <w:color w:val="auto"/>
        </w:rPr>
      </w:pPr>
      <w:r>
        <w:rPr>
          <w:rFonts w:ascii="Arial" w:cs="Arial" w:eastAsia="Arial" w:hAnsi="Arial"/>
          <w:sz w:val="19"/>
          <w:szCs w:val="19"/>
          <w:color w:val="auto"/>
        </w:rPr>
        <w:t>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w:t>
      </w:r>
    </w:p>
    <w:p>
      <w:pPr>
        <w:spacing w:after="0" w:line="192" w:lineRule="exact"/>
        <w:rPr>
          <w:rFonts w:ascii="Arial" w:cs="Arial" w:eastAsia="Arial" w:hAnsi="Arial"/>
          <w:sz w:val="19"/>
          <w:szCs w:val="19"/>
          <w:color w:val="auto"/>
        </w:rPr>
      </w:pPr>
    </w:p>
    <w:p>
      <w:pPr>
        <w:jc w:val="both"/>
        <w:ind w:left="1200" w:firstLine="1198"/>
        <w:spacing w:after="0" w:line="260" w:lineRule="auto"/>
        <w:tabs>
          <w:tab w:leader="none" w:pos="3287" w:val="left"/>
        </w:tabs>
        <w:numPr>
          <w:ilvl w:val="1"/>
          <w:numId w:val="112"/>
        </w:numPr>
        <w:rPr>
          <w:rFonts w:ascii="Arial" w:cs="Arial" w:eastAsia="Arial" w:hAnsi="Arial"/>
          <w:sz w:val="20"/>
          <w:szCs w:val="20"/>
          <w:color w:val="auto"/>
        </w:rPr>
      </w:pPr>
      <w:r>
        <w:rPr>
          <w:rFonts w:ascii="Arial" w:cs="Arial" w:eastAsia="Arial" w:hAnsi="Arial"/>
          <w:sz w:val="20"/>
          <w:szCs w:val="20"/>
          <w:color w:val="auto"/>
        </w:rPr>
        <w:t>such documents and certifications as the Administrative Agent may reasonably require to evidence that each Loan Party is duly organized or formed, and each Loan Party is validly existing, in good standing and qualified to engage in business in its jurisdiction of incorporation or formation;</w:t>
      </w:r>
    </w:p>
    <w:p>
      <w:pPr>
        <w:spacing w:after="0" w:line="201" w:lineRule="exact"/>
        <w:rPr>
          <w:rFonts w:ascii="Arial" w:cs="Arial" w:eastAsia="Arial" w:hAnsi="Arial"/>
          <w:sz w:val="20"/>
          <w:szCs w:val="20"/>
          <w:color w:val="auto"/>
        </w:rPr>
      </w:pPr>
    </w:p>
    <w:p>
      <w:pPr>
        <w:jc w:val="both"/>
        <w:ind w:left="1200" w:firstLine="1198"/>
        <w:spacing w:after="0" w:line="260" w:lineRule="auto"/>
        <w:tabs>
          <w:tab w:leader="none" w:pos="3231" w:val="left"/>
        </w:tabs>
        <w:numPr>
          <w:ilvl w:val="1"/>
          <w:numId w:val="112"/>
        </w:numPr>
        <w:rPr>
          <w:rFonts w:ascii="Arial" w:cs="Arial" w:eastAsia="Arial" w:hAnsi="Arial"/>
          <w:sz w:val="20"/>
          <w:szCs w:val="20"/>
          <w:color w:val="auto"/>
        </w:rPr>
      </w:pPr>
      <w:r>
        <w:rPr>
          <w:rFonts w:ascii="Arial" w:cs="Arial" w:eastAsia="Arial" w:hAnsi="Arial"/>
          <w:sz w:val="20"/>
          <w:szCs w:val="20"/>
          <w:color w:val="auto"/>
        </w:rPr>
        <w:t>a favorable opinion of Latham &amp; Watkins LLP, counsel to the Loan Parties, addressed to the Administrative Agent and each Lender, as to such matters concerning the Loan Parties and the Loan Documents as the Administrative Agent may reasonably request;</w:t>
      </w:r>
    </w:p>
    <w:p>
      <w:pPr>
        <w:spacing w:after="0" w:line="201" w:lineRule="exact"/>
        <w:rPr>
          <w:rFonts w:ascii="Arial" w:cs="Arial" w:eastAsia="Arial" w:hAnsi="Arial"/>
          <w:sz w:val="20"/>
          <w:szCs w:val="20"/>
          <w:color w:val="auto"/>
        </w:rPr>
      </w:pPr>
    </w:p>
    <w:p>
      <w:pPr>
        <w:jc w:val="both"/>
        <w:ind w:left="1200" w:firstLine="1198"/>
        <w:spacing w:after="0" w:line="260" w:lineRule="auto"/>
        <w:tabs>
          <w:tab w:leader="none" w:pos="3287" w:val="left"/>
        </w:tabs>
        <w:numPr>
          <w:ilvl w:val="1"/>
          <w:numId w:val="112"/>
        </w:numPr>
        <w:rPr>
          <w:rFonts w:ascii="Arial" w:cs="Arial" w:eastAsia="Arial" w:hAnsi="Arial"/>
          <w:sz w:val="20"/>
          <w:szCs w:val="20"/>
          <w:color w:val="auto"/>
        </w:rPr>
      </w:pPr>
      <w:r>
        <w:rPr>
          <w:rFonts w:ascii="Arial" w:cs="Arial" w:eastAsia="Arial" w:hAnsi="Arial"/>
          <w:sz w:val="20"/>
          <w:szCs w:val="20"/>
          <w:color w:val="auto"/>
        </w:rPr>
        <w:t>a favorable opinion of in-house counsel to the Loan Parties, addressed to the Administrative Agent and each Lender, as to such matters concerning the Loan Parties and the Loan Documents as the Administrative Agent may reasonably request;</w:t>
      </w:r>
    </w:p>
    <w:p>
      <w:pPr>
        <w:spacing w:after="0" w:line="201" w:lineRule="exact"/>
        <w:rPr>
          <w:rFonts w:ascii="Arial" w:cs="Arial" w:eastAsia="Arial" w:hAnsi="Arial"/>
          <w:sz w:val="20"/>
          <w:szCs w:val="20"/>
          <w:color w:val="auto"/>
        </w:rPr>
      </w:pPr>
    </w:p>
    <w:p>
      <w:pPr>
        <w:jc w:val="both"/>
        <w:ind w:left="1200" w:firstLine="1198"/>
        <w:spacing w:after="0" w:line="260" w:lineRule="auto"/>
        <w:tabs>
          <w:tab w:leader="none" w:pos="3343" w:val="left"/>
        </w:tabs>
        <w:numPr>
          <w:ilvl w:val="1"/>
          <w:numId w:val="112"/>
        </w:numPr>
        <w:rPr>
          <w:rFonts w:ascii="Arial" w:cs="Arial" w:eastAsia="Arial" w:hAnsi="Arial"/>
          <w:sz w:val="20"/>
          <w:szCs w:val="20"/>
          <w:color w:val="auto"/>
        </w:rPr>
      </w:pPr>
      <w:r>
        <w:rPr>
          <w:rFonts w:ascii="Arial" w:cs="Arial" w:eastAsia="Arial" w:hAnsi="Arial"/>
          <w:sz w:val="20"/>
          <w:szCs w:val="20"/>
          <w:color w:val="auto"/>
        </w:rPr>
        <w:t>a favorable opinion of Venable LLP, local counsel to the Loan Parties in Maryland, addressed to the Administrative Agent and each Lender, as to such matters concerning the Loan Parties and the Loan Documents as the Administrative Agent may reasonably request;</w:t>
      </w:r>
    </w:p>
    <w:p>
      <w:pPr>
        <w:spacing w:after="0" w:line="201" w:lineRule="exact"/>
        <w:rPr>
          <w:rFonts w:ascii="Arial" w:cs="Arial" w:eastAsia="Arial" w:hAnsi="Arial"/>
          <w:sz w:val="20"/>
          <w:szCs w:val="20"/>
          <w:color w:val="auto"/>
        </w:rPr>
      </w:pPr>
    </w:p>
    <w:p>
      <w:pPr>
        <w:jc w:val="both"/>
        <w:ind w:left="1200" w:firstLine="1198"/>
        <w:spacing w:after="0" w:line="273" w:lineRule="auto"/>
        <w:tabs>
          <w:tab w:leader="none" w:pos="3398" w:val="left"/>
        </w:tabs>
        <w:numPr>
          <w:ilvl w:val="1"/>
          <w:numId w:val="112"/>
        </w:numPr>
        <w:rPr>
          <w:rFonts w:ascii="Arial" w:cs="Arial" w:eastAsia="Arial" w:hAnsi="Arial"/>
          <w:sz w:val="19"/>
          <w:szCs w:val="19"/>
          <w:color w:val="auto"/>
        </w:rPr>
      </w:pPr>
      <w:r>
        <w:rPr>
          <w:rFonts w:ascii="Arial" w:cs="Arial" w:eastAsia="Arial" w:hAnsi="Arial"/>
          <w:sz w:val="19"/>
          <w:szCs w:val="19"/>
          <w:color w:val="auto"/>
        </w:rPr>
        <w:t>a certificate of a Responsible Officer of each Loan Party either (A) attaching copies of all consents, licenses and approvals required in connection with the execution, delivery and performance by such Loan Party and the validity against such Loan Party of the Loan Documents to which it is a party, and such consents, licenses and approvals shall be in full force and effect, or (B) stating that no such consents, licenses or approvals are so required;</w:t>
      </w:r>
    </w:p>
    <w:p>
      <w:pPr>
        <w:spacing w:after="0" w:line="200" w:lineRule="exact"/>
        <w:rPr>
          <w:sz w:val="20"/>
          <w:szCs w:val="20"/>
          <w:color w:val="auto"/>
        </w:rPr>
      </w:pPr>
    </w:p>
    <w:p>
      <w:pPr>
        <w:spacing w:after="0" w:line="230"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78</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90" w:name="page91"/>
    <w:bookmarkEnd w:id="90"/>
    <w:p>
      <w:pPr>
        <w:jc w:val="both"/>
        <w:ind w:left="1200" w:firstLine="1198"/>
        <w:spacing w:after="0" w:line="293" w:lineRule="auto"/>
        <w:tabs>
          <w:tab w:leader="none" w:pos="3287"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a certificate signed by a Responsible Officer of the Borrower certifying that (1) the conditions specified in </w:t>
      </w:r>
      <w:r>
        <w:rPr>
          <w:rFonts w:ascii="Arial" w:cs="Arial" w:eastAsia="Arial" w:hAnsi="Arial"/>
          <w:sz w:val="18"/>
          <w:szCs w:val="18"/>
          <w:u w:val="single" w:color="auto"/>
          <w:color w:val="auto"/>
        </w:rPr>
        <w:t>Section 4.01(d)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have been satisfied and (2) no action, suit, investigation or proceeding is pending or, to the knowledge of any Loan Party, threatened in any court or before any arbitrator or Governmental Authority related to the credit facility being provided under this Agreement or that could reasonably be expected to have a Material Adverse Effect;</w:t>
      </w:r>
    </w:p>
    <w:p>
      <w:pPr>
        <w:spacing w:after="0" w:line="175" w:lineRule="exact"/>
        <w:rPr>
          <w:rFonts w:ascii="Arial" w:cs="Arial" w:eastAsia="Arial" w:hAnsi="Arial"/>
          <w:sz w:val="18"/>
          <w:szCs w:val="18"/>
          <w:color w:val="auto"/>
        </w:rPr>
      </w:pPr>
    </w:p>
    <w:p>
      <w:pPr>
        <w:jc w:val="both"/>
        <w:ind w:left="1200" w:firstLine="1198"/>
        <w:spacing w:after="0" w:line="280" w:lineRule="auto"/>
        <w:tabs>
          <w:tab w:leader="none" w:pos="3231" w:val="left"/>
        </w:tabs>
        <w:numPr>
          <w:ilvl w:val="1"/>
          <w:numId w:val="113"/>
        </w:numPr>
        <w:rPr>
          <w:rFonts w:ascii="Arial" w:cs="Arial" w:eastAsia="Arial" w:hAnsi="Arial"/>
          <w:sz w:val="19"/>
          <w:szCs w:val="19"/>
          <w:color w:val="auto"/>
        </w:rPr>
      </w:pPr>
      <w:r>
        <w:rPr>
          <w:rFonts w:ascii="Arial" w:cs="Arial" w:eastAsia="Arial" w:hAnsi="Arial"/>
          <w:sz w:val="19"/>
          <w:szCs w:val="19"/>
          <w:color w:val="auto"/>
        </w:rPr>
        <w:t>a Solvency Certificate from the Loan Parties certifying that, after giving effect to the transactions to occur on the Restatement Effective Date (including, without limitation, any Credit Extension to occur on the Restatement Effective Date), the REIT and its Consolidated Subsidiaries, on a consolidated basis, are Solvent;</w:t>
      </w:r>
    </w:p>
    <w:p>
      <w:pPr>
        <w:spacing w:after="0" w:line="184" w:lineRule="exact"/>
        <w:rPr>
          <w:rFonts w:ascii="Arial" w:cs="Arial" w:eastAsia="Arial" w:hAnsi="Arial"/>
          <w:sz w:val="19"/>
          <w:szCs w:val="19"/>
          <w:color w:val="auto"/>
        </w:rPr>
      </w:pPr>
    </w:p>
    <w:p>
      <w:pPr>
        <w:jc w:val="both"/>
        <w:ind w:left="1200" w:firstLine="1198"/>
        <w:spacing w:after="0" w:line="256" w:lineRule="auto"/>
        <w:tabs>
          <w:tab w:leader="none" w:pos="3287" w:val="left"/>
        </w:tabs>
        <w:numPr>
          <w:ilvl w:val="1"/>
          <w:numId w:val="113"/>
        </w:numPr>
        <w:rPr>
          <w:rFonts w:ascii="Arial" w:cs="Arial" w:eastAsia="Arial" w:hAnsi="Arial"/>
          <w:sz w:val="20"/>
          <w:szCs w:val="20"/>
          <w:color w:val="auto"/>
        </w:rPr>
      </w:pPr>
      <w:r>
        <w:rPr>
          <w:rFonts w:ascii="Arial" w:cs="Arial" w:eastAsia="Arial" w:hAnsi="Arial"/>
          <w:sz w:val="20"/>
          <w:szCs w:val="20"/>
          <w:color w:val="auto"/>
        </w:rPr>
        <w:t>a duly completed Compliance Certificate as of the Restatement Effective Date (giving pro forma effect to the transactions to occur on the Restatement Effective Date, including, without limitation, all Credit Extensions to occur on the Effective Date), signed by a Responsible Officer of Borrower (such certificate being referred to herein as the “</w:t>
      </w:r>
      <w:r>
        <w:rPr>
          <w:rFonts w:ascii="Arial" w:cs="Arial" w:eastAsia="Arial" w:hAnsi="Arial"/>
          <w:sz w:val="20"/>
          <w:szCs w:val="20"/>
          <w:u w:val="single" w:color="auto"/>
          <w:color w:val="auto"/>
        </w:rPr>
        <w:t>Pro</w:t>
      </w:r>
      <w:r>
        <w:rPr>
          <w:rFonts w:ascii="Arial" w:cs="Arial" w:eastAsia="Arial" w:hAnsi="Arial"/>
          <w:sz w:val="20"/>
          <w:szCs w:val="20"/>
          <w:color w:val="auto"/>
        </w:rPr>
        <w:t xml:space="preserve"> </w:t>
      </w:r>
      <w:r>
        <w:rPr>
          <w:rFonts w:ascii="Arial" w:cs="Arial" w:eastAsia="Arial" w:hAnsi="Arial"/>
          <w:sz w:val="20"/>
          <w:szCs w:val="20"/>
          <w:u w:val="single" w:color="auto"/>
          <w:color w:val="auto"/>
        </w:rPr>
        <w:t>Forma Restatement Effective Date Compliance Certificate</w:t>
      </w:r>
      <w:r>
        <w:rPr>
          <w:rFonts w:ascii="Arial" w:cs="Arial" w:eastAsia="Arial" w:hAnsi="Arial"/>
          <w:sz w:val="20"/>
          <w:szCs w:val="20"/>
          <w:color w:val="auto"/>
        </w:rPr>
        <w:t>”); and</w:t>
      </w:r>
    </w:p>
    <w:p>
      <w:pPr>
        <w:spacing w:after="0" w:line="205" w:lineRule="exact"/>
        <w:rPr>
          <w:rFonts w:ascii="Arial" w:cs="Arial" w:eastAsia="Arial" w:hAnsi="Arial"/>
          <w:sz w:val="20"/>
          <w:szCs w:val="20"/>
          <w:color w:val="auto"/>
        </w:rPr>
      </w:pPr>
    </w:p>
    <w:p>
      <w:pPr>
        <w:ind w:left="1200" w:firstLine="1198"/>
        <w:spacing w:after="0" w:line="272" w:lineRule="auto"/>
        <w:tabs>
          <w:tab w:leader="none" w:pos="3343" w:val="left"/>
        </w:tabs>
        <w:numPr>
          <w:ilvl w:val="1"/>
          <w:numId w:val="113"/>
        </w:numPr>
        <w:rPr>
          <w:rFonts w:ascii="Arial" w:cs="Arial" w:eastAsia="Arial" w:hAnsi="Arial"/>
          <w:sz w:val="20"/>
          <w:szCs w:val="20"/>
          <w:color w:val="auto"/>
        </w:rPr>
      </w:pPr>
      <w:r>
        <w:rPr>
          <w:rFonts w:ascii="Arial" w:cs="Arial" w:eastAsia="Arial" w:hAnsi="Arial"/>
          <w:sz w:val="20"/>
          <w:szCs w:val="20"/>
          <w:color w:val="auto"/>
        </w:rPr>
        <w:t>such other assurances, certificates, documents, consents or opinions as the Administrative Agent or either Bookrunner reasonably may require.</w:t>
      </w:r>
    </w:p>
    <w:p>
      <w:pPr>
        <w:spacing w:after="0" w:line="190" w:lineRule="exact"/>
        <w:rPr>
          <w:rFonts w:ascii="Arial" w:cs="Arial" w:eastAsia="Arial" w:hAnsi="Arial"/>
          <w:sz w:val="20"/>
          <w:szCs w:val="20"/>
          <w:color w:val="auto"/>
        </w:rPr>
      </w:pPr>
    </w:p>
    <w:p>
      <w:pPr>
        <w:ind w:firstLine="599"/>
        <w:spacing w:after="0" w:line="329" w:lineRule="auto"/>
        <w:tabs>
          <w:tab w:leader="none" w:pos="143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All fees required to be paid to the Administrative Agent and the Bookrunners on or before the Restatement Effective Date shall have been paid and (ii) all fees required to be paid to the Lenders on or before the Restatement Effective Date shall have been paid.</w:t>
      </w:r>
    </w:p>
    <w:p>
      <w:pPr>
        <w:spacing w:after="0" w:line="144" w:lineRule="exact"/>
        <w:rPr>
          <w:rFonts w:ascii="Arial" w:cs="Arial" w:eastAsia="Arial" w:hAnsi="Arial"/>
          <w:sz w:val="18"/>
          <w:szCs w:val="18"/>
          <w:color w:val="auto"/>
        </w:rPr>
      </w:pPr>
    </w:p>
    <w:p>
      <w:pPr>
        <w:ind w:firstLine="599"/>
        <w:spacing w:after="0" w:line="299" w:lineRule="auto"/>
        <w:tabs>
          <w:tab w:leader="none" w:pos="1421" w:val="left"/>
        </w:tabs>
        <w:numPr>
          <w:ilvl w:val="0"/>
          <w:numId w:val="114"/>
        </w:numPr>
        <w:rPr>
          <w:rFonts w:ascii="Arial" w:cs="Arial" w:eastAsia="Arial" w:hAnsi="Arial"/>
          <w:sz w:val="19"/>
          <w:szCs w:val="19"/>
          <w:color w:val="auto"/>
        </w:rPr>
      </w:pPr>
      <w:r>
        <w:rPr>
          <w:rFonts w:ascii="Arial" w:cs="Arial" w:eastAsia="Arial" w:hAnsi="Arial"/>
          <w:sz w:val="19"/>
          <w:szCs w:val="19"/>
          <w:color w:val="auto"/>
        </w:rPr>
        <w:t>All due diligence with respect to the REIT, the Borrower and their respective Subsidiaries, in scope and determination satisfactory to the Administrative Agent, the Bookrunners and the Lenders in their sole discretion, shall have been completed.</w:t>
      </w:r>
    </w:p>
    <w:p>
      <w:pPr>
        <w:spacing w:after="0" w:line="167" w:lineRule="exact"/>
        <w:rPr>
          <w:rFonts w:ascii="Arial" w:cs="Arial" w:eastAsia="Arial" w:hAnsi="Arial"/>
          <w:sz w:val="19"/>
          <w:szCs w:val="19"/>
          <w:color w:val="auto"/>
        </w:rPr>
      </w:pPr>
    </w:p>
    <w:p>
      <w:pPr>
        <w:ind w:firstLine="599"/>
        <w:spacing w:after="0" w:line="272" w:lineRule="auto"/>
        <w:tabs>
          <w:tab w:leader="none" w:pos="1432"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There shall not have occurred since September 30, 2017 any event or condition that has had or could reasonably be expected, either individually or in the aggregate, to have a Material Adverse Effect.</w:t>
      </w:r>
    </w:p>
    <w:p>
      <w:pPr>
        <w:spacing w:after="0" w:line="190" w:lineRule="exact"/>
        <w:rPr>
          <w:rFonts w:ascii="Arial" w:cs="Arial" w:eastAsia="Arial" w:hAnsi="Arial"/>
          <w:sz w:val="20"/>
          <w:szCs w:val="20"/>
          <w:color w:val="auto"/>
        </w:rPr>
      </w:pPr>
    </w:p>
    <w:p>
      <w:pPr>
        <w:jc w:val="both"/>
        <w:ind w:firstLine="599"/>
        <w:spacing w:after="0" w:line="252" w:lineRule="auto"/>
        <w:tabs>
          <w:tab w:leader="none" w:pos="1421" w:val="left"/>
        </w:tabs>
        <w:numPr>
          <w:ilvl w:val="0"/>
          <w:numId w:val="114"/>
        </w:numPr>
        <w:rPr>
          <w:rFonts w:ascii="Arial" w:cs="Arial" w:eastAsia="Arial" w:hAnsi="Arial"/>
          <w:sz w:val="20"/>
          <w:szCs w:val="20"/>
          <w:color w:val="auto"/>
        </w:rPr>
      </w:pPr>
      <w:r>
        <w:rPr>
          <w:rFonts w:ascii="Arial" w:cs="Arial" w:eastAsia="Arial" w:hAnsi="Arial"/>
          <w:sz w:val="20"/>
          <w:szCs w:val="20"/>
          <w:color w:val="auto"/>
        </w:rPr>
        <w:t>Unless waived by the Administrative Agent, the Borrower shall have paid all reasonable and documented fees, charges and disbursements of counsel to the Administrative Agent (directly to such counsel if requested by the Administrative Agent) to the extent invoiced prior to or on the first Business Day prior to the Restatement Effective Date, plus such additional amounts of such fees, charges and disbursements as shall constitute its reasonable estimate of such fees, charges and disbursements incurred or to be incurred by it through the closing proceedings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estimate shall not thereafter preclude a final settling of accounts between the Borrower and the Administrative Agent).</w:t>
      </w:r>
    </w:p>
    <w:p>
      <w:pPr>
        <w:spacing w:after="0" w:line="212" w:lineRule="exact"/>
        <w:rPr>
          <w:rFonts w:ascii="Arial" w:cs="Arial" w:eastAsia="Arial" w:hAnsi="Arial"/>
          <w:sz w:val="20"/>
          <w:szCs w:val="20"/>
          <w:color w:val="auto"/>
        </w:rPr>
      </w:pPr>
    </w:p>
    <w:p>
      <w:pPr>
        <w:jc w:val="both"/>
        <w:ind w:firstLine="599"/>
        <w:spacing w:after="0" w:line="260" w:lineRule="auto"/>
        <w:tabs>
          <w:tab w:leader="none" w:pos="1399"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All accrued and unpaid interest and fees with respect to the Revolving Credit Commitments and Loans under the Existing Credit Agreement as of (and immediately prior to giving effect to) the Restatement Effective Date shall have been, or concurrently with the extensions of credit being made hereunder on the Restatement Effective Date will be, paid in full.</w:t>
      </w:r>
    </w:p>
    <w:p>
      <w:pPr>
        <w:spacing w:after="0" w:line="201" w:lineRule="exact"/>
        <w:rPr>
          <w:rFonts w:ascii="Arial" w:cs="Arial" w:eastAsia="Arial" w:hAnsi="Arial"/>
          <w:sz w:val="20"/>
          <w:szCs w:val="20"/>
          <w:color w:val="auto"/>
        </w:rPr>
      </w:pPr>
    </w:p>
    <w:p>
      <w:pPr>
        <w:jc w:val="both"/>
        <w:ind w:firstLine="599"/>
        <w:spacing w:after="0" w:line="256" w:lineRule="auto"/>
        <w:tabs>
          <w:tab w:leader="none" w:pos="1432"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At least five business days prior to the Restatement Effective Date, the Administrative Agent and the Lenders shall have received documentation and other information with respect to the Borrower and each of the Guarantors that is required by regulatory authorities under applicable “know your customer” and anti-money laundering rules and regulations, including, without limitation, the USA Patriot Act (Title III of</w:t>
      </w:r>
    </w:p>
    <w:p>
      <w:pPr>
        <w:spacing w:after="0" w:line="20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79</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91" w:name="page92"/>
    <w:bookmarkEnd w:id="91"/>
    <w:p>
      <w:pPr>
        <w:jc w:val="both"/>
        <w:spacing w:after="0" w:line="272" w:lineRule="auto"/>
        <w:rPr>
          <w:sz w:val="20"/>
          <w:szCs w:val="20"/>
          <w:color w:val="auto"/>
        </w:rPr>
      </w:pPr>
      <w:r>
        <w:rPr>
          <w:rFonts w:ascii="Arial" w:cs="Arial" w:eastAsia="Arial" w:hAnsi="Arial"/>
          <w:sz w:val="20"/>
          <w:szCs w:val="20"/>
          <w:color w:val="auto"/>
        </w:rPr>
        <w:t>Pub. L. 107 56 (signed into law October 26, 2001)) and regulations implemented by the US Treasury’s Financial Crimes Enforcement Network under the Bank Secrecy Act.</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 xml:space="preserve">Without limiting the generality of the provisions of the last paragraph of </w:t>
      </w:r>
      <w:r>
        <w:rPr>
          <w:rFonts w:ascii="Arial" w:cs="Arial" w:eastAsia="Arial" w:hAnsi="Arial"/>
          <w:sz w:val="20"/>
          <w:szCs w:val="20"/>
          <w:u w:val="single" w:color="auto"/>
          <w:color w:val="auto"/>
        </w:rPr>
        <w:t>Section 9.03</w:t>
      </w:r>
      <w:r>
        <w:rPr>
          <w:rFonts w:ascii="Arial" w:cs="Arial" w:eastAsia="Arial" w:hAnsi="Arial"/>
          <w:sz w:val="20"/>
          <w:szCs w:val="20"/>
          <w:color w:val="auto"/>
        </w:rPr>
        <w:t xml:space="preserve">, for purposes of determining compliance with the conditions specified in this </w:t>
      </w:r>
      <w:r>
        <w:rPr>
          <w:rFonts w:ascii="Arial" w:cs="Arial" w:eastAsia="Arial" w:hAnsi="Arial"/>
          <w:sz w:val="20"/>
          <w:szCs w:val="20"/>
          <w:u w:val="single" w:color="auto"/>
          <w:color w:val="auto"/>
        </w:rPr>
        <w:t>Section 4.01</w:t>
      </w:r>
      <w:r>
        <w:rPr>
          <w:rFonts w:ascii="Arial" w:cs="Arial" w:eastAsia="Arial" w:hAnsi="Arial"/>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written notice from such Lender prior to the proposed Restatement Effective Date specifying its objection thereto</w:t>
      </w:r>
      <w:r>
        <w:rPr>
          <w:rFonts w:ascii="Arial" w:cs="Arial" w:eastAsia="Arial" w:hAnsi="Arial"/>
          <w:sz w:val="20"/>
          <w:szCs w:val="20"/>
          <w:b w:val="1"/>
          <w:bCs w:val="1"/>
          <w:color w:val="auto"/>
        </w:rPr>
        <w:t>.</w:t>
      </w:r>
    </w:p>
    <w:p>
      <w:pPr>
        <w:spacing w:after="0" w:line="174"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 xml:space="preserve">4.02. </w:t>
      </w:r>
      <w:r>
        <w:rPr>
          <w:rFonts w:ascii="Arial" w:cs="Arial" w:eastAsia="Arial" w:hAnsi="Arial"/>
          <w:sz w:val="20"/>
          <w:szCs w:val="20"/>
          <w:u w:val="single" w:color="auto"/>
          <w:color w:val="auto"/>
        </w:rPr>
        <w:t>Conditions to All Credit Extensions</w:t>
      </w:r>
      <w:r>
        <w:rPr>
          <w:rFonts w:ascii="Arial" w:cs="Arial" w:eastAsia="Arial" w:hAnsi="Arial"/>
          <w:sz w:val="20"/>
          <w:szCs w:val="20"/>
          <w:color w:val="auto"/>
        </w:rPr>
        <w:t>. The obligation of each Lender to honor any Request for Credit Extension (other than a Loan Notice requesting only a conversion of Loans to the other Type, or a continuation of Eurodollar Rate Loans) is subject to the following conditions precedent:</w:t>
      </w:r>
    </w:p>
    <w:p>
      <w:pPr>
        <w:spacing w:after="0" w:line="202" w:lineRule="exact"/>
        <w:rPr>
          <w:sz w:val="20"/>
          <w:szCs w:val="20"/>
          <w:color w:val="auto"/>
        </w:rPr>
      </w:pPr>
    </w:p>
    <w:p>
      <w:pPr>
        <w:jc w:val="both"/>
        <w:ind w:firstLine="599"/>
        <w:spacing w:after="0" w:line="282" w:lineRule="auto"/>
        <w:tabs>
          <w:tab w:leader="none" w:pos="142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Borrower and each other Loan Party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any other Loan Document, or which are contained in any document furnished at any time under or in connection herewith or therewith, shall be true and correct in all material respects on and as of the date of the proposed Credit Extension, except (i) to the extent that such representations and warranties specifically refer to an earlier date, in which case they shall be true and correct in all material respects as of such earlier date, (ii) any representation or warranty that is already by its terms qualified as to “materiality”, “Material Adverse Effect” or similar language shall be true and correct in all respects as of such date (including such earlier date set forth in the foregoing clause (i)) after giving effect to such qualification and (iii) for purposes of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the representations and warranties contained in subsections (a) and (b) of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shall be deemed to refer to the most recent statements furnished pursuant to clauses (a) and (b), respectively, of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ind w:left="1440" w:hanging="841"/>
        <w:spacing w:after="0"/>
        <w:tabs>
          <w:tab w:leader="none" w:pos="14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from the application of the proceeds thereof;</w:t>
      </w:r>
    </w:p>
    <w:p>
      <w:pPr>
        <w:spacing w:after="0" w:line="4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and</w:t>
      </w:r>
    </w:p>
    <w:p>
      <w:pPr>
        <w:spacing w:after="0" w:line="228" w:lineRule="exact"/>
        <w:rPr>
          <w:rFonts w:ascii="Arial" w:cs="Arial" w:eastAsia="Arial" w:hAnsi="Arial"/>
          <w:sz w:val="18"/>
          <w:szCs w:val="18"/>
          <w:color w:val="auto"/>
        </w:rPr>
      </w:pPr>
    </w:p>
    <w:p>
      <w:pPr>
        <w:ind w:firstLine="599"/>
        <w:spacing w:after="0" w:line="272" w:lineRule="auto"/>
        <w:tabs>
          <w:tab w:leader="none" w:pos="1421"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 Administrative Agent and, if applicable, the applicable L/C Issuer or the Swing Line Lenders shall have received a Request for Credit Extension in accordance with the requirements hereof.</w:t>
      </w:r>
    </w:p>
    <w:p>
      <w:pPr>
        <w:spacing w:after="0" w:line="191"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 xml:space="preserve">Each Request for Credit Extension (other than a Loan Notice requesting only a conversion of Loans to the other Type or a continuation of Eurodollar Rate Loans) submitted by the Borrower shall be deemed to be a representation and warranty that the conditions specified in </w:t>
      </w:r>
      <w:r>
        <w:rPr>
          <w:rFonts w:ascii="Arial" w:cs="Arial" w:eastAsia="Arial" w:hAnsi="Arial"/>
          <w:sz w:val="20"/>
          <w:szCs w:val="20"/>
          <w:u w:val="single" w:color="auto"/>
          <w:color w:val="auto"/>
        </w:rPr>
        <w:t>Sections 4.02(a)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have been satisfied on and as of the date of the applicable Credit Extension.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REPRESENTATIONS AND WARRANTIES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Each of the REIT and the Borrower represents and warrants to the Administrative Agent and the Lenders that:</w:t>
      </w:r>
    </w:p>
    <w:p>
      <w:pPr>
        <w:spacing w:after="0" w:line="207" w:lineRule="exact"/>
        <w:rPr>
          <w:sz w:val="20"/>
          <w:szCs w:val="20"/>
          <w:color w:val="auto"/>
        </w:rPr>
      </w:pPr>
    </w:p>
    <w:p>
      <w:pPr>
        <w:jc w:val="both"/>
        <w:ind w:firstLine="599"/>
        <w:spacing w:after="0" w:line="270" w:lineRule="auto"/>
        <w:rPr>
          <w:sz w:val="20"/>
          <w:szCs w:val="20"/>
          <w:color w:val="auto"/>
        </w:rPr>
      </w:pPr>
      <w:r>
        <w:rPr>
          <w:rFonts w:ascii="Arial" w:cs="Arial" w:eastAsia="Arial" w:hAnsi="Arial"/>
          <w:sz w:val="19"/>
          <w:szCs w:val="19"/>
          <w:color w:val="auto"/>
        </w:rPr>
        <w:t xml:space="preserve">5.01. </w:t>
      </w:r>
      <w:r>
        <w:rPr>
          <w:rFonts w:ascii="Arial" w:cs="Arial" w:eastAsia="Arial" w:hAnsi="Arial"/>
          <w:sz w:val="19"/>
          <w:szCs w:val="19"/>
          <w:u w:val="single" w:color="auto"/>
          <w:color w:val="auto"/>
        </w:rPr>
        <w:t>Existence, Qualification and Power</w:t>
      </w:r>
      <w:r>
        <w:rPr>
          <w:rFonts w:ascii="Arial" w:cs="Arial" w:eastAsia="Arial" w:hAnsi="Arial"/>
          <w:sz w:val="19"/>
          <w:szCs w:val="19"/>
          <w:color w:val="auto"/>
        </w:rPr>
        <w:t>. Each Loan Party and each of its Subsidiaries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w:t>
      </w:r>
    </w:p>
    <w:p>
      <w:pPr>
        <w:spacing w:after="0" w:line="19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80</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92" w:name="page93"/>
    <w:bookmarkEnd w:id="92"/>
    <w:p>
      <w:pPr>
        <w:jc w:val="both"/>
        <w:spacing w:after="0" w:line="299" w:lineRule="auto"/>
        <w:rPr>
          <w:sz w:val="20"/>
          <w:szCs w:val="20"/>
          <w:color w:val="auto"/>
        </w:rPr>
      </w:pPr>
      <w:r>
        <w:rPr>
          <w:rFonts w:ascii="Arial" w:cs="Arial" w:eastAsia="Arial" w:hAnsi="Arial"/>
          <w:sz w:val="19"/>
          <w:szCs w:val="19"/>
          <w:color w:val="auto"/>
        </w:rPr>
        <w:t>its ownership, lease or operation of properties or the conduct of its business requires such qualification or license; except in each case referred to in clause (b)(i) or (c), to the extent that failure to do so could not reasonably be expected to have a Material Adverse Effect.</w:t>
      </w:r>
    </w:p>
    <w:p>
      <w:pPr>
        <w:spacing w:after="0" w:line="168" w:lineRule="exact"/>
        <w:rPr>
          <w:sz w:val="20"/>
          <w:szCs w:val="20"/>
          <w:color w:val="auto"/>
        </w:rPr>
      </w:pPr>
    </w:p>
    <w:p>
      <w:pPr>
        <w:jc w:val="both"/>
        <w:ind w:firstLine="599"/>
        <w:spacing w:after="0" w:line="267" w:lineRule="auto"/>
        <w:rPr>
          <w:sz w:val="20"/>
          <w:szCs w:val="20"/>
          <w:color w:val="auto"/>
        </w:rPr>
      </w:pPr>
      <w:r>
        <w:rPr>
          <w:rFonts w:ascii="Arial" w:cs="Arial" w:eastAsia="Arial" w:hAnsi="Arial"/>
          <w:sz w:val="19"/>
          <w:szCs w:val="19"/>
          <w:color w:val="auto"/>
        </w:rPr>
        <w:t xml:space="preserve">5.02. </w:t>
      </w:r>
      <w:r>
        <w:rPr>
          <w:rFonts w:ascii="Arial" w:cs="Arial" w:eastAsia="Arial" w:hAnsi="Arial"/>
          <w:sz w:val="19"/>
          <w:szCs w:val="19"/>
          <w:u w:val="single" w:color="auto"/>
          <w:color w:val="auto"/>
        </w:rPr>
        <w:t>Authorization; No Contravention</w:t>
      </w:r>
      <w:r>
        <w:rPr>
          <w:rFonts w:ascii="Arial" w:cs="Arial" w:eastAsia="Arial" w:hAnsi="Arial"/>
          <w:sz w:val="19"/>
          <w:szCs w:val="19"/>
          <w:color w:val="auto"/>
        </w:rPr>
        <w:t>. The execution, delivery and performance by each Loan Party of each Loan Document to which such Person is a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 except in each case referred to in clause (b) or (c) hereof, to the extent the same could not reasonably be expected to have a Material Adverse Effect.</w:t>
      </w:r>
    </w:p>
    <w:p>
      <w:pPr>
        <w:spacing w:after="0" w:line="197" w:lineRule="exact"/>
        <w:rPr>
          <w:sz w:val="20"/>
          <w:szCs w:val="20"/>
          <w:color w:val="auto"/>
        </w:rPr>
      </w:pPr>
    </w:p>
    <w:p>
      <w:pPr>
        <w:jc w:val="both"/>
        <w:ind w:firstLine="599"/>
        <w:spacing w:after="0" w:line="288" w:lineRule="auto"/>
        <w:rPr>
          <w:sz w:val="20"/>
          <w:szCs w:val="20"/>
          <w:color w:val="auto"/>
        </w:rPr>
      </w:pPr>
      <w:r>
        <w:rPr>
          <w:rFonts w:ascii="Arial" w:cs="Arial" w:eastAsia="Arial" w:hAnsi="Arial"/>
          <w:sz w:val="18"/>
          <w:szCs w:val="18"/>
          <w:color w:val="auto"/>
        </w:rPr>
        <w:t xml:space="preserve">5.03. </w:t>
      </w:r>
      <w:r>
        <w:rPr>
          <w:rFonts w:ascii="Arial" w:cs="Arial" w:eastAsia="Arial" w:hAnsi="Arial"/>
          <w:sz w:val="18"/>
          <w:szCs w:val="18"/>
          <w:u w:val="single" w:color="auto"/>
          <w:color w:val="auto"/>
        </w:rPr>
        <w:t>Governmental Authorization; Other Consents</w:t>
      </w:r>
      <w:r>
        <w:rPr>
          <w:rFonts w:ascii="Arial" w:cs="Arial" w:eastAsia="Arial" w:hAnsi="Arial"/>
          <w:sz w:val="18"/>
          <w:szCs w:val="18"/>
          <w:color w:val="auto"/>
        </w:rPr>
        <w:t>. 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or (b) the exercise by the Administrative Agent or any Lender of its rights or remedies under the Loan Documents, except for the approvals, consents, exemptions, authorizations, actions, notices and filings which have been duly obtained, taken, given or made and are in full force and effect.</w:t>
      </w:r>
    </w:p>
    <w:p>
      <w:pPr>
        <w:spacing w:after="0" w:line="182" w:lineRule="exact"/>
        <w:rPr>
          <w:sz w:val="20"/>
          <w:szCs w:val="20"/>
          <w:color w:val="auto"/>
        </w:rPr>
      </w:pPr>
    </w:p>
    <w:p>
      <w:pPr>
        <w:jc w:val="both"/>
        <w:ind w:firstLine="599"/>
        <w:spacing w:after="0" w:line="270" w:lineRule="auto"/>
        <w:rPr>
          <w:sz w:val="20"/>
          <w:szCs w:val="20"/>
          <w:color w:val="auto"/>
        </w:rPr>
      </w:pPr>
      <w:r>
        <w:rPr>
          <w:rFonts w:ascii="Arial" w:cs="Arial" w:eastAsia="Arial" w:hAnsi="Arial"/>
          <w:sz w:val="19"/>
          <w:szCs w:val="19"/>
          <w:color w:val="auto"/>
        </w:rPr>
        <w:t xml:space="preserve">5.04. </w:t>
      </w:r>
      <w:r>
        <w:rPr>
          <w:rFonts w:ascii="Arial" w:cs="Arial" w:eastAsia="Arial" w:hAnsi="Arial"/>
          <w:sz w:val="19"/>
          <w:szCs w:val="19"/>
          <w:u w:val="single" w:color="auto"/>
          <w:color w:val="auto"/>
        </w:rPr>
        <w:t>Binding Effect</w:t>
      </w:r>
      <w:r>
        <w:rPr>
          <w:rFonts w:ascii="Arial" w:cs="Arial" w:eastAsia="Arial" w:hAnsi="Arial"/>
          <w:sz w:val="19"/>
          <w:szCs w:val="19"/>
          <w:color w:val="auto"/>
        </w:rPr>
        <w: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as enforceability may be limited by applicable bankruptcy, insolvency, reorganization, moratorium or other similar laws affecting creditors’ rights generally, or by general equitable principles relating to enforceability.</w:t>
      </w:r>
    </w:p>
    <w:p>
      <w:pPr>
        <w:spacing w:after="0" w:line="19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5.05.</w:t>
      </w:r>
      <w:r>
        <w:rPr>
          <w:sz w:val="20"/>
          <w:szCs w:val="20"/>
          <w:color w:val="auto"/>
        </w:rPr>
        <w:tab/>
      </w:r>
      <w:r>
        <w:rPr>
          <w:rFonts w:ascii="Arial" w:cs="Arial" w:eastAsia="Arial" w:hAnsi="Arial"/>
          <w:sz w:val="18"/>
          <w:szCs w:val="18"/>
          <w:u w:val="single" w:color="auto"/>
          <w:color w:val="auto"/>
        </w:rPr>
        <w:t>Financial Statements; No Material Adverse Effect</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93" w:lineRule="auto"/>
        <w:tabs>
          <w:tab w:leader="none" w:pos="142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Audited Financial Statements (i) were prepared in accordance with GAAP consistently applied throughout the period covered thereby, except as otherwise expressly noted therein and (ii) fairly present the financial condition of the Consolidated Group as of the date thereof and its results of operations, cash flows and changes in shareholders’ equity for the period covered thereby in accordance with GAAP consistently applied throughout the period covered thereby, except as otherwise expressly noted therein.</w:t>
      </w:r>
    </w:p>
    <w:p>
      <w:pPr>
        <w:spacing w:after="0" w:line="175" w:lineRule="exact"/>
        <w:rPr>
          <w:rFonts w:ascii="Arial" w:cs="Arial" w:eastAsia="Arial" w:hAnsi="Arial"/>
          <w:sz w:val="18"/>
          <w:szCs w:val="18"/>
          <w:color w:val="auto"/>
        </w:rPr>
      </w:pPr>
    </w:p>
    <w:p>
      <w:pPr>
        <w:jc w:val="both"/>
        <w:ind w:firstLine="599"/>
        <w:spacing w:after="0" w:line="252" w:lineRule="auto"/>
        <w:tabs>
          <w:tab w:leader="none" w:pos="1432"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The unaudited consolidated balance sheet of the Consolidated Group dated September 30, 2017,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Consolidated Group as of the date thereof and its results of operations, cash flows and changes in shareholders’ equity for the period covered thereby, subject, in the case of clauses (i) and (ii), to the absence of footnotes and to normal year-end audit adjustments.</w:t>
      </w:r>
    </w:p>
    <w:p>
      <w:pPr>
        <w:spacing w:after="0" w:line="206" w:lineRule="exact"/>
        <w:rPr>
          <w:rFonts w:ascii="Arial" w:cs="Arial" w:eastAsia="Arial" w:hAnsi="Arial"/>
          <w:sz w:val="20"/>
          <w:szCs w:val="20"/>
          <w:color w:val="auto"/>
        </w:rPr>
      </w:pPr>
    </w:p>
    <w:p>
      <w:pPr>
        <w:ind w:firstLine="599"/>
        <w:spacing w:after="0" w:line="279" w:lineRule="auto"/>
        <w:tabs>
          <w:tab w:leader="none" w:pos="1421" w:val="left"/>
        </w:tabs>
        <w:numPr>
          <w:ilvl w:val="0"/>
          <w:numId w:val="116"/>
        </w:numPr>
        <w:rPr>
          <w:rFonts w:ascii="Arial" w:cs="Arial" w:eastAsia="Arial" w:hAnsi="Arial"/>
          <w:sz w:val="20"/>
          <w:szCs w:val="20"/>
          <w:color w:val="auto"/>
        </w:rPr>
      </w:pPr>
      <w:r>
        <w:rPr>
          <w:rFonts w:ascii="Arial" w:cs="Arial" w:eastAsia="Arial" w:hAnsi="Arial"/>
          <w:sz w:val="20"/>
          <w:szCs w:val="20"/>
          <w:color w:val="auto"/>
        </w:rPr>
        <w:t>Since September 30, 2017</w:t>
      </w:r>
      <w:r>
        <w:rPr>
          <w:rFonts w:ascii="Arial" w:cs="Arial" w:eastAsia="Arial" w:hAnsi="Arial"/>
          <w:sz w:val="20"/>
          <w:szCs w:val="20"/>
          <w:b w:val="1"/>
          <w:bCs w:val="1"/>
          <w:color w:val="auto"/>
        </w:rPr>
        <w:t>,</w:t>
      </w:r>
      <w:r>
        <w:rPr>
          <w:rFonts w:ascii="Arial" w:cs="Arial" w:eastAsia="Arial" w:hAnsi="Arial"/>
          <w:sz w:val="20"/>
          <w:szCs w:val="20"/>
          <w:color w:val="auto"/>
        </w:rPr>
        <w:t xml:space="preserve"> there has been no event or circumstance, either individually or in the aggregate, that has had or could reasonably be expected to have a Material Adverse Effect.</w:t>
      </w:r>
    </w:p>
    <w:p>
      <w:pPr>
        <w:spacing w:after="0" w:line="183"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81</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93" w:name="page94"/>
    <w:bookmarkEnd w:id="93"/>
    <w:p>
      <w:pPr>
        <w:jc w:val="both"/>
        <w:ind w:firstLine="599"/>
        <w:spacing w:after="0" w:line="273" w:lineRule="auto"/>
        <w:tabs>
          <w:tab w:leader="none" w:pos="1432"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The consolidated forecasted balance sheet, statement of income and cash flows of the Consolidated Group delivered pursuant to </w:t>
      </w:r>
      <w:r>
        <w:rPr>
          <w:rFonts w:ascii="Arial" w:cs="Arial" w:eastAsia="Arial" w:hAnsi="Arial"/>
          <w:sz w:val="19"/>
          <w:szCs w:val="19"/>
          <w:u w:val="single" w:color="auto"/>
          <w:color w:val="auto"/>
        </w:rPr>
        <w:t>Section 6.01(c)</w:t>
      </w:r>
      <w:r>
        <w:rPr>
          <w:rFonts w:ascii="Arial" w:cs="Arial" w:eastAsia="Arial" w:hAnsi="Arial"/>
          <w:sz w:val="19"/>
          <w:szCs w:val="19"/>
          <w:color w:val="auto"/>
        </w:rPr>
        <w:t xml:space="preserve"> were prepared in good faith on the basis of the assumptions stated therein, which assumptions the Borrower believed to be reasonable at the time made; </w:t>
      </w:r>
      <w:r>
        <w:rPr>
          <w:rFonts w:ascii="Arial" w:cs="Arial" w:eastAsia="Arial" w:hAnsi="Arial"/>
          <w:sz w:val="19"/>
          <w:szCs w:val="19"/>
          <w:u w:val="single" w:color="auto"/>
          <w:color w:val="auto"/>
        </w:rPr>
        <w:t>provided</w:t>
      </w:r>
      <w:r>
        <w:rPr>
          <w:rFonts w:ascii="Arial" w:cs="Arial" w:eastAsia="Arial" w:hAnsi="Arial"/>
          <w:sz w:val="19"/>
          <w:szCs w:val="19"/>
          <w:color w:val="auto"/>
        </w:rPr>
        <w:t>, such forecasts are not to be viewed as facts and that actual results during the period or periods covered by such forecasts may differ from such forecasts and that the differences may be material.</w:t>
      </w:r>
    </w:p>
    <w:p>
      <w:pPr>
        <w:spacing w:after="0" w:line="192"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 xml:space="preserve">5.06. </w:t>
      </w:r>
      <w:r>
        <w:rPr>
          <w:rFonts w:ascii="Arial" w:cs="Arial" w:eastAsia="Arial" w:hAnsi="Arial"/>
          <w:sz w:val="20"/>
          <w:szCs w:val="20"/>
          <w:u w:val="single" w:color="auto"/>
          <w:color w:val="auto"/>
        </w:rPr>
        <w:t>Litigation</w:t>
      </w:r>
      <w:r>
        <w:rPr>
          <w:rFonts w:ascii="Arial" w:cs="Arial" w:eastAsia="Arial" w:hAnsi="Arial"/>
          <w:sz w:val="20"/>
          <w:szCs w:val="20"/>
          <w:color w:val="auto"/>
        </w:rPr>
        <w:t>. There are no actions, suits, proceedings, claims or disputes pending or, to the knowledge of the Borrower after due and diligent investigation, threatened in writing, at law, in equity, in arbitration or before any Governmental Authority, by or against any Loan Party or any of its Subsidiaries or against any of their properties or revenues that (a) purport to affect or pertain to this Agreement, any other Loan Document, or any of the transactions contemplated hereby, or (b) either individually or in the aggregate could reasonably be expected to have a Material Adverse Effect.</w:t>
      </w:r>
    </w:p>
    <w:p>
      <w:pPr>
        <w:spacing w:after="0" w:line="212" w:lineRule="exact"/>
        <w:rPr>
          <w:sz w:val="20"/>
          <w:szCs w:val="20"/>
          <w:color w:val="auto"/>
        </w:rPr>
      </w:pPr>
    </w:p>
    <w:p>
      <w:pPr>
        <w:jc w:val="both"/>
        <w:ind w:firstLine="599"/>
        <w:spacing w:after="0" w:line="302" w:lineRule="auto"/>
        <w:rPr>
          <w:sz w:val="20"/>
          <w:szCs w:val="20"/>
          <w:color w:val="auto"/>
        </w:rPr>
      </w:pPr>
      <w:r>
        <w:rPr>
          <w:rFonts w:ascii="Arial" w:cs="Arial" w:eastAsia="Arial" w:hAnsi="Arial"/>
          <w:sz w:val="18"/>
          <w:szCs w:val="18"/>
          <w:color w:val="auto"/>
        </w:rPr>
        <w:t xml:space="preserve">5.07. </w:t>
      </w:r>
      <w:r>
        <w:rPr>
          <w:rFonts w:ascii="Arial" w:cs="Arial" w:eastAsia="Arial" w:hAnsi="Arial"/>
          <w:sz w:val="18"/>
          <w:szCs w:val="18"/>
          <w:u w:val="single" w:color="auto"/>
          <w:color w:val="auto"/>
        </w:rPr>
        <w:t>No Default</w:t>
      </w:r>
      <w:r>
        <w:rPr>
          <w:rFonts w:ascii="Arial" w:cs="Arial" w:eastAsia="Arial" w:hAnsi="Arial"/>
          <w:sz w:val="18"/>
          <w:szCs w:val="18"/>
          <w:color w:val="auto"/>
        </w:rPr>
        <w:t>. Neither any Loan Party nor any Subsidiary thereof is in default under or with respect to any 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168"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 xml:space="preserve">5.08. </w:t>
      </w:r>
      <w:r>
        <w:rPr>
          <w:rFonts w:ascii="Arial" w:cs="Arial" w:eastAsia="Arial" w:hAnsi="Arial"/>
          <w:sz w:val="20"/>
          <w:szCs w:val="20"/>
          <w:u w:val="single" w:color="auto"/>
          <w:color w:val="auto"/>
        </w:rPr>
        <w:t>Ownership of Property; Liens</w:t>
      </w:r>
      <w:r>
        <w:rPr>
          <w:rFonts w:ascii="Arial" w:cs="Arial" w:eastAsia="Arial" w:hAnsi="Arial"/>
          <w:sz w:val="20"/>
          <w:szCs w:val="20"/>
          <w:color w:val="auto"/>
        </w:rPr>
        <w:t xml:space="preserve">. Each Loan Party and each of its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 The property of each Loan Party and its Subsidiaries is subject to no Liens, other than Liens permitted by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205"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5.09.</w:t>
      </w:r>
      <w:r>
        <w:rPr>
          <w:sz w:val="20"/>
          <w:szCs w:val="20"/>
          <w:color w:val="auto"/>
        </w:rPr>
        <w:tab/>
      </w:r>
      <w:r>
        <w:rPr>
          <w:rFonts w:ascii="Arial" w:cs="Arial" w:eastAsia="Arial" w:hAnsi="Arial"/>
          <w:sz w:val="18"/>
          <w:szCs w:val="18"/>
          <w:u w:val="single" w:color="auto"/>
          <w:color w:val="auto"/>
        </w:rPr>
        <w:t>Environmental Compliance</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73" w:lineRule="auto"/>
        <w:tabs>
          <w:tab w:leader="none" w:pos="1421"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Loan Parties and their respective Subsidiaries conduct in the ordinary course of business a review of the effect of existing Environmental Laws and claims alleging potential liability or responsibility for violation of any Environmental Law on their respective businesses, operations and properties, and as a result thereof the Borrower has reasonably concluded that such Environmental Laws and claims could not, individually or in the aggregate, reasonably be expected to have a Material Adverse Effect.</w:t>
      </w:r>
    </w:p>
    <w:p>
      <w:pPr>
        <w:spacing w:after="0" w:line="192" w:lineRule="exact"/>
        <w:rPr>
          <w:rFonts w:ascii="Arial" w:cs="Arial" w:eastAsia="Arial" w:hAnsi="Arial"/>
          <w:sz w:val="19"/>
          <w:szCs w:val="19"/>
          <w:color w:val="auto"/>
        </w:rPr>
      </w:pPr>
    </w:p>
    <w:p>
      <w:pPr>
        <w:jc w:val="both"/>
        <w:ind w:firstLine="599"/>
        <w:spacing w:after="0" w:line="264" w:lineRule="auto"/>
        <w:tabs>
          <w:tab w:leader="none" w:pos="1432" w:val="left"/>
        </w:tabs>
        <w:numPr>
          <w:ilvl w:val="0"/>
          <w:numId w:val="118"/>
        </w:numPr>
        <w:rPr>
          <w:rFonts w:ascii="Arial" w:cs="Arial" w:eastAsia="Arial" w:hAnsi="Arial"/>
          <w:sz w:val="19"/>
          <w:szCs w:val="19"/>
          <w:color w:val="auto"/>
        </w:rPr>
      </w:pPr>
      <w:r>
        <w:rPr>
          <w:rFonts w:ascii="Arial" w:cs="Arial" w:eastAsia="Arial" w:hAnsi="Arial"/>
          <w:sz w:val="19"/>
          <w:szCs w:val="19"/>
          <w:color w:val="auto"/>
        </w:rPr>
        <w:t>Except as could not reasonably be expected to have a Material Adverse Effect (i) none of the properties currently or formerly owned or operated by any Loan Party or any of its Subsidiaries, is listed or formally proposed for listing on the NPL or on the CERCLIS or any analogous foreign, state or local list or is adjacent to any such property; (ii) there are no and, to the knowledge of the Loan Parties and their Subsidiaries, have never been any underground or above-ground storage tanks for storage of Hazardous Materials on or at any property currently owned or operated by any Loan Party or any of its Subsidiaries or, to the knowledge of the Loan Parties on any property formerly owned or operated by any Loan Party or any of its Subsidiaries; (iii) there are no and to the knowledge of the Loan Parties and their Subsidiaries after due inquiry never have been any surface impoundments, septic tanks, pits, sumps or lagoons in which Hazardous Materials are being or have been treated, stored or disposed on any property currently owned or operated by any Loan Party or any of its Subsidiaries or, to the knowledge of the Loan Parties after due inquiry, on any property formerly owned or operated by any Loan Party or any of its Subsidiaries; (iv) there is no asbestos or asbestos-containing material on, at or in any property currently owned or operated by any Loan Party or any of its Subsidiaries; and (v) Hazardous Materials have not been Released on, at, under or from any property currently or formerly owned or operated by any Loan Party or any of its Subsidiaries.</w:t>
      </w:r>
    </w:p>
    <w:p>
      <w:pPr>
        <w:spacing w:after="0" w:line="200" w:lineRule="exact"/>
        <w:rPr>
          <w:sz w:val="20"/>
          <w:szCs w:val="20"/>
          <w:color w:val="auto"/>
        </w:rPr>
      </w:pPr>
    </w:p>
    <w:p>
      <w:pPr>
        <w:spacing w:after="0" w:line="238"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82</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94" w:name="page95"/>
    <w:bookmarkEnd w:id="94"/>
    <w:p>
      <w:pPr>
        <w:jc w:val="both"/>
        <w:ind w:firstLine="599"/>
        <w:spacing w:after="0" w:line="282" w:lineRule="auto"/>
        <w:tabs>
          <w:tab w:leader="none" w:pos="142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(i) Neither any Loan Party nor any of its Subsidiaries is undertaking, and has not completed, either individually or together with other potentially responsible parties, any investigation or assessment or remedial or response action relating to any actual or threatened Release of Hazardous Materials at, on, under, or from any site, location or operation, either voluntarily or pursuant to the order of any Governmental Authority or the requirements of any Environmental Law, except as set forth on </w:t>
      </w:r>
      <w:r>
        <w:rPr>
          <w:rFonts w:ascii="Arial" w:cs="Arial" w:eastAsia="Arial" w:hAnsi="Arial"/>
          <w:sz w:val="18"/>
          <w:szCs w:val="18"/>
          <w:u w:val="single" w:color="auto"/>
          <w:color w:val="auto"/>
        </w:rPr>
        <w:t>Schedule 5.09(c)</w:t>
      </w:r>
      <w:r>
        <w:rPr>
          <w:rFonts w:ascii="Arial" w:cs="Arial" w:eastAsia="Arial" w:hAnsi="Arial"/>
          <w:sz w:val="18"/>
          <w:szCs w:val="18"/>
          <w:color w:val="auto"/>
        </w:rPr>
        <w:t xml:space="preserve"> or as could not reasonably be expected to result in a Material Adverse Effect, or with respect to any such investigation or assessment or remedial or response action initiated after the Restatement Effective Date, as disclosed to the Administrative Agent in writing; and (ii) all Hazardous Materials generated, used, treated, handled or stored at, or transported to or from, any property currently or formerly owned or operated by any Loan Party or any of its Subsidiaries have been disposed of in a manner, either of which could not reasonably expected to result in a Material Adverse Effect.</w:t>
      </w:r>
    </w:p>
    <w:p>
      <w:pPr>
        <w:spacing w:after="0" w:line="190" w:lineRule="exact"/>
        <w:rPr>
          <w:rFonts w:ascii="Arial" w:cs="Arial" w:eastAsia="Arial" w:hAnsi="Arial"/>
          <w:sz w:val="18"/>
          <w:szCs w:val="18"/>
          <w:color w:val="auto"/>
        </w:rPr>
      </w:pPr>
    </w:p>
    <w:p>
      <w:pPr>
        <w:jc w:val="both"/>
        <w:ind w:firstLine="599"/>
        <w:spacing w:after="0" w:line="267" w:lineRule="auto"/>
        <w:tabs>
          <w:tab w:leader="none" w:pos="1432"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5.09(d)</w:t>
      </w:r>
      <w:r>
        <w:rPr>
          <w:rFonts w:ascii="Arial" w:cs="Arial" w:eastAsia="Arial" w:hAnsi="Arial"/>
          <w:sz w:val="19"/>
          <w:szCs w:val="19"/>
          <w:color w:val="auto"/>
        </w:rPr>
        <w:t>, the Loan Parties and their respective Subsidiaries: (i) are, and within the period of all applicable statutes of limitation have been, in compliance in all respects with all applicable Environmental Laws, except to the extent that the failure to do so could not reasonably be expected to result in a Material Adverse Effect; (ii) hold all Environmental Permits (each of which is in full force and effect) required for any of their current or intended operations or for each property owned, leased, or otherwise operated by any of them, except as could not reasonably be expected to have a Material Adverse Effect; and (iii) are, and within the period of all applicable statutes of limitation have been, in compliance with all of their Environmental Permits that pertain to any of their properties, except as could not reasonably be expected to have a Material Adverse Effect.</w:t>
      </w:r>
    </w:p>
    <w:p>
      <w:pPr>
        <w:spacing w:after="0" w:line="197"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 xml:space="preserve">5.10. </w:t>
      </w:r>
      <w:r>
        <w:rPr>
          <w:rFonts w:ascii="Arial" w:cs="Arial" w:eastAsia="Arial" w:hAnsi="Arial"/>
          <w:sz w:val="20"/>
          <w:szCs w:val="20"/>
          <w:u w:val="single" w:color="auto"/>
          <w:color w:val="auto"/>
        </w:rPr>
        <w:t>Insurance</w:t>
      </w:r>
      <w:r>
        <w:rPr>
          <w:rFonts w:ascii="Arial" w:cs="Arial" w:eastAsia="Arial" w:hAnsi="Arial"/>
          <w:sz w:val="20"/>
          <w:szCs w:val="20"/>
          <w:color w:val="auto"/>
        </w:rPr>
        <w:t>. The properties of each Loan Party and its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such Loan Party or the applicable Subsidiary operates.</w:t>
      </w:r>
    </w:p>
    <w:p>
      <w:pPr>
        <w:spacing w:after="0" w:line="205"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9"/>
          <w:szCs w:val="19"/>
          <w:color w:val="auto"/>
        </w:rPr>
        <w:t xml:space="preserve">5.11. </w:t>
      </w:r>
      <w:r>
        <w:rPr>
          <w:rFonts w:ascii="Arial" w:cs="Arial" w:eastAsia="Arial" w:hAnsi="Arial"/>
          <w:sz w:val="19"/>
          <w:szCs w:val="19"/>
          <w:u w:val="single" w:color="auto"/>
          <w:color w:val="auto"/>
        </w:rPr>
        <w:t>Taxes</w:t>
      </w:r>
      <w:r>
        <w:rPr>
          <w:rFonts w:ascii="Arial" w:cs="Arial" w:eastAsia="Arial" w:hAnsi="Arial"/>
          <w:sz w:val="19"/>
          <w:szCs w:val="19"/>
          <w:color w:val="auto"/>
        </w:rPr>
        <w:t xml:space="preserve">. Each Loan Party and each of its Subsidiaries has timely filed all federal, state and other material tax returns and reports required to be filed, and has timely paid all federal, state and other material Taxes (whether or not shown on a tax return), including in its capacity as a withholding agent, levied or imposed upon it or its properties, income or assets otherwise due and payable, except those Taxes which are being contested in good faith by appropriate proceedings diligently conducted and for which adequate reserves have been provided in accordance with GAAP. There is no proposed material tax assessment against any Loan Party or any Subsidiary thereof. Except as set forth on </w:t>
      </w:r>
      <w:r>
        <w:rPr>
          <w:rFonts w:ascii="Arial" w:cs="Arial" w:eastAsia="Arial" w:hAnsi="Arial"/>
          <w:sz w:val="19"/>
          <w:szCs w:val="19"/>
          <w:u w:val="single" w:color="auto"/>
          <w:color w:val="auto"/>
        </w:rPr>
        <w:t>Schedule 5.11</w:t>
      </w:r>
      <w:r>
        <w:rPr>
          <w:rFonts w:ascii="Arial" w:cs="Arial" w:eastAsia="Arial" w:hAnsi="Arial"/>
          <w:sz w:val="19"/>
          <w:szCs w:val="19"/>
          <w:color w:val="auto"/>
        </w:rPr>
        <w:t>, on the Restatement Effective Date, neither any Loan Party nor any Subsidiary thereof is party to any tax sharing, tax indemnification or other similar agreement. Except as could not be reasonably expected to, individually or in the aggregate, result in a Material Adverse Effect, neither any Loan Party nor any of its Subsidiaries has ever “participated” in a “listed transaction” or a “reportable transaction” within the meaning of Treasury Regulation Section 1.6011-4.</w:t>
      </w:r>
    </w:p>
    <w:p>
      <w:pPr>
        <w:spacing w:after="0" w:line="202"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5.12.</w:t>
      </w:r>
      <w:r>
        <w:rPr>
          <w:sz w:val="20"/>
          <w:szCs w:val="20"/>
          <w:color w:val="auto"/>
        </w:rPr>
        <w:tab/>
      </w:r>
      <w:r>
        <w:rPr>
          <w:rFonts w:ascii="Arial" w:cs="Arial" w:eastAsia="Arial" w:hAnsi="Arial"/>
          <w:sz w:val="18"/>
          <w:szCs w:val="18"/>
          <w:u w:val="single" w:color="auto"/>
          <w:color w:val="auto"/>
        </w:rPr>
        <w:t>ERISA Compliance</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53" w:lineRule="auto"/>
        <w:tabs>
          <w:tab w:leader="none" w:pos="1421" w:val="left"/>
        </w:tabs>
        <w:numPr>
          <w:ilvl w:val="0"/>
          <w:numId w:val="120"/>
        </w:numPr>
        <w:rPr>
          <w:rFonts w:ascii="Arial" w:cs="Arial" w:eastAsia="Arial" w:hAnsi="Arial"/>
          <w:sz w:val="20"/>
          <w:szCs w:val="20"/>
          <w:color w:val="auto"/>
        </w:rPr>
      </w:pPr>
      <w:r>
        <w:rPr>
          <w:rFonts w:ascii="Arial" w:cs="Arial" w:eastAsia="Arial" w:hAnsi="Arial"/>
          <w:sz w:val="20"/>
          <w:szCs w:val="20"/>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w:t>
      </w:r>
    </w:p>
    <w:p>
      <w:pPr>
        <w:spacing w:after="0" w:line="21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83</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95" w:name="page96"/>
    <w:bookmarkEnd w:id="95"/>
    <w:p>
      <w:pPr>
        <w:spacing w:after="0" w:line="272" w:lineRule="auto"/>
        <w:rPr>
          <w:sz w:val="20"/>
          <w:szCs w:val="20"/>
          <w:color w:val="auto"/>
        </w:rPr>
      </w:pPr>
      <w:r>
        <w:rPr>
          <w:rFonts w:ascii="Arial" w:cs="Arial" w:eastAsia="Arial" w:hAnsi="Arial"/>
          <w:sz w:val="20"/>
          <w:szCs w:val="20"/>
          <w:color w:val="auto"/>
        </w:rPr>
        <w:t>Revenue Service. To the best knowledge of the Borrower, nothing has occurred that would prevent or cause the loss of such tax-qualified status.</w:t>
      </w:r>
    </w:p>
    <w:p>
      <w:pPr>
        <w:spacing w:after="0" w:line="191" w:lineRule="exact"/>
        <w:rPr>
          <w:sz w:val="20"/>
          <w:szCs w:val="20"/>
          <w:color w:val="auto"/>
        </w:rPr>
      </w:pPr>
    </w:p>
    <w:p>
      <w:pPr>
        <w:jc w:val="both"/>
        <w:ind w:firstLine="599"/>
        <w:spacing w:after="0" w:line="256" w:lineRule="auto"/>
        <w:tabs>
          <w:tab w:leader="none" w:pos="1432" w:val="left"/>
        </w:tabs>
        <w:numPr>
          <w:ilvl w:val="0"/>
          <w:numId w:val="121"/>
        </w:numPr>
        <w:rPr>
          <w:rFonts w:ascii="Arial" w:cs="Arial" w:eastAsia="Arial" w:hAnsi="Arial"/>
          <w:sz w:val="20"/>
          <w:szCs w:val="20"/>
          <w:color w:val="auto"/>
        </w:rPr>
      </w:pPr>
      <w:r>
        <w:rPr>
          <w:rFonts w:ascii="Arial" w:cs="Arial" w:eastAsia="Arial" w:hAnsi="Arial"/>
          <w:sz w:val="20"/>
          <w:szCs w:val="20"/>
          <w:color w:val="auto"/>
        </w:rPr>
        <w:t>There are no pending or, to the best knowledge of the Borrower, threatened in writing,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205" w:lineRule="exact"/>
        <w:rPr>
          <w:rFonts w:ascii="Arial" w:cs="Arial" w:eastAsia="Arial" w:hAnsi="Arial"/>
          <w:sz w:val="20"/>
          <w:szCs w:val="20"/>
          <w:color w:val="auto"/>
        </w:rPr>
      </w:pPr>
    </w:p>
    <w:p>
      <w:pPr>
        <w:jc w:val="both"/>
        <w:ind w:firstLine="599"/>
        <w:spacing w:after="0" w:line="281" w:lineRule="auto"/>
        <w:tabs>
          <w:tab w:leader="none" w:pos="142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No ERISA Event has occurred, and neither the Borrower nor any ERISA Affiliate is aware of any fact, event or circumstance that could reasonably be expected to constitute or result in an ERISA Event with respect to any Pension Plan or Multiemployer Plan; (ii) as of the most recent valuation date for any Pension Plan, the funding target attainment percentage (as defined in Section 430(d)(2) of the Code) is 60% or higher and neither the Borrower nor any ERISA Affiliate knows of any facts or circumstances that could reasonably be expected to cause the funding target attainment percentage for any such plan to drop below 60% as of the most recent valuation date; (iii) neither the Borrower nor any ERISA Affiliate has incurred any liability to the PBGC other than for the payment of premiums, and there are no premium payments which have become due that are unpaid; (iv) neither the Borrower nor any ERISA Affiliate has engaged in a transaction that could be subject to Section 4069 or Section 4212(c) of ERISA; and (v)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86" w:lineRule="exact"/>
        <w:rPr>
          <w:rFonts w:ascii="Arial" w:cs="Arial" w:eastAsia="Arial" w:hAnsi="Arial"/>
          <w:sz w:val="18"/>
          <w:szCs w:val="18"/>
          <w:color w:val="auto"/>
        </w:rPr>
      </w:pPr>
    </w:p>
    <w:p>
      <w:pPr>
        <w:ind w:firstLine="599"/>
        <w:spacing w:after="0" w:line="272" w:lineRule="auto"/>
        <w:tabs>
          <w:tab w:leader="none" w:pos="1432" w:val="left"/>
        </w:tabs>
        <w:numPr>
          <w:ilvl w:val="0"/>
          <w:numId w:val="121"/>
        </w:numPr>
        <w:rPr>
          <w:rFonts w:ascii="Arial" w:cs="Arial" w:eastAsia="Arial" w:hAnsi="Arial"/>
          <w:sz w:val="20"/>
          <w:szCs w:val="20"/>
          <w:color w:val="auto"/>
        </w:rPr>
      </w:pPr>
      <w:r>
        <w:rPr>
          <w:rFonts w:ascii="Arial" w:cs="Arial" w:eastAsia="Arial" w:hAnsi="Arial"/>
          <w:sz w:val="20"/>
          <w:szCs w:val="20"/>
          <w:color w:val="auto"/>
        </w:rPr>
        <w:t xml:space="preserve">Neither the REIT nor any ERISA Affiliate maintains or contributes to, or has any unsatisfied obligation to contribute to, or liability under, any active or terminated Pension Plan other than those listed on </w:t>
      </w:r>
      <w:r>
        <w:rPr>
          <w:rFonts w:ascii="Arial" w:cs="Arial" w:eastAsia="Arial" w:hAnsi="Arial"/>
          <w:sz w:val="20"/>
          <w:szCs w:val="20"/>
          <w:u w:val="single" w:color="auto"/>
          <w:color w:val="auto"/>
        </w:rPr>
        <w:t>Schedule 5.12(d)</w:t>
      </w:r>
      <w:r>
        <w:rPr>
          <w:rFonts w:ascii="Arial" w:cs="Arial" w:eastAsia="Arial" w:hAnsi="Arial"/>
          <w:sz w:val="20"/>
          <w:szCs w:val="20"/>
          <w:color w:val="auto"/>
        </w:rPr>
        <w:t xml:space="preserve"> hereto.</w:t>
      </w:r>
    </w:p>
    <w:p>
      <w:pPr>
        <w:spacing w:after="0" w:line="190" w:lineRule="exact"/>
        <w:rPr>
          <w:rFonts w:ascii="Arial" w:cs="Arial" w:eastAsia="Arial" w:hAnsi="Arial"/>
          <w:sz w:val="20"/>
          <w:szCs w:val="20"/>
          <w:color w:val="auto"/>
        </w:rPr>
      </w:pPr>
    </w:p>
    <w:p>
      <w:pPr>
        <w:ind w:firstLine="599"/>
        <w:spacing w:after="0" w:line="272" w:lineRule="auto"/>
        <w:tabs>
          <w:tab w:leader="none" w:pos="1421" w:val="left"/>
        </w:tabs>
        <w:numPr>
          <w:ilvl w:val="0"/>
          <w:numId w:val="121"/>
        </w:numPr>
        <w:rPr>
          <w:rFonts w:ascii="Arial" w:cs="Arial" w:eastAsia="Arial" w:hAnsi="Arial"/>
          <w:sz w:val="20"/>
          <w:szCs w:val="20"/>
          <w:color w:val="auto"/>
        </w:rPr>
      </w:pPr>
      <w:r>
        <w:rPr>
          <w:rFonts w:ascii="Arial" w:cs="Arial" w:eastAsia="Arial" w:hAnsi="Arial"/>
          <w:sz w:val="20"/>
          <w:szCs w:val="20"/>
          <w:color w:val="auto"/>
        </w:rPr>
        <w:t>No Loan Party is or will be using “plan assets” (within the meaning of 29 CFR § 2510.3-101, as modified by Section 3(42) of ERISA) of one or more Benefit Plans in connection with the Loans, the Letters of Credit or the Commitments.</w:t>
      </w:r>
    </w:p>
    <w:p>
      <w:pPr>
        <w:spacing w:after="0" w:line="191" w:lineRule="exact"/>
        <w:rPr>
          <w:sz w:val="20"/>
          <w:szCs w:val="20"/>
          <w:color w:val="auto"/>
        </w:rPr>
      </w:pPr>
    </w:p>
    <w:p>
      <w:pPr>
        <w:jc w:val="both"/>
        <w:ind w:firstLine="599"/>
        <w:spacing w:after="0" w:line="267" w:lineRule="auto"/>
        <w:rPr>
          <w:sz w:val="20"/>
          <w:szCs w:val="20"/>
          <w:color w:val="auto"/>
        </w:rPr>
      </w:pPr>
      <w:r>
        <w:rPr>
          <w:rFonts w:ascii="Arial" w:cs="Arial" w:eastAsia="Arial" w:hAnsi="Arial"/>
          <w:sz w:val="19"/>
          <w:szCs w:val="19"/>
          <w:color w:val="auto"/>
        </w:rPr>
        <w:t xml:space="preserve">5.13. </w:t>
      </w:r>
      <w:r>
        <w:rPr>
          <w:rFonts w:ascii="Arial" w:cs="Arial" w:eastAsia="Arial" w:hAnsi="Arial"/>
          <w:sz w:val="19"/>
          <w:szCs w:val="19"/>
          <w:u w:val="single" w:color="auto"/>
          <w:color w:val="auto"/>
        </w:rPr>
        <w:t>Subsidiaries; Equity Interests; Loan Parties</w:t>
      </w:r>
      <w:r>
        <w:rPr>
          <w:rFonts w:ascii="Arial" w:cs="Arial" w:eastAsia="Arial" w:hAnsi="Arial"/>
          <w:sz w:val="19"/>
          <w:szCs w:val="19"/>
          <w:color w:val="auto"/>
        </w:rPr>
        <w:t xml:space="preserve">. As of the Restatement Effective Date, no Loan Party has any Subsidiaries other than those specifically disclosed in Part (a) of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and all of the outstanding Equity Interests in such Subsidiaries have been validly issued, are fully paid and non-assessable and are owned by the Persons and in the amounts specified on Part (a) of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Set forth on Part (b) of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is, as of the Restatement Effective Date, a complete and accurate list of all Loan Parties, showing (as to each Loan Party) the jurisdiction of its incorporation or organization, the address of its principal place of business and its U.S. taxpayer identification number or, in the case of any non-U.S. Loan Party that does not have a U.S. taxpayer identification number, its unique identification number issued to it by the jurisdiction of its incorporation or organization.</w:t>
      </w:r>
    </w:p>
    <w:p>
      <w:pPr>
        <w:spacing w:after="0" w:line="197"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5.14.</w:t>
      </w:r>
      <w:r>
        <w:rPr>
          <w:sz w:val="20"/>
          <w:szCs w:val="20"/>
          <w:color w:val="auto"/>
        </w:rPr>
        <w:tab/>
      </w:r>
      <w:r>
        <w:rPr>
          <w:rFonts w:ascii="Arial" w:cs="Arial" w:eastAsia="Arial" w:hAnsi="Arial"/>
          <w:sz w:val="18"/>
          <w:szCs w:val="18"/>
          <w:u w:val="single" w:color="auto"/>
          <w:color w:val="auto"/>
        </w:rPr>
        <w:t>Margin Regulations; Investment Company Act</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70" w:lineRule="auto"/>
        <w:tabs>
          <w:tab w:leader="none" w:pos="1421"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Swing Line Borrowing or drawing under each Letter of Credit, not more than 25% of the value of the assets (either of the Borrower only or of the REIT and its Subsidiaries on a consolidated basis) subject to the provisions of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or subject to any restriction</w:t>
      </w:r>
    </w:p>
    <w:p>
      <w:pPr>
        <w:spacing w:after="0" w:line="19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84</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96" w:name="page97"/>
    <w:bookmarkEnd w:id="96"/>
    <w:p>
      <w:pPr>
        <w:spacing w:after="0" w:line="272" w:lineRule="auto"/>
        <w:rPr>
          <w:sz w:val="20"/>
          <w:szCs w:val="20"/>
          <w:color w:val="auto"/>
        </w:rPr>
      </w:pPr>
      <w:r>
        <w:rPr>
          <w:rFonts w:ascii="Arial" w:cs="Arial" w:eastAsia="Arial" w:hAnsi="Arial"/>
          <w:sz w:val="20"/>
          <w:szCs w:val="20"/>
          <w:color w:val="auto"/>
        </w:rPr>
        <w:t xml:space="preserve">contained in any agreement or instrument between the Borrower and any Lender or any Affiliate of any Lender relating to Indebtedness and within the scope of </w:t>
      </w:r>
      <w:r>
        <w:rPr>
          <w:rFonts w:ascii="Arial" w:cs="Arial" w:eastAsia="Arial" w:hAnsi="Arial"/>
          <w:sz w:val="20"/>
          <w:szCs w:val="20"/>
          <w:u w:val="single" w:color="auto"/>
          <w:color w:val="auto"/>
        </w:rPr>
        <w:t>Section 8.01(e)</w:t>
      </w:r>
      <w:r>
        <w:rPr>
          <w:rFonts w:ascii="Arial" w:cs="Arial" w:eastAsia="Arial" w:hAnsi="Arial"/>
          <w:sz w:val="20"/>
          <w:szCs w:val="20"/>
          <w:color w:val="auto"/>
        </w:rPr>
        <w:t xml:space="preserve"> will be margin stock.</w:t>
      </w:r>
    </w:p>
    <w:p>
      <w:pPr>
        <w:spacing w:after="0" w:line="191" w:lineRule="exact"/>
        <w:rPr>
          <w:sz w:val="20"/>
          <w:szCs w:val="20"/>
          <w:color w:val="auto"/>
        </w:rPr>
      </w:pPr>
    </w:p>
    <w:p>
      <w:pPr>
        <w:ind w:left="1440" w:hanging="841"/>
        <w:spacing w:after="0"/>
        <w:tabs>
          <w:tab w:leader="none" w:pos="14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None of the Loan Parties is or is required to be registered as an “investment company” under the Investment Company Act</w:t>
      </w:r>
    </w:p>
    <w:p>
      <w:pPr>
        <w:spacing w:after="0" w:line="4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of 1940.</w:t>
      </w:r>
    </w:p>
    <w:p>
      <w:pPr>
        <w:spacing w:after="0" w:line="229" w:lineRule="exact"/>
        <w:rPr>
          <w:sz w:val="20"/>
          <w:szCs w:val="20"/>
          <w:color w:val="auto"/>
        </w:rPr>
      </w:pPr>
    </w:p>
    <w:p>
      <w:pPr>
        <w:jc w:val="both"/>
        <w:ind w:firstLine="599"/>
        <w:spacing w:after="0" w:line="282"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Disclosure</w:t>
      </w:r>
      <w:r>
        <w:rPr>
          <w:rFonts w:ascii="Arial" w:cs="Arial" w:eastAsia="Arial" w:hAnsi="Arial"/>
          <w:sz w:val="18"/>
          <w:szCs w:val="18"/>
          <w:color w:val="auto"/>
        </w:rPr>
        <w:t xml:space="preserve">. No written report, financial statement, certificate or other written information furnished by or at the direction of any Loan Party to the Administrative Agent or any Lender in connection with the transactions contemplated hereby and the negotiation of this Agreement or delivered hereunder or under any other Loan Document, when taken as a whole, contained at the time of delivery any material misstatement of fact or omitted to state any material fact necessary to make the statements therein, in the light of the circumstances under which they were made, not materially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projections, estimates and other forward-looking information, the Borrower and the REIT represent only that such information was prepared in good faith based upon assumptions believed to be reasonable at the time (it being understood that such projections, estimates and other forward-looking information are not to be viewed as facts or guarantees and that actual results may vary materially from such projections, estimates and forward-looking information).</w:t>
      </w:r>
    </w:p>
    <w:p>
      <w:pPr>
        <w:spacing w:after="0" w:line="190"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 xml:space="preserve">5.16.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 Each Loan Party and each Subsidiary thereof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212"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5.17.</w:t>
      </w:r>
      <w:r>
        <w:rPr>
          <w:sz w:val="20"/>
          <w:szCs w:val="20"/>
          <w:color w:val="auto"/>
        </w:rPr>
        <w:tab/>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68" w:lineRule="auto"/>
        <w:rPr>
          <w:sz w:val="20"/>
          <w:szCs w:val="20"/>
          <w:color w:val="auto"/>
        </w:rPr>
      </w:pPr>
      <w:r>
        <w:rPr>
          <w:rFonts w:ascii="Arial" w:cs="Arial" w:eastAsia="Arial" w:hAnsi="Arial"/>
          <w:sz w:val="19"/>
          <w:szCs w:val="19"/>
          <w:color w:val="auto"/>
        </w:rPr>
        <w:t xml:space="preserve">5.18. </w:t>
      </w:r>
      <w:r>
        <w:rPr>
          <w:rFonts w:ascii="Arial" w:cs="Arial" w:eastAsia="Arial" w:hAnsi="Arial"/>
          <w:sz w:val="19"/>
          <w:szCs w:val="19"/>
          <w:u w:val="single" w:color="auto"/>
          <w:color w:val="auto"/>
        </w:rPr>
        <w:t>Intellectual Property; Licenses, Etc</w:t>
      </w:r>
      <w:r>
        <w:rPr>
          <w:rFonts w:ascii="Arial" w:cs="Arial" w:eastAsia="Arial" w:hAnsi="Arial"/>
          <w:sz w:val="19"/>
          <w:szCs w:val="19"/>
          <w:color w:val="auto"/>
        </w:rPr>
        <w:t>. Each Loan Party and each of its Subsidiaries owns, or possesses the right to use, all of the trademarks, service marks, trade names, copyrights, patents, patent rights, franchises, licenses and other intellectual property rights (collectively, “</w:t>
      </w:r>
      <w:r>
        <w:rPr>
          <w:rFonts w:ascii="Arial" w:cs="Arial" w:eastAsia="Arial" w:hAnsi="Arial"/>
          <w:sz w:val="19"/>
          <w:szCs w:val="19"/>
          <w:u w:val="single" w:color="auto"/>
          <w:color w:val="auto"/>
        </w:rPr>
        <w:t>IP Rights</w:t>
      </w:r>
      <w:r>
        <w:rPr>
          <w:rFonts w:ascii="Arial" w:cs="Arial" w:eastAsia="Arial" w:hAnsi="Arial"/>
          <w:sz w:val="19"/>
          <w:szCs w:val="19"/>
          <w:color w:val="auto"/>
        </w:rPr>
        <w:t>”) that are reasonably necessary for the operation of its businesses, except to the extent the failure to have such rights could not reasonably be expected to have a Material Adverse Effect. No claim or litigation regarding infringement of the rights held by any other Person is pending or, to the knowledge of the Borrower, threatened in writing, which, either individually or in the aggregate, could reasonably be expected to have a Material Adverse Effect.</w:t>
      </w:r>
    </w:p>
    <w:p>
      <w:pPr>
        <w:spacing w:after="0" w:line="197"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5.19.</w:t>
      </w:r>
      <w:r>
        <w:rPr>
          <w:sz w:val="20"/>
          <w:szCs w:val="20"/>
          <w:color w:val="auto"/>
        </w:rPr>
        <w:tab/>
      </w:r>
      <w:r>
        <w:rPr>
          <w:rFonts w:ascii="Arial" w:cs="Arial" w:eastAsia="Arial" w:hAnsi="Arial"/>
          <w:sz w:val="18"/>
          <w:szCs w:val="18"/>
          <w:u w:val="single" w:color="auto"/>
          <w:color w:val="auto"/>
        </w:rPr>
        <w:t>Solvency</w:t>
      </w:r>
      <w:r>
        <w:rPr>
          <w:rFonts w:ascii="Arial" w:cs="Arial" w:eastAsia="Arial" w:hAnsi="Arial"/>
          <w:sz w:val="18"/>
          <w:szCs w:val="18"/>
          <w:color w:val="auto"/>
        </w:rPr>
        <w:t>. The REIT and its Consolidated Subsidiaries, on a consolidated basis, are Solvent.</w:t>
      </w:r>
    </w:p>
    <w:p>
      <w:pPr>
        <w:spacing w:after="0" w:line="245"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 xml:space="preserve">5.20. </w:t>
      </w:r>
      <w:r>
        <w:rPr>
          <w:rFonts w:ascii="Arial" w:cs="Arial" w:eastAsia="Arial" w:hAnsi="Arial"/>
          <w:sz w:val="20"/>
          <w:szCs w:val="20"/>
          <w:u w:val="single" w:color="auto"/>
          <w:color w:val="auto"/>
        </w:rPr>
        <w:t>Casualty, Etc</w:t>
      </w:r>
      <w:r>
        <w:rPr>
          <w:rFonts w:ascii="Arial" w:cs="Arial" w:eastAsia="Arial" w:hAnsi="Arial"/>
          <w:sz w:val="20"/>
          <w:szCs w:val="20"/>
          <w:color w:val="auto"/>
        </w:rPr>
        <w:t>. Neither the businesses nor the properties of any Loan Party or any of its Subsidiaries are affected by any fire, explosion, accident, strike, lockout or other labor dispute, drought, storm, hail, earthquake, embargo, act of God or of the public enemy or other casualty (whether or not covered by insurance), condemnation or eminent domain proceeding that, either individually or in the aggregate, could reasonably be expected to have a Material Adverse Effect.</w:t>
      </w:r>
    </w:p>
    <w:p>
      <w:pPr>
        <w:spacing w:after="0" w:line="205"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 xml:space="preserve">5.21. </w:t>
      </w:r>
      <w:r>
        <w:rPr>
          <w:rFonts w:ascii="Arial" w:cs="Arial" w:eastAsia="Arial" w:hAnsi="Arial"/>
          <w:sz w:val="20"/>
          <w:szCs w:val="20"/>
          <w:u w:val="single" w:color="auto"/>
          <w:color w:val="auto"/>
        </w:rPr>
        <w:t>Labor Matters</w:t>
      </w:r>
      <w:r>
        <w:rPr>
          <w:rFonts w:ascii="Arial" w:cs="Arial" w:eastAsia="Arial" w:hAnsi="Arial"/>
          <w:sz w:val="20"/>
          <w:szCs w:val="20"/>
          <w:color w:val="auto"/>
        </w:rPr>
        <w:t>. There are no collective bargaining agreements or Multiemployer Plans covering the employees of any Loan Party or any of its Subsidiaries or any ERISA Affiliates as of the Restatement Effective Date and neither any Loan Party nor any Subsidiary thereof has suffered any strikes, walkouts, work stoppages or other material labor difficulty within the last five years that, either individually or in the aggregate, could reasonably be expected to have a Material Adverse Effect.</w:t>
      </w:r>
    </w:p>
    <w:p>
      <w:pPr>
        <w:spacing w:after="0" w:line="20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85</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97" w:name="page98"/>
    <w:bookmarkEnd w:id="97"/>
    <w:p>
      <w:pPr>
        <w:jc w:val="both"/>
        <w:ind w:firstLine="599"/>
        <w:spacing w:after="0" w:line="266" w:lineRule="auto"/>
        <w:rPr>
          <w:sz w:val="20"/>
          <w:szCs w:val="20"/>
          <w:color w:val="auto"/>
        </w:rPr>
      </w:pPr>
      <w:r>
        <w:rPr>
          <w:rFonts w:ascii="Arial" w:cs="Arial" w:eastAsia="Arial" w:hAnsi="Arial"/>
          <w:sz w:val="19"/>
          <w:szCs w:val="19"/>
          <w:color w:val="auto"/>
        </w:rPr>
        <w:t xml:space="preserve">5.22. </w:t>
      </w:r>
      <w:r>
        <w:rPr>
          <w:rFonts w:ascii="Arial" w:cs="Arial" w:eastAsia="Arial" w:hAnsi="Arial"/>
          <w:sz w:val="19"/>
          <w:szCs w:val="19"/>
          <w:u w:val="single" w:color="auto"/>
          <w:color w:val="auto"/>
        </w:rPr>
        <w:t>Anti-Corruption Laws</w:t>
      </w:r>
      <w:r>
        <w:rPr>
          <w:rFonts w:ascii="Arial" w:cs="Arial" w:eastAsia="Arial" w:hAnsi="Arial"/>
          <w:sz w:val="19"/>
          <w:szCs w:val="19"/>
          <w:color w:val="auto"/>
        </w:rPr>
        <w:t>. No Loan Party nor any of its Subsidiaries has taken or will take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Each Loan Party and each of its Subsidiaries has conducted its business in compliance with the United States Foreign Corrupt Practices Act of 1977, the UK Bribery Act 2010, and other similar anti-corruption legislation in other jurisdictions, and have instituted and maintained policies and procedures designed to promote and achieve compliance with such laws.</w:t>
      </w:r>
    </w:p>
    <w:p>
      <w:pPr>
        <w:spacing w:after="0" w:line="199" w:lineRule="exact"/>
        <w:rPr>
          <w:sz w:val="20"/>
          <w:szCs w:val="20"/>
          <w:color w:val="auto"/>
        </w:rPr>
      </w:pPr>
    </w:p>
    <w:p>
      <w:pPr>
        <w:jc w:val="both"/>
        <w:ind w:firstLine="599"/>
        <w:spacing w:after="0" w:line="281" w:lineRule="auto"/>
        <w:rPr>
          <w:sz w:val="20"/>
          <w:szCs w:val="20"/>
          <w:color w:val="auto"/>
        </w:rPr>
      </w:pPr>
      <w:r>
        <w:rPr>
          <w:rFonts w:ascii="Arial" w:cs="Arial" w:eastAsia="Arial" w:hAnsi="Arial"/>
          <w:sz w:val="18"/>
          <w:szCs w:val="18"/>
          <w:color w:val="auto"/>
        </w:rPr>
        <w:t xml:space="preserve">5.23. </w:t>
      </w:r>
      <w:r>
        <w:rPr>
          <w:rFonts w:ascii="Arial" w:cs="Arial" w:eastAsia="Arial" w:hAnsi="Arial"/>
          <w:sz w:val="18"/>
          <w:szCs w:val="18"/>
          <w:u w:val="single" w:color="auto"/>
          <w:color w:val="auto"/>
        </w:rPr>
        <w:t>Sanctions</w:t>
      </w:r>
      <w:r>
        <w:rPr>
          <w:rFonts w:ascii="Arial" w:cs="Arial" w:eastAsia="Arial" w:hAnsi="Arial"/>
          <w:sz w:val="18"/>
          <w:szCs w:val="18"/>
          <w:color w:val="auto"/>
        </w:rPr>
        <w:t>. Neither the REIT, the Borrower, nor any of their respective Subsidiaries, nor, to the knowledge of the REIT, the Borrower or any of their respective Subsidiaries, any director, officer, employee, agent, affiliate or representative thereof, is an individual or entity that is, or is controlled by any individual or entity that is currently the subject or target of any Sanctions, (ii) included on OFAC’s List of Specially Designated Nationals, HMT’s Consolidated List of Financial Sanctions Targets and the Investment Ban List, or any similar list enforced by any other relevant sanctions authority or (iii) located, organized or resident in a Designated Jurisdiction. No Loan, nor the proceeds from any Loan, has been used, directly or indirectly, to lend, contribute, provide or has otherwise been made available to fund any activity or business in any Designated Jurisdiction or to fund any activity or business of any Person located, organized or residing in any Designated Jurisdiction or who is the subject of any Sanctions, or in any other manner that will result in any violation by any Person (including any Lender, either Bookrunner, any Arranger, the Administrative Agent or any L/C Issuer) of Sanctions.</w:t>
      </w:r>
    </w:p>
    <w:p>
      <w:pPr>
        <w:spacing w:after="0" w:line="192" w:lineRule="exact"/>
        <w:rPr>
          <w:sz w:val="20"/>
          <w:szCs w:val="20"/>
          <w:color w:val="auto"/>
        </w:rPr>
      </w:pPr>
    </w:p>
    <w:p>
      <w:pPr>
        <w:ind w:right="160" w:firstLine="599"/>
        <w:spacing w:after="0" w:line="272" w:lineRule="auto"/>
        <w:rPr>
          <w:sz w:val="20"/>
          <w:szCs w:val="20"/>
          <w:color w:val="auto"/>
        </w:rPr>
      </w:pPr>
      <w:r>
        <w:rPr>
          <w:rFonts w:ascii="Arial" w:cs="Arial" w:eastAsia="Arial" w:hAnsi="Arial"/>
          <w:sz w:val="20"/>
          <w:szCs w:val="20"/>
          <w:color w:val="auto"/>
        </w:rPr>
        <w:t xml:space="preserve">5.24. </w:t>
      </w:r>
      <w:r>
        <w:rPr>
          <w:rFonts w:ascii="Arial" w:cs="Arial" w:eastAsia="Arial" w:hAnsi="Arial"/>
          <w:sz w:val="20"/>
          <w:szCs w:val="20"/>
          <w:u w:val="single" w:color="auto"/>
          <w:color w:val="auto"/>
        </w:rPr>
        <w:t>REIT Status; Stock Exchange Listing</w:t>
      </w:r>
      <w:r>
        <w:rPr>
          <w:rFonts w:ascii="Arial" w:cs="Arial" w:eastAsia="Arial" w:hAnsi="Arial"/>
          <w:sz w:val="20"/>
          <w:szCs w:val="20"/>
          <w:color w:val="auto"/>
        </w:rPr>
        <w:t>. The REIT is qualified as a Real Estate Investment Trust. The shares of common Equity Interests of the REIT are listed on the New York Stock Exchange.</w:t>
      </w:r>
    </w:p>
    <w:p>
      <w:pPr>
        <w:spacing w:after="0" w:line="191"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5.25.</w:t>
      </w:r>
      <w:r>
        <w:rPr>
          <w:sz w:val="20"/>
          <w:szCs w:val="20"/>
          <w:color w:val="auto"/>
        </w:rPr>
        <w:tab/>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No Loan Party is an EEA Financial Institution..</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AFFIRMATIVE COVENANTS</w:t>
      </w:r>
    </w:p>
    <w:p>
      <w:pPr>
        <w:spacing w:after="0" w:line="229"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 xml:space="preserve">So long as any Lender shall have any Commitment hereunder, any Loan or other Obligation hereunder shall remain unpaid or unsatisfied, or any Letter of Credit shall remain outstanding, each of the REIT and the Borrower shall, and shall (except in the case of the covenants set forth in </w:t>
      </w:r>
      <w:r>
        <w:rPr>
          <w:rFonts w:ascii="Arial" w:cs="Arial" w:eastAsia="Arial" w:hAnsi="Arial"/>
          <w:sz w:val="20"/>
          <w:szCs w:val="20"/>
          <w:u w:val="single" w:color="auto"/>
          <w:color w:val="auto"/>
        </w:rPr>
        <w:t>Sections 6.01</w:t>
      </w:r>
      <w:r>
        <w:rPr>
          <w:rFonts w:ascii="Arial" w:cs="Arial" w:eastAsia="Arial" w:hAnsi="Arial"/>
          <w:sz w:val="20"/>
          <w:szCs w:val="20"/>
          <w:color w:val="auto"/>
        </w:rPr>
        <w:t xml:space="preserve">, </w:t>
      </w:r>
      <w:r>
        <w:rPr>
          <w:rFonts w:ascii="Arial" w:cs="Arial" w:eastAsia="Arial" w:hAnsi="Arial"/>
          <w:sz w:val="20"/>
          <w:szCs w:val="20"/>
          <w:u w:val="single" w:color="auto"/>
          <w:color w:val="auto"/>
        </w:rPr>
        <w:t>6.02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6.03</w:t>
      </w:r>
      <w:r>
        <w:rPr>
          <w:rFonts w:ascii="Arial" w:cs="Arial" w:eastAsia="Arial" w:hAnsi="Arial"/>
          <w:sz w:val="20"/>
          <w:szCs w:val="20"/>
          <w:color w:val="auto"/>
        </w:rPr>
        <w:t>) cause each of their respective Subsidiaries to:</w:t>
      </w:r>
    </w:p>
    <w:p>
      <w:pPr>
        <w:spacing w:after="0" w:line="164" w:lineRule="exact"/>
        <w:rPr>
          <w:sz w:val="20"/>
          <w:szCs w:val="20"/>
          <w:color w:val="auto"/>
        </w:rPr>
      </w:pPr>
    </w:p>
    <w:p>
      <w:pPr>
        <w:ind w:left="600"/>
        <w:spacing w:after="0"/>
        <w:tabs>
          <w:tab w:leader="none" w:pos="1260" w:val="left"/>
        </w:tabs>
        <w:rPr>
          <w:sz w:val="20"/>
          <w:szCs w:val="20"/>
          <w:color w:val="auto"/>
        </w:rPr>
      </w:pPr>
      <w:r>
        <w:rPr>
          <w:rFonts w:ascii="Arial" w:cs="Arial" w:eastAsia="Arial" w:hAnsi="Arial"/>
          <w:sz w:val="20"/>
          <w:szCs w:val="20"/>
          <w:color w:val="auto"/>
        </w:rPr>
        <w:t>6.01.</w:t>
      </w:r>
      <w:r>
        <w:rPr>
          <w:sz w:val="20"/>
          <w:szCs w:val="20"/>
          <w:color w:val="auto"/>
        </w:rPr>
        <w:tab/>
      </w:r>
      <w:r>
        <w:rPr>
          <w:rFonts w:ascii="Arial" w:cs="Arial" w:eastAsia="Arial" w:hAnsi="Arial"/>
          <w:sz w:val="19"/>
          <w:szCs w:val="19"/>
          <w:u w:val="single" w:color="auto"/>
          <w:color w:val="auto"/>
        </w:rPr>
        <w:t>Financial Statements</w:t>
      </w:r>
      <w:r>
        <w:rPr>
          <w:rFonts w:ascii="Arial" w:cs="Arial" w:eastAsia="Arial" w:hAnsi="Arial"/>
          <w:sz w:val="19"/>
          <w:szCs w:val="19"/>
          <w:color w:val="auto"/>
        </w:rPr>
        <w:t>. Deliver to the Administrative Agent, in form and detail reasonably satisfactory to the Administrative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Agent:</w:t>
      </w:r>
    </w:p>
    <w:p>
      <w:pPr>
        <w:spacing w:after="0" w:line="229" w:lineRule="exact"/>
        <w:rPr>
          <w:sz w:val="20"/>
          <w:szCs w:val="20"/>
          <w:color w:val="auto"/>
        </w:rPr>
      </w:pPr>
    </w:p>
    <w:p>
      <w:pPr>
        <w:jc w:val="both"/>
        <w:ind w:firstLine="599"/>
        <w:spacing w:after="0" w:line="284" w:lineRule="auto"/>
        <w:tabs>
          <w:tab w:leader="none" w:pos="142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soon as available, but in any event within 90 days after the end of each fiscal year of the REIT (or, if earlier, 15 days after the date required to be filed with the SEC) (commencing with the fiscal year ended December 31, 2017), a consolidated balance sheet of the Consolidated Group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w:t>
      </w:r>
    </w:p>
    <w:p>
      <w:pPr>
        <w:spacing w:after="0" w:line="184"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86</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98" w:name="page99"/>
    <w:bookmarkEnd w:id="98"/>
    <w:p>
      <w:pPr>
        <w:spacing w:after="0" w:line="272" w:lineRule="auto"/>
        <w:rPr>
          <w:sz w:val="20"/>
          <w:szCs w:val="20"/>
          <w:color w:val="auto"/>
        </w:rPr>
      </w:pPr>
      <w:r>
        <w:rPr>
          <w:rFonts w:ascii="Arial" w:cs="Arial" w:eastAsia="Arial" w:hAnsi="Arial"/>
          <w:sz w:val="20"/>
          <w:szCs w:val="20"/>
          <w:color w:val="auto"/>
        </w:rPr>
        <w:t>or exception or any qualification or exception as to the scope of such audit (except for a qualification or an exception to the extent related to the maturity or refinancing of the Loans);</w:t>
      </w:r>
    </w:p>
    <w:p>
      <w:pPr>
        <w:spacing w:after="0" w:line="191" w:lineRule="exact"/>
        <w:rPr>
          <w:sz w:val="20"/>
          <w:szCs w:val="20"/>
          <w:color w:val="auto"/>
        </w:rPr>
      </w:pPr>
    </w:p>
    <w:p>
      <w:pPr>
        <w:jc w:val="both"/>
        <w:ind w:firstLine="599"/>
        <w:spacing w:after="0" w:line="281" w:lineRule="auto"/>
        <w:tabs>
          <w:tab w:leader="none" w:pos="143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as soon as available, but in any event within 45 days after the end of each of the first three fiscal quarters of each fiscal year of the REIT (or, if earlier, 5 days after the date required to be filed with the SEC) (commencing with the fiscal quarter ending March 31, 2018), a consolidated balance sheet of the Consolidated Group as at the end of such fiscal quarter, and the related consolidated statements of income or operations for such fiscal quarter and for the portion of the REIT’s fiscal year then ended, and the related consolidated statements of changes in shareholders’ equity and cash flows for the portion of the REIT’s fiscal year then ended, in each case setting forth in comparative form, as applicable, the figures for the corresponding fiscal quarter of the previous fiscal year and the corresponding portion of the previous fiscal year, all in reasonable detail, certified by the chief executive officer, chief financial officer, treasurer or controller of the REIT as fairly presenting the financial condition, results of operations, shareholders’ equity and cash flows of the Consolidated Group in accordance with GAAP, subject only to customary year-end audit adjustments and the absence of footnotes; and</w:t>
      </w:r>
    </w:p>
    <w:p>
      <w:pPr>
        <w:spacing w:after="0" w:line="191" w:lineRule="exact"/>
        <w:rPr>
          <w:rFonts w:ascii="Arial" w:cs="Arial" w:eastAsia="Arial" w:hAnsi="Arial"/>
          <w:sz w:val="18"/>
          <w:szCs w:val="18"/>
          <w:color w:val="auto"/>
        </w:rPr>
      </w:pPr>
    </w:p>
    <w:p>
      <w:pPr>
        <w:jc w:val="both"/>
        <w:ind w:firstLine="599"/>
        <w:spacing w:after="0" w:line="253" w:lineRule="auto"/>
        <w:tabs>
          <w:tab w:leader="none" w:pos="1421" w:val="left"/>
        </w:tabs>
        <w:numPr>
          <w:ilvl w:val="0"/>
          <w:numId w:val="125"/>
        </w:numPr>
        <w:rPr>
          <w:rFonts w:ascii="Arial" w:cs="Arial" w:eastAsia="Arial" w:hAnsi="Arial"/>
          <w:sz w:val="20"/>
          <w:szCs w:val="20"/>
          <w:color w:val="auto"/>
        </w:rPr>
      </w:pPr>
      <w:r>
        <w:rPr>
          <w:rFonts w:ascii="Arial" w:cs="Arial" w:eastAsia="Arial" w:hAnsi="Arial"/>
          <w:sz w:val="20"/>
          <w:szCs w:val="20"/>
          <w:color w:val="auto"/>
        </w:rPr>
        <w:t>as soon as available, but in any event at least 15 days before the end of each fiscal year of the Consolidated Group on a consolidated basis, including forecasts prepared by management of the REIT, in form reasonably satisfactory to the Administrative Agent, of consolidated balance sheets and statements of income or operations and cash flows of the Consolidated Group on a quarterly basis for the immediately following fiscal year (including the fiscal year in which the Maturity Date of each of the Revolving Credit Facility and each Term Facility occurs).</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As to any information contained in materials furnished pursuant to </w:t>
      </w:r>
      <w:r>
        <w:rPr>
          <w:rFonts w:ascii="Arial" w:cs="Arial" w:eastAsia="Arial" w:hAnsi="Arial"/>
          <w:sz w:val="20"/>
          <w:szCs w:val="20"/>
          <w:u w:val="single" w:color="auto"/>
          <w:color w:val="auto"/>
        </w:rPr>
        <w:t>Section 6.02(d)</w:t>
      </w:r>
      <w:r>
        <w:rPr>
          <w:rFonts w:ascii="Arial" w:cs="Arial" w:eastAsia="Arial" w:hAnsi="Arial"/>
          <w:sz w:val="20"/>
          <w:szCs w:val="20"/>
          <w:color w:val="auto"/>
        </w:rPr>
        <w:t xml:space="preserve">, the Borrower shall not be separately required to furnish such information under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above, but the foregoing shall not be in derogation of the obligation of the Borrower to furnish the information and materials described in </w:t>
      </w:r>
      <w:r>
        <w:rPr>
          <w:rFonts w:ascii="Arial" w:cs="Arial" w:eastAsia="Arial" w:hAnsi="Arial"/>
          <w:sz w:val="20"/>
          <w:szCs w:val="20"/>
          <w:u w:val="single" w:color="auto"/>
          <w:color w:val="auto"/>
        </w:rPr>
        <w:t>Sections 6.01(a)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above at the times specified therein.</w:t>
      </w:r>
    </w:p>
    <w:p>
      <w:pPr>
        <w:spacing w:after="0" w:line="164" w:lineRule="exact"/>
        <w:rPr>
          <w:sz w:val="20"/>
          <w:szCs w:val="20"/>
          <w:color w:val="auto"/>
        </w:rPr>
      </w:pPr>
    </w:p>
    <w:p>
      <w:pPr>
        <w:ind w:left="600"/>
        <w:spacing w:after="0"/>
        <w:tabs>
          <w:tab w:leader="none" w:pos="1280" w:val="left"/>
        </w:tabs>
        <w:rPr>
          <w:sz w:val="20"/>
          <w:szCs w:val="20"/>
          <w:color w:val="auto"/>
        </w:rPr>
      </w:pPr>
      <w:r>
        <w:rPr>
          <w:rFonts w:ascii="Arial" w:cs="Arial" w:eastAsia="Arial" w:hAnsi="Arial"/>
          <w:sz w:val="20"/>
          <w:szCs w:val="20"/>
          <w:color w:val="auto"/>
        </w:rPr>
        <w:t>6.02.</w:t>
      </w:r>
      <w:r>
        <w:rPr>
          <w:sz w:val="20"/>
          <w:szCs w:val="20"/>
          <w:color w:val="auto"/>
        </w:rPr>
        <w:tab/>
      </w:r>
      <w:r>
        <w:rPr>
          <w:rFonts w:ascii="Arial" w:cs="Arial" w:eastAsia="Arial" w:hAnsi="Arial"/>
          <w:sz w:val="19"/>
          <w:szCs w:val="19"/>
          <w:u w:val="single" w:color="auto"/>
          <w:color w:val="auto"/>
        </w:rPr>
        <w:t>Certificates; Other Information</w:t>
      </w:r>
      <w:r>
        <w:rPr>
          <w:rFonts w:ascii="Arial" w:cs="Arial" w:eastAsia="Arial" w:hAnsi="Arial"/>
          <w:sz w:val="19"/>
          <w:szCs w:val="19"/>
          <w:color w:val="auto"/>
        </w:rPr>
        <w:t>. Deliver to the Administrative Agent, in form and detail satisfactory to the Administrative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Agent:</w:t>
      </w:r>
    </w:p>
    <w:p>
      <w:pPr>
        <w:spacing w:after="0" w:line="229" w:lineRule="exact"/>
        <w:rPr>
          <w:sz w:val="20"/>
          <w:szCs w:val="20"/>
          <w:color w:val="auto"/>
        </w:rPr>
      </w:pPr>
    </w:p>
    <w:p>
      <w:pPr>
        <w:jc w:val="both"/>
        <w:ind w:firstLine="599"/>
        <w:spacing w:after="0" w:line="273" w:lineRule="auto"/>
        <w:tabs>
          <w:tab w:leader="none" w:pos="1421"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concurrently with the delivery of the financial statements referred to in </w:t>
      </w:r>
      <w:r>
        <w:rPr>
          <w:rFonts w:ascii="Arial" w:cs="Arial" w:eastAsia="Arial" w:hAnsi="Arial"/>
          <w:sz w:val="19"/>
          <w:szCs w:val="19"/>
          <w:u w:val="single" w:color="auto"/>
          <w:color w:val="auto"/>
        </w:rPr>
        <w:t>Section 6.01(a)</w:t>
      </w:r>
      <w:r>
        <w:rPr>
          <w:rFonts w:ascii="Arial" w:cs="Arial" w:eastAsia="Arial" w:hAnsi="Arial"/>
          <w:sz w:val="19"/>
          <w:szCs w:val="19"/>
          <w:color w:val="auto"/>
        </w:rPr>
        <w:t>, a certificate of its independent certified public accountants (which certificate may be limited or eliminated to the extent required by accounting rules or guidelines) certifying such financial statements and stating that in making the examination necessary therefor no knowledge was obtained of any Default under the financial covenants set forth herein or, if any such Default shall exist, stating the nature and status of such event;</w:t>
      </w:r>
    </w:p>
    <w:p>
      <w:pPr>
        <w:spacing w:after="0" w:line="192" w:lineRule="exact"/>
        <w:rPr>
          <w:rFonts w:ascii="Arial" w:cs="Arial" w:eastAsia="Arial" w:hAnsi="Arial"/>
          <w:sz w:val="19"/>
          <w:szCs w:val="19"/>
          <w:color w:val="auto"/>
        </w:rPr>
      </w:pPr>
    </w:p>
    <w:p>
      <w:pPr>
        <w:jc w:val="both"/>
        <w:ind w:firstLine="599"/>
        <w:spacing w:after="0" w:line="273" w:lineRule="auto"/>
        <w:tabs>
          <w:tab w:leader="none" w:pos="1432"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concurrently with the delivery of the financial statements referred to in </w:t>
      </w:r>
      <w:r>
        <w:rPr>
          <w:rFonts w:ascii="Arial" w:cs="Arial" w:eastAsia="Arial" w:hAnsi="Arial"/>
          <w:sz w:val="19"/>
          <w:szCs w:val="19"/>
          <w:u w:val="single" w:color="auto"/>
          <w:color w:val="auto"/>
        </w:rPr>
        <w:t>Sections 6.01(a)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a duly completed Compliance Certificate signed by the chief executive officer, chief financial officer, treasurer or controller of the REIT (which delivery may, unless the Administrative Agent, or a Lender through the Administrative Agent requests executed originals, be by electronic communication including fax or email and shall be deemed to be an original authentic counterpart thereof for all purposes);</w:t>
      </w:r>
    </w:p>
    <w:p>
      <w:pPr>
        <w:spacing w:after="0" w:line="192" w:lineRule="exact"/>
        <w:rPr>
          <w:rFonts w:ascii="Arial" w:cs="Arial" w:eastAsia="Arial" w:hAnsi="Arial"/>
          <w:sz w:val="19"/>
          <w:szCs w:val="19"/>
          <w:color w:val="auto"/>
        </w:rPr>
      </w:pPr>
    </w:p>
    <w:p>
      <w:pPr>
        <w:jc w:val="both"/>
        <w:ind w:firstLine="599"/>
        <w:spacing w:after="0" w:line="302" w:lineRule="auto"/>
        <w:tabs>
          <w:tab w:leader="none" w:pos="142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promptly after any request by the Administrative Agent or any Lender, copies of any detailed audit reports, management letters or recommendations submitted to the board of directors (or the audit committee of the board of directors) of any Loan Party by independent accountants in connection with the accounts or books of any Loan Party or any of its Subsidiaries, or any audit of any of them;</w:t>
      </w:r>
    </w:p>
    <w:p>
      <w:pPr>
        <w:spacing w:after="0" w:line="200" w:lineRule="exact"/>
        <w:rPr>
          <w:sz w:val="20"/>
          <w:szCs w:val="20"/>
          <w:color w:val="auto"/>
        </w:rPr>
      </w:pPr>
    </w:p>
    <w:p>
      <w:pPr>
        <w:spacing w:after="0" w:line="20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87</w:t>
      </w:r>
      <w:r>
        <w:rPr>
          <w:rFonts w:ascii="MS PGothic" w:cs="MS PGothic" w:eastAsia="MS PGothic" w:hAnsi="MS PGothic"/>
          <w:sz w:val="20"/>
          <w:szCs w:val="20"/>
          <w:color w:val="auto"/>
        </w:rPr>
        <w:t>‑</w:t>
      </w:r>
    </w:p>
    <w:p>
      <w:pPr>
        <w:sectPr>
          <w:pgSz w:w="11900" w:h="16838" w:orient="portrait"/>
          <w:cols w:equalWidth="0" w:num="1">
            <w:col w:w="11420"/>
          </w:cols>
          <w:pgMar w:left="240" w:top="558" w:right="239" w:bottom="1440" w:gutter="0" w:footer="0" w:header="0"/>
        </w:sectPr>
      </w:pPr>
    </w:p>
    <w:bookmarkStart w:id="99" w:name="page100"/>
    <w:bookmarkEnd w:id="99"/>
    <w:p>
      <w:pPr>
        <w:jc w:val="both"/>
        <w:ind w:firstLine="599"/>
        <w:spacing w:after="0" w:line="252" w:lineRule="auto"/>
        <w:tabs>
          <w:tab w:leader="none" w:pos="1432" w:val="left"/>
        </w:tabs>
        <w:numPr>
          <w:ilvl w:val="0"/>
          <w:numId w:val="127"/>
        </w:numPr>
        <w:rPr>
          <w:rFonts w:ascii="Arial" w:cs="Arial" w:eastAsia="Arial" w:hAnsi="Arial"/>
          <w:sz w:val="20"/>
          <w:szCs w:val="20"/>
          <w:color w:val="auto"/>
        </w:rPr>
      </w:pPr>
      <w:r>
        <w:rPr>
          <w:rFonts w:ascii="Arial" w:cs="Arial" w:eastAsia="Arial" w:hAnsi="Arial"/>
          <w:sz w:val="20"/>
          <w:szCs w:val="20"/>
          <w:color w:val="auto"/>
        </w:rPr>
        <w:t>promptly after the same are available, (x) copies of each annual report, proxy or financial statement or other report or communication sent to the stockholders or other equityholders of the REIT, (y) copies of each annual report, proxy, financial statement or other financial report sent to the limited partners of the Borrower, and (z) copies of all annual, regular, periodic and special reports and registration statements which any Loan Party or any Subsidiary thereof files with the SEC under Section 13 or 15(d) of the Securities Exchange Act of 1934, or with any national securities exchange, and in any case not otherwise required to be delivered to the Administrative Agent pursuant hereto;</w:t>
      </w:r>
    </w:p>
    <w:p>
      <w:pPr>
        <w:spacing w:after="0" w:line="212" w:lineRule="exact"/>
        <w:rPr>
          <w:rFonts w:ascii="Arial" w:cs="Arial" w:eastAsia="Arial" w:hAnsi="Arial"/>
          <w:sz w:val="20"/>
          <w:szCs w:val="20"/>
          <w:color w:val="auto"/>
        </w:rPr>
      </w:pPr>
    </w:p>
    <w:p>
      <w:pPr>
        <w:jc w:val="both"/>
        <w:ind w:firstLine="599"/>
        <w:spacing w:after="0" w:line="280" w:lineRule="auto"/>
        <w:tabs>
          <w:tab w:leader="none" w:pos="1421"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promptly after the furnishing thereof, copies of any material statement or report furnished to any holder of debt securities of any Loan Party, any Direct Owner or Indirect Owner pursuant to the terms of any indenture, loan or credit or similar agreement and not otherwise required to be furnished to the Lenders pursuant to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or any other clause of this </w:t>
      </w:r>
      <w:r>
        <w:rPr>
          <w:rFonts w:ascii="Arial" w:cs="Arial" w:eastAsia="Arial" w:hAnsi="Arial"/>
          <w:sz w:val="19"/>
          <w:szCs w:val="19"/>
          <w:u w:val="single" w:color="auto"/>
          <w:color w:val="auto"/>
        </w:rPr>
        <w:t>Section 6.02</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jc w:val="both"/>
        <w:ind w:firstLine="599"/>
        <w:spacing w:after="0" w:line="256" w:lineRule="auto"/>
        <w:tabs>
          <w:tab w:leader="none" w:pos="1399" w:val="left"/>
        </w:tabs>
        <w:numPr>
          <w:ilvl w:val="0"/>
          <w:numId w:val="127"/>
        </w:numPr>
        <w:rPr>
          <w:rFonts w:ascii="Arial" w:cs="Arial" w:eastAsia="Arial" w:hAnsi="Arial"/>
          <w:sz w:val="20"/>
          <w:szCs w:val="20"/>
          <w:color w:val="auto"/>
        </w:rPr>
      </w:pPr>
      <w:r>
        <w:rPr>
          <w:rFonts w:ascii="Arial" w:cs="Arial" w:eastAsia="Arial" w:hAnsi="Arial"/>
          <w:sz w:val="20"/>
          <w:szCs w:val="20"/>
          <w:color w:val="auto"/>
        </w:rPr>
        <w:t>promptly, and in any event within five Business Days after receipt thereof by any Loan Party or any Subsidiary thereof, copies of each material notice or other material written correspondence received from the SEC (or comparable agency in any applicable non-U.S. jurisdiction) concerning any investigation or possible investigation or other inquiry by such agency regarding financial or other operational results of any Loan Party or any Subsidiary thereof;</w:t>
      </w:r>
    </w:p>
    <w:p>
      <w:pPr>
        <w:spacing w:after="0" w:line="205" w:lineRule="exact"/>
        <w:rPr>
          <w:rFonts w:ascii="Arial" w:cs="Arial" w:eastAsia="Arial" w:hAnsi="Arial"/>
          <w:sz w:val="20"/>
          <w:szCs w:val="20"/>
          <w:color w:val="auto"/>
        </w:rPr>
      </w:pPr>
    </w:p>
    <w:p>
      <w:pPr>
        <w:jc w:val="both"/>
        <w:ind w:firstLine="599"/>
        <w:spacing w:after="0" w:line="260" w:lineRule="auto"/>
        <w:tabs>
          <w:tab w:leader="none" w:pos="1432" w:val="left"/>
        </w:tabs>
        <w:numPr>
          <w:ilvl w:val="0"/>
          <w:numId w:val="127"/>
        </w:numPr>
        <w:rPr>
          <w:rFonts w:ascii="Arial" w:cs="Arial" w:eastAsia="Arial" w:hAnsi="Arial"/>
          <w:sz w:val="20"/>
          <w:szCs w:val="20"/>
          <w:color w:val="auto"/>
        </w:rPr>
      </w:pPr>
      <w:r>
        <w:rPr>
          <w:rFonts w:ascii="Arial" w:cs="Arial" w:eastAsia="Arial" w:hAnsi="Arial"/>
          <w:sz w:val="20"/>
          <w:szCs w:val="20"/>
          <w:color w:val="auto"/>
        </w:rPr>
        <w:t>promptly after the assertion or occurrence thereof, notice of any action or proceeding against or of any noncompliance by any Loan Party or any of its Subsidiaries with any Environmental Law or Environmental Permit that could reasonably be expected to have a Material Adverse Effect;</w:t>
      </w:r>
    </w:p>
    <w:p>
      <w:pPr>
        <w:spacing w:after="0" w:line="201" w:lineRule="exact"/>
        <w:rPr>
          <w:rFonts w:ascii="Arial" w:cs="Arial" w:eastAsia="Arial" w:hAnsi="Arial"/>
          <w:sz w:val="20"/>
          <w:szCs w:val="20"/>
          <w:color w:val="auto"/>
        </w:rPr>
      </w:pPr>
    </w:p>
    <w:p>
      <w:pPr>
        <w:jc w:val="both"/>
        <w:ind w:firstLine="599"/>
        <w:spacing w:after="0" w:line="302" w:lineRule="auto"/>
        <w:tabs>
          <w:tab w:leader="none" w:pos="143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as soon as available, but in any event within 30 days after the end of each fiscal year of the REIT, a report summarizing the insurance coverage (specifying type, amount and carrier) in effect for each member of the Consolidated Group and containing such additional information as the Administrative Agent, or any Lender through the Administrative Agent, may reasonably specify; and</w:t>
      </w:r>
    </w:p>
    <w:p>
      <w:pPr>
        <w:spacing w:after="0" w:line="167" w:lineRule="exact"/>
        <w:rPr>
          <w:rFonts w:ascii="Arial" w:cs="Arial" w:eastAsia="Arial" w:hAnsi="Arial"/>
          <w:sz w:val="18"/>
          <w:szCs w:val="18"/>
          <w:color w:val="auto"/>
        </w:rPr>
      </w:pPr>
    </w:p>
    <w:p>
      <w:pPr>
        <w:jc w:val="both"/>
        <w:ind w:firstLine="599"/>
        <w:spacing w:after="0" w:line="260" w:lineRule="auto"/>
        <w:tabs>
          <w:tab w:leader="none" w:pos="1387" w:val="left"/>
        </w:tabs>
        <w:numPr>
          <w:ilvl w:val="0"/>
          <w:numId w:val="127"/>
        </w:numPr>
        <w:rPr>
          <w:rFonts w:ascii="Arial" w:cs="Arial" w:eastAsia="Arial" w:hAnsi="Arial"/>
          <w:sz w:val="20"/>
          <w:szCs w:val="20"/>
          <w:color w:val="auto"/>
        </w:rPr>
      </w:pPr>
      <w:r>
        <w:rPr>
          <w:rFonts w:ascii="Arial" w:cs="Arial" w:eastAsia="Arial" w:hAnsi="Arial"/>
          <w:sz w:val="20"/>
          <w:szCs w:val="20"/>
          <w:color w:val="auto"/>
        </w:rPr>
        <w:t>promptly, such additional information regarding the business, financial, legal or corporate affairs of any Loan Party or any Subsidiary thereof, or compliance with the terms of the Loan Documents, as the Administrative Agent or any Lender through the Administrative Agent may from time to time reasonably request.</w:t>
      </w:r>
    </w:p>
    <w:p>
      <w:pPr>
        <w:spacing w:after="0" w:line="202" w:lineRule="exact"/>
        <w:rPr>
          <w:sz w:val="20"/>
          <w:szCs w:val="20"/>
          <w:color w:val="auto"/>
        </w:rPr>
      </w:pPr>
    </w:p>
    <w:p>
      <w:pPr>
        <w:jc w:val="both"/>
        <w:ind w:firstLine="599"/>
        <w:spacing w:after="0" w:line="264"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6.02(d)</w:t>
      </w:r>
      <w:r>
        <w:rPr>
          <w:rFonts w:ascii="Arial" w:cs="Arial" w:eastAsia="Arial" w:hAnsi="Arial"/>
          <w:sz w:val="19"/>
          <w:szCs w:val="19"/>
          <w:color w:val="auto"/>
        </w:rPr>
        <w:t xml:space="preserve"> (to the extent any such documents are included in materials otherwise filed with the SEC) may be delivered electronically and if so delivered, shall be deemed to have been delivered on the date (i) on which the REIT posts such documents, or provides a link thereto on the REIT’s website on the Internet at the website address listed on </w:t>
      </w:r>
      <w:r>
        <w:rPr>
          <w:rFonts w:ascii="Arial" w:cs="Arial" w:eastAsia="Arial" w:hAnsi="Arial"/>
          <w:sz w:val="19"/>
          <w:szCs w:val="19"/>
          <w:u w:val="single" w:color="auto"/>
          <w:color w:val="auto"/>
        </w:rPr>
        <w:t>Schedule 10.02</w:t>
      </w:r>
      <w:r>
        <w:rPr>
          <w:rFonts w:ascii="Arial" w:cs="Arial" w:eastAsia="Arial" w:hAnsi="Arial"/>
          <w:sz w:val="19"/>
          <w:szCs w:val="19"/>
          <w:color w:val="auto"/>
        </w:rPr>
        <w:t xml:space="preserve">; or (ii) on which such documents are posted on the REIT’s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Borrower shall deliver paper copies of such documents to the Administrative Agent or any Lender upon its request to the Borrower (through the Administrative Agent) to deliver such paper copies until a written request to cease delivering paper copies is given by the Administrative Agent or such Lender (through the Administrative Agent) and (ii) the Borrower shall notify the Administrative Agent (by facsimile or electronic mail) of the posting of any such documents and provide to the Administrative Agent by electronic mail electronic versions (</w:t>
      </w:r>
      <w:r>
        <w:rPr>
          <w:rFonts w:ascii="Arial" w:cs="Arial" w:eastAsia="Arial" w:hAnsi="Arial"/>
          <w:sz w:val="19"/>
          <w:szCs w:val="19"/>
          <w:u w:val="single" w:color="auto"/>
          <w:color w:val="auto"/>
        </w:rPr>
        <w:t>i.e.</w:t>
      </w:r>
      <w:r>
        <w:rPr>
          <w:rFonts w:ascii="Arial" w:cs="Arial" w:eastAsia="Arial" w:hAnsi="Arial"/>
          <w:sz w:val="19"/>
          <w:szCs w:val="19"/>
          <w:color w:val="auto"/>
        </w:rPr>
        <w:t>,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w:t>
      </w:r>
    </w:p>
    <w:p>
      <w:pPr>
        <w:spacing w:after="0" w:line="200" w:lineRule="exact"/>
        <w:rPr>
          <w:sz w:val="20"/>
          <w:szCs w:val="20"/>
          <w:color w:val="auto"/>
        </w:rPr>
      </w:pPr>
    </w:p>
    <w:p>
      <w:pPr>
        <w:spacing w:after="0" w:line="20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88</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00" w:name="page101"/>
    <w:bookmarkEnd w:id="100"/>
    <w:p>
      <w:pPr>
        <w:jc w:val="both"/>
        <w:spacing w:after="0" w:line="272" w:lineRule="auto"/>
        <w:rPr>
          <w:sz w:val="20"/>
          <w:szCs w:val="20"/>
          <w:color w:val="auto"/>
        </w:rPr>
      </w:pPr>
      <w:r>
        <w:rPr>
          <w:rFonts w:ascii="Arial" w:cs="Arial" w:eastAsia="Arial" w:hAnsi="Arial"/>
          <w:sz w:val="20"/>
          <w:szCs w:val="20"/>
          <w:color w:val="auto"/>
        </w:rPr>
        <w:t>each Lender shall be solely responsible for requesting delivery to it (through the Administrative Agent) or maintaining its copies of such documents.</w:t>
      </w:r>
    </w:p>
    <w:p>
      <w:pPr>
        <w:spacing w:after="0" w:line="153" w:lineRule="exact"/>
        <w:rPr>
          <w:sz w:val="20"/>
          <w:szCs w:val="20"/>
          <w:color w:val="auto"/>
        </w:rPr>
      </w:pPr>
    </w:p>
    <w:p>
      <w:pPr>
        <w:jc w:val="both"/>
        <w:ind w:firstLine="599"/>
        <w:spacing w:after="0" w:line="263" w:lineRule="auto"/>
        <w:rPr>
          <w:sz w:val="20"/>
          <w:szCs w:val="20"/>
          <w:color w:val="auto"/>
        </w:rPr>
      </w:pPr>
      <w:r>
        <w:rPr>
          <w:rFonts w:ascii="Arial" w:cs="Arial" w:eastAsia="Arial" w:hAnsi="Arial"/>
          <w:sz w:val="19"/>
          <w:szCs w:val="19"/>
          <w:color w:val="auto"/>
        </w:rPr>
        <w:t>The Borrower and the REIT hereby acknowledge that (a) the Administrative Agent and/or the Bookrunners and/or the Arrangers will make available to the Lenders and the L/C Issuers materials and/or information provided by or on behalf of the REIT or the Borrower hereunder (collectively, “</w:t>
      </w:r>
      <w:r>
        <w:rPr>
          <w:rFonts w:ascii="Arial" w:cs="Arial" w:eastAsia="Arial" w:hAnsi="Arial"/>
          <w:sz w:val="19"/>
          <w:szCs w:val="19"/>
          <w:u w:val="single" w:color="auto"/>
          <w:color w:val="auto"/>
        </w:rPr>
        <w:t>Borrower Materials</w:t>
      </w:r>
      <w:r>
        <w:rPr>
          <w:rFonts w:ascii="Arial" w:cs="Arial" w:eastAsia="Arial" w:hAnsi="Arial"/>
          <w:sz w:val="19"/>
          <w:szCs w:val="19"/>
          <w:color w:val="auto"/>
        </w:rPr>
        <w:t>”) by posting the Borrower Materials on IntraLinks or another similar electronic system (the “</w:t>
      </w:r>
      <w:r>
        <w:rPr>
          <w:rFonts w:ascii="Arial" w:cs="Arial" w:eastAsia="Arial" w:hAnsi="Arial"/>
          <w:sz w:val="19"/>
          <w:szCs w:val="19"/>
          <w:u w:val="single" w:color="auto"/>
          <w:color w:val="auto"/>
        </w:rPr>
        <w:t>Platform</w:t>
      </w:r>
      <w:r>
        <w:rPr>
          <w:rFonts w:ascii="Arial" w:cs="Arial" w:eastAsia="Arial" w:hAnsi="Arial"/>
          <w:sz w:val="19"/>
          <w:szCs w:val="19"/>
          <w:color w:val="auto"/>
        </w:rPr>
        <w:t>”) and (b) certain of the Lenders (each, a “</w:t>
      </w:r>
      <w:r>
        <w:rPr>
          <w:rFonts w:ascii="Arial" w:cs="Arial" w:eastAsia="Arial" w:hAnsi="Arial"/>
          <w:sz w:val="19"/>
          <w:szCs w:val="19"/>
          <w:u w:val="single" w:color="auto"/>
          <w:color w:val="auto"/>
        </w:rPr>
        <w:t>Public Lender</w:t>
      </w:r>
      <w:r>
        <w:rPr>
          <w:rFonts w:ascii="Arial" w:cs="Arial" w:eastAsia="Arial" w:hAnsi="Arial"/>
          <w:sz w:val="19"/>
          <w:szCs w:val="19"/>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Bookrunners, the Arrangers, the L/C Issuers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to the extent such Borrower Materials constitute Information, they shall be treated as set forth in </w:t>
      </w:r>
      <w:r>
        <w:rPr>
          <w:rFonts w:ascii="Arial" w:cs="Arial" w:eastAsia="Arial" w:hAnsi="Arial"/>
          <w:sz w:val="19"/>
          <w:szCs w:val="19"/>
          <w:u w:val="single" w:color="auto"/>
          <w:color w:val="auto"/>
        </w:rPr>
        <w:t>Section 10.07</w:t>
      </w:r>
      <w:r>
        <w:rPr>
          <w:rFonts w:ascii="Arial" w:cs="Arial" w:eastAsia="Arial" w:hAnsi="Arial"/>
          <w:sz w:val="19"/>
          <w:szCs w:val="19"/>
          <w:color w:val="auto"/>
        </w:rPr>
        <w:t>); (y) all Borrower Materials marked “PUBLIC” are permitted to be made available through a portion of the Platform designated “Public Side Information;” and (z) the Administrative Agent, the Bookrunners and the Arrangers shall be entitled to treat any Borrower Materials that are not marked “PUBLIC” as being suitable only for posting on a portion of the Platform not designated “Public Side Information.”</w:t>
      </w:r>
    </w:p>
    <w:p>
      <w:pPr>
        <w:spacing w:after="0" w:line="166"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6.03.</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 Promptly notify the Administrative Agent:</w:t>
      </w:r>
    </w:p>
    <w:p>
      <w:pPr>
        <w:spacing w:after="0" w:line="245" w:lineRule="exact"/>
        <w:rPr>
          <w:sz w:val="20"/>
          <w:szCs w:val="20"/>
          <w:color w:val="auto"/>
        </w:rPr>
      </w:pPr>
    </w:p>
    <w:p>
      <w:pPr>
        <w:ind w:left="1420" w:hanging="821"/>
        <w:spacing w:after="0"/>
        <w:tabs>
          <w:tab w:leader="none" w:pos="142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of the occurrence of any Default;</w:t>
      </w:r>
    </w:p>
    <w:p>
      <w:pPr>
        <w:spacing w:after="0" w:line="244" w:lineRule="exact"/>
        <w:rPr>
          <w:rFonts w:ascii="Arial" w:cs="Arial" w:eastAsia="Arial" w:hAnsi="Arial"/>
          <w:sz w:val="20"/>
          <w:szCs w:val="20"/>
          <w:color w:val="auto"/>
        </w:rPr>
      </w:pPr>
    </w:p>
    <w:p>
      <w:pPr>
        <w:jc w:val="both"/>
        <w:ind w:firstLine="599"/>
        <w:spacing w:after="0" w:line="252" w:lineRule="auto"/>
        <w:tabs>
          <w:tab w:leader="none" w:pos="1432" w:val="left"/>
        </w:tabs>
        <w:numPr>
          <w:ilvl w:val="0"/>
          <w:numId w:val="128"/>
        </w:numPr>
        <w:rPr>
          <w:rFonts w:ascii="Arial" w:cs="Arial" w:eastAsia="Arial" w:hAnsi="Arial"/>
          <w:sz w:val="20"/>
          <w:szCs w:val="20"/>
          <w:color w:val="auto"/>
        </w:rPr>
      </w:pPr>
      <w:r>
        <w:rPr>
          <w:rFonts w:ascii="Arial" w:cs="Arial" w:eastAsia="Arial" w:hAnsi="Arial"/>
          <w:sz w:val="20"/>
          <w:szCs w:val="20"/>
          <w:color w:val="auto"/>
        </w:rPr>
        <w:t>of any matter that has resulted or could reasonably be expected to result in a Material Adverse Effect, including (i) breach or non-performance of, or any default under, a Contractual Obligation of any Loan Party or any Subsidiary thereof; (ii) any dispute, litigation, investigation, proceeding or suspension between any Loan Party or any Subsidiary thereof and any Governmental Authority; or (iii) the commencement of, or any material development in, any litigation or proceeding affecting any Loan Party or any Subsidiary thereof, including pursuant to any applicable Environmental Laws, in each case that has resulted or could reasonably be expected to result in a Material Adverse Effect;</w:t>
      </w:r>
    </w:p>
    <w:p>
      <w:pPr>
        <w:spacing w:after="0" w:line="212" w:lineRule="exact"/>
        <w:rPr>
          <w:rFonts w:ascii="Arial" w:cs="Arial" w:eastAsia="Arial" w:hAnsi="Arial"/>
          <w:sz w:val="20"/>
          <w:szCs w:val="20"/>
          <w:color w:val="auto"/>
        </w:rPr>
      </w:pPr>
    </w:p>
    <w:p>
      <w:pPr>
        <w:ind w:left="1420" w:hanging="821"/>
        <w:spacing w:after="0"/>
        <w:tabs>
          <w:tab w:leader="none" w:pos="142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of the occurrence of any ERISA Event;</w:t>
      </w:r>
    </w:p>
    <w:p>
      <w:pPr>
        <w:spacing w:after="0" w:line="244" w:lineRule="exact"/>
        <w:rPr>
          <w:rFonts w:ascii="Arial" w:cs="Arial" w:eastAsia="Arial" w:hAnsi="Arial"/>
          <w:sz w:val="20"/>
          <w:szCs w:val="20"/>
          <w:color w:val="auto"/>
        </w:rPr>
      </w:pPr>
    </w:p>
    <w:p>
      <w:pPr>
        <w:ind w:left="1440" w:hanging="841"/>
        <w:spacing w:after="0"/>
        <w:tabs>
          <w:tab w:leader="none" w:pos="14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of any material change in accounting policies or financial reporting practices by any Loan Party or any Subsidiary thereof;</w:t>
      </w:r>
    </w:p>
    <w:p>
      <w:pPr>
        <w:spacing w:after="0" w:line="4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or</w:t>
      </w:r>
    </w:p>
    <w:p>
      <w:pPr>
        <w:spacing w:after="0" w:line="228" w:lineRule="exact"/>
        <w:rPr>
          <w:rFonts w:ascii="Arial" w:cs="Arial" w:eastAsia="Arial" w:hAnsi="Arial"/>
          <w:sz w:val="18"/>
          <w:szCs w:val="18"/>
          <w:color w:val="auto"/>
        </w:rPr>
      </w:pPr>
    </w:p>
    <w:p>
      <w:pPr>
        <w:ind w:firstLine="599"/>
        <w:spacing w:after="0" w:line="272" w:lineRule="auto"/>
        <w:tabs>
          <w:tab w:leader="none" w:pos="1421" w:val="left"/>
        </w:tabs>
        <w:numPr>
          <w:ilvl w:val="0"/>
          <w:numId w:val="128"/>
        </w:numPr>
        <w:rPr>
          <w:rFonts w:ascii="Arial" w:cs="Arial" w:eastAsia="Arial" w:hAnsi="Arial"/>
          <w:sz w:val="20"/>
          <w:szCs w:val="20"/>
          <w:color w:val="auto"/>
        </w:rPr>
      </w:pPr>
      <w:r>
        <w:rPr>
          <w:rFonts w:ascii="Arial" w:cs="Arial" w:eastAsia="Arial" w:hAnsi="Arial"/>
          <w:sz w:val="20"/>
          <w:szCs w:val="20"/>
          <w:color w:val="auto"/>
        </w:rPr>
        <w:t xml:space="preserve">of any announcement by Moody’s, Fitch or S&amp;P of any change or possible change in a Debt Rating; </w:t>
      </w:r>
      <w:r>
        <w:rPr>
          <w:rFonts w:ascii="Arial" w:cs="Arial" w:eastAsia="Arial" w:hAnsi="Arial"/>
          <w:sz w:val="20"/>
          <w:szCs w:val="20"/>
          <w:u w:val="single" w:color="auto"/>
          <w:color w:val="auto"/>
        </w:rPr>
        <w:t>provided</w:t>
      </w:r>
      <w:r>
        <w:rPr>
          <w:rFonts w:ascii="Arial" w:cs="Arial" w:eastAsia="Arial" w:hAnsi="Arial"/>
          <w:sz w:val="20"/>
          <w:szCs w:val="20"/>
          <w:color w:val="auto"/>
        </w:rPr>
        <w:t>, that the provisions of this clause (e) shall not apply at any time prior to the Investment Grade Pricing Effective Date.</w:t>
      </w:r>
    </w:p>
    <w:p>
      <w:pPr>
        <w:spacing w:after="0" w:line="191"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 xml:space="preserve">Each notice pursuant to </w:t>
      </w:r>
      <w:r>
        <w:rPr>
          <w:rFonts w:ascii="Arial" w:cs="Arial" w:eastAsia="Arial" w:hAnsi="Arial"/>
          <w:sz w:val="20"/>
          <w:szCs w:val="20"/>
          <w:u w:val="single" w:color="auto"/>
          <w:color w:val="auto"/>
        </w:rPr>
        <w:t>Section 6.03</w:t>
      </w:r>
      <w:r>
        <w:rPr>
          <w:rFonts w:ascii="Arial" w:cs="Arial" w:eastAsia="Arial" w:hAnsi="Arial"/>
          <w:sz w:val="20"/>
          <w:szCs w:val="20"/>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20"/>
          <w:szCs w:val="20"/>
          <w:u w:val="single" w:color="auto"/>
          <w:color w:val="auto"/>
        </w:rPr>
        <w:t>Section 6.03(a)</w:t>
      </w:r>
      <w:r>
        <w:rPr>
          <w:rFonts w:ascii="Arial" w:cs="Arial" w:eastAsia="Arial" w:hAnsi="Arial"/>
          <w:sz w:val="20"/>
          <w:szCs w:val="20"/>
          <w:color w:val="auto"/>
        </w:rPr>
        <w:t xml:space="preserve"> shall describe</w:t>
      </w:r>
    </w:p>
    <w:p>
      <w:pPr>
        <w:spacing w:after="0" w:line="200" w:lineRule="exact"/>
        <w:rPr>
          <w:sz w:val="20"/>
          <w:szCs w:val="20"/>
          <w:color w:val="auto"/>
        </w:rPr>
      </w:pPr>
    </w:p>
    <w:p>
      <w:pPr>
        <w:spacing w:after="0" w:line="20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89</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01" w:name="page102"/>
    <w:bookmarkEnd w:id="101"/>
    <w:p>
      <w:pPr>
        <w:spacing w:after="0"/>
        <w:rPr>
          <w:sz w:val="20"/>
          <w:szCs w:val="20"/>
          <w:color w:val="auto"/>
        </w:rPr>
      </w:pPr>
      <w:r>
        <w:rPr>
          <w:rFonts w:ascii="Arial" w:cs="Arial" w:eastAsia="Arial" w:hAnsi="Arial"/>
          <w:sz w:val="20"/>
          <w:szCs w:val="20"/>
          <w:color w:val="auto"/>
        </w:rPr>
        <w:t>with particularity any and all provisions of this Agreement and any other Loan Document that have been breached.</w:t>
      </w:r>
    </w:p>
    <w:p>
      <w:pPr>
        <w:spacing w:after="0" w:line="207"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9"/>
          <w:szCs w:val="19"/>
          <w:color w:val="auto"/>
        </w:rPr>
        <w:t xml:space="preserve">6.04. </w:t>
      </w:r>
      <w:r>
        <w:rPr>
          <w:rFonts w:ascii="Arial" w:cs="Arial" w:eastAsia="Arial" w:hAnsi="Arial"/>
          <w:sz w:val="19"/>
          <w:szCs w:val="19"/>
          <w:u w:val="single" w:color="auto"/>
          <w:color w:val="auto"/>
        </w:rPr>
        <w:t>Payment of Obligations</w:t>
      </w:r>
      <w:r>
        <w:rPr>
          <w:rFonts w:ascii="Arial" w:cs="Arial" w:eastAsia="Arial" w:hAnsi="Arial"/>
          <w:sz w:val="19"/>
          <w:szCs w:val="19"/>
          <w:color w:val="auto"/>
        </w:rPr>
        <w:t xml:space="preserve">. (a) Pay and discharge as the same shall become due and payable (i) all federal, state and other material Tax liabilities, assessments and governmental charges or levies upon it or its properties or assets, unless the same are being contested in good faith by appropriate proceedings diligently conducted (which proceedings have the effect of preventing the forfeiture or sale of the property or assets subject to any such Lien) and adequate reserves in accordance with GAAP are being maintained by the REIT, the Borrower or such Subsidiary; (ii) all lawful claims which, if unpaid, would by law become a Lien upon its property (other than a Lien permitted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7.01</w:t>
      </w:r>
      <w:r>
        <w:rPr>
          <w:rFonts w:ascii="Arial" w:cs="Arial" w:eastAsia="Arial" w:hAnsi="Arial"/>
          <w:sz w:val="19"/>
          <w:szCs w:val="19"/>
          <w:color w:val="auto"/>
        </w:rPr>
        <w:t>) unless the same are being contested in good faith by appropriate proceedings diligently conducted and adequate reserves in accordance with GAAP are maintained; (iii) all Indebtedness, as and when due and payable, but subject to any subordination provisions contained in any instrument or agreement evidencing such Indebtedness, but only to the extent the failure to pay such Indebtedness would constitute an Event of Default and (iv) all of its other obligations and liabilities, except as could not reasonably be expected to have a Material Adverse Effect; and (b) timely file all material tax returns required to be filed.</w:t>
      </w:r>
    </w:p>
    <w:p>
      <w:pPr>
        <w:spacing w:after="0" w:line="198" w:lineRule="exact"/>
        <w:rPr>
          <w:sz w:val="20"/>
          <w:szCs w:val="20"/>
          <w:color w:val="auto"/>
        </w:rPr>
      </w:pPr>
    </w:p>
    <w:p>
      <w:pPr>
        <w:jc w:val="both"/>
        <w:ind w:firstLine="599"/>
        <w:spacing w:after="0" w:line="288"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Preservation of Existence, Etc</w:t>
      </w:r>
      <w:r>
        <w:rPr>
          <w:rFonts w:ascii="Arial" w:cs="Arial" w:eastAsia="Arial" w:hAnsi="Arial"/>
          <w:sz w:val="18"/>
          <w:szCs w:val="18"/>
          <w:color w:val="auto"/>
        </w:rPr>
        <w:t xml:space="preserve">. (a) Preserve, renew and maintain in full force and effect its legal existence and good standing under the Laws of the jurisdiction of its organization except in a transaction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7.05</w:t>
      </w:r>
      <w:r>
        <w:rPr>
          <w:rFonts w:ascii="Arial" w:cs="Arial" w:eastAsia="Arial" w:hAnsi="Arial"/>
          <w:sz w:val="18"/>
          <w:szCs w:val="18"/>
          <w:color w:val="auto"/>
        </w:rPr>
        <w: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w:t>
      </w:r>
    </w:p>
    <w:p>
      <w:pPr>
        <w:spacing w:after="0" w:line="182"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 xml:space="preserve">6.06. </w:t>
      </w:r>
      <w:r>
        <w:rPr>
          <w:rFonts w:ascii="Arial" w:cs="Arial" w:eastAsia="Arial" w:hAnsi="Arial"/>
          <w:sz w:val="20"/>
          <w:szCs w:val="20"/>
          <w:u w:val="single" w:color="auto"/>
          <w:color w:val="auto"/>
        </w:rPr>
        <w:t>Maintenance of Properties</w:t>
      </w:r>
      <w:r>
        <w:rPr>
          <w:rFonts w:ascii="Arial" w:cs="Arial" w:eastAsia="Arial" w:hAnsi="Arial"/>
          <w:sz w:val="20"/>
          <w:szCs w:val="20"/>
          <w:color w:val="auto"/>
        </w:rPr>
        <w:t>. (a) Maintain, preserve and protect all of its properties and equipment necessary in the operation of its business in good working order and condition, ordinary wear and tear excepted, except where the failure to do so could not reasonably be expected to have a Material Adverse Effect; (b) make all necessary repairs thereto and renewals and replacements thereof except where the failure to do so could not reasonably be expected to have a Material Adverse Effect; and (c) use the standard of care typical in the industry in the operation and maintenance of its facilities.</w:t>
      </w:r>
    </w:p>
    <w:p>
      <w:pPr>
        <w:spacing w:after="0" w:line="212" w:lineRule="exact"/>
        <w:rPr>
          <w:sz w:val="20"/>
          <w:szCs w:val="20"/>
          <w:color w:val="auto"/>
        </w:rPr>
      </w:pPr>
    </w:p>
    <w:p>
      <w:pPr>
        <w:jc w:val="both"/>
        <w:ind w:firstLine="599"/>
        <w:spacing w:after="0" w:line="252" w:lineRule="auto"/>
        <w:rPr>
          <w:sz w:val="20"/>
          <w:szCs w:val="20"/>
          <w:color w:val="auto"/>
        </w:rPr>
      </w:pPr>
      <w:r>
        <w:rPr>
          <w:rFonts w:ascii="Arial" w:cs="Arial" w:eastAsia="Arial" w:hAnsi="Arial"/>
          <w:sz w:val="20"/>
          <w:szCs w:val="20"/>
          <w:color w:val="auto"/>
        </w:rPr>
        <w:t xml:space="preserve">6.07. </w:t>
      </w:r>
      <w:r>
        <w:rPr>
          <w:rFonts w:ascii="Arial" w:cs="Arial" w:eastAsia="Arial" w:hAnsi="Arial"/>
          <w:sz w:val="20"/>
          <w:szCs w:val="20"/>
          <w:u w:val="single" w:color="auto"/>
          <w:color w:val="auto"/>
        </w:rPr>
        <w:t>Maintenance of Insurance</w:t>
      </w:r>
      <w:r>
        <w:rPr>
          <w:rFonts w:ascii="Arial" w:cs="Arial" w:eastAsia="Arial" w:hAnsi="Arial"/>
          <w:sz w:val="20"/>
          <w:szCs w:val="20"/>
          <w:color w:val="auto"/>
        </w:rPr>
        <w:t>. Maintain with financially sound and reputable insurance companies that are not Affiliates of the REIT,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and, in the case of liability insurance, shall (i) provide for not less than 30 days’ (or 10 days in the case of termination for failure to pay premiums) prior notice to the Administrative Agent of termination, lapse or cancellation of such insurance and (ii) name the Administrative Agent as additional insured on behalf of the Lenders.</w:t>
      </w:r>
    </w:p>
    <w:p>
      <w:pPr>
        <w:spacing w:after="0" w:line="212"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 xml:space="preserve">6.08.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 Comply in all material respects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205"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 xml:space="preserve">6.09. </w:t>
      </w:r>
      <w:r>
        <w:rPr>
          <w:rFonts w:ascii="Arial" w:cs="Arial" w:eastAsia="Arial" w:hAnsi="Arial"/>
          <w:sz w:val="20"/>
          <w:szCs w:val="20"/>
          <w:u w:val="single" w:color="auto"/>
          <w:color w:val="auto"/>
        </w:rPr>
        <w:t>Books and Records</w:t>
      </w:r>
      <w:r>
        <w:rPr>
          <w:rFonts w:ascii="Arial" w:cs="Arial" w:eastAsia="Arial" w:hAnsi="Arial"/>
          <w:sz w:val="20"/>
          <w:szCs w:val="20"/>
          <w:color w:val="auto"/>
        </w:rPr>
        <w:t>. (a) Maintain proper books of record and account, in which full, true and correct entries in conformity with GAAP consistently applied shall be made of all financial transactions and</w:t>
      </w:r>
    </w:p>
    <w:p>
      <w:pPr>
        <w:spacing w:after="0" w:line="19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90</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02" w:name="page103"/>
    <w:bookmarkEnd w:id="102"/>
    <w:p>
      <w:pPr>
        <w:jc w:val="both"/>
        <w:spacing w:after="0" w:line="260" w:lineRule="auto"/>
        <w:rPr>
          <w:sz w:val="20"/>
          <w:szCs w:val="20"/>
          <w:color w:val="auto"/>
        </w:rPr>
      </w:pPr>
      <w:r>
        <w:rPr>
          <w:rFonts w:ascii="Arial" w:cs="Arial" w:eastAsia="Arial" w:hAnsi="Arial"/>
          <w:sz w:val="20"/>
          <w:szCs w:val="20"/>
          <w:color w:val="auto"/>
        </w:rPr>
        <w:t>matters involving the assets and business of the REIT, the Borrower or such Subsidiary, as the case may be; and (b) maintain such books of record and account in material conformity with all applicable requirements of any Governmental Authority having regulatory jurisdiction over the REIT, the Borrower or such Subsidiary, as the case may be.</w:t>
      </w:r>
    </w:p>
    <w:p>
      <w:pPr>
        <w:spacing w:after="0" w:line="202" w:lineRule="exact"/>
        <w:rPr>
          <w:sz w:val="20"/>
          <w:szCs w:val="20"/>
          <w:color w:val="auto"/>
        </w:rPr>
      </w:pPr>
    </w:p>
    <w:p>
      <w:pPr>
        <w:jc w:val="both"/>
        <w:ind w:firstLine="599"/>
        <w:spacing w:after="0" w:line="281"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Inspection Rights</w:t>
      </w:r>
      <w:r>
        <w:rPr>
          <w:rFonts w:ascii="Arial" w:cs="Arial" w:eastAsia="Arial" w:hAnsi="Arial"/>
          <w:sz w:val="18"/>
          <w:szCs w:val="18"/>
          <w:color w:val="auto"/>
        </w:rPr>
        <w:t>. 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permitted to have its representatives present during any such discussions with its independent public accountants), all at the expense of the Borrower and at such reasonable times during normal business hours and as often as may be reasonably desired, upon reasonable advance notice to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no Event of Default has occurred and is continuing, (x) no more than one (1) such visit and inspection by the Administrative Agent during any year shall be at the expense of the Borrower and (y) any such visit and inspection by a Lender shall be at the sole expense of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when an Event of Default exists the Administrative Agent or any Lender (or any of their respective representatives or independent contractors) may do any of the foregoing at the expense of the Borrower at any time during normal business hours and without advance notice.</w:t>
      </w:r>
    </w:p>
    <w:p>
      <w:pPr>
        <w:spacing w:after="0" w:line="187"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 xml:space="preserve">6.11. </w:t>
      </w:r>
      <w:r>
        <w:rPr>
          <w:rFonts w:ascii="Arial" w:cs="Arial" w:eastAsia="Arial" w:hAnsi="Arial"/>
          <w:sz w:val="20"/>
          <w:szCs w:val="20"/>
          <w:u w:val="single" w:color="auto"/>
          <w:color w:val="auto"/>
        </w:rPr>
        <w:t>Use of Proceeds</w:t>
      </w:r>
      <w:r>
        <w:rPr>
          <w:rFonts w:ascii="Arial" w:cs="Arial" w:eastAsia="Arial" w:hAnsi="Arial"/>
          <w:sz w:val="20"/>
          <w:szCs w:val="20"/>
          <w:color w:val="auto"/>
        </w:rPr>
        <w:t>. Use the proceeds of the Credit Extensions solely for general corporate purposes, including refinancing existing Indebtedness, working capital, the payment of capital expenses, acquisitions and development and redevelopment of Portfolio Properties, in each case not in contravention of any Law or of any Loan Document.</w:t>
      </w:r>
    </w:p>
    <w:p>
      <w:pPr>
        <w:spacing w:after="0" w:line="202" w:lineRule="exact"/>
        <w:rPr>
          <w:sz w:val="20"/>
          <w:szCs w:val="20"/>
          <w:color w:val="auto"/>
        </w:rPr>
      </w:pPr>
    </w:p>
    <w:p>
      <w:pPr>
        <w:jc w:val="both"/>
        <w:ind w:firstLine="599"/>
        <w:spacing w:after="0" w:line="278"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Additional Guarantors</w:t>
      </w:r>
      <w:r>
        <w:rPr>
          <w:rFonts w:ascii="Arial" w:cs="Arial" w:eastAsia="Arial" w:hAnsi="Arial"/>
          <w:sz w:val="18"/>
          <w:szCs w:val="18"/>
          <w:color w:val="auto"/>
        </w:rPr>
        <w:t>. With respect to (i) any Person that is or becomes a Subsidiary (other than an Excluded Subsidiary) of the Borrower after the Restatement Effective Date, and/or (ii) any Subsidiary of the Borrower that ceases to be an Excluded Subsidiary after the Restatement Effective Date, on or prior to such time that such Person becomes a Subsidiary (other than an Excluded Subsidiary) or ceases to be an Excluded Subsidiary, as applicable, unless the Exemption Condition exists at such time with respect to such Person, (w) cause such Person to execute a joinder agreement to the Guaranty Agreement in form and substance reasonably satisfactory to the Administrative Agent,</w:t>
      </w:r>
    </w:p>
    <w:p>
      <w:pPr>
        <w:spacing w:after="0" w:line="4" w:lineRule="exact"/>
        <w:rPr>
          <w:sz w:val="20"/>
          <w:szCs w:val="20"/>
          <w:color w:val="auto"/>
        </w:rPr>
      </w:pPr>
    </w:p>
    <w:p>
      <w:pPr>
        <w:jc w:val="both"/>
        <w:spacing w:after="0" w:line="248" w:lineRule="auto"/>
        <w:tabs>
          <w:tab w:leader="none" w:pos="295" w:val="left"/>
        </w:tabs>
        <w:numPr>
          <w:ilvl w:val="0"/>
          <w:numId w:val="129"/>
        </w:numPr>
        <w:rPr>
          <w:rFonts w:ascii="Arial" w:cs="Arial" w:eastAsia="Arial" w:hAnsi="Arial"/>
          <w:sz w:val="20"/>
          <w:szCs w:val="20"/>
          <w:color w:val="auto"/>
        </w:rPr>
      </w:pPr>
      <w:r>
        <w:rPr>
          <w:rFonts w:ascii="Arial" w:cs="Arial" w:eastAsia="Arial" w:hAnsi="Arial"/>
          <w:sz w:val="20"/>
          <w:szCs w:val="20"/>
          <w:color w:val="auto"/>
        </w:rPr>
        <w:t xml:space="preserve">deliver to the Administrative Agent (A) the items referenced in </w:t>
      </w:r>
      <w:r>
        <w:rPr>
          <w:rFonts w:ascii="Arial" w:cs="Arial" w:eastAsia="Arial" w:hAnsi="Arial"/>
          <w:sz w:val="20"/>
          <w:szCs w:val="20"/>
          <w:u w:val="single" w:color="auto"/>
          <w:color w:val="auto"/>
        </w:rPr>
        <w:t>Section 4.01(a)(iii)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(iv)</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(viii)</w:t>
      </w:r>
      <w:r>
        <w:rPr>
          <w:rFonts w:ascii="Arial" w:cs="Arial" w:eastAsia="Arial" w:hAnsi="Arial"/>
          <w:sz w:val="20"/>
          <w:szCs w:val="20"/>
          <w:color w:val="auto"/>
        </w:rPr>
        <w:t xml:space="preserve"> with respect to such Person and (B) if reasonably requested by the Administrative Agent, a favorable opinion of counsel (which counsel shall be reasonably acceptable to the Administrative Agent), addressed to the Administrative Agent and each Lender, as to such matters concerning such Person and the Loan Documents to which such Person is a party as the Administrative Agent may reasonably request, (y) provide the Administrative Agent with the U.S. taxpayer identification for such Person (or the equivalent thereof, in the event such Person is not organized under the laws of the United States, any State thereof or the District of Columbia) and (z) provide the Administrative Agent and each Lender with all documentation and other information that the Administrative Agent or such Lender requests in order to comply with its obligations under applicable “know your customer” and anti-money laundering rules and regulations, including the Act, and the results of any such “know your customer” or similar investigation conducted by Administrative Agent or any Lender shall be satisfactory to Administrative Agent or such Lender in all respects.</w:t>
      </w:r>
    </w:p>
    <w:p>
      <w:pPr>
        <w:spacing w:after="0" w:line="218" w:lineRule="exact"/>
        <w:rPr>
          <w:sz w:val="20"/>
          <w:szCs w:val="20"/>
          <w:color w:val="auto"/>
        </w:rPr>
      </w:pPr>
    </w:p>
    <w:p>
      <w:pPr>
        <w:jc w:val="both"/>
        <w:ind w:firstLine="599"/>
        <w:spacing w:after="0" w:line="273" w:lineRule="auto"/>
        <w:rPr>
          <w:sz w:val="20"/>
          <w:szCs w:val="20"/>
          <w:color w:val="auto"/>
        </w:rPr>
      </w:pPr>
      <w:r>
        <w:rPr>
          <w:rFonts w:ascii="Arial" w:cs="Arial" w:eastAsia="Arial" w:hAnsi="Arial"/>
          <w:sz w:val="19"/>
          <w:szCs w:val="19"/>
          <w:color w:val="auto"/>
        </w:rPr>
        <w:t xml:space="preserve">6.13. </w:t>
      </w:r>
      <w:r>
        <w:rPr>
          <w:rFonts w:ascii="Arial" w:cs="Arial" w:eastAsia="Arial" w:hAnsi="Arial"/>
          <w:sz w:val="19"/>
          <w:szCs w:val="19"/>
          <w:u w:val="single" w:color="auto"/>
          <w:color w:val="auto"/>
        </w:rPr>
        <w:t>Compliance with Environmental Laws</w:t>
      </w:r>
      <w:r>
        <w:rPr>
          <w:rFonts w:ascii="Arial" w:cs="Arial" w:eastAsia="Arial" w:hAnsi="Arial"/>
          <w:sz w:val="19"/>
          <w:szCs w:val="19"/>
          <w:color w:val="auto"/>
        </w:rPr>
        <w:t>. Comply, and take commercially reasonable actions to cause all lessees and other Persons operating or occupying its properties to comply, with all applicable Environmental Laws and Environmental Permits, except to the extent the failure to comply could not reasonably be expected to have a Material Adverse Effect; obtain and renew all Environmental Permits necessary for the operations at each of its properties, except as could not reasonably be expected to have a</w:t>
      </w:r>
    </w:p>
    <w:p>
      <w:pPr>
        <w:spacing w:after="0" w:line="19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91</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03" w:name="page104"/>
    <w:bookmarkEnd w:id="103"/>
    <w:p>
      <w:pPr>
        <w:jc w:val="both"/>
        <w:spacing w:after="0" w:line="286" w:lineRule="auto"/>
        <w:rPr>
          <w:sz w:val="20"/>
          <w:szCs w:val="20"/>
          <w:color w:val="auto"/>
        </w:rPr>
      </w:pPr>
      <w:r>
        <w:rPr>
          <w:rFonts w:ascii="Arial" w:cs="Arial" w:eastAsia="Arial" w:hAnsi="Arial"/>
          <w:sz w:val="18"/>
          <w:szCs w:val="18"/>
          <w:color w:val="auto"/>
        </w:rPr>
        <w:t xml:space="preserve">Material Adverse Effect, at each of its other properties; and conduct any investigation, study, sampling and testing, and undertake any cleanup, response or other corrective action required under and in material compliance with Environmental Law to remediate all Hazardous Materials at, on, under or emanating from any of its properties, except as could not reasonably be expected to have a Material Adverse Effect, at each of its other properties;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the REIT nor any of its Subsidiaries shall be required to undertake any such cleanup, removal, remedial or other action to the extent that its obligation to do so is being contested in good faith and by proper proceedings and appropriate reserves are being maintained with respect to such circumstances in accordance with GAAP.</w:t>
      </w:r>
    </w:p>
    <w:p>
      <w:pPr>
        <w:spacing w:after="0" w:line="181" w:lineRule="exact"/>
        <w:rPr>
          <w:sz w:val="20"/>
          <w:szCs w:val="20"/>
          <w:color w:val="auto"/>
        </w:rPr>
      </w:pPr>
    </w:p>
    <w:p>
      <w:pPr>
        <w:jc w:val="both"/>
        <w:ind w:firstLine="599"/>
        <w:spacing w:after="0" w:line="282"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Promptly upon request by the Administrative Agent, or any Lender through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and (ii) assure, convey, grant, assign, transfer, preserve, protect and confirm more effectively unto the Administrative Agent and the Lenders the rights granted or now or hereafter intended to be granted to them under any Loan Document or under any other instrument executed in connection with any Loan Document to which any Loan Party or any of its Subsidiaries is or is to be a party, and cause each of its Subsidiaries to do so.</w:t>
      </w:r>
    </w:p>
    <w:p>
      <w:pPr>
        <w:spacing w:after="0" w:line="190"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6.15.</w:t>
      </w:r>
      <w:r>
        <w:rPr>
          <w:sz w:val="20"/>
          <w:szCs w:val="20"/>
          <w:color w:val="auto"/>
        </w:rPr>
        <w:tab/>
      </w:r>
      <w:r>
        <w:rPr>
          <w:rFonts w:ascii="Arial" w:cs="Arial" w:eastAsia="Arial" w:hAnsi="Arial"/>
          <w:sz w:val="18"/>
          <w:szCs w:val="18"/>
          <w:u w:val="single" w:color="auto"/>
          <w:color w:val="auto"/>
        </w:rPr>
        <w:t>New York Stock Exchange Listing</w:t>
      </w:r>
      <w:r>
        <w:rPr>
          <w:rFonts w:ascii="Arial" w:cs="Arial" w:eastAsia="Arial" w:hAnsi="Arial"/>
          <w:sz w:val="18"/>
          <w:szCs w:val="18"/>
          <w:color w:val="auto"/>
        </w:rPr>
        <w:t>. The REIT will at all times be listed on the New York Stock Exchange.</w:t>
      </w:r>
    </w:p>
    <w:p>
      <w:pPr>
        <w:spacing w:after="0" w:line="245" w:lineRule="exact"/>
        <w:rPr>
          <w:sz w:val="20"/>
          <w:szCs w:val="20"/>
          <w:color w:val="auto"/>
        </w:rPr>
      </w:pPr>
    </w:p>
    <w:p>
      <w:pPr>
        <w:jc w:val="both"/>
        <w:ind w:firstLine="599"/>
        <w:spacing w:after="0" w:line="286"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Material Contracts</w:t>
      </w:r>
      <w:r>
        <w:rPr>
          <w:rFonts w:ascii="Arial" w:cs="Arial" w:eastAsia="Arial" w:hAnsi="Arial"/>
          <w:sz w:val="18"/>
          <w:szCs w:val="18"/>
          <w:color w:val="auto"/>
        </w:rPr>
        <w:t>. Perform and observe all the terms and provisions of each Material Contract to be performed or observed by it, maintain each such Material Contract in full force and effect, enforce each such Material Contract in accordance with its terms, take all such action to such end as may be from time to time requested by the Administrative Agent and, upon request of the Administrative Agent, make to each other party to each such Material Contract such demands and requests for information and reports or for action as any Loan Party or any of its Subsidiaries is entitled to make under such Material Contract, and cause each of its Subsidiaries to do so, except, in any case, where the failure to do so, either individually or in the aggregate, could not reasonably be expected to have a Material Adverse Effect.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NEGATIVE COVENANTS</w:t>
      </w:r>
    </w:p>
    <w:p>
      <w:pPr>
        <w:spacing w:after="0" w:line="229"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So long as any Lender shall have any Commitment hereunder, any Loan or other Obligation hereunder shall remain unpaid or unsatisfied, or any Letter of Credit shall remain outstanding, the REIT and the Borrower shall not, nor shall they permit any of their respective Subsidiaries to, directly or indirectly:</w:t>
      </w:r>
    </w:p>
    <w:p>
      <w:pPr>
        <w:spacing w:after="0" w:line="164"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 xml:space="preserve">7.01. </w:t>
      </w:r>
      <w:r>
        <w:rPr>
          <w:rFonts w:ascii="Arial" w:cs="Arial" w:eastAsia="Arial" w:hAnsi="Arial"/>
          <w:sz w:val="20"/>
          <w:szCs w:val="20"/>
          <w:u w:val="single" w:color="auto"/>
          <w:color w:val="auto"/>
        </w:rPr>
        <w:t>Liens</w:t>
      </w:r>
      <w:r>
        <w:rPr>
          <w:rFonts w:ascii="Arial" w:cs="Arial" w:eastAsia="Arial" w:hAnsi="Arial"/>
          <w:sz w:val="20"/>
          <w:szCs w:val="20"/>
          <w:color w:val="auto"/>
        </w:rPr>
        <w:t>. Create, incur, assume or suffer to exist any Lien upon any of its property, assets or revenues, whether now owned or hereafter acquired, other than the following:</w:t>
      </w:r>
    </w:p>
    <w:p>
      <w:pPr>
        <w:spacing w:after="0" w:line="191" w:lineRule="exact"/>
        <w:rPr>
          <w:sz w:val="20"/>
          <w:szCs w:val="20"/>
          <w:color w:val="auto"/>
        </w:rPr>
      </w:pPr>
    </w:p>
    <w:p>
      <w:pPr>
        <w:ind w:left="1420" w:hanging="821"/>
        <w:spacing w:after="0"/>
        <w:tabs>
          <w:tab w:leader="none" w:pos="142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Liens pursuant to any Loan Document;</w:t>
      </w:r>
    </w:p>
    <w:p>
      <w:pPr>
        <w:spacing w:after="0" w:line="244" w:lineRule="exact"/>
        <w:rPr>
          <w:rFonts w:ascii="Arial" w:cs="Arial" w:eastAsia="Arial" w:hAnsi="Arial"/>
          <w:sz w:val="20"/>
          <w:szCs w:val="20"/>
          <w:color w:val="auto"/>
        </w:rPr>
      </w:pPr>
    </w:p>
    <w:p>
      <w:pPr>
        <w:jc w:val="both"/>
        <w:ind w:firstLine="599"/>
        <w:spacing w:after="0" w:line="280" w:lineRule="auto"/>
        <w:tabs>
          <w:tab w:leader="none" w:pos="1432" w:val="left"/>
        </w:tabs>
        <w:numPr>
          <w:ilvl w:val="0"/>
          <w:numId w:val="130"/>
        </w:numPr>
        <w:rPr>
          <w:rFonts w:ascii="Arial" w:cs="Arial" w:eastAsia="Arial" w:hAnsi="Arial"/>
          <w:sz w:val="19"/>
          <w:szCs w:val="19"/>
          <w:color w:val="auto"/>
        </w:rPr>
      </w:pPr>
      <w:r>
        <w:rPr>
          <w:rFonts w:ascii="Arial" w:cs="Arial" w:eastAsia="Arial" w:hAnsi="Arial"/>
          <w:sz w:val="19"/>
          <w:szCs w:val="19"/>
          <w:color w:val="auto"/>
        </w:rPr>
        <w:t>Liens for taxes not yet due or Liens for taxes which are being contested in good faith and by appropriate proceedings diligently conducted (which proceedings have the effect of preventing the forfeiture or sale of the property or assets subject to any such Lien), if adequate reserves with respect thereto are maintained on the books of the applicable Person in accordance with GAAP;</w:t>
      </w:r>
    </w:p>
    <w:p>
      <w:pPr>
        <w:spacing w:after="0" w:line="18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92</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04" w:name="page105"/>
    <w:bookmarkEnd w:id="104"/>
    <w:p>
      <w:pPr>
        <w:jc w:val="both"/>
        <w:ind w:firstLine="599"/>
        <w:spacing w:after="0" w:line="293" w:lineRule="auto"/>
        <w:tabs>
          <w:tab w:leader="none" w:pos="142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or other like Liens arising in the ordinary course of business which are not overdue for a period of more than 30 days or which are being contested in good faith and by appropriate proceedings diligently conducted (which proceedings have the effect of preventing the forfeiture or sale of the property or assets subject to any such Lien), if adequate reserves with respect thereto are maintained on the books of the applicable Person in accordance with GAAP;</w:t>
      </w:r>
    </w:p>
    <w:p>
      <w:pPr>
        <w:spacing w:after="0" w:line="175" w:lineRule="exact"/>
        <w:rPr>
          <w:rFonts w:ascii="Arial" w:cs="Arial" w:eastAsia="Arial" w:hAnsi="Arial"/>
          <w:sz w:val="18"/>
          <w:szCs w:val="18"/>
          <w:color w:val="auto"/>
        </w:rPr>
      </w:pPr>
    </w:p>
    <w:p>
      <w:pPr>
        <w:ind w:firstLine="599"/>
        <w:spacing w:after="0" w:line="272" w:lineRule="auto"/>
        <w:tabs>
          <w:tab w:leader="none" w:pos="1432" w:val="left"/>
        </w:tabs>
        <w:numPr>
          <w:ilvl w:val="0"/>
          <w:numId w:val="131"/>
        </w:numPr>
        <w:rPr>
          <w:rFonts w:ascii="Arial" w:cs="Arial" w:eastAsia="Arial" w:hAnsi="Arial"/>
          <w:sz w:val="20"/>
          <w:szCs w:val="20"/>
          <w:color w:val="auto"/>
        </w:rPr>
      </w:pPr>
      <w:r>
        <w:rPr>
          <w:rFonts w:ascii="Arial" w:cs="Arial" w:eastAsia="Arial" w:hAnsi="Arial"/>
          <w:sz w:val="20"/>
          <w:szCs w:val="20"/>
          <w:color w:val="auto"/>
        </w:rPr>
        <w:t>pledges or deposits in the ordinary course of business in connection with workers’ compensation, unemployment insurance and other social security legislation, other than any Lien imposed by ERISA;</w:t>
      </w:r>
    </w:p>
    <w:p>
      <w:pPr>
        <w:spacing w:after="0" w:line="190" w:lineRule="exact"/>
        <w:rPr>
          <w:rFonts w:ascii="Arial" w:cs="Arial" w:eastAsia="Arial" w:hAnsi="Arial"/>
          <w:sz w:val="20"/>
          <w:szCs w:val="20"/>
          <w:color w:val="auto"/>
        </w:rPr>
      </w:pPr>
    </w:p>
    <w:p>
      <w:pPr>
        <w:ind w:firstLine="599"/>
        <w:spacing w:after="0" w:line="329" w:lineRule="auto"/>
        <w:tabs>
          <w:tab w:leader="none" w:pos="142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144" w:lineRule="exact"/>
        <w:rPr>
          <w:rFonts w:ascii="Arial" w:cs="Arial" w:eastAsia="Arial" w:hAnsi="Arial"/>
          <w:sz w:val="18"/>
          <w:szCs w:val="18"/>
          <w:color w:val="auto"/>
        </w:rPr>
      </w:pPr>
    </w:p>
    <w:p>
      <w:pPr>
        <w:jc w:val="both"/>
        <w:ind w:firstLine="599"/>
        <w:spacing w:after="0" w:line="256" w:lineRule="auto"/>
        <w:tabs>
          <w:tab w:leader="none" w:pos="1399" w:val="left"/>
        </w:tabs>
        <w:numPr>
          <w:ilvl w:val="0"/>
          <w:numId w:val="131"/>
        </w:numPr>
        <w:rPr>
          <w:rFonts w:ascii="Arial" w:cs="Arial" w:eastAsia="Arial" w:hAnsi="Arial"/>
          <w:sz w:val="20"/>
          <w:szCs w:val="20"/>
          <w:color w:val="auto"/>
        </w:rPr>
      </w:pPr>
      <w:r>
        <w:rPr>
          <w:rFonts w:ascii="Arial" w:cs="Arial" w:eastAsia="Arial" w:hAnsi="Arial"/>
          <w:sz w:val="20"/>
          <w:szCs w:val="20"/>
          <w:color w:val="auto"/>
        </w:rPr>
        <w:t>easements, rights-of-way, restrictions, restrictive covenants, encroachments, protrusions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 and any replacement, extension or renewal of any such Lien;</w:t>
      </w:r>
    </w:p>
    <w:p>
      <w:pPr>
        <w:spacing w:after="0" w:line="205" w:lineRule="exact"/>
        <w:rPr>
          <w:rFonts w:ascii="Arial" w:cs="Arial" w:eastAsia="Arial" w:hAnsi="Arial"/>
          <w:sz w:val="20"/>
          <w:szCs w:val="20"/>
          <w:color w:val="auto"/>
        </w:rPr>
      </w:pPr>
    </w:p>
    <w:p>
      <w:pPr>
        <w:ind w:left="1440" w:hanging="841"/>
        <w:spacing w:after="0"/>
        <w:tabs>
          <w:tab w:leader="none" w:pos="144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Liens securing judgments for the payment of money not constituting an Event of Default under </w:t>
      </w:r>
      <w:r>
        <w:rPr>
          <w:rFonts w:ascii="Arial" w:cs="Arial" w:eastAsia="Arial" w:hAnsi="Arial"/>
          <w:sz w:val="20"/>
          <w:szCs w:val="20"/>
          <w:u w:val="single" w:color="auto"/>
          <w:color w:val="auto"/>
        </w:rPr>
        <w:t>Section 8.01(h)</w:t>
      </w:r>
      <w:r>
        <w:rPr>
          <w:rFonts w:ascii="Arial" w:cs="Arial" w:eastAsia="Arial" w:hAnsi="Arial"/>
          <w:sz w:val="20"/>
          <w:szCs w:val="20"/>
          <w:color w:val="auto"/>
        </w:rPr>
        <w:t>;</w:t>
      </w:r>
    </w:p>
    <w:p>
      <w:pPr>
        <w:spacing w:after="0" w:line="244" w:lineRule="exact"/>
        <w:rPr>
          <w:rFonts w:ascii="Arial" w:cs="Arial" w:eastAsia="Arial" w:hAnsi="Arial"/>
          <w:sz w:val="20"/>
          <w:szCs w:val="20"/>
          <w:color w:val="auto"/>
        </w:rPr>
      </w:pPr>
    </w:p>
    <w:p>
      <w:pPr>
        <w:jc w:val="both"/>
        <w:ind w:firstLine="599"/>
        <w:spacing w:after="0" w:line="273" w:lineRule="auto"/>
        <w:tabs>
          <w:tab w:leader="none" w:pos="1432"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The rights of tenants under leases and subleases of, and the rights of managers under management agreements in respect of, Portfolio Properties, in each case entered into in the ordinary course of business consistent with past practice of the REIT and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that (i) such leases and subleases contain market terms and conditions (excluding rent) as reasonably determined by the Borrower at the time such leases and subleases are entered into and (ii) such Liens do not secure any Indebtedness;</w:t>
      </w:r>
    </w:p>
    <w:p>
      <w:pPr>
        <w:spacing w:after="0" w:line="192" w:lineRule="exact"/>
        <w:rPr>
          <w:rFonts w:ascii="Arial" w:cs="Arial" w:eastAsia="Arial" w:hAnsi="Arial"/>
          <w:sz w:val="19"/>
          <w:szCs w:val="19"/>
          <w:color w:val="auto"/>
        </w:rPr>
      </w:pPr>
    </w:p>
    <w:p>
      <w:pPr>
        <w:jc w:val="both"/>
        <w:ind w:firstLine="599"/>
        <w:spacing w:after="0" w:line="252" w:lineRule="auto"/>
        <w:tabs>
          <w:tab w:leader="none" w:pos="1387"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Liens encumbering assets of a Loan Party or Subsidiary thereof not otherwise permitted under this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Liens do not at any time encumber any Unencumbered Eligible Property, (ii) such Liens do not at any time encumber the Equity Interests of any Person who owns or ground leases an Unencumbered Eligible Property (or the Equity Interests of any direct or indirect Subsidiary of the Borrower that owns any Equity Interests in such Person) and (iii) after giving pro forma effect to the incurrence of any such Lien (and all Indebtedness and other obligations secured thereby), the Loan Parties are in compliance with the covenants contained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7.02(b)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7.11</w:t>
      </w:r>
      <w:r>
        <w:rPr>
          <w:rFonts w:ascii="Arial" w:cs="Arial" w:eastAsia="Arial" w:hAnsi="Arial"/>
          <w:sz w:val="20"/>
          <w:szCs w:val="20"/>
          <w:color w:val="auto"/>
        </w:rPr>
        <w:t>;</w:t>
      </w:r>
    </w:p>
    <w:p>
      <w:pPr>
        <w:spacing w:after="0" w:line="212" w:lineRule="exact"/>
        <w:rPr>
          <w:rFonts w:ascii="Arial" w:cs="Arial" w:eastAsia="Arial" w:hAnsi="Arial"/>
          <w:sz w:val="20"/>
          <w:szCs w:val="20"/>
          <w:color w:val="auto"/>
        </w:rPr>
      </w:pPr>
    </w:p>
    <w:p>
      <w:pPr>
        <w:jc w:val="both"/>
        <w:ind w:firstLine="599"/>
        <w:spacing w:after="0" w:line="284" w:lineRule="auto"/>
        <w:tabs>
          <w:tab w:leader="none" w:pos="138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7.02(c)</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do not at any time encumber any Unencumbered Eligible Property, (ii) such Liens do not at any time encumber the Equity Interests of any Person who owns or ground leases an Unencumbered Eligible Property (or the Equity Interests of any direct or indirect Subsidiary of the Borrower that owns any Equity Interests in such Person), (iii) in the case of any such Lien incurred by a Loan Party, such Lien does not encumber any property other than the property financed by such Indebtedness, (iv) in the case of any such Lien incurred by a Subsidiary that is not a Loan Party, such Lien does not encumber any property other than the property of such Subsidiary and (v) the Indebtedness secured thereby does not exceed the cost or fair market value of the property encumbered thereby (as of the date of the incurrence of such Indebtedness), whichever is lower;</w:t>
      </w:r>
    </w:p>
    <w:p>
      <w:pPr>
        <w:spacing w:after="0" w:line="200" w:lineRule="exact"/>
        <w:rPr>
          <w:sz w:val="20"/>
          <w:szCs w:val="20"/>
          <w:color w:val="auto"/>
        </w:rPr>
      </w:pPr>
    </w:p>
    <w:p>
      <w:pPr>
        <w:spacing w:after="0" w:line="22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93</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105" w:name="page106"/>
    <w:bookmarkEnd w:id="105"/>
    <w:p>
      <w:pPr>
        <w:jc w:val="both"/>
        <w:ind w:firstLine="599"/>
        <w:spacing w:after="0" w:line="280" w:lineRule="auto"/>
        <w:tabs>
          <w:tab w:leader="none" w:pos="1432" w:val="left"/>
        </w:tabs>
        <w:numPr>
          <w:ilvl w:val="0"/>
          <w:numId w:val="132"/>
        </w:numPr>
        <w:rPr>
          <w:rFonts w:ascii="Arial" w:cs="Arial" w:eastAsia="Arial" w:hAnsi="Arial"/>
          <w:sz w:val="19"/>
          <w:szCs w:val="19"/>
          <w:color w:val="auto"/>
        </w:rPr>
      </w:pPr>
      <w:r>
        <w:rPr>
          <w:rFonts w:ascii="Arial" w:cs="Arial" w:eastAsia="Arial" w:hAnsi="Arial"/>
          <w:sz w:val="19"/>
          <w:szCs w:val="19"/>
          <w:color w:val="auto"/>
        </w:rPr>
        <w:t>All Liens with respect to any Portfolio Property (other than an Unencumbered Eligible Property) that are existing on the date such Portfolio Property is acquired or ground leased by a Subsidiary of the Borrower, to the extent such Liens are disclosed in the title report for such Portfolio Property received by such Subsidiary on or prior to the date of such acquisition or ground lease;</w:t>
      </w:r>
    </w:p>
    <w:p>
      <w:pPr>
        <w:spacing w:after="0" w:line="184" w:lineRule="exact"/>
        <w:rPr>
          <w:rFonts w:ascii="Arial" w:cs="Arial" w:eastAsia="Arial" w:hAnsi="Arial"/>
          <w:sz w:val="19"/>
          <w:szCs w:val="19"/>
          <w:color w:val="auto"/>
        </w:rPr>
      </w:pPr>
    </w:p>
    <w:p>
      <w:pPr>
        <w:ind w:firstLine="599"/>
        <w:spacing w:after="0" w:line="272" w:lineRule="auto"/>
        <w:tabs>
          <w:tab w:leader="none" w:pos="1387" w:val="left"/>
        </w:tabs>
        <w:numPr>
          <w:ilvl w:val="0"/>
          <w:numId w:val="132"/>
        </w:numPr>
        <w:rPr>
          <w:rFonts w:ascii="Arial" w:cs="Arial" w:eastAsia="Arial" w:hAnsi="Arial"/>
          <w:sz w:val="20"/>
          <w:szCs w:val="20"/>
          <w:color w:val="auto"/>
        </w:rPr>
      </w:pPr>
      <w:r>
        <w:rPr>
          <w:rFonts w:ascii="Arial" w:cs="Arial" w:eastAsia="Arial" w:hAnsi="Arial"/>
          <w:sz w:val="20"/>
          <w:szCs w:val="20"/>
          <w:color w:val="auto"/>
        </w:rPr>
        <w:t>in the case of Equity Interests of a Controlled Joint Venture, buy/sell rights with respect to such Equity Interests on customary terms and conditions;</w:t>
      </w:r>
    </w:p>
    <w:p>
      <w:pPr>
        <w:spacing w:after="0" w:line="190" w:lineRule="exact"/>
        <w:rPr>
          <w:rFonts w:ascii="Arial" w:cs="Arial" w:eastAsia="Arial" w:hAnsi="Arial"/>
          <w:sz w:val="20"/>
          <w:szCs w:val="20"/>
          <w:color w:val="auto"/>
        </w:rPr>
      </w:pPr>
    </w:p>
    <w:p>
      <w:pPr>
        <w:ind w:left="1480" w:hanging="881"/>
        <w:spacing w:after="0"/>
        <w:tabs>
          <w:tab w:leader="none" w:pos="148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Liens existing on the Restatement Effective Date and listed on </w:t>
      </w:r>
      <w:r>
        <w:rPr>
          <w:rFonts w:ascii="Arial" w:cs="Arial" w:eastAsia="Arial" w:hAnsi="Arial"/>
          <w:sz w:val="20"/>
          <w:szCs w:val="20"/>
          <w:u w:val="single" w:color="auto"/>
          <w:color w:val="auto"/>
        </w:rPr>
        <w:t>Schedule 7.01(m)</w:t>
      </w:r>
      <w:r>
        <w:rPr>
          <w:rFonts w:ascii="Arial" w:cs="Arial" w:eastAsia="Arial" w:hAnsi="Arial"/>
          <w:sz w:val="20"/>
          <w:szCs w:val="20"/>
          <w:color w:val="auto"/>
        </w:rPr>
        <w:t>;</w:t>
      </w:r>
    </w:p>
    <w:p>
      <w:pPr>
        <w:spacing w:after="0" w:line="244" w:lineRule="exact"/>
        <w:rPr>
          <w:rFonts w:ascii="Arial" w:cs="Arial" w:eastAsia="Arial" w:hAnsi="Arial"/>
          <w:sz w:val="20"/>
          <w:szCs w:val="20"/>
          <w:color w:val="auto"/>
        </w:rPr>
      </w:pPr>
    </w:p>
    <w:p>
      <w:pPr>
        <w:ind w:firstLine="599"/>
        <w:spacing w:after="0" w:line="272" w:lineRule="auto"/>
        <w:tabs>
          <w:tab w:leader="none" w:pos="1432" w:val="left"/>
        </w:tabs>
        <w:numPr>
          <w:ilvl w:val="0"/>
          <w:numId w:val="132"/>
        </w:numPr>
        <w:rPr>
          <w:rFonts w:ascii="Arial" w:cs="Arial" w:eastAsia="Arial" w:hAnsi="Arial"/>
          <w:sz w:val="20"/>
          <w:szCs w:val="20"/>
          <w:color w:val="auto"/>
        </w:rPr>
      </w:pPr>
      <w:r>
        <w:rPr>
          <w:rFonts w:ascii="Arial" w:cs="Arial" w:eastAsia="Arial" w:hAnsi="Arial"/>
          <w:sz w:val="20"/>
          <w:szCs w:val="20"/>
          <w:color w:val="auto"/>
        </w:rPr>
        <w:t>Liens and rights of setoff of banks and securities intermediaries in respect of deposit accounts and securities accounts maintained in the ordinary course of business; and</w:t>
      </w:r>
    </w:p>
    <w:p>
      <w:pPr>
        <w:spacing w:after="0" w:line="190" w:lineRule="exact"/>
        <w:rPr>
          <w:rFonts w:ascii="Arial" w:cs="Arial" w:eastAsia="Arial" w:hAnsi="Arial"/>
          <w:sz w:val="20"/>
          <w:szCs w:val="20"/>
          <w:color w:val="auto"/>
        </w:rPr>
      </w:pPr>
    </w:p>
    <w:p>
      <w:pPr>
        <w:ind w:left="1440" w:hanging="841"/>
        <w:spacing w:after="0"/>
        <w:tabs>
          <w:tab w:leader="none" w:pos="144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Permitted Pari Passu Encumbrances;</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the foregoing clauses of this </w:t>
      </w:r>
      <w:r>
        <w:rPr>
          <w:rFonts w:ascii="Arial" w:cs="Arial" w:eastAsia="Arial" w:hAnsi="Arial"/>
          <w:sz w:val="20"/>
          <w:szCs w:val="20"/>
          <w:u w:val="single" w:color="auto"/>
          <w:color w:val="auto"/>
        </w:rPr>
        <w:t>Section 7.01</w:t>
      </w:r>
      <w:r>
        <w:rPr>
          <w:rFonts w:ascii="Arial" w:cs="Arial" w:eastAsia="Arial" w:hAnsi="Arial"/>
          <w:sz w:val="20"/>
          <w:szCs w:val="20"/>
          <w:color w:val="auto"/>
        </w:rPr>
        <w:t>, in no event shall any Liens (other than Permitted Judgment Liens, Permitted Pari Passu Encumbrances and Liens permitted by clauses (a), (b), (c), (f) and (h) above) encumber any Unencumbered Eligible Property or (other than Permitted Pari Passu Encumbrances and Liens permitted by clauses (a), (b), (c) and (l) above) encumber the Equity Interests of any Direct Owner or Indirect Owner.</w:t>
      </w:r>
    </w:p>
    <w:p>
      <w:pPr>
        <w:spacing w:after="0" w:line="168"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7.02.</w:t>
      </w:r>
      <w:r>
        <w:rPr>
          <w:sz w:val="20"/>
          <w:szCs w:val="20"/>
          <w:color w:val="auto"/>
        </w:rPr>
        <w:tab/>
      </w:r>
      <w:r>
        <w:rPr>
          <w:rFonts w:ascii="Arial" w:cs="Arial" w:eastAsia="Arial" w:hAnsi="Arial"/>
          <w:sz w:val="17"/>
          <w:szCs w:val="17"/>
          <w:u w:val="single" w:color="auto"/>
          <w:color w:val="auto"/>
        </w:rPr>
        <w:t>Indebtedness</w:t>
      </w:r>
      <w:r>
        <w:rPr>
          <w:rFonts w:ascii="Arial" w:cs="Arial" w:eastAsia="Arial" w:hAnsi="Arial"/>
          <w:sz w:val="17"/>
          <w:szCs w:val="17"/>
          <w:color w:val="auto"/>
        </w:rPr>
        <w:t>. Create, incur, assume or suffer to exist any Indebtedness, except:</w:t>
      </w:r>
    </w:p>
    <w:p>
      <w:pPr>
        <w:spacing w:after="0" w:line="245" w:lineRule="exact"/>
        <w:rPr>
          <w:sz w:val="20"/>
          <w:szCs w:val="20"/>
          <w:color w:val="auto"/>
        </w:rPr>
      </w:pPr>
    </w:p>
    <w:p>
      <w:pPr>
        <w:ind w:left="2020" w:hanging="821"/>
        <w:spacing w:after="0"/>
        <w:tabs>
          <w:tab w:leader="none" w:pos="202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the Obligations;</w:t>
      </w:r>
    </w:p>
    <w:p>
      <w:pPr>
        <w:spacing w:after="0" w:line="244" w:lineRule="exact"/>
        <w:rPr>
          <w:rFonts w:ascii="Arial" w:cs="Arial" w:eastAsia="Arial" w:hAnsi="Arial"/>
          <w:sz w:val="20"/>
          <w:szCs w:val="20"/>
          <w:color w:val="auto"/>
        </w:rPr>
      </w:pPr>
    </w:p>
    <w:p>
      <w:pPr>
        <w:jc w:val="both"/>
        <w:ind w:left="600" w:firstLine="599"/>
        <w:spacing w:after="0" w:line="284" w:lineRule="auto"/>
        <w:tabs>
          <w:tab w:leader="none" w:pos="203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in addition to Indebtedness permitted under clause (a) above, (i) Pari Passu Obligations, and (ii) (A) Secured Recourse Indebtedness owed by the Borrower or any Guarantor to Persons that are not members of the Consolidated Group and</w:t>
      </w:r>
    </w:p>
    <w:p>
      <w:pPr>
        <w:jc w:val="both"/>
        <w:ind w:left="600" w:hanging="1"/>
        <w:spacing w:after="0" w:line="275" w:lineRule="auto"/>
        <w:tabs>
          <w:tab w:leader="none" w:pos="94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Recourse Indebtedness owed by Subsidiaries of the Borrower that are not Guarantors to Persons that are not members of the Consolidated Group,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principal amount of all outstanding Indebtedness described in </w:t>
      </w:r>
      <w:r>
        <w:rPr>
          <w:rFonts w:ascii="Arial" w:cs="Arial" w:eastAsia="Arial" w:hAnsi="Arial"/>
          <w:sz w:val="18"/>
          <w:szCs w:val="18"/>
          <w:u w:val="single" w:color="auto"/>
          <w:color w:val="auto"/>
        </w:rPr>
        <w:t>clauses (ii)</w:t>
      </w:r>
    </w:p>
    <w:p>
      <w:pPr>
        <w:ind w:left="920" w:hanging="321"/>
        <w:spacing w:after="0"/>
        <w:tabs>
          <w:tab w:leader="none" w:pos="920" w:val="left"/>
        </w:tabs>
        <w:numPr>
          <w:ilvl w:val="0"/>
          <w:numId w:val="135"/>
        </w:numPr>
        <w:rPr>
          <w:rFonts w:ascii="Arial" w:cs="Arial" w:eastAsia="Arial" w:hAnsi="Arial"/>
          <w:sz w:val="20"/>
          <w:szCs w:val="20"/>
          <w:u w:val="single" w:color="auto"/>
          <w:color w:val="auto"/>
        </w:rPr>
      </w:pPr>
      <w:r>
        <w:rPr>
          <w:rFonts w:ascii="Arial" w:cs="Arial" w:eastAsia="Arial" w:hAnsi="Arial"/>
          <w:sz w:val="20"/>
          <w:szCs w:val="20"/>
          <w:color w:val="auto"/>
        </w:rPr>
        <w:t xml:space="preserve">and </w:t>
      </w:r>
      <w:r>
        <w:rPr>
          <w:rFonts w:ascii="Arial" w:cs="Arial" w:eastAsia="Arial" w:hAnsi="Arial"/>
          <w:sz w:val="20"/>
          <w:szCs w:val="20"/>
          <w:u w:val="single" w:color="auto"/>
          <w:color w:val="auto"/>
        </w:rPr>
        <w:t>(ii)(B)</w:t>
      </w:r>
      <w:r>
        <w:rPr>
          <w:rFonts w:ascii="Arial" w:cs="Arial" w:eastAsia="Arial" w:hAnsi="Arial"/>
          <w:sz w:val="20"/>
          <w:szCs w:val="20"/>
          <w:color w:val="auto"/>
        </w:rPr>
        <w:t xml:space="preserve"> shall not at any time exceed fifteen percent (15%) of Total Asset Value at such time;</w:t>
      </w:r>
    </w:p>
    <w:p>
      <w:pPr>
        <w:spacing w:after="0" w:line="228" w:lineRule="exact"/>
        <w:rPr>
          <w:rFonts w:ascii="Arial" w:cs="Arial" w:eastAsia="Arial" w:hAnsi="Arial"/>
          <w:sz w:val="20"/>
          <w:szCs w:val="20"/>
          <w:u w:val="single" w:color="auto"/>
          <w:color w:val="auto"/>
        </w:rPr>
      </w:pPr>
    </w:p>
    <w:p>
      <w:pPr>
        <w:ind w:left="600" w:firstLine="599"/>
        <w:spacing w:after="0" w:line="329" w:lineRule="auto"/>
        <w:tabs>
          <w:tab w:leader="none" w:pos="2021" w:val="left"/>
        </w:tabs>
        <w:numPr>
          <w:ilvl w:val="1"/>
          <w:numId w:val="135"/>
        </w:numPr>
        <w:rPr>
          <w:rFonts w:ascii="Arial" w:cs="Arial" w:eastAsia="Arial" w:hAnsi="Arial"/>
          <w:sz w:val="18"/>
          <w:szCs w:val="18"/>
          <w:color w:val="auto"/>
        </w:rPr>
      </w:pPr>
      <w:r>
        <w:rPr>
          <w:rFonts w:ascii="Arial" w:cs="Arial" w:eastAsia="Arial" w:hAnsi="Arial"/>
          <w:sz w:val="18"/>
          <w:szCs w:val="18"/>
          <w:color w:val="auto"/>
        </w:rPr>
        <w:t xml:space="preserve">Non-Recourse Indebtedness owed by the Loan Parties and their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pro forma effect to the incurrence thereof, the Loan Parties are in compliance with the covenants contained in </w:t>
      </w:r>
      <w:r>
        <w:rPr>
          <w:rFonts w:ascii="Arial" w:cs="Arial" w:eastAsia="Arial" w:hAnsi="Arial"/>
          <w:sz w:val="18"/>
          <w:szCs w:val="18"/>
          <w:u w:val="single" w:color="auto"/>
          <w:color w:val="auto"/>
        </w:rPr>
        <w:t>Section 7.02(b)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left="600" w:firstLine="599"/>
        <w:spacing w:after="0" w:line="256" w:lineRule="auto"/>
        <w:tabs>
          <w:tab w:leader="none" w:pos="2032" w:val="left"/>
        </w:tabs>
        <w:numPr>
          <w:ilvl w:val="1"/>
          <w:numId w:val="135"/>
        </w:numPr>
        <w:rPr>
          <w:rFonts w:ascii="Arial" w:cs="Arial" w:eastAsia="Arial" w:hAnsi="Arial"/>
          <w:sz w:val="20"/>
          <w:szCs w:val="20"/>
          <w:color w:val="auto"/>
        </w:rPr>
      </w:pPr>
      <w:r>
        <w:rPr>
          <w:rFonts w:ascii="Arial" w:cs="Arial" w:eastAsia="Arial" w:hAnsi="Arial"/>
          <w:sz w:val="20"/>
          <w:szCs w:val="20"/>
          <w:color w:val="auto"/>
        </w:rPr>
        <w:t xml:space="preserve">intercompany loans and advances to the extent permitted under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all such intercompany Indebtedness owed by any Loan Party shall be unsecured and subordinated in right of payment to the payment in full of the Obligations pursuant to the terms of any applicable promissory notes or an intercompany subordination agreement, in each case, in form and substance reasonably satisfactory to Administrative Agent; and</w:t>
      </w:r>
    </w:p>
    <w:p>
      <w:pPr>
        <w:spacing w:after="0" w:line="205" w:lineRule="exact"/>
        <w:rPr>
          <w:rFonts w:ascii="Arial" w:cs="Arial" w:eastAsia="Arial" w:hAnsi="Arial"/>
          <w:sz w:val="20"/>
          <w:szCs w:val="20"/>
          <w:color w:val="auto"/>
        </w:rPr>
      </w:pPr>
    </w:p>
    <w:p>
      <w:pPr>
        <w:ind w:left="2020" w:hanging="821"/>
        <w:spacing w:after="0"/>
        <w:tabs>
          <w:tab w:leader="none" w:pos="2020" w:val="left"/>
        </w:tabs>
        <w:numPr>
          <w:ilvl w:val="1"/>
          <w:numId w:val="135"/>
        </w:numPr>
        <w:rPr>
          <w:rFonts w:ascii="Arial" w:cs="Arial" w:eastAsia="Arial" w:hAnsi="Arial"/>
          <w:sz w:val="20"/>
          <w:szCs w:val="20"/>
          <w:color w:val="auto"/>
        </w:rPr>
      </w:pPr>
      <w:r>
        <w:rPr>
          <w:rFonts w:ascii="Arial" w:cs="Arial" w:eastAsia="Arial" w:hAnsi="Arial"/>
          <w:sz w:val="20"/>
          <w:szCs w:val="20"/>
          <w:color w:val="auto"/>
        </w:rPr>
        <w:t>the Guarantee by the Borrower or a Guarantor of Pari Passu Obligations.</w:t>
      </w:r>
    </w:p>
    <w:p>
      <w:pPr>
        <w:spacing w:after="0" w:line="24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94</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06" w:name="page107"/>
    <w:bookmarkEnd w:id="106"/>
    <w:p>
      <w:pPr>
        <w:jc w:val="both"/>
        <w:ind w:firstLine="599"/>
        <w:spacing w:after="0" w:line="253" w:lineRule="auto"/>
        <w:rPr>
          <w:sz w:val="20"/>
          <w:szCs w:val="20"/>
          <w:color w:val="auto"/>
        </w:rPr>
      </w:pPr>
      <w:r>
        <w:rPr>
          <w:rFonts w:ascii="Arial" w:cs="Arial" w:eastAsia="Arial" w:hAnsi="Arial"/>
          <w:sz w:val="20"/>
          <w:szCs w:val="20"/>
          <w:color w:val="auto"/>
        </w:rPr>
        <w:t xml:space="preserve">7.03. </w:t>
      </w:r>
      <w:r>
        <w:rPr>
          <w:rFonts w:ascii="Arial" w:cs="Arial" w:eastAsia="Arial" w:hAnsi="Arial"/>
          <w:sz w:val="20"/>
          <w:szCs w:val="20"/>
          <w:u w:val="single" w:color="auto"/>
          <w:color w:val="auto"/>
        </w:rPr>
        <w:t>Investments</w:t>
      </w:r>
      <w:r>
        <w:rPr>
          <w:rFonts w:ascii="Arial" w:cs="Arial" w:eastAsia="Arial" w:hAnsi="Arial"/>
          <w:sz w:val="20"/>
          <w:szCs w:val="20"/>
          <w:color w:val="auto"/>
        </w:rPr>
        <w:t xml:space="preserve">. Make or allow any Investment unless (i) no Event of Default exists at the time of, or after giving effect to, the making of such Investment and (b) after giving effect to the making of such Investment, the REIT and the Borrower are in compliance, on a </w:t>
      </w:r>
      <w:r>
        <w:rPr>
          <w:rFonts w:ascii="Arial" w:cs="Arial" w:eastAsia="Arial" w:hAnsi="Arial"/>
          <w:sz w:val="20"/>
          <w:szCs w:val="20"/>
          <w:i w:val="1"/>
          <w:iCs w:val="1"/>
          <w:color w:val="auto"/>
        </w:rPr>
        <w:t xml:space="preserve">pro forma </w:t>
      </w:r>
      <w:r>
        <w:rPr>
          <w:rFonts w:ascii="Arial" w:cs="Arial" w:eastAsia="Arial" w:hAnsi="Arial"/>
          <w:sz w:val="20"/>
          <w:szCs w:val="20"/>
          <w:color w:val="auto"/>
        </w:rPr>
        <w:t>basis, with the covenants contained in</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7.02(b)</w:t>
      </w:r>
      <w:r>
        <w:rPr>
          <w:rFonts w:ascii="Arial" w:cs="Arial" w:eastAsia="Arial" w:hAnsi="Arial"/>
          <w:sz w:val="20"/>
          <w:szCs w:val="20"/>
          <w:i w:val="1"/>
          <w:iCs w:val="1"/>
          <w:color w:val="auto"/>
        </w:rPr>
        <w:t xml:space="preserve"> </w:t>
      </w:r>
      <w:r>
        <w:rPr>
          <w:rFonts w:ascii="Arial" w:cs="Arial" w:eastAsia="Arial" w:hAnsi="Arial"/>
          <w:sz w:val="20"/>
          <w:szCs w:val="20"/>
          <w:color w:val="auto"/>
        </w:rPr>
        <w:t>and</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7.11</w:t>
      </w:r>
      <w:r>
        <w:rPr>
          <w:rFonts w:ascii="Arial" w:cs="Arial" w:eastAsia="Arial" w:hAnsi="Arial"/>
          <w:sz w:val="20"/>
          <w:szCs w:val="20"/>
          <w:color w:val="auto"/>
        </w:rPr>
        <w:t>, such pro forma calculation to be made as of the last day of</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the fiscal quarter most recently ended prior to the date such Investment is made and for which financial statements have been delivered, or are required to be delivered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w:t>
      </w:r>
    </w:p>
    <w:p>
      <w:pPr>
        <w:spacing w:after="0" w:line="212"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 xml:space="preserve">7.04. </w:t>
      </w:r>
      <w:r>
        <w:rPr>
          <w:rFonts w:ascii="Arial" w:cs="Arial" w:eastAsia="Arial" w:hAnsi="Arial"/>
          <w:sz w:val="20"/>
          <w:szCs w:val="20"/>
          <w:u w:val="single" w:color="auto"/>
          <w:color w:val="auto"/>
        </w:rPr>
        <w:t>Fundamental Changes</w:t>
      </w:r>
      <w:r>
        <w:rPr>
          <w:rFonts w:ascii="Arial" w:cs="Arial" w:eastAsia="Arial" w:hAnsi="Arial"/>
          <w:sz w:val="20"/>
          <w:szCs w:val="20"/>
          <w:color w:val="auto"/>
        </w:rPr>
        <w:t>. Merge, dissolve, liquidate, consolidate with or into another Person, or Dispose of (whether in one transaction or in a series of transactions) all or substantially all of its assets (whether now owned or hereafter acquired) to or in favor of any Person, except that, so long as no Default exists or would result therefrom:</w:t>
      </w:r>
    </w:p>
    <w:p>
      <w:pPr>
        <w:spacing w:after="0" w:line="202" w:lineRule="exact"/>
        <w:rPr>
          <w:sz w:val="20"/>
          <w:szCs w:val="20"/>
          <w:color w:val="auto"/>
        </w:rPr>
      </w:pPr>
    </w:p>
    <w:p>
      <w:pPr>
        <w:jc w:val="both"/>
        <w:ind w:firstLine="599"/>
        <w:spacing w:after="0" w:line="256" w:lineRule="auto"/>
        <w:tabs>
          <w:tab w:leader="none" w:pos="1421" w:val="left"/>
        </w:tabs>
        <w:numPr>
          <w:ilvl w:val="0"/>
          <w:numId w:val="136"/>
        </w:numPr>
        <w:rPr>
          <w:rFonts w:ascii="Arial" w:cs="Arial" w:eastAsia="Arial" w:hAnsi="Arial"/>
          <w:sz w:val="20"/>
          <w:szCs w:val="20"/>
          <w:color w:val="auto"/>
        </w:rPr>
      </w:pPr>
      <w:r>
        <w:rPr>
          <w:rFonts w:ascii="Arial" w:cs="Arial" w:eastAsia="Arial" w:hAnsi="Arial"/>
          <w:sz w:val="20"/>
          <w:szCs w:val="20"/>
          <w:color w:val="auto"/>
        </w:rPr>
        <w:t xml:space="preserve">any Subsidiary of the Borrower may merge, liquidate or dissolve into, or consolidate with (i) 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be the continuing or surviving Person or (ii) any one or more other Subsidiaries of 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any Guarantor is merging with, liquidating into or consolidating with another Subsidiary of the Borrower that is not a Guarantor, the continuing or surviving Person shall be a Guarantor;</w:t>
      </w:r>
    </w:p>
    <w:p>
      <w:pPr>
        <w:spacing w:after="0" w:line="205" w:lineRule="exact"/>
        <w:rPr>
          <w:rFonts w:ascii="Arial" w:cs="Arial" w:eastAsia="Arial" w:hAnsi="Arial"/>
          <w:sz w:val="20"/>
          <w:szCs w:val="20"/>
          <w:color w:val="auto"/>
        </w:rPr>
      </w:pPr>
    </w:p>
    <w:p>
      <w:pPr>
        <w:jc w:val="both"/>
        <w:ind w:firstLine="599"/>
        <w:spacing w:after="0" w:line="260" w:lineRule="auto"/>
        <w:tabs>
          <w:tab w:leader="none" w:pos="1432" w:val="left"/>
        </w:tabs>
        <w:numPr>
          <w:ilvl w:val="0"/>
          <w:numId w:val="136"/>
        </w:numPr>
        <w:rPr>
          <w:rFonts w:ascii="Arial" w:cs="Arial" w:eastAsia="Arial" w:hAnsi="Arial"/>
          <w:sz w:val="20"/>
          <w:szCs w:val="20"/>
          <w:color w:val="auto"/>
        </w:rPr>
      </w:pPr>
      <w:r>
        <w:rPr>
          <w:rFonts w:ascii="Arial" w:cs="Arial" w:eastAsia="Arial" w:hAnsi="Arial"/>
          <w:sz w:val="20"/>
          <w:szCs w:val="20"/>
          <w:color w:val="auto"/>
        </w:rPr>
        <w:t xml:space="preserve">any Subsidiary of the Borrower may Dispose of all or substantially all of its assets (upon voluntary liquidation or otherwise) to the Borrower or to another Subsidiary of 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transferor in such a transaction is a Guarantor, then the transferee must either be the Borrower or a Guarantor; and</w:t>
      </w:r>
    </w:p>
    <w:p>
      <w:pPr>
        <w:spacing w:after="0" w:line="201" w:lineRule="exact"/>
        <w:rPr>
          <w:rFonts w:ascii="Arial" w:cs="Arial" w:eastAsia="Arial" w:hAnsi="Arial"/>
          <w:sz w:val="20"/>
          <w:szCs w:val="20"/>
          <w:color w:val="auto"/>
        </w:rPr>
      </w:pPr>
    </w:p>
    <w:p>
      <w:pPr>
        <w:ind w:left="1420" w:hanging="821"/>
        <w:spacing w:after="0"/>
        <w:tabs>
          <w:tab w:leader="none" w:pos="142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 xml:space="preserve">Dispositions permitted by </w:t>
      </w:r>
      <w:r>
        <w:rPr>
          <w:rFonts w:ascii="Arial" w:cs="Arial" w:eastAsia="Arial" w:hAnsi="Arial"/>
          <w:sz w:val="20"/>
          <w:szCs w:val="20"/>
          <w:u w:val="single" w:color="auto"/>
          <w:color w:val="auto"/>
        </w:rPr>
        <w:t>Section 7.05(b)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w:t>
      </w:r>
      <w:r>
        <w:rPr>
          <w:rFonts w:ascii="Arial" w:cs="Arial" w:eastAsia="Arial" w:hAnsi="Arial"/>
          <w:sz w:val="20"/>
          <w:szCs w:val="20"/>
          <w:color w:val="auto"/>
        </w:rPr>
        <w:t xml:space="preserve"> shall be permitted.</w:t>
      </w:r>
    </w:p>
    <w:p>
      <w:pPr>
        <w:spacing w:after="0" w:line="245"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 xml:space="preserve">7.05. </w:t>
      </w:r>
      <w:r>
        <w:rPr>
          <w:rFonts w:ascii="Arial" w:cs="Arial" w:eastAsia="Arial" w:hAnsi="Arial"/>
          <w:sz w:val="20"/>
          <w:szCs w:val="20"/>
          <w:u w:val="single" w:color="auto"/>
          <w:color w:val="auto"/>
        </w:rPr>
        <w:t>Dispositions</w:t>
      </w:r>
      <w:r>
        <w:rPr>
          <w:rFonts w:ascii="Arial" w:cs="Arial" w:eastAsia="Arial" w:hAnsi="Arial"/>
          <w:sz w:val="20"/>
          <w:szCs w:val="20"/>
          <w:color w:val="auto"/>
        </w:rPr>
        <w:t xml:space="preserve">. Make any Disposition or enter into any agreement to make any Disposition, or, in the case of any Subsidiary of the Borrower, issue, sell or otherwise dispose of any of such Subsidiary’s Equity Interests to any Person, if (a) such Disposition is not permitted under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(b) such Disposition results in the Borrower or any Guarantor (other than the REIT) not being a Wholly Owned Subsidiary of the REIT or (c) after giving effect to such Disposition, the REIT and Borrower are not in compliance, on a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basis, with the covenants contained in </w:t>
      </w:r>
      <w:r>
        <w:rPr>
          <w:rFonts w:ascii="Arial" w:cs="Arial" w:eastAsia="Arial" w:hAnsi="Arial"/>
          <w:sz w:val="20"/>
          <w:szCs w:val="20"/>
          <w:u w:val="single" w:color="auto"/>
          <w:color w:val="auto"/>
        </w:rPr>
        <w:t>Section 7.02(b)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7.11</w:t>
      </w:r>
      <w:r>
        <w:rPr>
          <w:rFonts w:ascii="Arial" w:cs="Arial" w:eastAsia="Arial" w:hAnsi="Arial"/>
          <w:sz w:val="20"/>
          <w:szCs w:val="20"/>
          <w:color w:val="auto"/>
        </w:rPr>
        <w:t>.</w:t>
      </w:r>
    </w:p>
    <w:p>
      <w:pPr>
        <w:spacing w:after="0" w:line="212"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 xml:space="preserve">7.06. </w:t>
      </w:r>
      <w:r>
        <w:rPr>
          <w:rFonts w:ascii="Arial" w:cs="Arial" w:eastAsia="Arial" w:hAnsi="Arial"/>
          <w:sz w:val="20"/>
          <w:szCs w:val="20"/>
          <w:u w:val="single" w:color="auto"/>
          <w:color w:val="auto"/>
        </w:rPr>
        <w:t>Restricted Payments</w:t>
      </w:r>
      <w:r>
        <w:rPr>
          <w:rFonts w:ascii="Arial" w:cs="Arial" w:eastAsia="Arial" w:hAnsi="Arial"/>
          <w:sz w:val="20"/>
          <w:szCs w:val="20"/>
          <w:color w:val="auto"/>
        </w:rPr>
        <w:t>. Declare or make, directly or indirectly, any Restricted Payment, or incur any obligation (contingent or otherwise) to do so, except that the following shall be permitted:</w:t>
      </w:r>
    </w:p>
    <w:p>
      <w:pPr>
        <w:spacing w:after="0" w:line="191" w:lineRule="exact"/>
        <w:rPr>
          <w:sz w:val="20"/>
          <w:szCs w:val="20"/>
          <w:color w:val="auto"/>
        </w:rPr>
      </w:pPr>
    </w:p>
    <w:p>
      <w:pPr>
        <w:jc w:val="both"/>
        <w:ind w:firstLine="599"/>
        <w:spacing w:after="0" w:line="273" w:lineRule="auto"/>
        <w:tabs>
          <w:tab w:leader="none" w:pos="1421" w:val="left"/>
        </w:tabs>
        <w:numPr>
          <w:ilvl w:val="0"/>
          <w:numId w:val="137"/>
        </w:numPr>
        <w:rPr>
          <w:rFonts w:ascii="Arial" w:cs="Arial" w:eastAsia="Arial" w:hAnsi="Arial"/>
          <w:sz w:val="19"/>
          <w:szCs w:val="19"/>
          <w:color w:val="auto"/>
        </w:rPr>
      </w:pPr>
      <w:r>
        <w:rPr>
          <w:rFonts w:ascii="Arial" w:cs="Arial" w:eastAsia="Arial" w:hAnsi="Arial"/>
          <w:sz w:val="19"/>
          <w:szCs w:val="19"/>
          <w:color w:val="auto"/>
        </w:rPr>
        <w:t>each Subsidiary of the Borrower may (i) declare and make Restricted Payments to the Borrower and the Guarantors (other than the REIT), and (ii) declare and make Restricted Payments ratably to the holders of such Subsidiary’s Equity Interests according to their respective holdings of the type of Equity Interest in respect of which such Restricted Payment is being made so long as the Borrower (directly or through other Subsidiaries of the Borrower) receives its proportionate share thereof;</w:t>
      </w:r>
    </w:p>
    <w:p>
      <w:pPr>
        <w:spacing w:after="0" w:line="192" w:lineRule="exact"/>
        <w:rPr>
          <w:rFonts w:ascii="Arial" w:cs="Arial" w:eastAsia="Arial" w:hAnsi="Arial"/>
          <w:sz w:val="19"/>
          <w:szCs w:val="19"/>
          <w:color w:val="auto"/>
        </w:rPr>
      </w:pPr>
    </w:p>
    <w:p>
      <w:pPr>
        <w:jc w:val="both"/>
        <w:ind w:firstLine="599"/>
        <w:spacing w:after="0" w:line="256" w:lineRule="auto"/>
        <w:tabs>
          <w:tab w:leader="none" w:pos="1432"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REIT and each Subsidiary thereof may declare and make dividend payments or other distributions payable solely in the common stock or other common Equity Interests of such Person or its direct or indirect parent (and, to the extent constituting a dividend or distribution under applicable Laws, the issuance of common or preferred Equity Interests in connection with the conversion of any Indebtedness);</w:t>
      </w:r>
    </w:p>
    <w:p>
      <w:pPr>
        <w:spacing w:after="0" w:line="205" w:lineRule="exact"/>
        <w:rPr>
          <w:rFonts w:ascii="Arial" w:cs="Arial" w:eastAsia="Arial" w:hAnsi="Arial"/>
          <w:sz w:val="20"/>
          <w:szCs w:val="20"/>
          <w:color w:val="auto"/>
        </w:rPr>
      </w:pPr>
    </w:p>
    <w:p>
      <w:pPr>
        <w:jc w:val="both"/>
        <w:ind w:firstLine="599"/>
        <w:spacing w:after="0" w:line="260" w:lineRule="auto"/>
        <w:tabs>
          <w:tab w:leader="none" w:pos="1421" w:val="left"/>
        </w:tabs>
        <w:numPr>
          <w:ilvl w:val="0"/>
          <w:numId w:val="137"/>
        </w:numPr>
        <w:rPr>
          <w:rFonts w:ascii="Arial" w:cs="Arial" w:eastAsia="Arial" w:hAnsi="Arial"/>
          <w:sz w:val="20"/>
          <w:szCs w:val="20"/>
          <w:color w:val="auto"/>
        </w:rPr>
      </w:pPr>
      <w:r>
        <w:rPr>
          <w:rFonts w:ascii="Arial" w:cs="Arial" w:eastAsia="Arial" w:hAnsi="Arial"/>
          <w:sz w:val="20"/>
          <w:szCs w:val="20"/>
          <w:color w:val="auto"/>
        </w:rPr>
        <w:t>(i) the REIT and each Subsidiary thereof may purchase, redeem or otherwise acquire Equity Interests or warrants or options to obtain such Equity Interests issued by it with the proceeds received from the substantially concurrent issue of new shares of its or its direct or indirect parent’s common stock or other</w:t>
      </w:r>
    </w:p>
    <w:p>
      <w:pPr>
        <w:spacing w:after="0" w:line="20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95</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07" w:name="page108"/>
    <w:bookmarkEnd w:id="107"/>
    <w:p>
      <w:pPr>
        <w:jc w:val="both"/>
        <w:spacing w:after="0" w:line="252" w:lineRule="auto"/>
        <w:rPr>
          <w:sz w:val="20"/>
          <w:szCs w:val="20"/>
          <w:color w:val="auto"/>
        </w:rPr>
      </w:pPr>
      <w:r>
        <w:rPr>
          <w:rFonts w:ascii="Arial" w:cs="Arial" w:eastAsia="Arial" w:hAnsi="Arial"/>
          <w:sz w:val="20"/>
          <w:szCs w:val="20"/>
          <w:color w:val="auto"/>
        </w:rPr>
        <w:t xml:space="preserve">common Equity Interests, (ii) the REIT and/or the Borrower may purchase, redeem or otherwise acquire limited partnership interests of the Borrower held by a limited partner thereof in exchange for Equity Interests of the REIT so long as, after giving effect to any such purchase, redemption or other acquisition, a Change of Control does not occur and (iii) the Borrower may redeem limited partnership interests of the Borrower held by a limited partner thereof for cash to the extent such a redemption is required by the Borrower Limited Partnership Agreement; </w:t>
      </w:r>
      <w:r>
        <w:rPr>
          <w:rFonts w:ascii="Arial" w:cs="Arial" w:eastAsia="Arial" w:hAnsi="Arial"/>
          <w:sz w:val="20"/>
          <w:szCs w:val="20"/>
          <w:u w:val="single" w:color="auto"/>
          <w:color w:val="auto"/>
        </w:rPr>
        <w:t>provided</w:t>
      </w:r>
      <w:r>
        <w:rPr>
          <w:rFonts w:ascii="Arial" w:cs="Arial" w:eastAsia="Arial" w:hAnsi="Arial"/>
          <w:sz w:val="20"/>
          <w:szCs w:val="20"/>
          <w:color w:val="auto"/>
        </w:rPr>
        <w:t>, that the aggregate amount of cash paid for all such redemptions made pursuant to this clause (iii) shall not exceed $10,000,000;</w:t>
      </w:r>
    </w:p>
    <w:p>
      <w:pPr>
        <w:spacing w:after="0" w:line="212" w:lineRule="exact"/>
        <w:rPr>
          <w:sz w:val="20"/>
          <w:szCs w:val="20"/>
          <w:color w:val="auto"/>
        </w:rPr>
      </w:pPr>
    </w:p>
    <w:p>
      <w:pPr>
        <w:jc w:val="both"/>
        <w:ind w:firstLine="599"/>
        <w:spacing w:after="0" w:line="266" w:lineRule="auto"/>
        <w:tabs>
          <w:tab w:leader="none" w:pos="1432"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the Borrower shall be permitted to declare and pay other Restricted Payments;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 Event of Default under </w:t>
      </w:r>
      <w:r>
        <w:rPr>
          <w:rFonts w:ascii="Arial" w:cs="Arial" w:eastAsia="Arial" w:hAnsi="Arial"/>
          <w:sz w:val="19"/>
          <w:szCs w:val="19"/>
          <w:u w:val="single" w:color="auto"/>
          <w:color w:val="auto"/>
        </w:rPr>
        <w:t>Section 8.01(a)</w:t>
      </w:r>
      <w:r>
        <w:rPr>
          <w:rFonts w:ascii="Arial" w:cs="Arial" w:eastAsia="Arial" w:hAnsi="Arial"/>
          <w:sz w:val="19"/>
          <w:szCs w:val="19"/>
          <w:color w:val="auto"/>
        </w:rPr>
        <w:t xml:space="preserve"> shall have occurred and be continuing or would result therefrom, the Borrower’s ability to declare and make cash Restricted Payments under this clause (d) shall be limited to pro rata cash dividends on its Equity Interests and pro rata cash distributions with respect thereto in an amount that will result in the REIT receiving the minimum amount of funds required to be distributed to its equity holders in order for the REIT to maintain its status as a Real Estate Investment Trust for federal and state income tax purposes and avoid the payment of federal and state income taxes and excise taxes and (ii) the Borrower shall not be permitted to make cash Restricted Payments under this clause (d) following (1) the acceleration of the Obligations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or (2) the occurrence of any Event of Default under </w:t>
      </w:r>
      <w:r>
        <w:rPr>
          <w:rFonts w:ascii="Arial" w:cs="Arial" w:eastAsia="Arial" w:hAnsi="Arial"/>
          <w:sz w:val="19"/>
          <w:szCs w:val="19"/>
          <w:u w:val="single" w:color="auto"/>
          <w:color w:val="auto"/>
        </w:rPr>
        <w:t>Section 8.01(f)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with respect to the Borrower or the REIT; and</w:t>
      </w:r>
    </w:p>
    <w:p>
      <w:pPr>
        <w:spacing w:after="0" w:line="198" w:lineRule="exact"/>
        <w:rPr>
          <w:rFonts w:ascii="Arial" w:cs="Arial" w:eastAsia="Arial" w:hAnsi="Arial"/>
          <w:sz w:val="19"/>
          <w:szCs w:val="19"/>
          <w:color w:val="auto"/>
        </w:rPr>
      </w:pPr>
    </w:p>
    <w:p>
      <w:pPr>
        <w:ind w:firstLine="599"/>
        <w:spacing w:after="0" w:line="272" w:lineRule="auto"/>
        <w:tabs>
          <w:tab w:leader="none" w:pos="1421" w:val="left"/>
        </w:tabs>
        <w:numPr>
          <w:ilvl w:val="0"/>
          <w:numId w:val="138"/>
        </w:numPr>
        <w:rPr>
          <w:rFonts w:ascii="Arial" w:cs="Arial" w:eastAsia="Arial" w:hAnsi="Arial"/>
          <w:sz w:val="20"/>
          <w:szCs w:val="20"/>
          <w:color w:val="auto"/>
        </w:rPr>
      </w:pPr>
      <w:r>
        <w:rPr>
          <w:rFonts w:ascii="Arial" w:cs="Arial" w:eastAsia="Arial" w:hAnsi="Arial"/>
          <w:sz w:val="20"/>
          <w:szCs w:val="20"/>
          <w:color w:val="auto"/>
        </w:rPr>
        <w:t xml:space="preserve">the REIT shall be permitted to dividend or distribute to the holders of its Equity Interests any amounts received by the REIT pursuant to </w:t>
      </w:r>
      <w:r>
        <w:rPr>
          <w:rFonts w:ascii="Arial" w:cs="Arial" w:eastAsia="Arial" w:hAnsi="Arial"/>
          <w:sz w:val="20"/>
          <w:szCs w:val="20"/>
          <w:u w:val="single" w:color="auto"/>
          <w:color w:val="auto"/>
        </w:rPr>
        <w:t>Section 7.06(d)</w:t>
      </w:r>
      <w:r>
        <w:rPr>
          <w:rFonts w:ascii="Arial" w:cs="Arial" w:eastAsia="Arial" w:hAnsi="Arial"/>
          <w:sz w:val="20"/>
          <w:szCs w:val="20"/>
          <w:color w:val="auto"/>
        </w:rPr>
        <w:t>.</w:t>
      </w:r>
    </w:p>
    <w:p>
      <w:pPr>
        <w:spacing w:after="0" w:line="191"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 xml:space="preserve">7.07. </w:t>
      </w:r>
      <w:r>
        <w:rPr>
          <w:rFonts w:ascii="Arial" w:cs="Arial" w:eastAsia="Arial" w:hAnsi="Arial"/>
          <w:sz w:val="20"/>
          <w:szCs w:val="20"/>
          <w:u w:val="single" w:color="auto"/>
          <w:color w:val="auto"/>
        </w:rPr>
        <w:t>Change in Nature of Business</w:t>
      </w:r>
      <w:r>
        <w:rPr>
          <w:rFonts w:ascii="Arial" w:cs="Arial" w:eastAsia="Arial" w:hAnsi="Arial"/>
          <w:sz w:val="20"/>
          <w:szCs w:val="20"/>
          <w:color w:val="auto"/>
        </w:rPr>
        <w:t>. Engage in any material line of business substantially different from those lines of business conducted by the REIT, the Borrower and their respective Subsidiaries on the Restatement Effective Date or any business substantially related or incidental thereto.</w:t>
      </w:r>
    </w:p>
    <w:p>
      <w:pPr>
        <w:spacing w:after="0" w:line="202" w:lineRule="exact"/>
        <w:rPr>
          <w:sz w:val="20"/>
          <w:szCs w:val="20"/>
          <w:color w:val="auto"/>
        </w:rPr>
      </w:pPr>
    </w:p>
    <w:p>
      <w:pPr>
        <w:jc w:val="both"/>
        <w:ind w:firstLine="599"/>
        <w:spacing w:after="0" w:line="252" w:lineRule="auto"/>
        <w:rPr>
          <w:sz w:val="20"/>
          <w:szCs w:val="20"/>
          <w:color w:val="auto"/>
        </w:rPr>
      </w:pPr>
      <w:r>
        <w:rPr>
          <w:rFonts w:ascii="Arial" w:cs="Arial" w:eastAsia="Arial" w:hAnsi="Arial"/>
          <w:sz w:val="20"/>
          <w:szCs w:val="20"/>
          <w:color w:val="auto"/>
        </w:rPr>
        <w:t xml:space="preserve">7.08. </w:t>
      </w:r>
      <w:r>
        <w:rPr>
          <w:rFonts w:ascii="Arial" w:cs="Arial" w:eastAsia="Arial" w:hAnsi="Arial"/>
          <w:sz w:val="20"/>
          <w:szCs w:val="20"/>
          <w:u w:val="single" w:color="auto"/>
          <w:color w:val="auto"/>
        </w:rPr>
        <w:t>Transactions with Affiliates</w:t>
      </w:r>
      <w:r>
        <w:rPr>
          <w:rFonts w:ascii="Arial" w:cs="Arial" w:eastAsia="Arial" w:hAnsi="Arial"/>
          <w:sz w:val="20"/>
          <w:szCs w:val="20"/>
          <w:color w:val="auto"/>
        </w:rPr>
        <w:t xml:space="preserve">. Enter into any transaction of any kind with any Affiliate of the REIT, whether or not in the ordinary course of business, other than on fair and reasonable terms substantially as favorable to the REIT or a Subsidiary thereof as would be obtainable by the REIT or such Subsidiary at the time in a comparable arm’s length transaction with a Person other than an Affiliate;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restriction shall not apply to (i) transactions between or among any Loan Party and any Wholly Owned Subsidiary (ii) transactions between or among Subsidiaries that are not Wholly Owned Subsidiaries and (iii) Investments and Restricted Payments expressly permitted hereunder.</w:t>
      </w:r>
    </w:p>
    <w:p>
      <w:pPr>
        <w:spacing w:after="0" w:line="212" w:lineRule="exact"/>
        <w:rPr>
          <w:sz w:val="20"/>
          <w:szCs w:val="20"/>
          <w:color w:val="auto"/>
        </w:rPr>
      </w:pPr>
    </w:p>
    <w:p>
      <w:pPr>
        <w:jc w:val="both"/>
        <w:ind w:firstLine="599"/>
        <w:spacing w:after="0" w:line="280" w:lineRule="auto"/>
        <w:rPr>
          <w:sz w:val="20"/>
          <w:szCs w:val="20"/>
          <w:color w:val="auto"/>
        </w:rPr>
      </w:pPr>
      <w:r>
        <w:rPr>
          <w:rFonts w:ascii="Arial" w:cs="Arial" w:eastAsia="Arial" w:hAnsi="Arial"/>
          <w:sz w:val="18"/>
          <w:szCs w:val="18"/>
          <w:color w:val="auto"/>
        </w:rPr>
        <w:t xml:space="preserve">7.09. </w:t>
      </w:r>
      <w:r>
        <w:rPr>
          <w:rFonts w:ascii="Arial" w:cs="Arial" w:eastAsia="Arial" w:hAnsi="Arial"/>
          <w:sz w:val="18"/>
          <w:szCs w:val="18"/>
          <w:u w:val="single" w:color="auto"/>
          <w:color w:val="auto"/>
        </w:rPr>
        <w:t>Burdensome Agreements</w:t>
      </w:r>
      <w:r>
        <w:rPr>
          <w:rFonts w:ascii="Arial" w:cs="Arial" w:eastAsia="Arial" w:hAnsi="Arial"/>
          <w:sz w:val="18"/>
          <w:szCs w:val="18"/>
          <w:color w:val="auto"/>
        </w:rPr>
        <w:t xml:space="preserve">. Enter into any Contractual Obligation (other than this Agreement or any other Loan Document ) that limits the ability of (i) any Loan Party or any Wholly Owned Subsidiary of the Borrower that is a Direct Owner or Indirect Owner of an Unencumbered Eligible Property to make Restricted Payments to the REIT, the Borrower, any Guarantor or to otherwise transfer property to the Borrower or any Guarantor, (ii) the REIT or any other Guarantor to Guarantee the Indebtedness owed by the Borrower under this Agreement or (iii) any Loan Party or any Wholly Owned Subsidiary of the Borrower that is a Direct Owner or an Indirect Owner to create, incur, assume or suffer to exist Liens on Unencumbered Eligible Properties or the Equity Interests of any Direct Owner or Indirect Owner;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shall not prohibit (1) Permitted Unencumbered Property Liens and (2) customary restrictions on Liens, assignments and transfers of assets contained in leases, licenses and other Contractual Obligations entered into in the ordinary course of business that (x) do not prevent the grant of a Lien on any Unencumbered Eligible Property to secure the Obligations, (y) would not prevent a mortgagee of an Unencumbered Eligible Property from transferring such Unencumbered Eligible Property in the event such mortgagee were to foreclose on its Lien on such Portfolio Property and (z) do not materially impair or interfere in the use or</w:t>
      </w:r>
    </w:p>
    <w:p>
      <w:pPr>
        <w:spacing w:after="0" w:line="19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96</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color w:val="auto"/>
        </w:rPr>
        <w:t>operations of such assets or the Administrative Agent’s and the Lenders’ rights and remedies under the Loan Documents</w:t>
      </w:r>
      <w:r>
        <w:rPr>
          <w:rFonts w:ascii="Arial" w:cs="Arial" w:eastAsia="Arial" w:hAnsi="Arial"/>
          <w:sz w:val="20"/>
          <w:szCs w:val="20"/>
          <w:b w:val="1"/>
          <w:bCs w:val="1"/>
          <w:color w:val="auto"/>
        </w:rPr>
        <w:t>.</w:t>
      </w:r>
    </w:p>
    <w:p>
      <w:pPr>
        <w:spacing w:after="0" w:line="251"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 xml:space="preserve">7.10. </w:t>
      </w:r>
      <w:r>
        <w:rPr>
          <w:rFonts w:ascii="Arial" w:cs="Arial" w:eastAsia="Arial" w:hAnsi="Arial"/>
          <w:sz w:val="20"/>
          <w:szCs w:val="20"/>
          <w:u w:val="single" w:color="auto"/>
          <w:color w:val="auto"/>
        </w:rPr>
        <w:t>Use of Proceeds</w:t>
      </w:r>
      <w:r>
        <w:rPr>
          <w:rFonts w:ascii="Arial" w:cs="Arial" w:eastAsia="Arial" w:hAnsi="Arial"/>
          <w:sz w:val="20"/>
          <w:szCs w:val="20"/>
          <w:color w:val="auto"/>
        </w:rPr>
        <w:t>. 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202"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7.11.</w:t>
      </w:r>
      <w:r>
        <w:rPr>
          <w:sz w:val="20"/>
          <w:szCs w:val="20"/>
          <w:color w:val="auto"/>
        </w:rPr>
        <w:tab/>
      </w:r>
      <w:r>
        <w:rPr>
          <w:rFonts w:ascii="Arial" w:cs="Arial" w:eastAsia="Arial" w:hAnsi="Arial"/>
          <w:sz w:val="17"/>
          <w:szCs w:val="17"/>
          <w:u w:val="single" w:color="auto"/>
          <w:color w:val="auto"/>
        </w:rPr>
        <w:t>Financial Covenants.</w:t>
      </w:r>
    </w:p>
    <w:p>
      <w:pPr>
        <w:spacing w:after="0" w:line="245" w:lineRule="exact"/>
        <w:rPr>
          <w:sz w:val="20"/>
          <w:szCs w:val="20"/>
          <w:color w:val="auto"/>
        </w:rPr>
      </w:pPr>
    </w:p>
    <w:p>
      <w:pPr>
        <w:ind w:left="1420" w:hanging="821"/>
        <w:spacing w:after="0"/>
        <w:tabs>
          <w:tab w:leader="none" w:pos="142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Consolidated Secured Leverage Ratio</w:t>
      </w:r>
      <w:r>
        <w:rPr>
          <w:rFonts w:ascii="Arial" w:cs="Arial" w:eastAsia="Arial" w:hAnsi="Arial"/>
          <w:sz w:val="18"/>
          <w:szCs w:val="18"/>
          <w:color w:val="auto"/>
        </w:rPr>
        <w:t>. Permit the Consolidated Secured Leverage Ratio at any time to be greater 40%.</w:t>
      </w:r>
    </w:p>
    <w:p>
      <w:pPr>
        <w:spacing w:after="0" w:line="267" w:lineRule="exact"/>
        <w:rPr>
          <w:rFonts w:ascii="Arial" w:cs="Arial" w:eastAsia="Arial" w:hAnsi="Arial"/>
          <w:sz w:val="18"/>
          <w:szCs w:val="18"/>
          <w:color w:val="auto"/>
        </w:rPr>
      </w:pPr>
    </w:p>
    <w:p>
      <w:pPr>
        <w:ind w:left="1440" w:hanging="841"/>
        <w:spacing w:after="0"/>
        <w:tabs>
          <w:tab w:leader="none" w:pos="1440"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Consolidated Total Leverage Ratio</w:t>
      </w:r>
      <w:r>
        <w:rPr>
          <w:rFonts w:ascii="Arial" w:cs="Arial" w:eastAsia="Arial" w:hAnsi="Arial"/>
          <w:sz w:val="19"/>
          <w:szCs w:val="19"/>
          <w:color w:val="auto"/>
        </w:rPr>
        <w:t>. Permit the Consolidated Total Leverage Ratio at any time to be greater than 60%.</w:t>
      </w:r>
    </w:p>
    <w:p>
      <w:pPr>
        <w:spacing w:after="0" w:line="256" w:lineRule="exact"/>
        <w:rPr>
          <w:rFonts w:ascii="Arial" w:cs="Arial" w:eastAsia="Arial" w:hAnsi="Arial"/>
          <w:sz w:val="19"/>
          <w:szCs w:val="19"/>
          <w:color w:val="auto"/>
        </w:rPr>
      </w:pPr>
    </w:p>
    <w:p>
      <w:pPr>
        <w:ind w:firstLine="599"/>
        <w:spacing w:after="0" w:line="272" w:lineRule="auto"/>
        <w:tabs>
          <w:tab w:leader="none" w:pos="1421"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Consolidated Fixed Charge Coverage Ratio</w:t>
      </w:r>
      <w:r>
        <w:rPr>
          <w:rFonts w:ascii="Arial" w:cs="Arial" w:eastAsia="Arial" w:hAnsi="Arial"/>
          <w:sz w:val="20"/>
          <w:szCs w:val="20"/>
          <w:color w:val="auto"/>
        </w:rPr>
        <w:t>. Permit the Consolidated Fixed Charge Coverage Ratio as of the last day of any fiscal quarter of the REIT to be less than 1.50 to 1.00.</w:t>
      </w:r>
    </w:p>
    <w:p>
      <w:pPr>
        <w:spacing w:after="0" w:line="190" w:lineRule="exact"/>
        <w:rPr>
          <w:rFonts w:ascii="Arial" w:cs="Arial" w:eastAsia="Arial" w:hAnsi="Arial"/>
          <w:sz w:val="20"/>
          <w:szCs w:val="20"/>
          <w:color w:val="auto"/>
        </w:rPr>
      </w:pPr>
    </w:p>
    <w:p>
      <w:pPr>
        <w:ind w:firstLine="599"/>
        <w:spacing w:after="0" w:line="272" w:lineRule="auto"/>
        <w:tabs>
          <w:tab w:leader="none" w:pos="1432"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Consolidated Unsecured Interest Coverage Ratio</w:t>
      </w:r>
      <w:r>
        <w:rPr>
          <w:rFonts w:ascii="Arial" w:cs="Arial" w:eastAsia="Arial" w:hAnsi="Arial"/>
          <w:sz w:val="20"/>
          <w:szCs w:val="20"/>
          <w:color w:val="auto"/>
        </w:rPr>
        <w:t>. Permit the Consolidated Unsecured Interest Coverage Ratio as of the last day of any fiscal quarter of the REIT to be less than 1.75 to 1.00.</w:t>
      </w:r>
    </w:p>
    <w:p>
      <w:pPr>
        <w:spacing w:after="0" w:line="190" w:lineRule="exact"/>
        <w:rPr>
          <w:rFonts w:ascii="Arial" w:cs="Arial" w:eastAsia="Arial" w:hAnsi="Arial"/>
          <w:sz w:val="20"/>
          <w:szCs w:val="20"/>
          <w:color w:val="auto"/>
        </w:rPr>
      </w:pPr>
    </w:p>
    <w:p>
      <w:pPr>
        <w:ind w:left="1420" w:hanging="821"/>
        <w:spacing w:after="0"/>
        <w:tabs>
          <w:tab w:leader="none" w:pos="142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Consolidated Unsecured Leverage Ratio.</w:t>
      </w:r>
      <w:r>
        <w:rPr>
          <w:rFonts w:ascii="Arial" w:cs="Arial" w:eastAsia="Arial" w:hAnsi="Arial"/>
          <w:sz w:val="18"/>
          <w:szCs w:val="18"/>
          <w:color w:val="auto"/>
        </w:rPr>
        <w:t xml:space="preserve"> Permit the Consolidated Unsecured Leverage Ratio at any time to be greater than</w:t>
      </w:r>
    </w:p>
    <w:p>
      <w:pPr>
        <w:spacing w:after="0" w:line="4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60%.</w:t>
      </w:r>
    </w:p>
    <w:p>
      <w:pPr>
        <w:spacing w:after="0" w:line="229"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 xml:space="preserve">7.12. </w:t>
      </w:r>
      <w:r>
        <w:rPr>
          <w:rFonts w:ascii="Arial" w:cs="Arial" w:eastAsia="Arial" w:hAnsi="Arial"/>
          <w:sz w:val="20"/>
          <w:szCs w:val="20"/>
          <w:u w:val="single" w:color="auto"/>
          <w:color w:val="auto"/>
        </w:rPr>
        <w:t>Accounting Changes</w:t>
      </w:r>
      <w:r>
        <w:rPr>
          <w:rFonts w:ascii="Arial" w:cs="Arial" w:eastAsia="Arial" w:hAnsi="Arial"/>
          <w:sz w:val="20"/>
          <w:szCs w:val="20"/>
          <w:color w:val="auto"/>
        </w:rPr>
        <w:t>. Make any change in (a) accounting policies or reporting practices, except as required or permitted by GAAP, or (b) fiscal year.</w:t>
      </w:r>
    </w:p>
    <w:p>
      <w:pPr>
        <w:spacing w:after="0" w:line="191"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9"/>
          <w:szCs w:val="19"/>
          <w:color w:val="auto"/>
        </w:rPr>
        <w:t xml:space="preserve">7.13. </w:t>
      </w:r>
      <w:r>
        <w:rPr>
          <w:rFonts w:ascii="Arial" w:cs="Arial" w:eastAsia="Arial" w:hAnsi="Arial"/>
          <w:sz w:val="19"/>
          <w:szCs w:val="19"/>
          <w:u w:val="single" w:color="auto"/>
          <w:color w:val="auto"/>
        </w:rPr>
        <w:t>Amendment, Waivers and Terminations of Certain Agreements</w:t>
      </w:r>
      <w:r>
        <w:rPr>
          <w:rFonts w:ascii="Arial" w:cs="Arial" w:eastAsia="Arial" w:hAnsi="Arial"/>
          <w:sz w:val="19"/>
          <w:szCs w:val="19"/>
          <w:color w:val="auto"/>
        </w:rPr>
        <w:t xml:space="preserve">. Directly or indirectly, consent to, approve, authorize or otherwise suffer or permit (a) any amendment, change, cancellation, termination or waiver in any respect of (i) the terms of any Organization Document of any Loan Party or any Subsidiary thereof that owns or ground leases an Unencumbered Eligible Property, other than amendments, changes and modifications that are not adverse in any material respect to the REIT, any of the other Loan Parties, any Subsidiary thereof that owns or ground leases an Unencumbered Eligible Property, the Administrative Agent or the Lenders or (ii) the terms of any Contractual Obligation of any Loan Party or any Subsidiary thereof that owns or ground leases an Unencumbered Eligible Property, except as could not reasonably be expected to have a Material Adverse Effect or (b) any amendment, change or other modification in respect of the terms of the tax protection agreement set forth on </w:t>
      </w:r>
      <w:r>
        <w:rPr>
          <w:rFonts w:ascii="Arial" w:cs="Arial" w:eastAsia="Arial" w:hAnsi="Arial"/>
          <w:sz w:val="19"/>
          <w:szCs w:val="19"/>
          <w:u w:val="single" w:color="auto"/>
          <w:color w:val="auto"/>
        </w:rPr>
        <w:t>Schedule 5.11</w:t>
      </w:r>
      <w:r>
        <w:rPr>
          <w:rFonts w:ascii="Arial" w:cs="Arial" w:eastAsia="Arial" w:hAnsi="Arial"/>
          <w:sz w:val="19"/>
          <w:szCs w:val="19"/>
          <w:color w:val="auto"/>
        </w:rPr>
        <w:t>, other than amendments, changes and modifications that are not adverse to the REIT, any of the other Loan Parties, any Subsidiary thereof that owns or ground leases an Unencumbered Eligible Property, the Administrative Agent or the Lenders.</w:t>
      </w:r>
    </w:p>
    <w:p>
      <w:pPr>
        <w:spacing w:after="0" w:line="198"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20"/>
          <w:szCs w:val="20"/>
          <w:color w:val="auto"/>
        </w:rPr>
        <w:t xml:space="preserve">7.14. </w:t>
      </w:r>
      <w:r>
        <w:rPr>
          <w:rFonts w:ascii="Arial" w:cs="Arial" w:eastAsia="Arial" w:hAnsi="Arial"/>
          <w:sz w:val="20"/>
          <w:szCs w:val="20"/>
          <w:u w:val="single" w:color="auto"/>
          <w:color w:val="auto"/>
        </w:rPr>
        <w:t>Tax Sharing and Indemnification Agreements</w:t>
      </w:r>
      <w:r>
        <w:rPr>
          <w:rFonts w:ascii="Arial" w:cs="Arial" w:eastAsia="Arial" w:hAnsi="Arial"/>
          <w:sz w:val="20"/>
          <w:szCs w:val="20"/>
          <w:color w:val="auto"/>
        </w:rPr>
        <w:t xml:space="preserve">. Enter into any tax sharing, tax indemnification or other similar agreement, except for the tax protection agreement existing on the Restatement Effective Date and set forth on </w:t>
      </w:r>
      <w:r>
        <w:rPr>
          <w:rFonts w:ascii="Arial" w:cs="Arial" w:eastAsia="Arial" w:hAnsi="Arial"/>
          <w:sz w:val="20"/>
          <w:szCs w:val="20"/>
          <w:u w:val="single" w:color="auto"/>
          <w:color w:val="auto"/>
        </w:rPr>
        <w:t>Schedule 5.11</w:t>
      </w:r>
      <w:r>
        <w:rPr>
          <w:rFonts w:ascii="Arial" w:cs="Arial" w:eastAsia="Arial" w:hAnsi="Arial"/>
          <w:sz w:val="20"/>
          <w:szCs w:val="20"/>
          <w:color w:val="auto"/>
        </w:rPr>
        <w:t xml:space="preserve"> and any such other agreements entered into after the Restatement Effective Date that (i) are not materially more onerous on the Borrower than the agreement set forth on </w:t>
      </w:r>
      <w:r>
        <w:rPr>
          <w:rFonts w:ascii="Arial" w:cs="Arial" w:eastAsia="Arial" w:hAnsi="Arial"/>
          <w:sz w:val="20"/>
          <w:szCs w:val="20"/>
          <w:u w:val="single" w:color="auto"/>
          <w:color w:val="auto"/>
        </w:rPr>
        <w:t>Schedule 5.11</w:t>
      </w:r>
      <w:r>
        <w:rPr>
          <w:rFonts w:ascii="Arial" w:cs="Arial" w:eastAsia="Arial" w:hAnsi="Arial"/>
          <w:sz w:val="20"/>
          <w:szCs w:val="20"/>
          <w:color w:val="auto"/>
        </w:rPr>
        <w:t xml:space="preserve"> (as in effect on the Restatement Effective Date) and (ii) do not have terms, provisions, covenants, obligations, indemnification provisions or remedies that are materially more adverse to, or materially more burdensome on, the Borrower than those contained in the agreement set forth on </w:t>
      </w:r>
      <w:r>
        <w:rPr>
          <w:rFonts w:ascii="Arial" w:cs="Arial" w:eastAsia="Arial" w:hAnsi="Arial"/>
          <w:sz w:val="20"/>
          <w:szCs w:val="20"/>
          <w:u w:val="single" w:color="auto"/>
          <w:color w:val="auto"/>
        </w:rPr>
        <w:t>Schedule 5.11</w:t>
      </w:r>
      <w:r>
        <w:rPr>
          <w:rFonts w:ascii="Arial" w:cs="Arial" w:eastAsia="Arial" w:hAnsi="Arial"/>
          <w:sz w:val="20"/>
          <w:szCs w:val="20"/>
          <w:color w:val="auto"/>
        </w:rPr>
        <w:t xml:space="preserve"> (as in effect on the Restatement Effective Date); </w:t>
      </w:r>
      <w:r>
        <w:rPr>
          <w:rFonts w:ascii="Arial" w:cs="Arial" w:eastAsia="Arial" w:hAnsi="Arial"/>
          <w:sz w:val="20"/>
          <w:szCs w:val="20"/>
          <w:u w:val="single" w:color="auto"/>
          <w:color w:val="auto"/>
        </w:rPr>
        <w:t>provided</w:t>
      </w:r>
      <w:r>
        <w:rPr>
          <w:rFonts w:ascii="Arial" w:cs="Arial" w:eastAsia="Arial" w:hAnsi="Arial"/>
          <w:sz w:val="20"/>
          <w:szCs w:val="20"/>
          <w:color w:val="auto"/>
        </w:rPr>
        <w:t>, that in no event shall any Loan Party or Subsidiary thereof (other</w:t>
      </w:r>
    </w:p>
    <w:p>
      <w:pPr>
        <w:spacing w:after="0" w:line="21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97</w:t>
      </w:r>
      <w:r>
        <w:rPr>
          <w:rFonts w:ascii="MS PGothic" w:cs="MS PGothic" w:eastAsia="MS PGothic" w:hAnsi="MS PGothic"/>
          <w:sz w:val="20"/>
          <w:szCs w:val="20"/>
          <w:color w:val="auto"/>
        </w:rPr>
        <w:t>‑</w:t>
      </w:r>
    </w:p>
    <w:p>
      <w:pPr>
        <w:sectPr>
          <w:pgSz w:w="11900" w:h="16838" w:orient="portrait"/>
          <w:cols w:equalWidth="0" w:num="1">
            <w:col w:w="11420"/>
          </w:cols>
          <w:pgMar w:left="240" w:top="551" w:right="239" w:bottom="1440" w:gutter="0" w:footer="0" w:header="0"/>
        </w:sectPr>
      </w:pPr>
    </w:p>
    <w:bookmarkStart w:id="109" w:name="page110"/>
    <w:bookmarkEnd w:id="109"/>
    <w:p>
      <w:pPr>
        <w:jc w:val="both"/>
        <w:spacing w:after="0" w:line="272" w:lineRule="auto"/>
        <w:rPr>
          <w:sz w:val="20"/>
          <w:szCs w:val="20"/>
          <w:color w:val="auto"/>
        </w:rPr>
      </w:pPr>
      <w:r>
        <w:rPr>
          <w:rFonts w:ascii="Arial" w:cs="Arial" w:eastAsia="Arial" w:hAnsi="Arial"/>
          <w:sz w:val="20"/>
          <w:szCs w:val="20"/>
          <w:color w:val="auto"/>
        </w:rPr>
        <w:t>than the Borrower) (i) have any duties or obligations under any tax sharing, tax indemnification or other similar agreement or (ii) provide any Guarantee or other credit support of any kind with respect to any such agreement.</w:t>
      </w:r>
    </w:p>
    <w:p>
      <w:pPr>
        <w:spacing w:after="0" w:line="191" w:lineRule="exact"/>
        <w:rPr>
          <w:sz w:val="20"/>
          <w:szCs w:val="20"/>
          <w:color w:val="auto"/>
        </w:rPr>
      </w:pPr>
    </w:p>
    <w:p>
      <w:pPr>
        <w:jc w:val="both"/>
        <w:ind w:firstLine="599"/>
        <w:spacing w:after="0" w:line="270" w:lineRule="auto"/>
        <w:rPr>
          <w:sz w:val="20"/>
          <w:szCs w:val="20"/>
          <w:color w:val="auto"/>
        </w:rPr>
      </w:pPr>
      <w:r>
        <w:rPr>
          <w:rFonts w:ascii="Arial" w:cs="Arial" w:eastAsia="Arial" w:hAnsi="Arial"/>
          <w:sz w:val="19"/>
          <w:szCs w:val="19"/>
          <w:color w:val="auto"/>
        </w:rPr>
        <w:t xml:space="preserve">7.15. </w:t>
      </w:r>
      <w:r>
        <w:rPr>
          <w:rFonts w:ascii="Arial" w:cs="Arial" w:eastAsia="Arial" w:hAnsi="Arial"/>
          <w:sz w:val="19"/>
          <w:szCs w:val="19"/>
          <w:u w:val="single" w:color="auto"/>
          <w:color w:val="auto"/>
        </w:rPr>
        <w:t>Sanctions</w:t>
      </w:r>
      <w:r>
        <w:rPr>
          <w:rFonts w:ascii="Arial" w:cs="Arial" w:eastAsia="Arial" w:hAnsi="Arial"/>
          <w:sz w:val="19"/>
          <w:szCs w:val="19"/>
          <w:color w:val="auto"/>
        </w:rPr>
        <w:t>. Directly or indirectly, use the proceeds of any Credit Extension,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Bookrunner, Arranger, Administrative Agent, L/C Issuer, Swing Line Lender, or otherwise) of Sanctions.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EVENTS OF DEFAULT AND REMEDIES</w:t>
      </w:r>
    </w:p>
    <w:p>
      <w:pPr>
        <w:spacing w:after="0" w:line="229"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8.01.</w:t>
      </w:r>
      <w:r>
        <w:rPr>
          <w:sz w:val="20"/>
          <w:szCs w:val="20"/>
          <w:color w:val="auto"/>
        </w:rPr>
        <w:tab/>
      </w:r>
      <w:r>
        <w:rPr>
          <w:rFonts w:ascii="Arial" w:cs="Arial" w:eastAsia="Arial" w:hAnsi="Arial"/>
          <w:sz w:val="18"/>
          <w:szCs w:val="18"/>
          <w:u w:val="single" w:color="auto"/>
          <w:color w:val="auto"/>
        </w:rPr>
        <w:t>Events of Default</w:t>
      </w:r>
      <w:r>
        <w:rPr>
          <w:rFonts w:ascii="Arial" w:cs="Arial" w:eastAsia="Arial" w:hAnsi="Arial"/>
          <w:sz w:val="18"/>
          <w:szCs w:val="18"/>
          <w:color w:val="auto"/>
        </w:rPr>
        <w:t>. Any of the following shall constitute an Event of Default:</w:t>
      </w:r>
    </w:p>
    <w:p>
      <w:pPr>
        <w:spacing w:after="0" w:line="245" w:lineRule="exact"/>
        <w:rPr>
          <w:sz w:val="20"/>
          <w:szCs w:val="20"/>
          <w:color w:val="auto"/>
        </w:rPr>
      </w:pPr>
    </w:p>
    <w:p>
      <w:pPr>
        <w:jc w:val="both"/>
        <w:ind w:firstLine="599"/>
        <w:spacing w:after="0" w:line="293" w:lineRule="auto"/>
        <w:tabs>
          <w:tab w:leader="none" w:pos="1421"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The Borrower or any other Loan Party fails to (i) pay when and as required to be paid herein, any amount of principal of any Loan or any L/C Obligation or deposit any funds as Cash Collateral in respect of L/C Obligations, or (ii) pay within three Business Days after the same becomes due, any interest on any Loan or on any L/C Obligation, or any fee due hereunder, or (iii) pay within five Business Days after the same becomes due, any other amount payable hereunder or under any other Loan Document; or</w:t>
      </w:r>
    </w:p>
    <w:p>
      <w:pPr>
        <w:spacing w:after="0" w:line="175" w:lineRule="exact"/>
        <w:rPr>
          <w:rFonts w:ascii="Arial" w:cs="Arial" w:eastAsia="Arial" w:hAnsi="Arial"/>
          <w:sz w:val="18"/>
          <w:szCs w:val="18"/>
          <w:color w:val="auto"/>
        </w:rPr>
      </w:pPr>
    </w:p>
    <w:p>
      <w:pPr>
        <w:ind w:left="1440" w:hanging="841"/>
        <w:spacing w:after="0"/>
        <w:tabs>
          <w:tab w:leader="none" w:pos="14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The Borrower or the REIT fails to perform or observe any term, covenant or agreement contained in any of </w:t>
      </w:r>
      <w:r>
        <w:rPr>
          <w:rFonts w:ascii="Arial" w:cs="Arial" w:eastAsia="Arial" w:hAnsi="Arial"/>
          <w:sz w:val="18"/>
          <w:szCs w:val="18"/>
          <w:u w:val="single" w:color="auto"/>
          <w:color w:val="auto"/>
        </w:rPr>
        <w:t>Section 2.03(b)</w:t>
      </w:r>
    </w:p>
    <w:p>
      <w:pPr>
        <w:spacing w:after="0" w:line="46" w:lineRule="exact"/>
        <w:rPr>
          <w:rFonts w:ascii="Arial" w:cs="Arial" w:eastAsia="Arial" w:hAnsi="Arial"/>
          <w:sz w:val="18"/>
          <w:szCs w:val="18"/>
          <w:color w:val="auto"/>
        </w:rPr>
      </w:pPr>
    </w:p>
    <w:p>
      <w:pPr>
        <w:jc w:val="both"/>
        <w:spacing w:after="0" w:line="251" w:lineRule="auto"/>
        <w:rPr>
          <w:rFonts w:ascii="Arial" w:cs="Arial" w:eastAsia="Arial" w:hAnsi="Arial"/>
          <w:sz w:val="18"/>
          <w:szCs w:val="18"/>
          <w:color w:val="auto"/>
        </w:rPr>
      </w:pPr>
      <w:r>
        <w:rPr>
          <w:rFonts w:ascii="Arial" w:cs="Arial" w:eastAsia="Arial" w:hAnsi="Arial"/>
          <w:sz w:val="20"/>
          <w:szCs w:val="20"/>
          <w:u w:val="single" w:color="auto"/>
          <w:color w:val="auto"/>
        </w:rPr>
        <w:t>(v)</w:t>
      </w:r>
      <w:r>
        <w:rPr>
          <w:rFonts w:ascii="Arial" w:cs="Arial" w:eastAsia="Arial" w:hAnsi="Arial"/>
          <w:sz w:val="20"/>
          <w:szCs w:val="20"/>
          <w:color w:val="auto"/>
        </w:rPr>
        <w:t xml:space="preserve">, </w:t>
      </w:r>
      <w:r>
        <w:rPr>
          <w:rFonts w:ascii="Arial" w:cs="Arial" w:eastAsia="Arial" w:hAnsi="Arial"/>
          <w:sz w:val="20"/>
          <w:szCs w:val="20"/>
          <w:u w:val="single" w:color="auto"/>
          <w:color w:val="auto"/>
        </w:rPr>
        <w:t>6.01(a)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6.01(b)</w:t>
      </w:r>
      <w:r>
        <w:rPr>
          <w:rFonts w:ascii="Arial" w:cs="Arial" w:eastAsia="Arial" w:hAnsi="Arial"/>
          <w:sz w:val="20"/>
          <w:szCs w:val="20"/>
          <w:color w:val="auto"/>
        </w:rPr>
        <w:t xml:space="preserve">, </w:t>
      </w:r>
      <w:r>
        <w:rPr>
          <w:rFonts w:ascii="Arial" w:cs="Arial" w:eastAsia="Arial" w:hAnsi="Arial"/>
          <w:sz w:val="20"/>
          <w:szCs w:val="20"/>
          <w:u w:val="single" w:color="auto"/>
          <w:color w:val="auto"/>
        </w:rPr>
        <w:t>6.02</w:t>
      </w:r>
      <w:r>
        <w:rPr>
          <w:rFonts w:ascii="Arial" w:cs="Arial" w:eastAsia="Arial" w:hAnsi="Arial"/>
          <w:sz w:val="20"/>
          <w:szCs w:val="20"/>
          <w:color w:val="auto"/>
        </w:rPr>
        <w:t xml:space="preserve"> (other than </w:t>
      </w:r>
      <w:r>
        <w:rPr>
          <w:rFonts w:ascii="Arial" w:cs="Arial" w:eastAsia="Arial" w:hAnsi="Arial"/>
          <w:sz w:val="20"/>
          <w:szCs w:val="20"/>
          <w:u w:val="single" w:color="auto"/>
          <w:color w:val="auto"/>
        </w:rPr>
        <w:t>6.02(h)</w:t>
      </w:r>
      <w:r>
        <w:rPr>
          <w:rFonts w:ascii="Arial" w:cs="Arial" w:eastAsia="Arial" w:hAnsi="Arial"/>
          <w:sz w:val="20"/>
          <w:szCs w:val="20"/>
          <w:color w:val="auto"/>
        </w:rPr>
        <w:t xml:space="preserve">), </w:t>
      </w:r>
      <w:r>
        <w:rPr>
          <w:rFonts w:ascii="Arial" w:cs="Arial" w:eastAsia="Arial" w:hAnsi="Arial"/>
          <w:sz w:val="20"/>
          <w:szCs w:val="20"/>
          <w:u w:val="single" w:color="auto"/>
          <w:color w:val="auto"/>
        </w:rPr>
        <w:t>6.03</w:t>
      </w:r>
      <w:r>
        <w:rPr>
          <w:rFonts w:ascii="Arial" w:cs="Arial" w:eastAsia="Arial" w:hAnsi="Arial"/>
          <w:sz w:val="20"/>
          <w:szCs w:val="20"/>
          <w:color w:val="auto"/>
        </w:rPr>
        <w:t xml:space="preserve">, </w:t>
      </w:r>
      <w:r>
        <w:rPr>
          <w:rFonts w:ascii="Arial" w:cs="Arial" w:eastAsia="Arial" w:hAnsi="Arial"/>
          <w:sz w:val="20"/>
          <w:szCs w:val="20"/>
          <w:u w:val="single" w:color="auto"/>
          <w:color w:val="auto"/>
        </w:rPr>
        <w:t>6.05</w:t>
      </w:r>
      <w:r>
        <w:rPr>
          <w:rFonts w:ascii="Arial" w:cs="Arial" w:eastAsia="Arial" w:hAnsi="Arial"/>
          <w:sz w:val="20"/>
          <w:szCs w:val="20"/>
          <w:color w:val="auto"/>
        </w:rPr>
        <w:t xml:space="preserve"> (with respect to the existence of the Borrower, the REIT, each Direct Owner and each Indirect Owner), </w:t>
      </w:r>
      <w:r>
        <w:rPr>
          <w:rFonts w:ascii="Arial" w:cs="Arial" w:eastAsia="Arial" w:hAnsi="Arial"/>
          <w:sz w:val="20"/>
          <w:szCs w:val="20"/>
          <w:u w:val="single" w:color="auto"/>
          <w:color w:val="auto"/>
        </w:rPr>
        <w:t>6.07</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6.11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VII</w:t>
      </w:r>
      <w:r>
        <w:rPr>
          <w:rFonts w:ascii="Arial" w:cs="Arial" w:eastAsia="Arial" w:hAnsi="Arial"/>
          <w:sz w:val="20"/>
          <w:szCs w:val="20"/>
          <w:color w:val="auto"/>
        </w:rPr>
        <w:t>, or any of the Loan Parties fails to perform or observe any term, covenant or agreement contained in the Guaranty Agreement; or</w:t>
      </w:r>
    </w:p>
    <w:p>
      <w:pPr>
        <w:spacing w:after="0" w:line="211" w:lineRule="exact"/>
        <w:rPr>
          <w:rFonts w:ascii="Arial" w:cs="Arial" w:eastAsia="Arial" w:hAnsi="Arial"/>
          <w:sz w:val="18"/>
          <w:szCs w:val="18"/>
          <w:color w:val="auto"/>
        </w:rPr>
      </w:pPr>
    </w:p>
    <w:p>
      <w:pPr>
        <w:jc w:val="both"/>
        <w:ind w:firstLine="599"/>
        <w:spacing w:after="0" w:line="260" w:lineRule="auto"/>
        <w:tabs>
          <w:tab w:leader="none" w:pos="1421" w:val="left"/>
        </w:tabs>
        <w:numPr>
          <w:ilvl w:val="0"/>
          <w:numId w:val="140"/>
        </w:numPr>
        <w:rPr>
          <w:rFonts w:ascii="Arial" w:cs="Arial" w:eastAsia="Arial" w:hAnsi="Arial"/>
          <w:sz w:val="20"/>
          <w:szCs w:val="20"/>
          <w:color w:val="auto"/>
        </w:rPr>
      </w:pPr>
      <w:r>
        <w:rPr>
          <w:rFonts w:ascii="Arial" w:cs="Arial" w:eastAsia="Arial" w:hAnsi="Arial"/>
          <w:sz w:val="20"/>
          <w:szCs w:val="20"/>
          <w:u w:val="single" w:color="auto"/>
          <w:color w:val="auto"/>
        </w:rPr>
        <w:t>Other Defaults</w:t>
      </w:r>
      <w:r>
        <w:rPr>
          <w:rFonts w:ascii="Arial" w:cs="Arial" w:eastAsia="Arial" w:hAnsi="Arial"/>
          <w:sz w:val="20"/>
          <w:szCs w:val="20"/>
          <w:color w:val="auto"/>
        </w:rPr>
        <w:t xml:space="preserve">. Any Loan Party fails to perform or observe (i) the covenant set forth in </w:t>
      </w:r>
      <w:r>
        <w:rPr>
          <w:rFonts w:ascii="Arial" w:cs="Arial" w:eastAsia="Arial" w:hAnsi="Arial"/>
          <w:sz w:val="20"/>
          <w:szCs w:val="20"/>
          <w:u w:val="single" w:color="auto"/>
          <w:color w:val="auto"/>
        </w:rPr>
        <w:t>Section 6.12</w:t>
      </w:r>
      <w:r>
        <w:rPr>
          <w:rFonts w:ascii="Arial" w:cs="Arial" w:eastAsia="Arial" w:hAnsi="Arial"/>
          <w:sz w:val="20"/>
          <w:szCs w:val="20"/>
          <w:color w:val="auto"/>
        </w:rPr>
        <w:t xml:space="preserve">, and such failure continues for ten (10) Business Days or (ii) any other covenant or agreement (not specified in </w:t>
      </w:r>
      <w:r>
        <w:rPr>
          <w:rFonts w:ascii="Arial" w:cs="Arial" w:eastAsia="Arial" w:hAnsi="Arial"/>
          <w:sz w:val="20"/>
          <w:szCs w:val="20"/>
          <w:u w:val="single" w:color="auto"/>
          <w:color w:val="auto"/>
        </w:rPr>
        <w:t>Section 8.01(a)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(c)(i)</w:t>
      </w:r>
      <w:r>
        <w:rPr>
          <w:rFonts w:ascii="Arial" w:cs="Arial" w:eastAsia="Arial" w:hAnsi="Arial"/>
          <w:sz w:val="20"/>
          <w:szCs w:val="20"/>
          <w:color w:val="auto"/>
        </w:rPr>
        <w:t xml:space="preserve"> above) contained in any Loan Document on its part to be performed or observed and such failure continues for 30 days; or</w:t>
      </w:r>
    </w:p>
    <w:p>
      <w:pPr>
        <w:spacing w:after="0" w:line="201" w:lineRule="exact"/>
        <w:rPr>
          <w:rFonts w:ascii="Arial" w:cs="Arial" w:eastAsia="Arial" w:hAnsi="Arial"/>
          <w:sz w:val="20"/>
          <w:szCs w:val="20"/>
          <w:color w:val="auto"/>
        </w:rPr>
      </w:pPr>
    </w:p>
    <w:p>
      <w:pPr>
        <w:jc w:val="both"/>
        <w:ind w:firstLine="599"/>
        <w:spacing w:after="0" w:line="280" w:lineRule="auto"/>
        <w:tabs>
          <w:tab w:leader="none" w:pos="1432"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Any representation, warranty, certification or statement of fact made or deemed made by or on behalf of the Borrower or any other Loan Party herein, in any other Loan Document, or in any document delivered in connection herewith or therewith shall be incorrect or misleading in any material respect when made or deemed made; or</w:t>
      </w:r>
    </w:p>
    <w:p>
      <w:pPr>
        <w:spacing w:after="0" w:line="184" w:lineRule="exact"/>
        <w:rPr>
          <w:rFonts w:ascii="Arial" w:cs="Arial" w:eastAsia="Arial" w:hAnsi="Arial"/>
          <w:sz w:val="19"/>
          <w:szCs w:val="19"/>
          <w:color w:val="auto"/>
        </w:rPr>
      </w:pPr>
    </w:p>
    <w:p>
      <w:pPr>
        <w:jc w:val="both"/>
        <w:ind w:firstLine="599"/>
        <w:spacing w:after="0" w:line="284" w:lineRule="auto"/>
        <w:tabs>
          <w:tab w:leader="none" w:pos="1421"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Cross-Default</w:t>
      </w:r>
      <w:r>
        <w:rPr>
          <w:rFonts w:ascii="Arial" w:cs="Arial" w:eastAsia="Arial" w:hAnsi="Arial"/>
          <w:sz w:val="18"/>
          <w:szCs w:val="18"/>
          <w:color w:val="auto"/>
        </w:rPr>
        <w:t>. (i) Any Loan Party or any Subsidiary thereof (A) fails to make any payment when due (whether by scheduled maturity, required prepayment, acceleration, demand, or otherwise) in respect of (x) any Recourse Indebtedness (other than Indebtedness hereunder ) having an aggregate principal amount (including undrawn committed or available amounts and including amounts owing to all creditors under any combined or syndicated credit arrangement) of more than $25,000,000, or (y) any Non-Recourse Indebtedness having an aggregate principal amount (including undrawn committed or available amounts and including amounts owing to all creditors under any combined or syndicated credit arrangement) of more than $50,000,000 or (B) fails to observe or perform any other agreement or condition relating to any such Indebtedness or contained in any instrument or agreement evidencing, securing or relating thereto, or any</w:t>
      </w:r>
    </w:p>
    <w:p>
      <w:pPr>
        <w:spacing w:after="0" w:line="184"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98</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10" w:name="page111"/>
    <w:bookmarkEnd w:id="110"/>
    <w:p>
      <w:pPr>
        <w:jc w:val="both"/>
        <w:spacing w:after="0" w:line="273" w:lineRule="auto"/>
        <w:rPr>
          <w:sz w:val="20"/>
          <w:szCs w:val="20"/>
          <w:color w:val="auto"/>
        </w:rPr>
      </w:pPr>
      <w:r>
        <w:rPr>
          <w:rFonts w:ascii="Arial" w:cs="Arial" w:eastAsia="Arial" w:hAnsi="Arial"/>
          <w:sz w:val="19"/>
          <w:szCs w:val="19"/>
          <w:color w:val="auto"/>
        </w:rPr>
        <w:t>other event occurs, the effect of which default or other event is to cause, or to permit the holder or holders of such Indebtedness (or a trustee or agent on behalf of such holder or holders)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cash collateral in respect thereof to be demanded; or</w:t>
      </w:r>
    </w:p>
    <w:p>
      <w:pPr>
        <w:spacing w:after="0" w:line="192" w:lineRule="exact"/>
        <w:rPr>
          <w:sz w:val="20"/>
          <w:szCs w:val="20"/>
          <w:color w:val="auto"/>
        </w:rPr>
      </w:pPr>
    </w:p>
    <w:p>
      <w:pPr>
        <w:jc w:val="both"/>
        <w:ind w:firstLine="599"/>
        <w:spacing w:after="0" w:line="284" w:lineRule="auto"/>
        <w:tabs>
          <w:tab w:leader="none" w:pos="1399"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Insolvency Proceedings, Etc</w:t>
      </w:r>
      <w:r>
        <w:rPr>
          <w:rFonts w:ascii="Arial" w:cs="Arial" w:eastAsia="Arial" w:hAnsi="Arial"/>
          <w:sz w:val="18"/>
          <w:szCs w:val="18"/>
          <w:color w:val="auto"/>
        </w:rPr>
        <w:t>. Any Loan Party or any Significant Subsidiary thereof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83" w:lineRule="exact"/>
        <w:rPr>
          <w:rFonts w:ascii="Arial" w:cs="Arial" w:eastAsia="Arial" w:hAnsi="Arial"/>
          <w:sz w:val="18"/>
          <w:szCs w:val="18"/>
          <w:color w:val="auto"/>
        </w:rPr>
      </w:pPr>
    </w:p>
    <w:p>
      <w:pPr>
        <w:jc w:val="both"/>
        <w:ind w:firstLine="599"/>
        <w:spacing w:after="0" w:line="256" w:lineRule="auto"/>
        <w:tabs>
          <w:tab w:leader="none" w:pos="1432" w:val="left"/>
        </w:tabs>
        <w:numPr>
          <w:ilvl w:val="0"/>
          <w:numId w:val="141"/>
        </w:numPr>
        <w:rPr>
          <w:rFonts w:ascii="Arial" w:cs="Arial" w:eastAsia="Arial" w:hAnsi="Arial"/>
          <w:sz w:val="20"/>
          <w:szCs w:val="20"/>
          <w:color w:val="auto"/>
        </w:rPr>
      </w:pPr>
      <w:r>
        <w:rPr>
          <w:rFonts w:ascii="Arial" w:cs="Arial" w:eastAsia="Arial" w:hAnsi="Arial"/>
          <w:sz w:val="20"/>
          <w:szCs w:val="20"/>
          <w:u w:val="single" w:color="auto"/>
          <w:color w:val="auto"/>
        </w:rPr>
        <w:t>Inability to Pay Debts; Attachment</w:t>
      </w:r>
      <w:r>
        <w:rPr>
          <w:rFonts w:ascii="Arial" w:cs="Arial" w:eastAsia="Arial" w:hAnsi="Arial"/>
          <w:sz w:val="20"/>
          <w:szCs w:val="20"/>
          <w:color w:val="auto"/>
        </w:rPr>
        <w:t>. (i) Any Loan Party or any Significant Subsidiary thereof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30 days after its issue or levy; or</w:t>
      </w:r>
    </w:p>
    <w:p>
      <w:pPr>
        <w:spacing w:after="0" w:line="205" w:lineRule="exact"/>
        <w:rPr>
          <w:rFonts w:ascii="Arial" w:cs="Arial" w:eastAsia="Arial" w:hAnsi="Arial"/>
          <w:sz w:val="20"/>
          <w:szCs w:val="20"/>
          <w:color w:val="auto"/>
        </w:rPr>
      </w:pPr>
    </w:p>
    <w:p>
      <w:pPr>
        <w:jc w:val="both"/>
        <w:ind w:firstLine="599"/>
        <w:spacing w:after="0" w:line="267" w:lineRule="auto"/>
        <w:tabs>
          <w:tab w:leader="none" w:pos="1432"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Judgments</w:t>
      </w:r>
      <w:r>
        <w:rPr>
          <w:rFonts w:ascii="Arial" w:cs="Arial" w:eastAsia="Arial" w:hAnsi="Arial"/>
          <w:sz w:val="19"/>
          <w:szCs w:val="19"/>
          <w:color w:val="auto"/>
        </w:rPr>
        <w:t>. There is entered against any Loan Party or any Significant Subsidiary thereof (i) one or more final judgments or orders for the payment of money in an aggregate amount (as to all such judgments and orders) exceeding the Threshold Amount (to the extent not covered by independent third-party insurance as to which the insurer is rated at least “A” by A.M. Best Company, has been notified of the potential claim and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30 consecutive days during which a stay of enforcement of such judgment, by reason of a pending appeal or otherwise, is not in effect; or</w:t>
      </w:r>
    </w:p>
    <w:p>
      <w:pPr>
        <w:spacing w:after="0" w:line="196" w:lineRule="exact"/>
        <w:rPr>
          <w:rFonts w:ascii="Arial" w:cs="Arial" w:eastAsia="Arial" w:hAnsi="Arial"/>
          <w:sz w:val="19"/>
          <w:szCs w:val="19"/>
          <w:color w:val="auto"/>
        </w:rPr>
      </w:pPr>
    </w:p>
    <w:p>
      <w:pPr>
        <w:jc w:val="both"/>
        <w:ind w:firstLine="599"/>
        <w:spacing w:after="0" w:line="266" w:lineRule="auto"/>
        <w:tabs>
          <w:tab w:leader="none" w:pos="1387"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ERISA</w:t>
      </w:r>
      <w:r>
        <w:rPr>
          <w:rFonts w:ascii="Arial" w:cs="Arial" w:eastAsia="Arial" w:hAnsi="Arial"/>
          <w:sz w:val="19"/>
          <w:szCs w:val="19"/>
          <w:color w:val="auto"/>
        </w:rPr>
        <w:t>. (i) An ERISA Event occurs with respect to a Pension Plan which has resulted or could reasonably be expected to result in liability of any Loan Party or any Subsidiary thereof to the Pension Plan or the PBGC in an aggregate amount in excess of the Threshold Amount, (ii) any Loan Party or any ERISA Affiliate fails to pay when due, after the expiration of any applicable grace period, any installment payment with respect to its withdrawal liability under Section 4201 of ERISA under a Multiemployer Plan in an aggregate amount in excess of the Threshold Amount, or (iii) an ERISA Event occurs with respect to a Multiemployer Plan which has resulted or could reasonably be expected to result in an annual liability of any Loan Party or any Subsidiary thereof to the Multiemployer Plan or the PBGC in an aggregate amount in excess of the Threshold Amount or which, in the context of such continuing annual liability, otherwise has, or could reasonably be expect to result in, a Material Adverse Effect; or</w:t>
      </w:r>
    </w:p>
    <w:p>
      <w:pPr>
        <w:spacing w:after="0" w:line="198" w:lineRule="exact"/>
        <w:rPr>
          <w:rFonts w:ascii="Arial" w:cs="Arial" w:eastAsia="Arial" w:hAnsi="Arial"/>
          <w:sz w:val="19"/>
          <w:szCs w:val="19"/>
          <w:color w:val="auto"/>
        </w:rPr>
      </w:pPr>
    </w:p>
    <w:p>
      <w:pPr>
        <w:jc w:val="both"/>
        <w:ind w:firstLine="599"/>
        <w:spacing w:after="0" w:line="253" w:lineRule="auto"/>
        <w:tabs>
          <w:tab w:leader="none" w:pos="1387" w:val="left"/>
        </w:tabs>
        <w:numPr>
          <w:ilvl w:val="0"/>
          <w:numId w:val="141"/>
        </w:numPr>
        <w:rPr>
          <w:rFonts w:ascii="Arial" w:cs="Arial" w:eastAsia="Arial" w:hAnsi="Arial"/>
          <w:sz w:val="20"/>
          <w:szCs w:val="20"/>
          <w:color w:val="auto"/>
        </w:rPr>
      </w:pPr>
      <w:r>
        <w:rPr>
          <w:rFonts w:ascii="Arial" w:cs="Arial" w:eastAsia="Arial" w:hAnsi="Arial"/>
          <w:sz w:val="20"/>
          <w:szCs w:val="20"/>
          <w:u w:val="single" w:color="auto"/>
          <w:color w:val="auto"/>
        </w:rPr>
        <w:t>Invalidity of Loan Documents</w:t>
      </w:r>
      <w:r>
        <w:rPr>
          <w:rFonts w:ascii="Arial" w:cs="Arial" w:eastAsia="Arial" w:hAnsi="Arial"/>
          <w:sz w:val="20"/>
          <w:szCs w:val="20"/>
          <w:color w:val="auto"/>
        </w:rPr>
        <w:t>. Any material provision of any Loan Document, at any time after its execution and delivery and for any reason other than as expressly permitted hereunder or thereunder or satisfaction in full of all the Obligations, ceases to be in full force and effect; or any Loan Party or any other Person contests in any manner the validity or enforceability of any provision of any Loan Document; or any Loan Party denies that it has any or further liability or obligation under any provision of any Loan Document, or purports to revoke, terminate or rescind any provision of any Loan Document; or</w:t>
      </w:r>
    </w:p>
    <w:p>
      <w:pPr>
        <w:spacing w:after="0" w:line="21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99</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11" w:name="page112"/>
    <w:bookmarkEnd w:id="111"/>
    <w:p>
      <w:pPr>
        <w:ind w:left="1440" w:hanging="841"/>
        <w:spacing w:after="0"/>
        <w:tabs>
          <w:tab w:leader="none" w:pos="1440"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There occurs any Change of Control; or</w:t>
      </w:r>
    </w:p>
    <w:p>
      <w:pPr>
        <w:spacing w:after="0" w:line="244" w:lineRule="exact"/>
        <w:rPr>
          <w:rFonts w:ascii="Arial" w:cs="Arial" w:eastAsia="Arial" w:hAnsi="Arial"/>
          <w:sz w:val="20"/>
          <w:szCs w:val="20"/>
          <w:color w:val="auto"/>
        </w:rPr>
      </w:pPr>
    </w:p>
    <w:p>
      <w:pPr>
        <w:ind w:firstLine="599"/>
        <w:spacing w:after="0" w:line="272" w:lineRule="auto"/>
        <w:tabs>
          <w:tab w:leader="none" w:pos="1387"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REIT Status.</w:t>
      </w:r>
      <w:r>
        <w:rPr>
          <w:rFonts w:ascii="Arial" w:cs="Arial" w:eastAsia="Arial" w:hAnsi="Arial"/>
          <w:sz w:val="20"/>
          <w:szCs w:val="20"/>
          <w:color w:val="auto"/>
        </w:rPr>
        <w:t xml:space="preserve"> The REIT shall, for any reason, fail to maintain its status as a Real Estate Investment Trust, after taking into account any cure provisions set forth in the Code that are complied with by the REIT.</w:t>
      </w:r>
    </w:p>
    <w:p>
      <w:pPr>
        <w:spacing w:after="0" w:line="191" w:lineRule="exact"/>
        <w:rPr>
          <w:sz w:val="20"/>
          <w:szCs w:val="20"/>
          <w:color w:val="auto"/>
        </w:rPr>
      </w:pPr>
    </w:p>
    <w:p>
      <w:pPr>
        <w:ind w:firstLine="599"/>
        <w:spacing w:after="0" w:line="272" w:lineRule="auto"/>
        <w:rPr>
          <w:sz w:val="20"/>
          <w:szCs w:val="20"/>
          <w:color w:val="auto"/>
        </w:rPr>
      </w:pPr>
      <w:r>
        <w:rPr>
          <w:rFonts w:ascii="Arial" w:cs="Arial" w:eastAsia="Arial" w:hAnsi="Arial"/>
          <w:sz w:val="20"/>
          <w:szCs w:val="20"/>
          <w:color w:val="auto"/>
        </w:rPr>
        <w:t xml:space="preserve">8.02. </w:t>
      </w:r>
      <w:r>
        <w:rPr>
          <w:rFonts w:ascii="Arial" w:cs="Arial" w:eastAsia="Arial" w:hAnsi="Arial"/>
          <w:sz w:val="20"/>
          <w:szCs w:val="20"/>
          <w:u w:val="single" w:color="auto"/>
          <w:color w:val="auto"/>
        </w:rPr>
        <w:t>Remedies upon Event of Default</w:t>
      </w:r>
      <w:r>
        <w:rPr>
          <w:rFonts w:ascii="Arial" w:cs="Arial" w:eastAsia="Arial" w:hAnsi="Arial"/>
          <w:sz w:val="20"/>
          <w:szCs w:val="20"/>
          <w:color w:val="auto"/>
        </w:rPr>
        <w:t>. If any Event of Default occurs and is continuing, the Administrative Agent shall, at the request of, or may, with the consent of, the Required Lenders, take any or all of the following actions:</w:t>
      </w:r>
    </w:p>
    <w:p>
      <w:pPr>
        <w:spacing w:after="0" w:line="191" w:lineRule="exact"/>
        <w:rPr>
          <w:sz w:val="20"/>
          <w:szCs w:val="20"/>
          <w:color w:val="auto"/>
        </w:rPr>
      </w:pPr>
    </w:p>
    <w:p>
      <w:pPr>
        <w:ind w:firstLine="599"/>
        <w:spacing w:after="0" w:line="272" w:lineRule="auto"/>
        <w:tabs>
          <w:tab w:leader="none" w:pos="1421" w:val="left"/>
        </w:tabs>
        <w:numPr>
          <w:ilvl w:val="0"/>
          <w:numId w:val="143"/>
        </w:numPr>
        <w:rPr>
          <w:rFonts w:ascii="Arial" w:cs="Arial" w:eastAsia="Arial" w:hAnsi="Arial"/>
          <w:sz w:val="20"/>
          <w:szCs w:val="20"/>
          <w:color w:val="auto"/>
        </w:rPr>
      </w:pPr>
      <w:r>
        <w:rPr>
          <w:rFonts w:ascii="Arial" w:cs="Arial" w:eastAsia="Arial" w:hAnsi="Arial"/>
          <w:sz w:val="20"/>
          <w:szCs w:val="20"/>
          <w:color w:val="auto"/>
        </w:rPr>
        <w:t>declare the commitment of each Lender to make Loans and any obligation of the L/C Issuers to make L/C Credit Extensions to be terminated, whereupon such commitments and obligation shall be terminated;</w:t>
      </w:r>
    </w:p>
    <w:p>
      <w:pPr>
        <w:spacing w:after="0" w:line="190" w:lineRule="exact"/>
        <w:rPr>
          <w:rFonts w:ascii="Arial" w:cs="Arial" w:eastAsia="Arial" w:hAnsi="Arial"/>
          <w:sz w:val="20"/>
          <w:szCs w:val="20"/>
          <w:color w:val="auto"/>
        </w:rPr>
      </w:pPr>
    </w:p>
    <w:p>
      <w:pPr>
        <w:jc w:val="both"/>
        <w:ind w:firstLine="599"/>
        <w:spacing w:after="0" w:line="260" w:lineRule="auto"/>
        <w:tabs>
          <w:tab w:leader="none" w:pos="1432" w:val="left"/>
        </w:tabs>
        <w:numPr>
          <w:ilvl w:val="0"/>
          <w:numId w:val="143"/>
        </w:numPr>
        <w:rPr>
          <w:rFonts w:ascii="Arial" w:cs="Arial" w:eastAsia="Arial" w:hAnsi="Arial"/>
          <w:sz w:val="20"/>
          <w:szCs w:val="20"/>
          <w:color w:val="auto"/>
        </w:rPr>
      </w:pPr>
      <w:r>
        <w:rPr>
          <w:rFonts w:ascii="Arial" w:cs="Arial" w:eastAsia="Arial" w:hAnsi="Arial"/>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201" w:lineRule="exact"/>
        <w:rPr>
          <w:rFonts w:ascii="Arial" w:cs="Arial" w:eastAsia="Arial" w:hAnsi="Arial"/>
          <w:sz w:val="20"/>
          <w:szCs w:val="20"/>
          <w:color w:val="auto"/>
        </w:rPr>
      </w:pPr>
    </w:p>
    <w:p>
      <w:pPr>
        <w:ind w:firstLine="599"/>
        <w:spacing w:after="0" w:line="272" w:lineRule="auto"/>
        <w:tabs>
          <w:tab w:leader="none" w:pos="1421" w:val="left"/>
        </w:tabs>
        <w:numPr>
          <w:ilvl w:val="0"/>
          <w:numId w:val="143"/>
        </w:numPr>
        <w:rPr>
          <w:rFonts w:ascii="Arial" w:cs="Arial" w:eastAsia="Arial" w:hAnsi="Arial"/>
          <w:sz w:val="20"/>
          <w:szCs w:val="20"/>
          <w:color w:val="auto"/>
        </w:rPr>
      </w:pPr>
      <w:r>
        <w:rPr>
          <w:rFonts w:ascii="Arial" w:cs="Arial" w:eastAsia="Arial" w:hAnsi="Arial"/>
          <w:sz w:val="20"/>
          <w:szCs w:val="20"/>
          <w:color w:val="auto"/>
        </w:rPr>
        <w:t>require that the Borrower Cash Collateralize the L/C Obligations (in an amount equal to the Minimum Collateral Amount with respect thereto); and</w:t>
      </w:r>
    </w:p>
    <w:p>
      <w:pPr>
        <w:spacing w:after="0" w:line="190" w:lineRule="exact"/>
        <w:rPr>
          <w:rFonts w:ascii="Arial" w:cs="Arial" w:eastAsia="Arial" w:hAnsi="Arial"/>
          <w:sz w:val="20"/>
          <w:szCs w:val="20"/>
          <w:color w:val="auto"/>
        </w:rPr>
      </w:pPr>
    </w:p>
    <w:p>
      <w:pPr>
        <w:ind w:firstLine="599"/>
        <w:spacing w:after="0" w:line="272" w:lineRule="auto"/>
        <w:tabs>
          <w:tab w:leader="none" w:pos="1432" w:val="left"/>
        </w:tabs>
        <w:numPr>
          <w:ilvl w:val="0"/>
          <w:numId w:val="143"/>
        </w:numPr>
        <w:rPr>
          <w:rFonts w:ascii="Arial" w:cs="Arial" w:eastAsia="Arial" w:hAnsi="Arial"/>
          <w:sz w:val="20"/>
          <w:szCs w:val="20"/>
          <w:color w:val="auto"/>
        </w:rPr>
      </w:pPr>
      <w:r>
        <w:rPr>
          <w:rFonts w:ascii="Arial" w:cs="Arial" w:eastAsia="Arial" w:hAnsi="Arial"/>
          <w:sz w:val="20"/>
          <w:szCs w:val="20"/>
          <w:color w:val="auto"/>
        </w:rPr>
        <w:t>exercise on behalf of itself, the Lenders and the L/C Issuers all rights and remedies available to it, the Lenders and the L/C Issuers under the Loan Documents;</w:t>
      </w:r>
    </w:p>
    <w:p>
      <w:pPr>
        <w:spacing w:after="0" w:line="191" w:lineRule="exact"/>
        <w:rPr>
          <w:sz w:val="20"/>
          <w:szCs w:val="20"/>
          <w:color w:val="auto"/>
        </w:rPr>
      </w:pPr>
    </w:p>
    <w:p>
      <w:pPr>
        <w:jc w:val="both"/>
        <w:spacing w:after="0" w:line="270"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upon the occurrence of an actual or deemed entry of an order for relief with respect to the Borrower under the Bankruptcy Code of the United States, the obligation of each Lender to make Loans and any obligation of the L/C Issuers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57"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 xml:space="preserve">8.03. </w:t>
      </w:r>
      <w:r>
        <w:rPr>
          <w:rFonts w:ascii="Arial" w:cs="Arial" w:eastAsia="Arial" w:hAnsi="Arial"/>
          <w:sz w:val="20"/>
          <w:szCs w:val="20"/>
          <w:u w:val="single" w:color="auto"/>
          <w:color w:val="auto"/>
        </w:rPr>
        <w:t>Application of Funds</w:t>
      </w:r>
      <w:r>
        <w:rPr>
          <w:rFonts w:ascii="Arial" w:cs="Arial" w:eastAsia="Arial" w:hAnsi="Arial"/>
          <w:sz w:val="20"/>
          <w:szCs w:val="20"/>
          <w:color w:val="auto"/>
        </w:rPr>
        <w:t xml:space="preserve">. After the exercise of remedies provided for in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any amounts received on account of the Obligations shall, subject to the provisions of </w:t>
      </w:r>
      <w:r>
        <w:rPr>
          <w:rFonts w:ascii="Arial" w:cs="Arial" w:eastAsia="Arial" w:hAnsi="Arial"/>
          <w:sz w:val="20"/>
          <w:szCs w:val="20"/>
          <w:u w:val="single" w:color="auto"/>
          <w:color w:val="auto"/>
        </w:rPr>
        <w:t>Sections 2.18</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2.19</w:t>
      </w:r>
      <w:r>
        <w:rPr>
          <w:rFonts w:ascii="Arial" w:cs="Arial" w:eastAsia="Arial" w:hAnsi="Arial"/>
          <w:sz w:val="20"/>
          <w:szCs w:val="20"/>
          <w:color w:val="auto"/>
        </w:rPr>
        <w:t>, be applied by the Administrative Agent in the following order:</w:t>
      </w:r>
    </w:p>
    <w:p>
      <w:pPr>
        <w:spacing w:after="0" w:line="205" w:lineRule="exact"/>
        <w:rPr>
          <w:sz w:val="20"/>
          <w:szCs w:val="20"/>
          <w:color w:val="auto"/>
        </w:rPr>
      </w:pPr>
    </w:p>
    <w:p>
      <w:pPr>
        <w:jc w:val="both"/>
        <w:ind w:left="600" w:firstLine="600"/>
        <w:spacing w:after="0" w:line="260"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payable to the Administrative Agent in its capacity as such;</w:t>
      </w:r>
    </w:p>
    <w:p>
      <w:pPr>
        <w:spacing w:after="0" w:line="164" w:lineRule="exact"/>
        <w:rPr>
          <w:sz w:val="20"/>
          <w:szCs w:val="20"/>
          <w:color w:val="auto"/>
        </w:rPr>
      </w:pPr>
    </w:p>
    <w:p>
      <w:pPr>
        <w:jc w:val="both"/>
        <w:ind w:left="600" w:firstLine="600"/>
        <w:spacing w:after="0" w:line="293"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Obligations constituting fees, indemnities and other amounts (other than principal, interest and Letter of Credit Fees) payable to the Lenders and the L/C Issuers (including fees, charges and disbursements of counsel to the respective Lenders and the L/C Issuers arising under the Loan Documents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ratably among them in proportion to the respective amounts described in this clause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payable to them;</w:t>
      </w:r>
    </w:p>
    <w:p>
      <w:pPr>
        <w:spacing w:after="0" w:line="376"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100</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112" w:name="page113"/>
    <w:bookmarkEnd w:id="112"/>
    <w:p>
      <w:pPr>
        <w:jc w:val="both"/>
        <w:ind w:left="600" w:firstLine="600"/>
        <w:spacing w:after="0" w:line="260"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xml:space="preserve">, to payment of that portion of the Obligations constituting accrued and unpaid Letter of Credit Fees and interest on the Loans and L/C Borrowings, ratably among the Lenders and the L/C Issuers in proportion to the respective amounts described in this clause </w:t>
      </w:r>
      <w:r>
        <w:rPr>
          <w:rFonts w:ascii="Arial" w:cs="Arial" w:eastAsia="Arial" w:hAnsi="Arial"/>
          <w:sz w:val="20"/>
          <w:szCs w:val="20"/>
          <w:u w:val="single" w:color="auto"/>
          <w:color w:val="auto"/>
        </w:rPr>
        <w:t>Third</w:t>
      </w:r>
      <w:r>
        <w:rPr>
          <w:rFonts w:ascii="Arial" w:cs="Arial" w:eastAsia="Arial" w:hAnsi="Arial"/>
          <w:sz w:val="20"/>
          <w:szCs w:val="20"/>
          <w:color w:val="auto"/>
        </w:rPr>
        <w:t xml:space="preserve"> payable to them;</w:t>
      </w:r>
    </w:p>
    <w:p>
      <w:pPr>
        <w:spacing w:after="0" w:line="164" w:lineRule="exact"/>
        <w:rPr>
          <w:sz w:val="20"/>
          <w:szCs w:val="20"/>
          <w:color w:val="auto"/>
        </w:rPr>
      </w:pPr>
    </w:p>
    <w:p>
      <w:pPr>
        <w:jc w:val="both"/>
        <w:ind w:left="600" w:firstLine="600"/>
        <w:spacing w:after="0" w:line="329"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unpaid principal of the Loans and L/C Borrowings, ratably among the Lenders and the L/C Issuers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w:t>
      </w:r>
    </w:p>
    <w:p>
      <w:pPr>
        <w:spacing w:after="0" w:line="107" w:lineRule="exact"/>
        <w:rPr>
          <w:sz w:val="20"/>
          <w:szCs w:val="20"/>
          <w:color w:val="auto"/>
        </w:rPr>
      </w:pPr>
    </w:p>
    <w:p>
      <w:pPr>
        <w:jc w:val="both"/>
        <w:ind w:left="600" w:firstLine="600"/>
        <w:spacing w:after="0" w:line="272" w:lineRule="auto"/>
        <w:rPr>
          <w:sz w:val="20"/>
          <w:szCs w:val="20"/>
          <w:color w:val="auto"/>
        </w:rPr>
      </w:pPr>
      <w:r>
        <w:rPr>
          <w:rFonts w:ascii="Arial" w:cs="Arial" w:eastAsia="Arial" w:hAnsi="Arial"/>
          <w:sz w:val="20"/>
          <w:szCs w:val="20"/>
          <w:u w:val="single" w:color="auto"/>
          <w:color w:val="auto"/>
        </w:rPr>
        <w:t>Fifth</w:t>
      </w:r>
      <w:r>
        <w:rPr>
          <w:rFonts w:ascii="Arial" w:cs="Arial" w:eastAsia="Arial" w:hAnsi="Arial"/>
          <w:sz w:val="20"/>
          <w:szCs w:val="20"/>
          <w:color w:val="auto"/>
        </w:rPr>
        <w:t xml:space="preserve">, to the payment of any amounts remaining unpaid in respect of the Obligations (other than Obligations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Third</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Fourth</w:t>
      </w:r>
      <w:r>
        <w:rPr>
          <w:rFonts w:ascii="Arial" w:cs="Arial" w:eastAsia="Arial" w:hAnsi="Arial"/>
          <w:sz w:val="20"/>
          <w:szCs w:val="20"/>
          <w:color w:val="auto"/>
        </w:rPr>
        <w:t xml:space="preserve"> above);</w:t>
      </w:r>
    </w:p>
    <w:p>
      <w:pPr>
        <w:spacing w:after="0" w:line="153" w:lineRule="exact"/>
        <w:rPr>
          <w:sz w:val="20"/>
          <w:szCs w:val="20"/>
          <w:color w:val="auto"/>
        </w:rPr>
      </w:pPr>
    </w:p>
    <w:p>
      <w:pPr>
        <w:jc w:val="both"/>
        <w:ind w:left="600" w:firstLine="600"/>
        <w:spacing w:after="0" w:line="260" w:lineRule="auto"/>
        <w:rPr>
          <w:sz w:val="20"/>
          <w:szCs w:val="20"/>
          <w:color w:val="auto"/>
        </w:rPr>
      </w:pPr>
      <w:r>
        <w:rPr>
          <w:rFonts w:ascii="Arial" w:cs="Arial" w:eastAsia="Arial" w:hAnsi="Arial"/>
          <w:sz w:val="20"/>
          <w:szCs w:val="20"/>
          <w:u w:val="single" w:color="auto"/>
          <w:color w:val="auto"/>
        </w:rPr>
        <w:t>Sixth</w:t>
      </w:r>
      <w:r>
        <w:rPr>
          <w:rFonts w:ascii="Arial" w:cs="Arial" w:eastAsia="Arial" w:hAnsi="Arial"/>
          <w:sz w:val="20"/>
          <w:szCs w:val="20"/>
          <w:color w:val="auto"/>
        </w:rPr>
        <w:t xml:space="preserve">, to the Administrative Agent for the account of the L/C Issuers, to Cash Collateralize that portion of L/C Obligations comprised of the aggregate undrawn amount of Letters of Credit to the extent not otherwise Cash Collateralized by the Borrower pursuant to </w:t>
      </w:r>
      <w:r>
        <w:rPr>
          <w:rFonts w:ascii="Arial" w:cs="Arial" w:eastAsia="Arial" w:hAnsi="Arial"/>
          <w:sz w:val="20"/>
          <w:szCs w:val="20"/>
          <w:u w:val="single" w:color="auto"/>
          <w:color w:val="auto"/>
        </w:rPr>
        <w:t>Sections 2.03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2.18</w:t>
      </w:r>
      <w:r>
        <w:rPr>
          <w:rFonts w:ascii="Arial" w:cs="Arial" w:eastAsia="Arial" w:hAnsi="Arial"/>
          <w:sz w:val="20"/>
          <w:szCs w:val="20"/>
          <w:color w:val="auto"/>
        </w:rPr>
        <w:t>; and</w:t>
      </w:r>
    </w:p>
    <w:p>
      <w:pPr>
        <w:spacing w:after="0" w:line="164" w:lineRule="exact"/>
        <w:rPr>
          <w:sz w:val="20"/>
          <w:szCs w:val="20"/>
          <w:color w:val="auto"/>
        </w:rPr>
      </w:pPr>
    </w:p>
    <w:p>
      <w:pPr>
        <w:jc w:val="both"/>
        <w:ind w:left="600" w:firstLine="600"/>
        <w:spacing w:after="0" w:line="272" w:lineRule="auto"/>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the balance, if any, after all of the Obligations have been indefeasibly paid in full, to the Borrower or as otherwise required by Law.</w:t>
      </w:r>
    </w:p>
    <w:p>
      <w:pPr>
        <w:spacing w:after="0" w:line="153"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Sections 2.03(c)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2.18</w:t>
      </w:r>
      <w:r>
        <w:rPr>
          <w:rFonts w:ascii="Arial" w:cs="Arial" w:eastAsia="Arial" w:hAnsi="Arial"/>
          <w:sz w:val="20"/>
          <w:szCs w:val="20"/>
          <w:color w:val="auto"/>
        </w:rPr>
        <w:t xml:space="preserve">, amounts used to Cash Collateralize the aggregate undrawn amount of Letters of Credit pursuant to clause </w:t>
      </w:r>
      <w:r>
        <w:rPr>
          <w:rFonts w:ascii="Arial" w:cs="Arial" w:eastAsia="Arial" w:hAnsi="Arial"/>
          <w:sz w:val="20"/>
          <w:szCs w:val="20"/>
          <w:u w:val="single" w:color="auto"/>
          <w:color w:val="auto"/>
        </w:rPr>
        <w:t>Sixth</w:t>
      </w:r>
      <w:r>
        <w:rPr>
          <w:rFonts w:ascii="Arial" w:cs="Arial" w:eastAsia="Arial" w:hAnsi="Arial"/>
          <w:sz w:val="20"/>
          <w:szCs w:val="20"/>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ADMINISTRATIVE AGENT</w:t>
      </w:r>
    </w:p>
    <w:p>
      <w:pPr>
        <w:spacing w:after="0" w:line="229" w:lineRule="exact"/>
        <w:rPr>
          <w:sz w:val="20"/>
          <w:szCs w:val="20"/>
          <w:color w:val="auto"/>
        </w:rPr>
      </w:pPr>
    </w:p>
    <w:p>
      <w:pPr>
        <w:jc w:val="both"/>
        <w:ind w:firstLine="599"/>
        <w:spacing w:after="0" w:line="281" w:lineRule="auto"/>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u w:val="single" w:color="auto"/>
          <w:color w:val="auto"/>
        </w:rPr>
        <w:t>Appointment and Authority</w:t>
      </w:r>
      <w:r>
        <w:rPr>
          <w:rFonts w:ascii="Arial" w:cs="Arial" w:eastAsia="Arial" w:hAnsi="Arial"/>
          <w:sz w:val="18"/>
          <w:szCs w:val="18"/>
          <w:color w:val="auto"/>
        </w:rPr>
        <w:t>. Each of the Lenders and each L/C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Except as expressly set forth in Section 9.06(a) and (b), the provisions of this Article are solely for the benefit of the Administrative Agent, the Lenders and the L/C Issuers, and neither any Loan Party nor any Subsidiary thereof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2"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20"/>
          <w:szCs w:val="20"/>
          <w:color w:val="auto"/>
        </w:rPr>
        <w:t xml:space="preserve">9.02. </w:t>
      </w:r>
      <w:r>
        <w:rPr>
          <w:rFonts w:ascii="Arial" w:cs="Arial" w:eastAsia="Arial" w:hAnsi="Arial"/>
          <w:sz w:val="20"/>
          <w:szCs w:val="20"/>
          <w:u w:val="single" w:color="auto"/>
          <w:color w:val="auto"/>
        </w:rPr>
        <w:t>Rights as a Lender</w:t>
      </w:r>
      <w:r>
        <w:rPr>
          <w:rFonts w:ascii="Arial" w:cs="Arial" w:eastAsia="Arial" w:hAnsi="Arial"/>
          <w:sz w:val="20"/>
          <w:szCs w:val="20"/>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REIT or any Subsidiary or other Affiliate thereof as if such Person were not the Administrative Agent hereunder and without any duty to account therefor to the Lenders.</w:t>
      </w:r>
    </w:p>
    <w:p>
      <w:pPr>
        <w:spacing w:after="0" w:line="200" w:lineRule="exact"/>
        <w:rPr>
          <w:sz w:val="20"/>
          <w:szCs w:val="20"/>
          <w:color w:val="auto"/>
        </w:rPr>
      </w:pPr>
    </w:p>
    <w:p>
      <w:pPr>
        <w:spacing w:after="0" w:line="25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101</w:t>
      </w:r>
      <w:r>
        <w:rPr>
          <w:rFonts w:ascii="MS PGothic" w:cs="MS PGothic" w:eastAsia="MS PGothic" w:hAnsi="MS PGothic"/>
          <w:sz w:val="20"/>
          <w:szCs w:val="20"/>
          <w:color w:val="auto"/>
        </w:rPr>
        <w:t>‑</w:t>
      </w:r>
    </w:p>
    <w:p>
      <w:pPr>
        <w:sectPr>
          <w:pgSz w:w="11900" w:h="16838" w:orient="portrait"/>
          <w:cols w:equalWidth="0" w:num="1">
            <w:col w:w="11420"/>
          </w:cols>
          <w:pgMar w:left="240" w:top="558" w:right="239" w:bottom="1440" w:gutter="0" w:footer="0" w:header="0"/>
        </w:sectPr>
      </w:pPr>
    </w:p>
    <w:bookmarkStart w:id="113" w:name="page114"/>
    <w:bookmarkEnd w:id="113"/>
    <w:p>
      <w:pPr>
        <w:jc w:val="both"/>
        <w:ind w:firstLine="599"/>
        <w:spacing w:after="0" w:line="260" w:lineRule="auto"/>
        <w:rPr>
          <w:sz w:val="20"/>
          <w:szCs w:val="20"/>
          <w:color w:val="auto"/>
        </w:rPr>
      </w:pPr>
      <w:r>
        <w:rPr>
          <w:rFonts w:ascii="Arial" w:cs="Arial" w:eastAsia="Arial" w:hAnsi="Arial"/>
          <w:sz w:val="20"/>
          <w:szCs w:val="20"/>
          <w:color w:val="auto"/>
        </w:rPr>
        <w:t xml:space="preserve">9.03. </w:t>
      </w:r>
      <w:r>
        <w:rPr>
          <w:rFonts w:ascii="Arial" w:cs="Arial" w:eastAsia="Arial" w:hAnsi="Arial"/>
          <w:sz w:val="20"/>
          <w:szCs w:val="20"/>
          <w:u w:val="single" w:color="auto"/>
          <w:color w:val="auto"/>
        </w:rPr>
        <w:t>Exculpatory Provisions</w:t>
      </w:r>
      <w:r>
        <w:rPr>
          <w:rFonts w:ascii="Arial" w:cs="Arial" w:eastAsia="Arial" w:hAnsi="Arial"/>
          <w:sz w:val="20"/>
          <w:szCs w:val="20"/>
          <w:color w:val="auto"/>
        </w:rPr>
        <w:t>. 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202" w:lineRule="exact"/>
        <w:rPr>
          <w:sz w:val="20"/>
          <w:szCs w:val="20"/>
          <w:color w:val="auto"/>
        </w:rPr>
      </w:pPr>
    </w:p>
    <w:p>
      <w:pPr>
        <w:ind w:left="1420" w:hanging="821"/>
        <w:spacing w:after="0"/>
        <w:tabs>
          <w:tab w:leader="none" w:pos="14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267" w:lineRule="exact"/>
        <w:rPr>
          <w:rFonts w:ascii="Arial" w:cs="Arial" w:eastAsia="Arial" w:hAnsi="Arial"/>
          <w:sz w:val="18"/>
          <w:szCs w:val="18"/>
          <w:color w:val="auto"/>
        </w:rPr>
      </w:pPr>
    </w:p>
    <w:p>
      <w:pPr>
        <w:jc w:val="both"/>
        <w:ind w:firstLine="599"/>
        <w:spacing w:after="0" w:line="284" w:lineRule="auto"/>
        <w:tabs>
          <w:tab w:leader="none" w:pos="143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83" w:lineRule="exact"/>
        <w:rPr>
          <w:rFonts w:ascii="Arial" w:cs="Arial" w:eastAsia="Arial" w:hAnsi="Arial"/>
          <w:sz w:val="18"/>
          <w:szCs w:val="18"/>
          <w:color w:val="auto"/>
        </w:rPr>
      </w:pPr>
    </w:p>
    <w:p>
      <w:pPr>
        <w:jc w:val="both"/>
        <w:ind w:firstLine="599"/>
        <w:spacing w:after="0" w:line="260" w:lineRule="auto"/>
        <w:tabs>
          <w:tab w:leader="none" w:pos="1421" w:val="left"/>
        </w:tabs>
        <w:numPr>
          <w:ilvl w:val="1"/>
          <w:numId w:val="144"/>
        </w:numPr>
        <w:rPr>
          <w:rFonts w:ascii="Arial" w:cs="Arial" w:eastAsia="Arial" w:hAnsi="Arial"/>
          <w:sz w:val="20"/>
          <w:szCs w:val="20"/>
          <w:color w:val="auto"/>
        </w:rPr>
      </w:pPr>
      <w:r>
        <w:rPr>
          <w:rFonts w:ascii="Arial" w:cs="Arial" w:eastAsia="Arial" w:hAnsi="Arial"/>
          <w:sz w:val="20"/>
          <w:szCs w:val="20"/>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201" w:lineRule="exact"/>
        <w:rPr>
          <w:rFonts w:ascii="Arial" w:cs="Arial" w:eastAsia="Arial" w:hAnsi="Arial"/>
          <w:sz w:val="20"/>
          <w:szCs w:val="20"/>
          <w:color w:val="auto"/>
        </w:rPr>
      </w:pPr>
    </w:p>
    <w:p>
      <w:pPr>
        <w:jc w:val="both"/>
        <w:ind w:firstLine="599"/>
        <w:spacing w:after="0" w:line="251" w:lineRule="auto"/>
        <w:tabs>
          <w:tab w:leader="none" w:pos="1432" w:val="left"/>
        </w:tabs>
        <w:numPr>
          <w:ilvl w:val="1"/>
          <w:numId w:val="144"/>
        </w:numPr>
        <w:rPr>
          <w:rFonts w:ascii="Arial" w:cs="Arial" w:eastAsia="Arial" w:hAnsi="Arial"/>
          <w:sz w:val="20"/>
          <w:szCs w:val="20"/>
          <w:color w:val="auto"/>
        </w:rPr>
      </w:pPr>
      <w:r>
        <w:rPr>
          <w:rFonts w:ascii="Arial" w:cs="Arial" w:eastAsia="Arial" w:hAnsi="Arial"/>
          <w:sz w:val="20"/>
          <w:szCs w:val="20"/>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20"/>
          <w:szCs w:val="20"/>
          <w:u w:val="single" w:color="auto"/>
          <w:color w:val="auto"/>
        </w:rPr>
        <w:t>Sections 10.01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8.02</w:t>
      </w:r>
      <w:r>
        <w:rPr>
          <w:rFonts w:ascii="Arial" w:cs="Arial" w:eastAsia="Arial" w:hAnsi="Arial"/>
          <w:sz w:val="20"/>
          <w:szCs w:val="20"/>
          <w:color w:val="auto"/>
        </w:rPr>
        <w:t>) or (ii) in the absence of its own gross negligence or willful misconduct, as determined by a court of competent jurisdiction by a final and nonappealable judgment. The Administrative Agent shall be deemed not to have knowledge of any Default, except for any default relating to the payment of principal of or interest on any Loan, unless and until notice describing such Default is given to the Administrative Agent by the Borrower, a Lender or an L/C Issuer.</w:t>
      </w:r>
    </w:p>
    <w:p>
      <w:pPr>
        <w:spacing w:after="0" w:line="214" w:lineRule="exact"/>
        <w:rPr>
          <w:rFonts w:ascii="Arial" w:cs="Arial" w:eastAsia="Arial" w:hAnsi="Arial"/>
          <w:sz w:val="20"/>
          <w:szCs w:val="20"/>
          <w:color w:val="auto"/>
        </w:rPr>
      </w:pPr>
    </w:p>
    <w:p>
      <w:pPr>
        <w:jc w:val="both"/>
        <w:ind w:firstLine="599"/>
        <w:spacing w:after="0" w:line="278" w:lineRule="auto"/>
        <w:tabs>
          <w:tab w:leader="none" w:pos="1421"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w:t>
      </w:r>
    </w:p>
    <w:p>
      <w:pPr>
        <w:spacing w:after="0" w:line="3" w:lineRule="exact"/>
        <w:rPr>
          <w:rFonts w:ascii="Arial" w:cs="Arial" w:eastAsia="Arial" w:hAnsi="Arial"/>
          <w:sz w:val="18"/>
          <w:szCs w:val="18"/>
          <w:color w:val="auto"/>
        </w:rPr>
      </w:pPr>
    </w:p>
    <w:p>
      <w:pPr>
        <w:spacing w:after="0" w:line="256" w:lineRule="auto"/>
        <w:tabs>
          <w:tab w:leader="none" w:pos="288" w:val="left"/>
        </w:tabs>
        <w:numPr>
          <w:ilvl w:val="0"/>
          <w:numId w:val="145"/>
        </w:numPr>
        <w:rPr>
          <w:rFonts w:ascii="Arial" w:cs="Arial" w:eastAsia="Arial" w:hAnsi="Arial"/>
          <w:sz w:val="20"/>
          <w:szCs w:val="20"/>
          <w:color w:val="auto"/>
        </w:rPr>
      </w:pPr>
      <w:r>
        <w:rPr>
          <w:rFonts w:ascii="Arial" w:cs="Arial" w:eastAsia="Arial" w:hAnsi="Arial"/>
          <w:sz w:val="20"/>
          <w:szCs w:val="20"/>
          <w:color w:val="auto"/>
        </w:rPr>
        <w:t xml:space="preserve">the satisfaction of any condition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or elsewhere herein, other than to confirm receipt of items expressly required to be delivered to the Administrative Agent.</w:t>
      </w:r>
    </w:p>
    <w:p>
      <w:pPr>
        <w:spacing w:after="0" w:line="205" w:lineRule="exact"/>
        <w:rPr>
          <w:sz w:val="20"/>
          <w:szCs w:val="20"/>
          <w:color w:val="auto"/>
        </w:rPr>
      </w:pPr>
    </w:p>
    <w:p>
      <w:pPr>
        <w:jc w:val="both"/>
        <w:ind w:firstLine="599"/>
        <w:spacing w:after="0" w:line="286" w:lineRule="auto"/>
        <w:rPr>
          <w:sz w:val="20"/>
          <w:szCs w:val="20"/>
          <w:color w:val="auto"/>
        </w:rPr>
      </w:pPr>
      <w:r>
        <w:rPr>
          <w:rFonts w:ascii="Arial" w:cs="Arial" w:eastAsia="Arial" w:hAnsi="Arial"/>
          <w:sz w:val="18"/>
          <w:szCs w:val="18"/>
          <w:color w:val="auto"/>
        </w:rPr>
        <w:t xml:space="preserve">9.04. </w:t>
      </w:r>
      <w:r>
        <w:rPr>
          <w:rFonts w:ascii="Arial" w:cs="Arial" w:eastAsia="Arial" w:hAnsi="Arial"/>
          <w:sz w:val="18"/>
          <w:szCs w:val="18"/>
          <w:u w:val="single" w:color="auto"/>
          <w:color w:val="auto"/>
        </w:rPr>
        <w:t>Reliance by Administrative Agent</w:t>
      </w:r>
      <w:r>
        <w:rPr>
          <w:rFonts w:ascii="Arial" w:cs="Arial" w:eastAsia="Arial" w:hAnsi="Arial"/>
          <w:sz w:val="18"/>
          <w:szCs w:val="18"/>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w:t>
      </w:r>
    </w:p>
    <w:p>
      <w:pPr>
        <w:spacing w:after="0" w:line="18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102</w:t>
      </w:r>
      <w:r>
        <w:rPr>
          <w:rFonts w:ascii="MS PGothic" w:cs="MS PGothic" w:eastAsia="MS PGothic" w:hAnsi="MS PGothic"/>
          <w:sz w:val="20"/>
          <w:szCs w:val="20"/>
          <w:color w:val="auto"/>
        </w:rPr>
        <w:t>‑</w:t>
      </w:r>
    </w:p>
    <w:p>
      <w:pPr>
        <w:sectPr>
          <w:pgSz w:w="11900" w:h="16838" w:orient="portrait"/>
          <w:cols w:equalWidth="0" w:num="1">
            <w:col w:w="11420"/>
          </w:cols>
          <w:pgMar w:left="240" w:top="558" w:right="239" w:bottom="1440" w:gutter="0" w:footer="0" w:header="0"/>
        </w:sectPr>
      </w:pPr>
    </w:p>
    <w:bookmarkStart w:id="114" w:name="page115"/>
    <w:bookmarkEnd w:id="114"/>
    <w:p>
      <w:pPr>
        <w:jc w:val="both"/>
        <w:spacing w:after="0" w:line="253" w:lineRule="auto"/>
        <w:rPr>
          <w:sz w:val="20"/>
          <w:szCs w:val="20"/>
          <w:color w:val="auto"/>
        </w:rPr>
      </w:pPr>
      <w:r>
        <w:rPr>
          <w:rFonts w:ascii="Arial" w:cs="Arial" w:eastAsia="Arial" w:hAnsi="Arial"/>
          <w:sz w:val="20"/>
          <w:szCs w:val="20"/>
          <w:color w:val="auto"/>
        </w:rPr>
        <w:t>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212" w:lineRule="exact"/>
        <w:rPr>
          <w:sz w:val="20"/>
          <w:szCs w:val="20"/>
          <w:color w:val="auto"/>
        </w:rPr>
      </w:pPr>
    </w:p>
    <w:p>
      <w:pPr>
        <w:jc w:val="both"/>
        <w:ind w:firstLine="599"/>
        <w:spacing w:after="0" w:line="282" w:lineRule="auto"/>
        <w:rPr>
          <w:sz w:val="20"/>
          <w:szCs w:val="20"/>
          <w:color w:val="auto"/>
        </w:rPr>
      </w:pPr>
      <w:r>
        <w:rPr>
          <w:rFonts w:ascii="Arial" w:cs="Arial" w:eastAsia="Arial" w:hAnsi="Arial"/>
          <w:sz w:val="18"/>
          <w:szCs w:val="18"/>
          <w:color w:val="auto"/>
        </w:rPr>
        <w:t xml:space="preserve">9.05.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90"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9.06.</w:t>
      </w:r>
      <w:r>
        <w:rPr>
          <w:sz w:val="20"/>
          <w:szCs w:val="20"/>
          <w:color w:val="auto"/>
        </w:rPr>
        <w:tab/>
      </w:r>
      <w:r>
        <w:rPr>
          <w:rFonts w:ascii="Arial" w:cs="Arial" w:eastAsia="Arial" w:hAnsi="Arial"/>
          <w:sz w:val="18"/>
          <w:szCs w:val="18"/>
          <w:u w:val="single" w:color="auto"/>
          <w:color w:val="auto"/>
        </w:rPr>
        <w:t>Resignation of Administrative Agent</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81" w:lineRule="auto"/>
        <w:tabs>
          <w:tab w:leader="none" w:pos="1421"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Administrative Agent may at any time give notice of its resignation to the Lenders, the L/C Issuers and the Borrower. Upon receipt of any such notice of resignation, the Required Lenders shall have the right to appoint a successor, which shall be a bank with an office in the United States, or an Affiliate of any such bank with an office in the United States, and which successor agent shall be subject to the written consent of the Borrower unless an Event of Default has occurred and is continuing (which consent of the Borrower shall not be unreasonably withheld or delayed and shall be deemed given if the Borrower fails to respond within ten (10) Business Days). If no such successor shall have been so appointed by the Required Lenders (and approved by the Borrower, if applicable) and shall have accepted such appointment within 30 days after the retiring Administrative Agent gives notice of its resignation, (or such earlier day as shall be agreed by the Required Lenders) (the “</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then the retiring Administrative Agent may (but shall not be obligated to) on behalf of the Lenders and the L/C Issuers, appoint a successor Administrative Agent meeting the qualifications set forth above. Whether or not a successor has been appointed, such resignation shall become effective in accordance with such notice on the Resignation Effective Date.</w:t>
      </w:r>
    </w:p>
    <w:p>
      <w:pPr>
        <w:spacing w:after="0" w:line="186" w:lineRule="exact"/>
        <w:rPr>
          <w:rFonts w:ascii="Arial" w:cs="Arial" w:eastAsia="Arial" w:hAnsi="Arial"/>
          <w:sz w:val="18"/>
          <w:szCs w:val="18"/>
          <w:color w:val="auto"/>
        </w:rPr>
      </w:pPr>
    </w:p>
    <w:p>
      <w:pPr>
        <w:jc w:val="both"/>
        <w:ind w:firstLine="599"/>
        <w:spacing w:after="0" w:line="279" w:lineRule="auto"/>
        <w:tabs>
          <w:tab w:leader="none" w:pos="1432"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with the written consent of the Borrower unless an Event of Default have occurred and is continuing (which consent of the Borrower shall not be unreasonably withheld or delayed and shall be deemed given if the Borrower fails to respond within ten</w:t>
      </w:r>
    </w:p>
    <w:p>
      <w:pPr>
        <w:spacing w:after="0" w:line="2" w:lineRule="exact"/>
        <w:rPr>
          <w:rFonts w:ascii="Arial" w:cs="Arial" w:eastAsia="Arial" w:hAnsi="Arial"/>
          <w:sz w:val="18"/>
          <w:szCs w:val="18"/>
          <w:color w:val="auto"/>
        </w:rPr>
      </w:pPr>
    </w:p>
    <w:p>
      <w:pPr>
        <w:jc w:val="both"/>
        <w:spacing w:after="0" w:line="250" w:lineRule="auto"/>
        <w:tabs>
          <w:tab w:leader="none" w:pos="397" w:val="left"/>
        </w:tabs>
        <w:numPr>
          <w:ilvl w:val="0"/>
          <w:numId w:val="147"/>
        </w:numPr>
        <w:rPr>
          <w:rFonts w:ascii="Arial" w:cs="Arial" w:eastAsia="Arial" w:hAnsi="Arial"/>
          <w:sz w:val="20"/>
          <w:szCs w:val="20"/>
          <w:color w:val="auto"/>
        </w:rPr>
      </w:pPr>
      <w:r>
        <w:rPr>
          <w:rFonts w:ascii="Arial" w:cs="Arial" w:eastAsia="Arial" w:hAnsi="Arial"/>
          <w:sz w:val="20"/>
          <w:szCs w:val="20"/>
          <w:color w:val="auto"/>
        </w:rPr>
        <w:t>Business Days), appoint a successor. If no such successor shall have been so appointed by the Required Lenders (and approved by the Borrower, if applicable) and shall have accepted such appointment within 30 days (or such earlier day as shall be agreed by the Required Lenders) (the “</w:t>
      </w:r>
      <w:r>
        <w:rPr>
          <w:rFonts w:ascii="Arial" w:cs="Arial" w:eastAsia="Arial" w:hAnsi="Arial"/>
          <w:sz w:val="20"/>
          <w:szCs w:val="20"/>
          <w:u w:val="single" w:color="auto"/>
          <w:color w:val="auto"/>
        </w:rPr>
        <w:t>Removal Effective Date</w:t>
      </w:r>
      <w:r>
        <w:rPr>
          <w:rFonts w:ascii="Arial" w:cs="Arial" w:eastAsia="Arial" w:hAnsi="Arial"/>
          <w:sz w:val="20"/>
          <w:szCs w:val="20"/>
          <w:color w:val="auto"/>
        </w:rPr>
        <w:t>”), then such removal shall nonetheless become effective in accordance with such notice on the Removal Effective Date.</w:t>
      </w:r>
    </w:p>
    <w:p>
      <w:pPr>
        <w:spacing w:after="0" w:line="212" w:lineRule="exact"/>
        <w:rPr>
          <w:rFonts w:ascii="Arial" w:cs="Arial" w:eastAsia="Arial" w:hAnsi="Arial"/>
          <w:sz w:val="20"/>
          <w:szCs w:val="20"/>
          <w:color w:val="auto"/>
        </w:rPr>
      </w:pPr>
    </w:p>
    <w:p>
      <w:pPr>
        <w:ind w:firstLine="599"/>
        <w:spacing w:after="0" w:line="272" w:lineRule="auto"/>
        <w:tabs>
          <w:tab w:leader="none" w:pos="1421" w:val="left"/>
        </w:tabs>
        <w:numPr>
          <w:ilvl w:val="1"/>
          <w:numId w:val="147"/>
        </w:numPr>
        <w:rPr>
          <w:rFonts w:ascii="Arial" w:cs="Arial" w:eastAsia="Arial" w:hAnsi="Arial"/>
          <w:sz w:val="20"/>
          <w:szCs w:val="20"/>
          <w:color w:val="auto"/>
        </w:rPr>
      </w:pPr>
      <w:r>
        <w:rPr>
          <w:rFonts w:ascii="Arial" w:cs="Arial" w:eastAsia="Arial" w:hAnsi="Arial"/>
          <w:sz w:val="20"/>
          <w:szCs w:val="20"/>
          <w:color w:val="auto"/>
        </w:rPr>
        <w:t>With effect from the Resignation Effective Date or the Removal Effective Date (as applicable) (1) the retiring or removed Administrative Agent shall be discharged from its duties and obligations hereunder</w:t>
      </w:r>
    </w:p>
    <w:p>
      <w:pPr>
        <w:spacing w:after="0" w:line="19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103</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15" w:name="page116"/>
    <w:bookmarkEnd w:id="115"/>
    <w:p>
      <w:pPr>
        <w:jc w:val="both"/>
        <w:spacing w:after="0" w:line="238" w:lineRule="exact"/>
        <w:rPr>
          <w:sz w:val="20"/>
          <w:szCs w:val="20"/>
          <w:color w:val="auto"/>
        </w:rPr>
      </w:pPr>
      <w:r>
        <w:rPr>
          <w:rFonts w:ascii="Arial" w:cs="Arial" w:eastAsia="Arial" w:hAnsi="Arial"/>
          <w:sz w:val="19"/>
          <w:szCs w:val="19"/>
          <w:color w:val="auto"/>
        </w:rPr>
        <w:t xml:space="preserve">and under the other Loan Documents (except that in the case of any collateral security held by the Administrative Agent on behalf of the Lenders or the L/C Issuers under any of the Loan Documents, the retiring or removed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each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9"/>
          <w:szCs w:val="19"/>
          <w:u w:val="single" w:color="auto"/>
          <w:color w:val="auto"/>
        </w:rPr>
        <w:t>Section 3.01(g)</w:t>
      </w:r>
      <w:r>
        <w:rPr>
          <w:rFonts w:ascii="Arial" w:cs="Arial" w:eastAsia="Arial" w:hAnsi="Arial"/>
          <w:sz w:val="19"/>
          <w:szCs w:val="19"/>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shall continue in effect for the benefit of such retiring or removed Administrative Agent, its sub</w:t>
      </w:r>
      <w:r>
        <w:rPr>
          <w:rFonts w:ascii="MS PGothic" w:cs="MS PGothic" w:eastAsia="MS PGothic" w:hAnsi="MS PGothic"/>
          <w:sz w:val="19"/>
          <w:szCs w:val="19"/>
          <w:color w:val="auto"/>
        </w:rPr>
        <w:t>‑</w:t>
      </w:r>
      <w:r>
        <w:rPr>
          <w:rFonts w:ascii="Arial" w:cs="Arial" w:eastAsia="Arial" w:hAnsi="Arial"/>
          <w:sz w:val="19"/>
          <w:szCs w:val="19"/>
          <w:color w:val="auto"/>
        </w:rPr>
        <w:t>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spacing w:after="0" w:line="232" w:lineRule="exact"/>
        <w:rPr>
          <w:sz w:val="20"/>
          <w:szCs w:val="20"/>
          <w:color w:val="auto"/>
        </w:rPr>
      </w:pPr>
    </w:p>
    <w:p>
      <w:pPr>
        <w:jc w:val="both"/>
        <w:ind w:firstLine="599"/>
        <w:spacing w:after="0" w:line="279" w:lineRule="auto"/>
        <w:tabs>
          <w:tab w:leader="none" w:pos="143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Any resignation or removal by Bank of America as Administrative Agent pursuant to this Section shall also constitute its resignation as an L/C Issuer and a Swing Line Lender. If Bank of America resigns as an L/C Issuer, it shall retain all the rights, powers, privileges and duties of an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If Bank of America resigns as a Swing Line Lender, it shall retain all the rights of a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Upon the appointment by the Borrower of a successor to Bank of America as an L/C Issuer or a Swing Line Lender hereunder (which successor shall in all cases be a Lender other than a Defaulting Lender), (a) such successor shall succeed to and become vested with all of the rights, powers, privileges and duties of the retiring L/C Issuer or Swing Line Lender, as applicable, (b) the retiring L/C Issuer and Swing Line Lender shall be discharged from all of their respective duties and obligations hereunder or under the other Loan Documents, and (c) the successor L/C Issuer shall issue letters of credit in substitution for the Letters of Credit issued by Bank of America, if any, outstanding at the time of such succession or make other arrangements satisfactory to Bank of America to effectively assume the obligations of Bank of America with respect to such Letters of Credit.</w:t>
      </w:r>
    </w:p>
    <w:p>
      <w:pPr>
        <w:spacing w:after="0" w:line="191" w:lineRule="exact"/>
        <w:rPr>
          <w:sz w:val="20"/>
          <w:szCs w:val="20"/>
          <w:color w:val="auto"/>
        </w:rPr>
      </w:pPr>
    </w:p>
    <w:p>
      <w:pPr>
        <w:jc w:val="both"/>
        <w:ind w:firstLine="599"/>
        <w:spacing w:after="0" w:line="273" w:lineRule="auto"/>
        <w:rPr>
          <w:sz w:val="20"/>
          <w:szCs w:val="20"/>
          <w:color w:val="auto"/>
        </w:rPr>
      </w:pPr>
      <w:r>
        <w:rPr>
          <w:rFonts w:ascii="Arial" w:cs="Arial" w:eastAsia="Arial" w:hAnsi="Arial"/>
          <w:sz w:val="19"/>
          <w:szCs w:val="19"/>
          <w:color w:val="auto"/>
        </w:rPr>
        <w:t xml:space="preserve">9.07. </w:t>
      </w:r>
      <w:r>
        <w:rPr>
          <w:rFonts w:ascii="Arial" w:cs="Arial" w:eastAsia="Arial" w:hAnsi="Arial"/>
          <w:sz w:val="19"/>
          <w:szCs w:val="19"/>
          <w:u w:val="single" w:color="auto"/>
          <w:color w:val="auto"/>
        </w:rPr>
        <w:t>Non-Reliance on Administrative Agent and Other Lenders</w:t>
      </w:r>
      <w:r>
        <w:rPr>
          <w:rFonts w:ascii="Arial" w:cs="Arial" w:eastAsia="Arial" w:hAnsi="Arial"/>
          <w:sz w:val="19"/>
          <w:szCs w:val="19"/>
          <w:color w:val="auto"/>
        </w:rPr>
        <w:t>. Each Lender and each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L/C Issuer also acknowledges that it will, independently and without reliance upon the Administrative Agent</w:t>
      </w:r>
    </w:p>
    <w:p>
      <w:pPr>
        <w:spacing w:after="0" w:line="19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104</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16" w:name="page117"/>
    <w:bookmarkEnd w:id="116"/>
    <w:p>
      <w:pPr>
        <w:jc w:val="both"/>
        <w:spacing w:after="0" w:line="260" w:lineRule="auto"/>
        <w:rPr>
          <w:sz w:val="20"/>
          <w:szCs w:val="20"/>
          <w:color w:val="auto"/>
        </w:rPr>
      </w:pPr>
      <w:r>
        <w:rPr>
          <w:rFonts w:ascii="Arial" w:cs="Arial" w:eastAsia="Arial" w:hAnsi="Arial"/>
          <w:sz w:val="20"/>
          <w:szCs w:val="20"/>
          <w:color w:val="auto"/>
        </w:rPr>
        <w:t>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202"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 xml:space="preserve">9.08. </w:t>
      </w:r>
      <w:r>
        <w:rPr>
          <w:rFonts w:ascii="Arial" w:cs="Arial" w:eastAsia="Arial" w:hAnsi="Arial"/>
          <w:sz w:val="20"/>
          <w:szCs w:val="20"/>
          <w:u w:val="single" w:color="auto"/>
          <w:color w:val="auto"/>
        </w:rPr>
        <w:t>No Other Duties, Etc</w:t>
      </w:r>
      <w:r>
        <w:rPr>
          <w:rFonts w:ascii="Arial" w:cs="Arial" w:eastAsia="Arial" w:hAnsi="Arial"/>
          <w:sz w:val="20"/>
          <w:szCs w:val="20"/>
          <w:color w:val="auto"/>
        </w:rPr>
        <w:t>. Anything herein to the contrary notwithstanding, neither any Bookrunner or any Arranger nor the Syndication Agent or any Documentation Agent listed on the cover page hereof shall have any powers, duties or responsibilities under this Agreement or any of the other Loan Documents, except in its capacity, as applicable, as the Administrative Agent, a Lender or an L/C Issuer hereunder.</w:t>
      </w:r>
    </w:p>
    <w:p>
      <w:pPr>
        <w:spacing w:after="0" w:line="205"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 xml:space="preserve">9.09. </w:t>
      </w:r>
      <w:r>
        <w:rPr>
          <w:rFonts w:ascii="Arial" w:cs="Arial" w:eastAsia="Arial" w:hAnsi="Arial"/>
          <w:sz w:val="20"/>
          <w:szCs w:val="20"/>
          <w:u w:val="single" w:color="auto"/>
          <w:color w:val="auto"/>
        </w:rPr>
        <w:t>Administrative Agent May File Proofs of Claim</w:t>
      </w:r>
      <w:r>
        <w:rPr>
          <w:rFonts w:ascii="Arial" w:cs="Arial" w:eastAsia="Arial" w:hAnsi="Arial"/>
          <w:sz w:val="20"/>
          <w:szCs w:val="20"/>
          <w:color w:val="auto"/>
        </w:rPr>
        <w:t>. In case of the pendency of any proceeding under any Debtor Relief Law or any other judicial proceeding relative to any Loan Party or Subsidiary thereof,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212" w:lineRule="exact"/>
        <w:rPr>
          <w:sz w:val="20"/>
          <w:szCs w:val="20"/>
          <w:color w:val="auto"/>
        </w:rPr>
      </w:pPr>
    </w:p>
    <w:p>
      <w:pPr>
        <w:jc w:val="both"/>
        <w:ind w:firstLine="599"/>
        <w:spacing w:after="0" w:line="252" w:lineRule="auto"/>
        <w:tabs>
          <w:tab w:leader="none" w:pos="1421" w:val="left"/>
        </w:tabs>
        <w:numPr>
          <w:ilvl w:val="0"/>
          <w:numId w:val="149"/>
        </w:numPr>
        <w:rPr>
          <w:rFonts w:ascii="Arial" w:cs="Arial" w:eastAsia="Arial" w:hAnsi="Arial"/>
          <w:sz w:val="20"/>
          <w:szCs w:val="20"/>
          <w:color w:val="auto"/>
        </w:rPr>
      </w:pPr>
      <w:r>
        <w:rPr>
          <w:rFonts w:ascii="Arial" w:cs="Arial" w:eastAsia="Arial" w:hAnsi="Arial"/>
          <w:sz w:val="20"/>
          <w:szCs w:val="20"/>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Arial" w:cs="Arial" w:eastAsia="Arial" w:hAnsi="Arial"/>
          <w:sz w:val="20"/>
          <w:szCs w:val="20"/>
          <w:u w:val="single" w:color="auto"/>
          <w:color w:val="auto"/>
        </w:rPr>
        <w:t>Sections 2.03(h)</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w:t>
      </w:r>
      <w:r>
        <w:rPr>
          <w:rFonts w:ascii="Arial" w:cs="Arial" w:eastAsia="Arial" w:hAnsi="Arial"/>
          <w:sz w:val="20"/>
          <w:szCs w:val="20"/>
          <w:color w:val="auto"/>
        </w:rPr>
        <w:t xml:space="preserve">, </w:t>
      </w:r>
      <w:r>
        <w:rPr>
          <w:rFonts w:ascii="Arial" w:cs="Arial" w:eastAsia="Arial" w:hAnsi="Arial"/>
          <w:sz w:val="20"/>
          <w:szCs w:val="20"/>
          <w:u w:val="single" w:color="auto"/>
          <w:color w:val="auto"/>
        </w:rPr>
        <w:t>2.09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10.04</w:t>
      </w:r>
      <w:r>
        <w:rPr>
          <w:rFonts w:ascii="Arial" w:cs="Arial" w:eastAsia="Arial" w:hAnsi="Arial"/>
          <w:sz w:val="20"/>
          <w:szCs w:val="20"/>
          <w:color w:val="auto"/>
        </w:rPr>
        <w:t>) allowed in such judicial proceeding; and</w:t>
      </w:r>
    </w:p>
    <w:p>
      <w:pPr>
        <w:spacing w:after="0" w:line="212" w:lineRule="exact"/>
        <w:rPr>
          <w:rFonts w:ascii="Arial" w:cs="Arial" w:eastAsia="Arial" w:hAnsi="Arial"/>
          <w:sz w:val="20"/>
          <w:szCs w:val="20"/>
          <w:color w:val="auto"/>
        </w:rPr>
      </w:pPr>
    </w:p>
    <w:p>
      <w:pPr>
        <w:ind w:left="1440" w:hanging="841"/>
        <w:spacing w:after="0"/>
        <w:tabs>
          <w:tab w:leader="none" w:pos="14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6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and any custodian, receiver, assignee, trustee, liquidator, sequestrator or other similar official in any such judicial proceeding is hereby authorized by each Lender and each L/C Issuer to make such payments to the Administrative Agent and, if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9"/>
          <w:szCs w:val="19"/>
          <w:u w:val="single" w:color="auto"/>
          <w:color w:val="auto"/>
        </w:rPr>
        <w:t>Sections 2.09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10.04</w:t>
      </w:r>
      <w:r>
        <w:rPr>
          <w:rFonts w:ascii="Arial" w:cs="Arial" w:eastAsia="Arial" w:hAnsi="Arial"/>
          <w:sz w:val="19"/>
          <w:szCs w:val="19"/>
          <w:color w:val="auto"/>
        </w:rPr>
        <w:t>.</w:t>
      </w:r>
    </w:p>
    <w:p>
      <w:pPr>
        <w:spacing w:after="0" w:line="157"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Nothing contained herein shall be deemed to authorize the Administrative Agent to authorize or consent to or accept or adopt on behalf of any Lender or any L/C Issuer any plan of reorganization, arrangement, adjustment or composition affecting the Obligations or the rights of any Lender or any L/C Issuer to authorize the Administrative Agent to vote in respect of the claim of any Lender or any L/C Issuer or in any such proceeding.</w:t>
      </w:r>
    </w:p>
    <w:p>
      <w:pPr>
        <w:spacing w:after="0" w:line="168" w:lineRule="exact"/>
        <w:rPr>
          <w:sz w:val="20"/>
          <w:szCs w:val="20"/>
          <w:color w:val="auto"/>
        </w:rPr>
      </w:pPr>
    </w:p>
    <w:p>
      <w:pPr>
        <w:jc w:val="both"/>
        <w:ind w:firstLine="599"/>
        <w:spacing w:after="0" w:line="284"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Guaranty Matters</w:t>
      </w:r>
      <w:r>
        <w:rPr>
          <w:rFonts w:ascii="Arial" w:cs="Arial" w:eastAsia="Arial" w:hAnsi="Arial"/>
          <w:sz w:val="18"/>
          <w:szCs w:val="18"/>
          <w:color w:val="auto"/>
        </w:rPr>
        <w:t>. Each Lender and each L/C Issuer irrevocably authorizes the Administrative Agent, at its option and in its discretion, to release any Guarantor that is a Subsidiary of the Borrower from its obligations under the Guaranty Agreement if such Person</w:t>
      </w:r>
    </w:p>
    <w:p>
      <w:pPr>
        <w:spacing w:after="0" w:line="1" w:lineRule="exact"/>
        <w:rPr>
          <w:sz w:val="20"/>
          <w:szCs w:val="20"/>
          <w:color w:val="auto"/>
        </w:rPr>
      </w:pPr>
    </w:p>
    <w:p>
      <w:pPr>
        <w:spacing w:after="0" w:line="256" w:lineRule="auto"/>
        <w:tabs>
          <w:tab w:leader="none" w:pos="241" w:val="left"/>
        </w:tabs>
        <w:numPr>
          <w:ilvl w:val="0"/>
          <w:numId w:val="150"/>
        </w:numPr>
        <w:rPr>
          <w:rFonts w:ascii="Arial" w:cs="Arial" w:eastAsia="Arial" w:hAnsi="Arial"/>
          <w:sz w:val="20"/>
          <w:szCs w:val="20"/>
          <w:color w:val="auto"/>
        </w:rPr>
      </w:pPr>
      <w:r>
        <w:rPr>
          <w:rFonts w:ascii="Arial" w:cs="Arial" w:eastAsia="Arial" w:hAnsi="Arial"/>
          <w:sz w:val="20"/>
          <w:szCs w:val="20"/>
          <w:color w:val="auto"/>
        </w:rPr>
        <w:t>ceases to be a Subsidiary as a result of a transaction permitted hereunder or (ii) becomes an Excluded Subsidiary or satisfies the Exemption Condition as a result of a transaction permitted hereunder and in accordance with the terms hereof.</w:t>
      </w:r>
    </w:p>
    <w:p>
      <w:pPr>
        <w:spacing w:after="0" w:line="200" w:lineRule="exact"/>
        <w:rPr>
          <w:sz w:val="20"/>
          <w:szCs w:val="20"/>
          <w:color w:val="auto"/>
        </w:rPr>
      </w:pPr>
    </w:p>
    <w:p>
      <w:pPr>
        <w:spacing w:after="0" w:line="243"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105</w:t>
      </w:r>
      <w:r>
        <w:rPr>
          <w:rFonts w:ascii="MS PGothic" w:cs="MS PGothic" w:eastAsia="MS PGothic" w:hAnsi="MS PGothic"/>
          <w:sz w:val="20"/>
          <w:szCs w:val="20"/>
          <w:color w:val="auto"/>
        </w:rPr>
        <w:t>‑</w:t>
      </w:r>
    </w:p>
    <w:p>
      <w:pPr>
        <w:sectPr>
          <w:pgSz w:w="11900" w:h="16838" w:orient="portrait"/>
          <w:cols w:equalWidth="0" w:num="1">
            <w:col w:w="11420"/>
          </w:cols>
          <w:pgMar w:left="240" w:top="558" w:right="239" w:bottom="1440" w:gutter="0" w:footer="0" w:header="0"/>
        </w:sectPr>
      </w:pPr>
    </w:p>
    <w:bookmarkStart w:id="117" w:name="page118"/>
    <w:bookmarkEnd w:id="117"/>
    <w:p>
      <w:pPr>
        <w:jc w:val="both"/>
        <w:ind w:firstLine="599"/>
        <w:spacing w:after="0" w:line="252" w:lineRule="auto"/>
        <w:rPr>
          <w:sz w:val="20"/>
          <w:szCs w:val="20"/>
          <w:color w:val="auto"/>
        </w:rPr>
      </w:pPr>
      <w:r>
        <w:rPr>
          <w:rFonts w:ascii="Arial" w:cs="Arial" w:eastAsia="Arial" w:hAnsi="Arial"/>
          <w:sz w:val="20"/>
          <w:szCs w:val="20"/>
          <w:color w:val="auto"/>
        </w:rPr>
        <w:t xml:space="preserve">Upon request by the Administrative Agent at any time, the Required Lenders will confirm in writing the Administrative Agent’s authority to release any Guarantor that is a Subsidiary of the REIT from its obligations under the Guaranty Agreement pursuant to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9.10</w:t>
      </w:r>
      <w:r>
        <w:rPr>
          <w:rFonts w:ascii="Arial" w:cs="Arial" w:eastAsia="Arial" w:hAnsi="Arial"/>
          <w:sz w:val="20"/>
          <w:szCs w:val="20"/>
          <w:color w:val="auto"/>
        </w:rPr>
        <w:t xml:space="preserve">. In each case as specified in this </w:t>
      </w:r>
      <w:r>
        <w:rPr>
          <w:rFonts w:ascii="Arial" w:cs="Arial" w:eastAsia="Arial" w:hAnsi="Arial"/>
          <w:sz w:val="20"/>
          <w:szCs w:val="20"/>
          <w:u w:val="single" w:color="auto"/>
          <w:color w:val="auto"/>
        </w:rPr>
        <w:t>Section 9.10</w:t>
      </w:r>
      <w:r>
        <w:rPr>
          <w:rFonts w:ascii="Arial" w:cs="Arial" w:eastAsia="Arial" w:hAnsi="Arial"/>
          <w:sz w:val="20"/>
          <w:szCs w:val="20"/>
          <w:color w:val="auto"/>
        </w:rPr>
        <w:t xml:space="preserve">, the Administrative Agent will, at the Borrower’s expense, execute and deliver to the applicable Loan Party such documents as such Loan Party may reasonably request to evidence the release of such Guarantor that is a Subsidiary of the REIT from its obligations under the Guaranty Agreement in accordance with the terms of the Loan Documents and this </w:t>
      </w:r>
      <w:r>
        <w:rPr>
          <w:rFonts w:ascii="Arial" w:cs="Arial" w:eastAsia="Arial" w:hAnsi="Arial"/>
          <w:sz w:val="20"/>
          <w:szCs w:val="20"/>
          <w:u w:val="single" w:color="auto"/>
          <w:color w:val="auto"/>
        </w:rPr>
        <w:t>Section 9.10</w:t>
      </w:r>
      <w:r>
        <w:rPr>
          <w:rFonts w:ascii="Arial" w:cs="Arial" w:eastAsia="Arial" w:hAnsi="Arial"/>
          <w:sz w:val="20"/>
          <w:szCs w:val="20"/>
          <w:color w:val="auto"/>
        </w:rPr>
        <w:t>.</w:t>
      </w:r>
    </w:p>
    <w:p>
      <w:pPr>
        <w:spacing w:after="0" w:line="175" w:lineRule="exact"/>
        <w:rPr>
          <w:sz w:val="20"/>
          <w:szCs w:val="20"/>
          <w:color w:val="auto"/>
        </w:rPr>
      </w:pPr>
    </w:p>
    <w:p>
      <w:pPr>
        <w:jc w:val="both"/>
        <w:ind w:firstLine="599"/>
        <w:spacing w:after="0" w:line="273" w:lineRule="auto"/>
        <w:rPr>
          <w:sz w:val="20"/>
          <w:szCs w:val="20"/>
          <w:color w:val="auto"/>
        </w:rPr>
      </w:pPr>
      <w:r>
        <w:rPr>
          <w:rFonts w:ascii="Arial" w:cs="Arial" w:eastAsia="Arial" w:hAnsi="Arial"/>
          <w:sz w:val="19"/>
          <w:szCs w:val="19"/>
          <w:color w:val="auto"/>
        </w:rPr>
        <w:t xml:space="preserve">9.11. </w:t>
      </w:r>
      <w:r>
        <w:rPr>
          <w:rFonts w:ascii="Arial" w:cs="Arial" w:eastAsia="Arial" w:hAnsi="Arial"/>
          <w:sz w:val="19"/>
          <w:szCs w:val="19"/>
          <w:u w:val="single" w:color="auto"/>
          <w:color w:val="auto"/>
        </w:rPr>
        <w:t>Lender Representations Regarding ERISA</w:t>
      </w:r>
      <w:r>
        <w:rPr>
          <w:rFonts w:ascii="Arial" w:cs="Arial" w:eastAsia="Arial" w:hAnsi="Arial"/>
          <w:sz w:val="19"/>
          <w:szCs w:val="19"/>
          <w:color w:val="auto"/>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Borrower or any other Loan Party, that at least one of the following is and will be true:</w:t>
      </w:r>
    </w:p>
    <w:p>
      <w:pPr>
        <w:spacing w:after="0" w:line="192" w:lineRule="exact"/>
        <w:rPr>
          <w:sz w:val="20"/>
          <w:szCs w:val="20"/>
          <w:color w:val="auto"/>
        </w:rPr>
      </w:pPr>
    </w:p>
    <w:p>
      <w:pPr>
        <w:ind w:left="600" w:firstLine="599"/>
        <w:spacing w:after="0" w:line="272" w:lineRule="auto"/>
        <w:tabs>
          <w:tab w:leader="none" w:pos="1988" w:val="left"/>
        </w:tabs>
        <w:numPr>
          <w:ilvl w:val="1"/>
          <w:numId w:val="151"/>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29 CFR § 2510.3-101, as modified by Section 3(42) of ERISA) of one or more Benefit Plans in connection with the Loans;</w:t>
      </w:r>
    </w:p>
    <w:p>
      <w:pPr>
        <w:spacing w:after="0" w:line="190" w:lineRule="exact"/>
        <w:rPr>
          <w:rFonts w:ascii="Arial" w:cs="Arial" w:eastAsia="Arial" w:hAnsi="Arial"/>
          <w:sz w:val="20"/>
          <w:szCs w:val="20"/>
          <w:color w:val="auto"/>
        </w:rPr>
      </w:pPr>
    </w:p>
    <w:p>
      <w:pPr>
        <w:jc w:val="both"/>
        <w:ind w:left="600" w:firstLine="599"/>
        <w:spacing w:after="0" w:line="286" w:lineRule="auto"/>
        <w:tabs>
          <w:tab w:leader="none" w:pos="2043"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and this Agreement;</w:t>
      </w:r>
    </w:p>
    <w:p>
      <w:pPr>
        <w:spacing w:after="0" w:line="181" w:lineRule="exact"/>
        <w:rPr>
          <w:rFonts w:ascii="Arial" w:cs="Arial" w:eastAsia="Arial" w:hAnsi="Arial"/>
          <w:sz w:val="18"/>
          <w:szCs w:val="18"/>
          <w:color w:val="auto"/>
        </w:rPr>
      </w:pPr>
    </w:p>
    <w:p>
      <w:pPr>
        <w:jc w:val="both"/>
        <w:ind w:left="600" w:firstLine="599"/>
        <w:spacing w:after="0" w:line="286" w:lineRule="auto"/>
        <w:tabs>
          <w:tab w:leader="none" w:pos="2099"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and this Agreement, (C) the entrance into, participation in, administration of and performance of the Loans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and this Agreement; or</w:t>
      </w:r>
    </w:p>
    <w:p>
      <w:pPr>
        <w:spacing w:after="0" w:line="181" w:lineRule="exact"/>
        <w:rPr>
          <w:rFonts w:ascii="Arial" w:cs="Arial" w:eastAsia="Arial" w:hAnsi="Arial"/>
          <w:sz w:val="18"/>
          <w:szCs w:val="18"/>
          <w:color w:val="auto"/>
        </w:rPr>
      </w:pPr>
    </w:p>
    <w:p>
      <w:pPr>
        <w:ind w:left="600" w:firstLine="599"/>
        <w:spacing w:after="0" w:line="272" w:lineRule="auto"/>
        <w:tabs>
          <w:tab w:leader="none" w:pos="2087" w:val="left"/>
        </w:tabs>
        <w:numPr>
          <w:ilvl w:val="1"/>
          <w:numId w:val="151"/>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90" w:lineRule="exact"/>
        <w:rPr>
          <w:rFonts w:ascii="Arial" w:cs="Arial" w:eastAsia="Arial" w:hAnsi="Arial"/>
          <w:sz w:val="20"/>
          <w:szCs w:val="20"/>
          <w:color w:val="auto"/>
        </w:rPr>
      </w:pPr>
    </w:p>
    <w:p>
      <w:pPr>
        <w:jc w:val="both"/>
        <w:ind w:firstLine="599"/>
        <w:spacing w:after="0" w:line="288" w:lineRule="auto"/>
        <w:tabs>
          <w:tab w:leader="none" w:pos="110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Borrower or any other Loan Party, that:</w:t>
      </w:r>
    </w:p>
    <w:p>
      <w:pPr>
        <w:spacing w:after="0" w:line="144" w:lineRule="exact"/>
        <w:rPr>
          <w:rFonts w:ascii="Arial" w:cs="Arial" w:eastAsia="Arial" w:hAnsi="Arial"/>
          <w:sz w:val="18"/>
          <w:szCs w:val="18"/>
          <w:color w:val="auto"/>
        </w:rPr>
      </w:pPr>
    </w:p>
    <w:p>
      <w:pPr>
        <w:ind w:left="600" w:firstLine="599"/>
        <w:spacing w:after="0" w:line="272" w:lineRule="auto"/>
        <w:tabs>
          <w:tab w:leader="none" w:pos="1988" w:val="left"/>
        </w:tabs>
        <w:numPr>
          <w:ilvl w:val="1"/>
          <w:numId w:val="152"/>
        </w:numPr>
        <w:rPr>
          <w:rFonts w:ascii="Arial" w:cs="Arial" w:eastAsia="Arial" w:hAnsi="Arial"/>
          <w:sz w:val="20"/>
          <w:szCs w:val="20"/>
          <w:color w:val="auto"/>
        </w:rPr>
      </w:pPr>
      <w:r>
        <w:rPr>
          <w:rFonts w:ascii="Arial" w:cs="Arial" w:eastAsia="Arial" w:hAnsi="Arial"/>
          <w:sz w:val="20"/>
          <w:szCs w:val="20"/>
          <w:color w:val="auto"/>
        </w:rPr>
        <w:t>none of the Administrative Agent or any of its Affiliates is a fiduciary with respect to the assets of such Lender (including in connection with the reservation or exercise of any rights by</w:t>
      </w:r>
    </w:p>
    <w:p>
      <w:pPr>
        <w:spacing w:after="0" w:line="19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106</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18" w:name="page119"/>
    <w:bookmarkEnd w:id="118"/>
    <w:p>
      <w:pPr>
        <w:ind w:left="600"/>
        <w:spacing w:after="0"/>
        <w:rPr>
          <w:sz w:val="20"/>
          <w:szCs w:val="20"/>
          <w:color w:val="auto"/>
        </w:rPr>
      </w:pPr>
      <w:r>
        <w:rPr>
          <w:rFonts w:ascii="Arial" w:cs="Arial" w:eastAsia="Arial" w:hAnsi="Arial"/>
          <w:sz w:val="20"/>
          <w:szCs w:val="20"/>
          <w:color w:val="auto"/>
        </w:rPr>
        <w:t>the Administrative Agent under this Agreement, any Loan Document or any documents related hereto or thereto);</w:t>
      </w:r>
    </w:p>
    <w:p>
      <w:pPr>
        <w:spacing w:after="0" w:line="245" w:lineRule="exact"/>
        <w:rPr>
          <w:sz w:val="20"/>
          <w:szCs w:val="20"/>
          <w:color w:val="auto"/>
        </w:rPr>
      </w:pPr>
    </w:p>
    <w:p>
      <w:pPr>
        <w:jc w:val="both"/>
        <w:ind w:left="600" w:firstLine="599"/>
        <w:spacing w:after="0" w:line="293" w:lineRule="auto"/>
        <w:tabs>
          <w:tab w:leader="none" w:pos="2043"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175" w:lineRule="exact"/>
        <w:rPr>
          <w:rFonts w:ascii="Arial" w:cs="Arial" w:eastAsia="Arial" w:hAnsi="Arial"/>
          <w:sz w:val="18"/>
          <w:szCs w:val="18"/>
          <w:color w:val="auto"/>
        </w:rPr>
      </w:pPr>
    </w:p>
    <w:p>
      <w:pPr>
        <w:jc w:val="both"/>
        <w:ind w:left="600" w:firstLine="599"/>
        <w:spacing w:after="0" w:line="302" w:lineRule="auto"/>
        <w:tabs>
          <w:tab w:leader="none" w:pos="2099"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and this Agreement is capable of evaluating investment risks independently, both in general and with regard to particular transactions and investment strategies (including in respect of the Obligations);</w:t>
      </w:r>
    </w:p>
    <w:p>
      <w:pPr>
        <w:spacing w:after="0" w:line="167" w:lineRule="exact"/>
        <w:rPr>
          <w:rFonts w:ascii="Arial" w:cs="Arial" w:eastAsia="Arial" w:hAnsi="Arial"/>
          <w:sz w:val="18"/>
          <w:szCs w:val="18"/>
          <w:color w:val="auto"/>
        </w:rPr>
      </w:pPr>
    </w:p>
    <w:p>
      <w:pPr>
        <w:jc w:val="both"/>
        <w:ind w:left="600" w:firstLine="599"/>
        <w:spacing w:after="0" w:line="302" w:lineRule="auto"/>
        <w:tabs>
          <w:tab w:leader="none" w:pos="2087"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and this Agreement is a fiduciary under ERISA or the Code, or both, with respect to the Loans and this Agreement and is responsible for exercising independent judgment in evaluating the transactions hereunder; and</w:t>
      </w:r>
    </w:p>
    <w:p>
      <w:pPr>
        <w:spacing w:after="0" w:line="167" w:lineRule="exact"/>
        <w:rPr>
          <w:rFonts w:ascii="Arial" w:cs="Arial" w:eastAsia="Arial" w:hAnsi="Arial"/>
          <w:sz w:val="18"/>
          <w:szCs w:val="18"/>
          <w:color w:val="auto"/>
        </w:rPr>
      </w:pPr>
    </w:p>
    <w:p>
      <w:pPr>
        <w:ind w:left="600" w:firstLine="599"/>
        <w:spacing w:after="0" w:line="272" w:lineRule="auto"/>
        <w:tabs>
          <w:tab w:leader="none" w:pos="2032" w:val="left"/>
        </w:tabs>
        <w:numPr>
          <w:ilvl w:val="1"/>
          <w:numId w:val="153"/>
        </w:numPr>
        <w:rPr>
          <w:rFonts w:ascii="Arial" w:cs="Arial" w:eastAsia="Arial" w:hAnsi="Arial"/>
          <w:sz w:val="20"/>
          <w:szCs w:val="20"/>
          <w:color w:val="auto"/>
        </w:rPr>
      </w:pPr>
      <w:r>
        <w:rPr>
          <w:rFonts w:ascii="Arial" w:cs="Arial" w:eastAsia="Arial" w:hAnsi="Arial"/>
          <w:sz w:val="20"/>
          <w:szCs w:val="20"/>
          <w:color w:val="auto"/>
        </w:rPr>
        <w:t>no fee or other compensation is being paid directly to the Administrative Agent or any of its Affiliates for investment advice (as opposed to other services) in connection with the Loans or this Agreement.</w:t>
      </w:r>
    </w:p>
    <w:p>
      <w:pPr>
        <w:spacing w:after="0" w:line="190" w:lineRule="exact"/>
        <w:rPr>
          <w:rFonts w:ascii="Arial" w:cs="Arial" w:eastAsia="Arial" w:hAnsi="Arial"/>
          <w:sz w:val="20"/>
          <w:szCs w:val="20"/>
          <w:color w:val="auto"/>
        </w:rPr>
      </w:pPr>
    </w:p>
    <w:p>
      <w:pPr>
        <w:jc w:val="both"/>
        <w:ind w:firstLine="599"/>
        <w:spacing w:after="0" w:line="265" w:lineRule="auto"/>
        <w:tabs>
          <w:tab w:leader="none" w:pos="1067"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The Administrative Agent hereby informs the Lenders that it is not undertaking to provide impartial investment advice, or to give advice in a fiduciary capacity, in connection with the transactions contemplated hereby, and that it has a financial interest in the transactions contemplated hereby in that such Person or an Affiliate thereof (i) may receive interest or other payments with respect to the Loans and this Agreement, (ii) may recognize a gain if it extended the Loans for an amount less than the amount being paid for an interest in the Loans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w:t>
      </w:r>
    </w:p>
    <w:p>
      <w:pPr>
        <w:spacing w:after="0" w:line="229"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9"/>
          <w:szCs w:val="19"/>
          <w:color w:val="auto"/>
        </w:rPr>
        <w:t xml:space="preserve">10.01. </w:t>
      </w:r>
      <w:r>
        <w:rPr>
          <w:rFonts w:ascii="Arial" w:cs="Arial" w:eastAsia="Arial" w:hAnsi="Arial"/>
          <w:sz w:val="19"/>
          <w:szCs w:val="19"/>
          <w:u w:val="single" w:color="auto"/>
          <w:color w:val="auto"/>
        </w:rPr>
        <w:t>Amendments, Etc</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3.07</w:t>
      </w:r>
      <w:r>
        <w:rPr>
          <w:rFonts w:ascii="Arial" w:cs="Arial" w:eastAsia="Arial" w:hAnsi="Arial"/>
          <w:sz w:val="19"/>
          <w:szCs w:val="19"/>
          <w:color w:val="auto"/>
        </w:rPr>
        <w:t>, no amendment or waiver of any provision of this Agreement or any other Loan Document, and no consent to any departure by the Borrower or any other Loan Party therefrom, shall be effective unless in writing signed by the Required Lenders (or, to the extent such amendment or waiver (i) changes the definition of “Required Revolving Lenders”, “Required Term Lenders”, “Required Facility Lenders” or “Appropriate Lenders,” each Lender under the applicable Facility, (ii) waives any obligation of the Borrower to pay interest on the Revolving Credit Loans at the Default Rate or Letter of Credit Fees at the Default Rate, the Required Revolving Lenders or (iii) waives any obligation of the Borrower to pay interest on the Term Loans under any Term Facility at the Default Rate, the Required Facility Lenders for such Term Facility) and the Borrower or the applicable Loan Party, as the case may be, and acknowledged by the Administrative Agent, and each such waiver or consent shall be effective only in the</w:t>
      </w:r>
    </w:p>
    <w:p>
      <w:pPr>
        <w:spacing w:after="0" w:line="199"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107</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19" w:name="page120"/>
    <w:bookmarkEnd w:id="119"/>
    <w:p>
      <w:pPr>
        <w:spacing w:after="0"/>
        <w:rPr>
          <w:sz w:val="20"/>
          <w:szCs w:val="20"/>
          <w:color w:val="auto"/>
        </w:rPr>
      </w:pPr>
      <w:r>
        <w:rPr>
          <w:rFonts w:ascii="Arial" w:cs="Arial" w:eastAsia="Arial" w:hAnsi="Arial"/>
          <w:sz w:val="19"/>
          <w:szCs w:val="19"/>
          <w:color w:val="auto"/>
        </w:rPr>
        <w:t xml:space="preserve">specific instance and for the specific purpose for which given;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amendment, waiver or consent shall:</w:t>
      </w:r>
    </w:p>
    <w:p>
      <w:pPr>
        <w:spacing w:after="0" w:line="256" w:lineRule="exact"/>
        <w:rPr>
          <w:sz w:val="20"/>
          <w:szCs w:val="20"/>
          <w:color w:val="auto"/>
        </w:rPr>
      </w:pPr>
    </w:p>
    <w:p>
      <w:pPr>
        <w:ind w:left="1420" w:hanging="821"/>
        <w:spacing w:after="0"/>
        <w:tabs>
          <w:tab w:leader="none" w:pos="142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 xml:space="preserve">waive any condition set forth in </w:t>
      </w:r>
      <w:r>
        <w:rPr>
          <w:rFonts w:ascii="Arial" w:cs="Arial" w:eastAsia="Arial" w:hAnsi="Arial"/>
          <w:sz w:val="20"/>
          <w:szCs w:val="20"/>
          <w:u w:val="single" w:color="auto"/>
          <w:color w:val="auto"/>
        </w:rPr>
        <w:t>Section 4.01</w:t>
      </w:r>
      <w:r>
        <w:rPr>
          <w:rFonts w:ascii="Arial" w:cs="Arial" w:eastAsia="Arial" w:hAnsi="Arial"/>
          <w:sz w:val="20"/>
          <w:szCs w:val="20"/>
          <w:color w:val="auto"/>
        </w:rPr>
        <w:t>, without the written consent of each Lender;</w:t>
      </w:r>
    </w:p>
    <w:p>
      <w:pPr>
        <w:spacing w:after="0" w:line="244" w:lineRule="exact"/>
        <w:rPr>
          <w:rFonts w:ascii="Arial" w:cs="Arial" w:eastAsia="Arial" w:hAnsi="Arial"/>
          <w:sz w:val="20"/>
          <w:szCs w:val="20"/>
          <w:color w:val="auto"/>
        </w:rPr>
      </w:pPr>
    </w:p>
    <w:p>
      <w:pPr>
        <w:jc w:val="both"/>
        <w:ind w:firstLine="599"/>
        <w:spacing w:after="0" w:line="302" w:lineRule="auto"/>
        <w:tabs>
          <w:tab w:leader="none" w:pos="143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as to any Credit Extension under a Facility without the written consent of the Required Facility Lenders (it being understood and agreed that a waiver or an amendment to a covenant, default or any other provision of this Agreement or any other Loan Document (other than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shall not constitute a waiver of any condition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w:t>
      </w:r>
    </w:p>
    <w:p>
      <w:pPr>
        <w:spacing w:after="0" w:line="167" w:lineRule="exact"/>
        <w:rPr>
          <w:rFonts w:ascii="Arial" w:cs="Arial" w:eastAsia="Arial" w:hAnsi="Arial"/>
          <w:sz w:val="18"/>
          <w:szCs w:val="18"/>
          <w:color w:val="auto"/>
        </w:rPr>
      </w:pPr>
    </w:p>
    <w:p>
      <w:pPr>
        <w:jc w:val="both"/>
        <w:ind w:firstLine="599"/>
        <w:spacing w:after="0" w:line="302" w:lineRule="auto"/>
        <w:tabs>
          <w:tab w:leader="none" w:pos="142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extend (except as provided in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or increase the Commitment of any Lender (or reinstate any Commitment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without the written consent of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the waiver of any Default or any condition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shall not be deemed to be an extension or increase of the Commitment of any Lender;</w:t>
      </w:r>
    </w:p>
    <w:p>
      <w:pPr>
        <w:spacing w:after="0" w:line="167" w:lineRule="exact"/>
        <w:rPr>
          <w:rFonts w:ascii="Arial" w:cs="Arial" w:eastAsia="Arial" w:hAnsi="Arial"/>
          <w:sz w:val="18"/>
          <w:szCs w:val="18"/>
          <w:color w:val="auto"/>
        </w:rPr>
      </w:pPr>
    </w:p>
    <w:p>
      <w:pPr>
        <w:jc w:val="both"/>
        <w:ind w:firstLine="599"/>
        <w:spacing w:after="0" w:line="293" w:lineRule="auto"/>
        <w:tabs>
          <w:tab w:leader="none" w:pos="143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postpone any date fixed by this Agreement or any other Loan Document for any payment (excluding mandatory prepayments) of principal, interest, fees or other amounts due to the Lenders (or any of them) hereunder or under such other Loan Document without the written consent of each Lender entitled to such payment (for the avoidance of doubt, this clause (d) shall not be deemed to be applicable to an extension of the Maturity Date in respect of the Revolving Credit Facility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jc w:val="both"/>
        <w:ind w:firstLine="599"/>
        <w:spacing w:after="0" w:line="251" w:lineRule="auto"/>
        <w:tabs>
          <w:tab w:leader="none" w:pos="1421" w:val="left"/>
        </w:tabs>
        <w:numPr>
          <w:ilvl w:val="0"/>
          <w:numId w:val="155"/>
        </w:numPr>
        <w:rPr>
          <w:rFonts w:ascii="Arial" w:cs="Arial" w:eastAsia="Arial" w:hAnsi="Arial"/>
          <w:sz w:val="20"/>
          <w:szCs w:val="20"/>
          <w:color w:val="auto"/>
        </w:rPr>
      </w:pPr>
      <w:r>
        <w:rPr>
          <w:rFonts w:ascii="Arial" w:cs="Arial" w:eastAsia="Arial" w:hAnsi="Arial"/>
          <w:sz w:val="20"/>
          <w:szCs w:val="20"/>
          <w:color w:val="auto"/>
        </w:rPr>
        <w:t xml:space="preserve">reduce the principal of, or the rate of interest specified herein on, any Loan or L/C Borrowing, or (subject to clause (iv) of the second proviso to this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any fees or other amounts payable hereunder or under any other Loan Document, without the written consent of each Lender entitled to such amount;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only the consent of (i) the Required Revolving Lenders shall be necessary to amend the definition of “Default Rate” as it relates solely to Letter of Credit Fees and/or the Revolving Credit Loans, (ii) the Required Facility Lenders for the applicable Term Facility shall be necessary to amend the definition of “Default Rate” as it relates solely to the Term Loans of any Term Facility and (iii) the Required Lenders shall be necessary to amend any financial covenant hereunder (or any defined term used therein) even if the effect of such amendment would be to reduce the rate of interest on any Loan or L/C Borrowing or to reduce any fee payable hereunder;</w:t>
      </w:r>
    </w:p>
    <w:p>
      <w:pPr>
        <w:spacing w:after="0" w:line="211" w:lineRule="exact"/>
        <w:rPr>
          <w:rFonts w:ascii="Arial" w:cs="Arial" w:eastAsia="Arial" w:hAnsi="Arial"/>
          <w:sz w:val="20"/>
          <w:szCs w:val="20"/>
          <w:color w:val="auto"/>
        </w:rPr>
      </w:pPr>
    </w:p>
    <w:p>
      <w:pPr>
        <w:jc w:val="both"/>
        <w:ind w:firstLine="599"/>
        <w:spacing w:after="0" w:line="256" w:lineRule="auto"/>
        <w:tabs>
          <w:tab w:leader="none" w:pos="1399" w:val="left"/>
        </w:tabs>
        <w:numPr>
          <w:ilvl w:val="0"/>
          <w:numId w:val="155"/>
        </w:numPr>
        <w:rPr>
          <w:rFonts w:ascii="Arial" w:cs="Arial" w:eastAsia="Arial" w:hAnsi="Arial"/>
          <w:sz w:val="20"/>
          <w:szCs w:val="20"/>
          <w:color w:val="auto"/>
        </w:rPr>
      </w:pPr>
      <w:r>
        <w:rPr>
          <w:rFonts w:ascii="Arial" w:cs="Arial" w:eastAsia="Arial" w:hAnsi="Arial"/>
          <w:sz w:val="20"/>
          <w:szCs w:val="20"/>
          <w:color w:val="auto"/>
        </w:rPr>
        <w:t xml:space="preserve">change (i) any provision of this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or the definition of “Required Lenders” or any other provision hereof specifying the number or percentage of Lenders required to amend, waive or otherwise modify any rights hereunder or make any determination or grant any consent hereunder (other than the definitions specified in the first paragraph of this </w:t>
      </w:r>
      <w:r>
        <w:rPr>
          <w:rFonts w:ascii="Arial" w:cs="Arial" w:eastAsia="Arial" w:hAnsi="Arial"/>
          <w:sz w:val="20"/>
          <w:szCs w:val="20"/>
          <w:u w:val="single" w:color="auto"/>
          <w:color w:val="auto"/>
        </w:rPr>
        <w:t>Section 10.01</w:t>
      </w:r>
      <w:r>
        <w:rPr>
          <w:rFonts w:ascii="Arial" w:cs="Arial" w:eastAsia="Arial" w:hAnsi="Arial"/>
          <w:sz w:val="20"/>
          <w:szCs w:val="20"/>
          <w:color w:val="auto"/>
        </w:rPr>
        <w:t>), without the written consent of each Lender;</w:t>
      </w:r>
    </w:p>
    <w:p>
      <w:pPr>
        <w:spacing w:after="0" w:line="205" w:lineRule="exact"/>
        <w:rPr>
          <w:rFonts w:ascii="Arial" w:cs="Arial" w:eastAsia="Arial" w:hAnsi="Arial"/>
          <w:sz w:val="20"/>
          <w:szCs w:val="20"/>
          <w:color w:val="auto"/>
        </w:rPr>
      </w:pPr>
    </w:p>
    <w:p>
      <w:pPr>
        <w:jc w:val="both"/>
        <w:ind w:firstLine="599"/>
        <w:spacing w:after="0" w:line="265" w:lineRule="auto"/>
        <w:tabs>
          <w:tab w:leader="none" w:pos="1432"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(i) change any of the terms or provisions in any Loan Document requiring pro rata payments, distributions, commitment reductions or sharing of payments without the consent of each Lender directly and adversely affected thereby, (ii) change (A) any provision of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in a manner that would alter the pro rata sharing of payments required thereby without the written consent of each Lender directly and adversely affected thereby or (B) the order of application of any reduction in Commitments or any prepayment of Loans among the Facilities from the application thereof set forth in the applicable provisions of </w:t>
      </w:r>
      <w:r>
        <w:rPr>
          <w:rFonts w:ascii="Arial" w:cs="Arial" w:eastAsia="Arial" w:hAnsi="Arial"/>
          <w:sz w:val="19"/>
          <w:szCs w:val="19"/>
          <w:u w:val="single" w:color="auto"/>
          <w:color w:val="auto"/>
        </w:rPr>
        <w:t>Section 2.05(b)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2.06(c)</w:t>
      </w:r>
      <w:r>
        <w:rPr>
          <w:rFonts w:ascii="Arial" w:cs="Arial" w:eastAsia="Arial" w:hAnsi="Arial"/>
          <w:sz w:val="19"/>
          <w:szCs w:val="19"/>
          <w:color w:val="auto"/>
        </w:rPr>
        <w:t xml:space="preserve"> in any manner that materially and adversely affects the Lenders under any Facility without the written consent of (1) if such Facility is a Term Facility, each Term Lender under such Term Facility and (2) if such Facility is the Revolving Credit Facility, each Revolving Credit Lender; </w:t>
      </w:r>
      <w:r>
        <w:rPr>
          <w:rFonts w:ascii="Arial" w:cs="Arial" w:eastAsia="Arial" w:hAnsi="Arial"/>
          <w:sz w:val="19"/>
          <w:szCs w:val="19"/>
          <w:u w:val="single" w:color="auto"/>
          <w:color w:val="auto"/>
        </w:rPr>
        <w:t>provided</w:t>
      </w:r>
      <w:r>
        <w:rPr>
          <w:rFonts w:ascii="Arial" w:cs="Arial" w:eastAsia="Arial" w:hAnsi="Arial"/>
          <w:sz w:val="19"/>
          <w:szCs w:val="19"/>
          <w:color w:val="auto"/>
        </w:rPr>
        <w:t>, that in each case under clauses (g)(i) and (g)(ii) such terms and provisions may be amended with the consent of the Required Lenders on customary terms in connection with an “amend and extend” transaction, but only if all Lenders that consent to such “amend and extend” transaction are treated on a pro rata basis;</w:t>
      </w:r>
    </w:p>
    <w:p>
      <w:pPr>
        <w:spacing w:after="0" w:line="198"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108</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20" w:name="page121"/>
    <w:bookmarkEnd w:id="120"/>
    <w:p>
      <w:pPr>
        <w:jc w:val="both"/>
        <w:ind w:firstLine="599"/>
        <w:spacing w:after="0" w:line="302" w:lineRule="auto"/>
        <w:tabs>
          <w:tab w:leader="none" w:pos="143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release (i) the Borrower or the REIT from its obligations under this Agreement or any other Loan Document or (ii) the Guarantors collectively constituting all or substantially all of the value of the Guaranty Agreement from its or their obligations under this Agreement or any other Loan Document, without the written consent of each Lender, except as expressly provided in the Loan Documents; or</w:t>
      </w:r>
    </w:p>
    <w:p>
      <w:pPr>
        <w:spacing w:after="0" w:line="167" w:lineRule="exact"/>
        <w:rPr>
          <w:rFonts w:ascii="Arial" w:cs="Arial" w:eastAsia="Arial" w:hAnsi="Arial"/>
          <w:sz w:val="18"/>
          <w:szCs w:val="18"/>
          <w:color w:val="auto"/>
        </w:rPr>
      </w:pPr>
    </w:p>
    <w:p>
      <w:pPr>
        <w:jc w:val="both"/>
        <w:ind w:firstLine="599"/>
        <w:spacing w:after="0" w:line="260" w:lineRule="auto"/>
        <w:tabs>
          <w:tab w:leader="none" w:pos="1387" w:val="left"/>
        </w:tabs>
        <w:numPr>
          <w:ilvl w:val="0"/>
          <w:numId w:val="156"/>
        </w:numPr>
        <w:rPr>
          <w:rFonts w:ascii="Arial" w:cs="Arial" w:eastAsia="Arial" w:hAnsi="Arial"/>
          <w:sz w:val="20"/>
          <w:szCs w:val="20"/>
          <w:color w:val="auto"/>
        </w:rPr>
      </w:pPr>
      <w:r>
        <w:rPr>
          <w:rFonts w:ascii="Arial" w:cs="Arial" w:eastAsia="Arial" w:hAnsi="Arial"/>
          <w:sz w:val="20"/>
          <w:szCs w:val="20"/>
          <w:color w:val="auto"/>
        </w:rPr>
        <w:t>impose any greater restriction on the ability of any Lender under a Facility to assign any of its rights or obligations hereunder without the written consent of (i) if such Facility is a Term Facility, each Term Lender under such Term Facility and (ii) if such Facility is the Revolving Credit Facility, each Revolving Credit Lender;</w:t>
      </w:r>
    </w:p>
    <w:p>
      <w:pPr>
        <w:spacing w:after="0" w:line="202"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 no amendment, waiver or consent shall, unless in writing and signed by the L/C Issuers in addition to the Lenders required above, affect the rights or duties of any L/C Issuer under this Agreement or any Issuer Document relating to any Letter of Credit issued or to be issued by it; (ii) no amendment, waiver or consent shall, unless in writing and signed by the Swing Line Lenders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or affect </w:t>
      </w:r>
      <w:r>
        <w:rPr>
          <w:rFonts w:ascii="Arial" w:cs="Arial" w:eastAsia="Arial" w:hAnsi="Arial"/>
          <w:sz w:val="18"/>
          <w:szCs w:val="18"/>
          <w:u w:val="single" w:color="auto"/>
          <w:color w:val="auto"/>
        </w:rPr>
        <w:t>Section 3.07</w:t>
      </w:r>
      <w:r>
        <w:rPr>
          <w:rFonts w:ascii="Arial" w:cs="Arial" w:eastAsia="Arial" w:hAnsi="Arial"/>
          <w:sz w:val="18"/>
          <w:szCs w:val="18"/>
          <w:color w:val="auto"/>
        </w:rPr>
        <w:t xml:space="preserve"> or any LIBOR Successor Rate; and (iv) any Fee Letter may be amended, or rights or privileges thereunder waived, in a writing executed only by the parties thereto.</w:t>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Notwithstanding anything to the contrary herein:</w:t>
      </w:r>
    </w:p>
    <w:p>
      <w:pPr>
        <w:spacing w:after="0" w:line="207" w:lineRule="exact"/>
        <w:rPr>
          <w:sz w:val="20"/>
          <w:szCs w:val="20"/>
          <w:color w:val="auto"/>
        </w:rPr>
      </w:pPr>
    </w:p>
    <w:p>
      <w:pPr>
        <w:jc w:val="both"/>
        <w:ind w:left="600" w:firstLine="599"/>
        <w:spacing w:after="0" w:line="286" w:lineRule="auto"/>
        <w:tabs>
          <w:tab w:leader="none" w:pos="198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(except as provided in </w:t>
      </w:r>
      <w:r>
        <w:rPr>
          <w:rFonts w:ascii="Arial" w:cs="Arial" w:eastAsia="Arial" w:hAnsi="Arial"/>
          <w:sz w:val="18"/>
          <w:szCs w:val="18"/>
          <w:u w:val="single" w:color="auto"/>
          <w:color w:val="auto"/>
        </w:rPr>
        <w:t>Section 2.14</w:t>
      </w:r>
      <w:r>
        <w:rPr>
          <w:rFonts w:ascii="Arial" w:cs="Arial" w:eastAsia="Arial" w:hAnsi="Arial"/>
          <w:sz w:val="18"/>
          <w:szCs w:val="18"/>
          <w:color w:val="auto"/>
        </w:rPr>
        <w:t>)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 and</w:t>
      </w:r>
    </w:p>
    <w:p>
      <w:pPr>
        <w:spacing w:after="0" w:line="181" w:lineRule="exact"/>
        <w:rPr>
          <w:rFonts w:ascii="Arial" w:cs="Arial" w:eastAsia="Arial" w:hAnsi="Arial"/>
          <w:sz w:val="18"/>
          <w:szCs w:val="18"/>
          <w:color w:val="auto"/>
        </w:rPr>
      </w:pPr>
    </w:p>
    <w:p>
      <w:pPr>
        <w:jc w:val="both"/>
        <w:ind w:left="600" w:firstLine="599"/>
        <w:spacing w:after="0" w:line="270" w:lineRule="auto"/>
        <w:tabs>
          <w:tab w:leader="none" w:pos="2043"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the Administrative Agent and the Borrower may, with the consent of the other (but without the consent of any other Person), amend, modify or supplement this Agreement and any other Loan Document to (A) correct or cure any ambiguity, defect or inconsistency, or to correct any obvious error or any error or omission of an administrative or technical nature, if such amendment, modification or supplement does not adversely affect the rights of the Administrative Agent or any Lender and (B) to add a “Guarantor” in accordance with the applicable provisions of this Agreement and the other Loan Documents; and</w:t>
      </w:r>
    </w:p>
    <w:p>
      <w:pPr>
        <w:spacing w:after="0" w:line="194" w:lineRule="exact"/>
        <w:rPr>
          <w:rFonts w:ascii="Arial" w:cs="Arial" w:eastAsia="Arial" w:hAnsi="Arial"/>
          <w:sz w:val="19"/>
          <w:szCs w:val="19"/>
          <w:color w:val="auto"/>
        </w:rPr>
      </w:pPr>
    </w:p>
    <w:p>
      <w:pPr>
        <w:jc w:val="both"/>
        <w:ind w:left="600" w:firstLine="599"/>
        <w:spacing w:after="0" w:line="267" w:lineRule="auto"/>
        <w:tabs>
          <w:tab w:leader="none" w:pos="2099"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xml:space="preserve">subject to the provisions of </w:t>
      </w:r>
      <w:r>
        <w:rPr>
          <w:rFonts w:ascii="Arial" w:cs="Arial" w:eastAsia="Arial" w:hAnsi="Arial"/>
          <w:sz w:val="19"/>
          <w:szCs w:val="19"/>
          <w:u w:val="single" w:color="auto"/>
          <w:color w:val="auto"/>
        </w:rPr>
        <w:t>Section 2.16</w:t>
      </w:r>
      <w:r>
        <w:rPr>
          <w:rFonts w:ascii="Arial" w:cs="Arial" w:eastAsia="Arial" w:hAnsi="Arial"/>
          <w:sz w:val="19"/>
          <w:szCs w:val="19"/>
          <w:color w:val="auto"/>
        </w:rPr>
        <w:t>, in connection with the establishment of any Additional TL Tranche the Administrative Agent, the Borrower and the Lenders providing commitments for such Additional TL Tranche may (without the consent of any other Person) amend, modify or supplement this Agreement and the other Loan Documents (A) to incorporate the terms of such Additional TL Tranche and to permit the extensions of credit and related obligations and liabilities arising in connection therewith from time to time outstanding to share ratably in the benefits of this Agreement and the other Loan Documents with the obligations and liabilities from time to time outstanding in respect of the then existing facilities hereunder, (B) to permit the Term Lenders providing such Additional TL Tranche to participate in any required vote or action required to be</w:t>
      </w:r>
    </w:p>
    <w:p>
      <w:pPr>
        <w:spacing w:after="0" w:line="197"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109</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121" w:name="page122"/>
    <w:bookmarkEnd w:id="121"/>
    <w:p>
      <w:pPr>
        <w:jc w:val="both"/>
        <w:ind w:left="600"/>
        <w:spacing w:after="0" w:line="273" w:lineRule="auto"/>
        <w:rPr>
          <w:sz w:val="20"/>
          <w:szCs w:val="20"/>
          <w:color w:val="auto"/>
        </w:rPr>
      </w:pPr>
      <w:r>
        <w:rPr>
          <w:rFonts w:ascii="Arial" w:cs="Arial" w:eastAsia="Arial" w:hAnsi="Arial"/>
          <w:sz w:val="19"/>
          <w:szCs w:val="19"/>
          <w:color w:val="auto"/>
        </w:rPr>
        <w:t xml:space="preserve">approved by the Required Lenders or the Required Term Lenders or (if applicable to Term Lenders) by any other number, percentage or class of Lenders hereunder and (C) the terms or provisions in any Loan Document requiring pro rata payments, distributions or sharing of payments (including </w:t>
      </w:r>
      <w:r>
        <w:rPr>
          <w:rFonts w:ascii="Arial" w:cs="Arial" w:eastAsia="Arial" w:hAnsi="Arial"/>
          <w:sz w:val="19"/>
          <w:szCs w:val="19"/>
          <w:u w:val="single" w:color="auto"/>
          <w:color w:val="auto"/>
        </w:rPr>
        <w:t>Sections 2.13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8.03</w:t>
      </w:r>
      <w:r>
        <w:rPr>
          <w:rFonts w:ascii="Arial" w:cs="Arial" w:eastAsia="Arial" w:hAnsi="Arial"/>
          <w:sz w:val="19"/>
          <w:szCs w:val="19"/>
          <w:color w:val="auto"/>
        </w:rPr>
        <w:t>) so long as such payments, distributions and sharing of payments continue to be based on each Lender’s Applicable Percentage with respect to the Facilities in which it participates.</w:t>
      </w:r>
    </w:p>
    <w:p>
      <w:pPr>
        <w:spacing w:after="0" w:line="192" w:lineRule="exact"/>
        <w:rPr>
          <w:sz w:val="20"/>
          <w:szCs w:val="20"/>
          <w:color w:val="auto"/>
        </w:rPr>
      </w:pPr>
    </w:p>
    <w:p>
      <w:pPr>
        <w:ind w:left="600"/>
        <w:spacing w:after="0"/>
        <w:tabs>
          <w:tab w:leader="none" w:pos="1280" w:val="left"/>
        </w:tabs>
        <w:rPr>
          <w:sz w:val="20"/>
          <w:szCs w:val="20"/>
          <w:color w:val="auto"/>
        </w:rPr>
      </w:pPr>
      <w:r>
        <w:rPr>
          <w:rFonts w:ascii="Arial" w:cs="Arial" w:eastAsia="Arial" w:hAnsi="Arial"/>
          <w:sz w:val="20"/>
          <w:szCs w:val="20"/>
          <w:color w:val="auto"/>
        </w:rPr>
        <w:t>10.02.</w:t>
      </w:r>
      <w:r>
        <w:rPr>
          <w:sz w:val="20"/>
          <w:szCs w:val="20"/>
          <w:color w:val="auto"/>
        </w:rPr>
        <w:tab/>
      </w:r>
      <w:r>
        <w:rPr>
          <w:rFonts w:ascii="Arial" w:cs="Arial" w:eastAsia="Arial" w:hAnsi="Arial"/>
          <w:sz w:val="18"/>
          <w:szCs w:val="18"/>
          <w:u w:val="single" w:color="auto"/>
          <w:color w:val="auto"/>
        </w:rPr>
        <w:t>Notices; Effectiveness; Electronic Communications</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53" w:lineRule="auto"/>
        <w:tabs>
          <w:tab w:leader="none" w:pos="1421" w:val="left"/>
        </w:tabs>
        <w:numPr>
          <w:ilvl w:val="0"/>
          <w:numId w:val="158"/>
        </w:numPr>
        <w:rPr>
          <w:rFonts w:ascii="Arial" w:cs="Arial" w:eastAsia="Arial" w:hAnsi="Arial"/>
          <w:sz w:val="20"/>
          <w:szCs w:val="20"/>
          <w:color w:val="auto"/>
        </w:rPr>
      </w:pPr>
      <w:r>
        <w:rPr>
          <w:rFonts w:ascii="Arial" w:cs="Arial" w:eastAsia="Arial" w:hAnsi="Arial"/>
          <w:sz w:val="20"/>
          <w:szCs w:val="20"/>
          <w:u w:val="single" w:color="auto"/>
          <w:color w:val="auto"/>
        </w:rPr>
        <w:t>Notices Generally</w:t>
      </w:r>
      <w:r>
        <w:rPr>
          <w:rFonts w:ascii="Arial" w:cs="Arial" w:eastAsia="Arial" w:hAnsi="Arial"/>
          <w:sz w:val="20"/>
          <w:szCs w:val="20"/>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or by electronic mail (subject to clause (b) below) as follows, and all notices and other communications expressly permitted hereunder to be given by telephone shall be made to the applicable telephone number, as follows:</w:t>
      </w:r>
    </w:p>
    <w:p>
      <w:pPr>
        <w:spacing w:after="0" w:line="211" w:lineRule="exact"/>
        <w:rPr>
          <w:rFonts w:ascii="Arial" w:cs="Arial" w:eastAsia="Arial" w:hAnsi="Arial"/>
          <w:sz w:val="20"/>
          <w:szCs w:val="20"/>
          <w:color w:val="auto"/>
        </w:rPr>
      </w:pPr>
    </w:p>
    <w:p>
      <w:pPr>
        <w:ind w:firstLine="1199"/>
        <w:spacing w:after="0" w:line="272" w:lineRule="auto"/>
        <w:tabs>
          <w:tab w:leader="none" w:pos="1987" w:val="left"/>
        </w:tabs>
        <w:numPr>
          <w:ilvl w:val="1"/>
          <w:numId w:val="158"/>
        </w:numPr>
        <w:rPr>
          <w:rFonts w:ascii="Arial" w:cs="Arial" w:eastAsia="Arial" w:hAnsi="Arial"/>
          <w:sz w:val="20"/>
          <w:szCs w:val="20"/>
          <w:color w:val="auto"/>
        </w:rPr>
      </w:pPr>
      <w:r>
        <w:rPr>
          <w:rFonts w:ascii="Arial" w:cs="Arial" w:eastAsia="Arial" w:hAnsi="Arial"/>
          <w:sz w:val="20"/>
          <w:szCs w:val="20"/>
          <w:color w:val="auto"/>
        </w:rPr>
        <w:t xml:space="preserve">if to a Loan Party, the Administrative Agent, an L/C Issuer or a Swing Line Lender, to the address, facsimile number, electronic mail address or telephone number specified for such Person on </w:t>
      </w:r>
      <w:r>
        <w:rPr>
          <w:rFonts w:ascii="Arial" w:cs="Arial" w:eastAsia="Arial" w:hAnsi="Arial"/>
          <w:sz w:val="20"/>
          <w:szCs w:val="20"/>
          <w:u w:val="single" w:color="auto"/>
          <w:color w:val="auto"/>
        </w:rPr>
        <w:t>Schedule 10.02</w:t>
      </w:r>
      <w:r>
        <w:rPr>
          <w:rFonts w:ascii="Arial" w:cs="Arial" w:eastAsia="Arial" w:hAnsi="Arial"/>
          <w:sz w:val="20"/>
          <w:szCs w:val="20"/>
          <w:color w:val="auto"/>
        </w:rPr>
        <w:t>; and</w:t>
      </w:r>
    </w:p>
    <w:p>
      <w:pPr>
        <w:spacing w:after="0" w:line="190" w:lineRule="exact"/>
        <w:rPr>
          <w:rFonts w:ascii="Arial" w:cs="Arial" w:eastAsia="Arial" w:hAnsi="Arial"/>
          <w:sz w:val="20"/>
          <w:szCs w:val="20"/>
          <w:color w:val="auto"/>
        </w:rPr>
      </w:pPr>
    </w:p>
    <w:p>
      <w:pPr>
        <w:jc w:val="both"/>
        <w:ind w:firstLine="1199"/>
        <w:spacing w:after="0" w:line="302" w:lineRule="auto"/>
        <w:tabs>
          <w:tab w:leader="none" w:pos="2043"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74" w:lineRule="exact"/>
        <w:rPr>
          <w:sz w:val="20"/>
          <w:szCs w:val="20"/>
          <w:color w:val="auto"/>
        </w:rPr>
      </w:pPr>
    </w:p>
    <w:p>
      <w:pPr>
        <w:jc w:val="both"/>
        <w:ind w:firstLine="599"/>
        <w:spacing w:after="0" w:line="267" w:lineRule="auto"/>
        <w:tabs>
          <w:tab w:leader="none" w:pos="1432"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xml:space="preserve">. Notices and other communications to the Lenders and the L/C Issuers hereunder may be delivered or furnished by electronic communication (including e-mail and Internet or intranet websites)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Lender or any L/C Issuer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if such Lender or such L/C Issuer, as applicable, has notified the Administrative Agent that it is incapable of receiving notices under such Article by electronic communication. The Administrative Agent, the Swing Line Lenders, the L/C Issuers or the Borrower may each,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197" w:lineRule="exact"/>
        <w:rPr>
          <w:sz w:val="20"/>
          <w:szCs w:val="20"/>
          <w:color w:val="auto"/>
        </w:rPr>
      </w:pPr>
    </w:p>
    <w:p>
      <w:pPr>
        <w:jc w:val="both"/>
        <w:ind w:firstLine="599"/>
        <w:spacing w:after="0" w:line="286"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if such notice, email or other communication is not sent during the normal business hours of the recipient, such notice, email or</w:t>
      </w:r>
    </w:p>
    <w:p>
      <w:pPr>
        <w:spacing w:after="0" w:line="38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110</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22" w:name="page123"/>
    <w:bookmarkEnd w:id="122"/>
    <w:p>
      <w:pPr>
        <w:spacing w:after="0"/>
        <w:rPr>
          <w:sz w:val="20"/>
          <w:szCs w:val="20"/>
          <w:color w:val="auto"/>
        </w:rPr>
      </w:pPr>
      <w:r>
        <w:rPr>
          <w:rFonts w:ascii="Arial" w:cs="Arial" w:eastAsia="Arial" w:hAnsi="Arial"/>
          <w:sz w:val="20"/>
          <w:szCs w:val="20"/>
          <w:color w:val="auto"/>
        </w:rPr>
        <w:t>communication shall be deemed to have been sent at the opening of business on the next business day for the recipient.</w:t>
      </w:r>
    </w:p>
    <w:p>
      <w:pPr>
        <w:spacing w:after="0" w:line="207" w:lineRule="exact"/>
        <w:rPr>
          <w:sz w:val="20"/>
          <w:szCs w:val="20"/>
          <w:color w:val="auto"/>
        </w:rPr>
      </w:pPr>
    </w:p>
    <w:p>
      <w:pPr>
        <w:ind w:left="1420" w:hanging="821"/>
        <w:spacing w:after="0"/>
        <w:tabs>
          <w:tab w:leader="none" w:pos="1420" w:val="left"/>
        </w:tabs>
        <w:numPr>
          <w:ilvl w:val="0"/>
          <w:numId w:val="160"/>
        </w:numPr>
        <w:rPr>
          <w:rFonts w:ascii="Arial" w:cs="Arial" w:eastAsia="Arial" w:hAnsi="Arial"/>
          <w:sz w:val="20"/>
          <w:szCs w:val="20"/>
          <w:color w:val="auto"/>
        </w:rPr>
      </w:pPr>
      <w:r>
        <w:rPr>
          <w:rFonts w:ascii="Arial" w:cs="Arial" w:eastAsia="Arial" w:hAnsi="Arial"/>
          <w:sz w:val="20"/>
          <w:szCs w:val="20"/>
          <w:u w:val="single" w:color="auto"/>
          <w:color w:val="auto"/>
        </w:rPr>
        <w:t>The Platform</w:t>
      </w:r>
      <w:r>
        <w:rPr>
          <w:rFonts w:ascii="Arial" w:cs="Arial" w:eastAsia="Arial" w:hAnsi="Arial"/>
          <w:sz w:val="20"/>
          <w:szCs w:val="20"/>
          <w:color w:val="auto"/>
        </w:rPr>
        <w:t>. THE PLATFORM IS PROVIDED “AS IS” AND “AS AVAILABLE.” THE AGENT PARTIES (AS</w:t>
      </w:r>
    </w:p>
    <w:p>
      <w:pPr>
        <w:spacing w:after="0" w:line="23" w:lineRule="exact"/>
        <w:rPr>
          <w:rFonts w:ascii="Arial" w:cs="Arial" w:eastAsia="Arial" w:hAnsi="Arial"/>
          <w:sz w:val="20"/>
          <w:szCs w:val="20"/>
          <w:color w:val="auto"/>
        </w:rPr>
      </w:pPr>
    </w:p>
    <w:p>
      <w:pPr>
        <w:jc w:val="both"/>
        <w:spacing w:after="0" w:line="262" w:lineRule="auto"/>
        <w:rPr>
          <w:rFonts w:ascii="Arial" w:cs="Arial" w:eastAsia="Arial" w:hAnsi="Arial"/>
          <w:sz w:val="20"/>
          <w:szCs w:val="20"/>
          <w:color w:val="auto"/>
        </w:rPr>
      </w:pPr>
      <w:r>
        <w:rPr>
          <w:rFonts w:ascii="Arial" w:cs="Arial" w:eastAsia="Arial" w:hAnsi="Arial"/>
          <w:sz w:val="19"/>
          <w:szCs w:val="19"/>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THE AGENT PARTIES IN CONNECTION WITH THE BORROWER MATERIALS OR THE PLATFORM. In no event shall the Administrative Agent or any of its Related Parties (collectively, the “</w:t>
      </w:r>
      <w:r>
        <w:rPr>
          <w:rFonts w:ascii="Arial" w:cs="Arial" w:eastAsia="Arial" w:hAnsi="Arial"/>
          <w:sz w:val="19"/>
          <w:szCs w:val="19"/>
          <w:u w:val="single" w:color="auto"/>
          <w:color w:val="auto"/>
        </w:rPr>
        <w:t>Agent Parties</w:t>
      </w:r>
      <w:r>
        <w:rPr>
          <w:rFonts w:ascii="Arial" w:cs="Arial" w:eastAsia="Arial" w:hAnsi="Arial"/>
          <w:sz w:val="19"/>
          <w:szCs w:val="19"/>
          <w:color w:val="auto"/>
        </w:rPr>
        <w:t>”) have any liability to any Loan Party or Subsidiary thereof, any Lender, any L/C Issuer or any other Person for losses, claims, damages, liabilities or expenses of any kind (whether in tort, contract or otherwise) arising out of any Loan Party’s or the Administrative Agent’s transmission of Borrower Materials through the Internet. In addition, in no event shall any Agent Party have any liability to any Loan Party or any Subsidiary thereof, any Lender, any L/C Issuer or any other Person for indirect, special, incidental, consequential or punitive damages (as opposed to direct or actual damages).</w:t>
      </w:r>
    </w:p>
    <w:p>
      <w:pPr>
        <w:spacing w:after="0" w:line="208" w:lineRule="exact"/>
        <w:rPr>
          <w:rFonts w:ascii="Arial" w:cs="Arial" w:eastAsia="Arial" w:hAnsi="Arial"/>
          <w:sz w:val="20"/>
          <w:szCs w:val="20"/>
          <w:color w:val="auto"/>
        </w:rPr>
      </w:pPr>
    </w:p>
    <w:p>
      <w:pPr>
        <w:jc w:val="both"/>
        <w:ind w:firstLine="599"/>
        <w:spacing w:after="0" w:line="264" w:lineRule="auto"/>
        <w:tabs>
          <w:tab w:leader="none" w:pos="1432"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Change of Address, Etc</w:t>
      </w:r>
      <w:r>
        <w:rPr>
          <w:rFonts w:ascii="Arial" w:cs="Arial" w:eastAsia="Arial" w:hAnsi="Arial"/>
          <w:sz w:val="19"/>
          <w:szCs w:val="19"/>
          <w:color w:val="auto"/>
        </w:rPr>
        <w:t>. Each of the REIT, the Borrower, the Administrative Agent, each L/C Issuer and each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 the Administrative Agent, each L/C Issuer and each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200" w:lineRule="exact"/>
        <w:rPr>
          <w:rFonts w:ascii="Arial" w:cs="Arial" w:eastAsia="Arial" w:hAnsi="Arial"/>
          <w:sz w:val="19"/>
          <w:szCs w:val="19"/>
          <w:color w:val="auto"/>
        </w:rPr>
      </w:pPr>
    </w:p>
    <w:p>
      <w:pPr>
        <w:jc w:val="both"/>
        <w:ind w:firstLine="599"/>
        <w:spacing w:after="0" w:line="282" w:lineRule="auto"/>
        <w:tabs>
          <w:tab w:leader="none" w:pos="1421"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L/C Issuer and Lenders</w:t>
      </w:r>
      <w:r>
        <w:rPr>
          <w:rFonts w:ascii="Arial" w:cs="Arial" w:eastAsia="Arial" w:hAnsi="Arial"/>
          <w:sz w:val="18"/>
          <w:szCs w:val="18"/>
          <w:color w:val="auto"/>
        </w:rPr>
        <w:t>. The Administrative Agent, the L/C Issuers and the Lenders shall be entitled to rely and act upon any notices (including telephonic or electronic Loan Notices, Letter of Credit Applications and Swing Line Loan Notices) purportedly given by or on behalf of a Loan Party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the L/C Issuers,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spacing w:after="0" w:line="190" w:lineRule="exact"/>
        <w:rPr>
          <w:sz w:val="20"/>
          <w:szCs w:val="20"/>
          <w:color w:val="auto"/>
        </w:rPr>
      </w:pPr>
    </w:p>
    <w:p>
      <w:pPr>
        <w:ind w:firstLine="599"/>
        <w:spacing w:after="0" w:line="272" w:lineRule="auto"/>
        <w:rPr>
          <w:sz w:val="20"/>
          <w:szCs w:val="20"/>
          <w:color w:val="auto"/>
        </w:rPr>
      </w:pPr>
      <w:r>
        <w:rPr>
          <w:rFonts w:ascii="Arial" w:cs="Arial" w:eastAsia="Arial" w:hAnsi="Arial"/>
          <w:sz w:val="20"/>
          <w:szCs w:val="20"/>
          <w:color w:val="auto"/>
        </w:rPr>
        <w:t xml:space="preserve">10.03. </w:t>
      </w:r>
      <w:r>
        <w:rPr>
          <w:rFonts w:ascii="Arial" w:cs="Arial" w:eastAsia="Arial" w:hAnsi="Arial"/>
          <w:sz w:val="20"/>
          <w:szCs w:val="20"/>
          <w:u w:val="single" w:color="auto"/>
          <w:color w:val="auto"/>
        </w:rPr>
        <w:t>No Waiver; Cumulative Remedies; Enforcement</w:t>
      </w:r>
      <w:r>
        <w:rPr>
          <w:rFonts w:ascii="Arial" w:cs="Arial" w:eastAsia="Arial" w:hAnsi="Arial"/>
          <w:sz w:val="20"/>
          <w:szCs w:val="20"/>
          <w:color w:val="auto"/>
        </w:rPr>
        <w:t>. No failure by any Lender, any L/C Issuer or the Administrative Agent to exercise, and no delay by any such Person in exercising, any right, remedy,</w:t>
      </w:r>
    </w:p>
    <w:p>
      <w:pPr>
        <w:spacing w:after="0" w:line="19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111</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23" w:name="page124"/>
    <w:bookmarkEnd w:id="123"/>
    <w:p>
      <w:pPr>
        <w:jc w:val="both"/>
        <w:spacing w:after="0" w:line="256" w:lineRule="auto"/>
        <w:rPr>
          <w:sz w:val="20"/>
          <w:szCs w:val="20"/>
          <w:color w:val="auto"/>
        </w:rPr>
      </w:pPr>
      <w:r>
        <w:rPr>
          <w:rFonts w:ascii="Arial" w:cs="Arial" w:eastAsia="Arial" w:hAnsi="Arial"/>
          <w:sz w:val="20"/>
          <w:szCs w:val="20"/>
          <w:color w:val="auto"/>
        </w:rPr>
        <w:t>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205" w:lineRule="exact"/>
        <w:rPr>
          <w:sz w:val="20"/>
          <w:szCs w:val="20"/>
          <w:color w:val="auto"/>
        </w:rPr>
      </w:pPr>
    </w:p>
    <w:p>
      <w:pPr>
        <w:jc w:val="both"/>
        <w:ind w:firstLine="599"/>
        <w:spacing w:after="0" w:line="263" w:lineRule="auto"/>
        <w:rPr>
          <w:sz w:val="20"/>
          <w:szCs w:val="20"/>
          <w:color w:val="auto"/>
        </w:rPr>
      </w:pPr>
      <w:r>
        <w:rPr>
          <w:rFonts w:ascii="Arial" w:cs="Arial" w:eastAsia="Arial" w:hAnsi="Arial"/>
          <w:sz w:val="19"/>
          <w:szCs w:val="19"/>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for the benefit of all the Lenders and the L/C Issuers;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L/C Issuer or any Swing Line Lender from exercising the rights and remedies that inure to its benefit (solely in its capacity as an L/C Issuer or a Swing Line Lender, as the case may be) hereunder and under the other Loan Documents, (c) any Lender from exercising setoff rights in accordance with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(subject to the terms of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or (d) any Lender from filing proofs of claim or appearing and filing pleadings on its own behalf during the pendency of a proceeding relative to any Loan Party or Subsidiary thereof under any Debtor Relief Law;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and (ii) in addition to the matters set forth in clauses (b), (c) and (d) of the preceding proviso and subject to </w:t>
      </w:r>
      <w:r>
        <w:rPr>
          <w:rFonts w:ascii="Arial" w:cs="Arial" w:eastAsia="Arial" w:hAnsi="Arial"/>
          <w:sz w:val="19"/>
          <w:szCs w:val="19"/>
          <w:u w:val="single" w:color="auto"/>
          <w:color w:val="auto"/>
        </w:rPr>
        <w:t>Section 2.13</w:t>
      </w:r>
      <w:r>
        <w:rPr>
          <w:rFonts w:ascii="Arial" w:cs="Arial" w:eastAsia="Arial" w:hAnsi="Arial"/>
          <w:sz w:val="19"/>
          <w:szCs w:val="19"/>
          <w:color w:val="auto"/>
        </w:rPr>
        <w:t>, any Lender may, with the consent of the Required Lenders, enforce any rights and remedies available to it and as authorized by the Required Lenders.</w:t>
      </w:r>
    </w:p>
    <w:p>
      <w:pPr>
        <w:spacing w:after="0" w:line="170" w:lineRule="exact"/>
        <w:rPr>
          <w:sz w:val="20"/>
          <w:szCs w:val="20"/>
          <w:color w:val="auto"/>
        </w:rPr>
      </w:pPr>
    </w:p>
    <w:p>
      <w:pPr>
        <w:ind w:left="600"/>
        <w:spacing w:after="0"/>
        <w:tabs>
          <w:tab w:leader="none" w:pos="1280" w:val="left"/>
        </w:tabs>
        <w:rPr>
          <w:sz w:val="20"/>
          <w:szCs w:val="20"/>
          <w:color w:val="auto"/>
        </w:rPr>
      </w:pPr>
      <w:r>
        <w:rPr>
          <w:rFonts w:ascii="Arial" w:cs="Arial" w:eastAsia="Arial" w:hAnsi="Arial"/>
          <w:sz w:val="20"/>
          <w:szCs w:val="20"/>
          <w:color w:val="auto"/>
        </w:rPr>
        <w:t>10.04.</w:t>
      </w:r>
      <w:r>
        <w:rPr>
          <w:sz w:val="20"/>
          <w:szCs w:val="20"/>
          <w:color w:val="auto"/>
        </w:rPr>
        <w:tab/>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77" w:lineRule="auto"/>
        <w:tabs>
          <w:tab w:leader="none" w:pos="1421" w:val="left"/>
        </w:tabs>
        <w:numPr>
          <w:ilvl w:val="1"/>
          <w:numId w:val="161"/>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The Borrower shall pay (i) all reasonable out-of-pocket expenses incurred by the Administrative Agent, the Bookrunners and their respective Affiliates (including the reasonable fees, charges and disbursements of counsel for the Administrative Agent and the Bookrunners),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w:t>
      </w:r>
      <w:r>
        <w:rPr>
          <w:rFonts w:ascii="Arial" w:cs="Arial" w:eastAsia="Arial" w:hAnsi="Arial"/>
          <w:sz w:val="18"/>
          <w:szCs w:val="18"/>
          <w:u w:val="single" w:color="auto"/>
          <w:color w:val="auto"/>
        </w:rPr>
        <w:t>provided</w:t>
      </w:r>
      <w:r>
        <w:rPr>
          <w:rFonts w:ascii="Arial" w:cs="Arial" w:eastAsia="Arial" w:hAnsi="Arial"/>
          <w:sz w:val="18"/>
          <w:szCs w:val="18"/>
          <w:color w:val="auto"/>
        </w:rPr>
        <w:t>, that, the fees and expenses of counsel of the Administrative Agent and the Bookrunners payable under this clause (i) shall be limited to one primary counsel, one specialty counsel in each specialty, and one local counsel in each local jurisdiction, and solely in the event of a conflict of interest, one additional counsel for each group of similarly affected Persons, (ii) all reasonable out-of-pocket expenses incurred by any L/C Issuer in connection with the issuance, amendment, renewal or extension of any Letter of Credit or any demand for payment thereunder and</w:t>
      </w:r>
    </w:p>
    <w:p>
      <w:pPr>
        <w:spacing w:after="0" w:line="1" w:lineRule="exact"/>
        <w:rPr>
          <w:rFonts w:ascii="Arial" w:cs="Arial" w:eastAsia="Arial" w:hAnsi="Arial"/>
          <w:sz w:val="18"/>
          <w:szCs w:val="18"/>
          <w:color w:val="auto"/>
        </w:rPr>
      </w:pPr>
    </w:p>
    <w:p>
      <w:pPr>
        <w:jc w:val="both"/>
        <w:spacing w:after="0" w:line="248" w:lineRule="auto"/>
        <w:tabs>
          <w:tab w:leader="none" w:pos="396" w:val="left"/>
        </w:tabs>
        <w:numPr>
          <w:ilvl w:val="0"/>
          <w:numId w:val="162"/>
        </w:numPr>
        <w:rPr>
          <w:rFonts w:ascii="Arial" w:cs="Arial" w:eastAsia="Arial" w:hAnsi="Arial"/>
          <w:sz w:val="20"/>
          <w:szCs w:val="20"/>
          <w:color w:val="auto"/>
        </w:rPr>
      </w:pPr>
      <w:r>
        <w:rPr>
          <w:rFonts w:ascii="Arial" w:cs="Arial" w:eastAsia="Arial" w:hAnsi="Arial"/>
          <w:sz w:val="20"/>
          <w:szCs w:val="20"/>
          <w:color w:val="auto"/>
        </w:rPr>
        <w:t xml:space="preserve">all out-of-pocket expenses incurred by the Administrative Agent, any Lender or any L/C Issuer (including the fees, charges and disbursements of any counsel for the Administrative Agent, any Lender or any L/C Issuer), in connection with the enforcement or protection of its rights (A) in connection with this Agreement and the other Loan Documents, including its rights under this Section, or (B) in connection with Loans made or Letters of Credit issued hereunder, including all such out-of-pocket expenses incurred during any workout, restructuring or negotiations in respect of such Loans or Letters of Credit; </w:t>
      </w:r>
      <w:r>
        <w:rPr>
          <w:rFonts w:ascii="Arial" w:cs="Arial" w:eastAsia="Arial" w:hAnsi="Arial"/>
          <w:sz w:val="20"/>
          <w:szCs w:val="20"/>
          <w:u w:val="single" w:color="auto"/>
          <w:color w:val="auto"/>
        </w:rPr>
        <w:t>provided</w:t>
      </w:r>
      <w:r>
        <w:rPr>
          <w:rFonts w:ascii="Arial" w:cs="Arial" w:eastAsia="Arial" w:hAnsi="Arial"/>
          <w:sz w:val="20"/>
          <w:szCs w:val="20"/>
          <w:color w:val="auto"/>
        </w:rPr>
        <w:t>, that (x) the fees and expenses of counsel of the Lenders and L/C Issuers payable under this clause (iii) shall be limited to one primary counsel, one specialty counsel in each specialty and one local counsel in each local jurisdiction for all Lenders and L/C Issuers, taken as a whole, and solely in the event of a conflict of interest, one additional counsel for each group of similarly situated affected Lenders and L/C Issuers and (y) the fees and expenses of counsel of the Administrative Agent payable under</w:t>
      </w:r>
    </w:p>
    <w:p>
      <w:pPr>
        <w:spacing w:after="0" w:line="218"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112</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this clause (iii) shall be limited to one primary counsel, one specialty counsel in each specialty and one local counsel in each local jurisdiction.</w:t>
      </w:r>
    </w:p>
    <w:p>
      <w:pPr>
        <w:spacing w:after="0" w:line="268" w:lineRule="exact"/>
        <w:rPr>
          <w:sz w:val="20"/>
          <w:szCs w:val="20"/>
          <w:color w:val="auto"/>
        </w:rPr>
      </w:pPr>
    </w:p>
    <w:p>
      <w:pPr>
        <w:jc w:val="both"/>
        <w:ind w:firstLine="599"/>
        <w:spacing w:after="0" w:line="276" w:lineRule="auto"/>
        <w:tabs>
          <w:tab w:leader="none" w:pos="1432"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w:t>
      </w:r>
      <w:r>
        <w:rPr>
          <w:rFonts w:ascii="Arial" w:cs="Arial" w:eastAsia="Arial" w:hAnsi="Arial"/>
          <w:sz w:val="18"/>
          <w:szCs w:val="18"/>
          <w:color w:val="auto"/>
        </w:rPr>
        <w:t>. The Borrower shall indemnify the Administrative Agent (and any sub-agent thereof), each Bookrunner, each Arranger, each Lender and each L/C Issuer,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against, and hold each Indemnitee harmless from, any and all losses, claims, damages, liabilities and related expenses (including the fees, charges and disbursements of one primary counsel, one specialty counsel in each specialty and one local counsel in each local jurisdiction for all Indemnitees, taken as a whole, and solely in the event of a conflict of interest, one additional counsel for each group of similarly situated affected Indemnitees), 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at, on, under or emanating from any property owned, leased or operated by the REIT, the Borrower or any of their respective Subsidiaries, or any Environmental Liability related in any way to the REIT, the Borrower or any of their respective Subsidiaries, or (iv) any actual or prospective claim, litigation, investigation or proceeding relating to any of the foregoing, whether based on contract, tort or any other theory, whether brought by a third party or by the REIT, any other Loan Party, any Subsidiary thereof or any such Person’s directors, shareholders or creditors,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w:t>
      </w:r>
    </w:p>
    <w:p>
      <w:pPr>
        <w:spacing w:after="0" w:line="1" w:lineRule="exact"/>
        <w:rPr>
          <w:rFonts w:ascii="Arial" w:cs="Arial" w:eastAsia="Arial" w:hAnsi="Arial"/>
          <w:sz w:val="18"/>
          <w:szCs w:val="18"/>
          <w:color w:val="auto"/>
        </w:rPr>
      </w:pPr>
    </w:p>
    <w:p>
      <w:pPr>
        <w:jc w:val="both"/>
        <w:spacing w:after="0" w:line="275" w:lineRule="auto"/>
        <w:tabs>
          <w:tab w:leader="none" w:pos="28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the gross negligence or willful misconduct of such Indemnitee or any of its Related Indemnified Persons, (y) a material breach in bad faith of this Agreement or any other Loan Document by such Indemnitee or any of its Related Indemnified Persons or (z) a dispute among Indemnitees or their Related Indemnified Persons other than any claims (A) arising out of any act or omission of any Loan Party or any of their respective Affiliates or (B) a dispute solely among Indemnitees and not involving any act or omission of any Loan Party or any of their respective Affiliates (other than, with respect to the Administrative Agent, any Bookrunner, any Arranger or any other agent or arranger under the Loan Documents, any dispute involving such Person in its capacity or in fulfilling its role as such, except to the extent of such Person’s gross negligence or willful misconduct as determined by a court of competent jurisdiction by final and nonappealable judgment). Without limiting the provisions of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10.4(b)</w:t>
      </w:r>
      <w:r>
        <w:rPr>
          <w:rFonts w:ascii="Arial" w:cs="Arial" w:eastAsia="Arial" w:hAnsi="Arial"/>
          <w:sz w:val="18"/>
          <w:szCs w:val="18"/>
          <w:color w:val="auto"/>
        </w:rPr>
        <w:t xml:space="preserve"> shall not apply with respect to Taxes (including, without limitation, Taxes covered by </w:t>
      </w:r>
      <w:r>
        <w:rPr>
          <w:rFonts w:ascii="Arial" w:cs="Arial" w:eastAsia="Arial" w:hAnsi="Arial"/>
          <w:sz w:val="18"/>
          <w:szCs w:val="18"/>
          <w:u w:val="single" w:color="auto"/>
          <w:color w:val="auto"/>
        </w:rPr>
        <w:t>Section 3.01</w:t>
      </w:r>
      <w:r>
        <w:rPr>
          <w:rFonts w:ascii="Arial" w:cs="Arial" w:eastAsia="Arial" w:hAnsi="Arial"/>
          <w:sz w:val="18"/>
          <w:szCs w:val="18"/>
          <w:color w:val="auto"/>
        </w:rPr>
        <w:t>) other than any Taxes that represent losses, claims, damages, etc. arising from any non-Tax claim. For purposes of this Section 10.04(b), a “</w:t>
      </w:r>
      <w:r>
        <w:rPr>
          <w:rFonts w:ascii="Arial" w:cs="Arial" w:eastAsia="Arial" w:hAnsi="Arial"/>
          <w:sz w:val="18"/>
          <w:szCs w:val="18"/>
          <w:u w:val="single" w:color="auto"/>
          <w:color w:val="auto"/>
        </w:rPr>
        <w:t>Related Indemnified Person</w:t>
      </w:r>
      <w:r>
        <w:rPr>
          <w:rFonts w:ascii="Arial" w:cs="Arial" w:eastAsia="Arial" w:hAnsi="Arial"/>
          <w:sz w:val="18"/>
          <w:szCs w:val="18"/>
          <w:color w:val="auto"/>
        </w:rPr>
        <w:t>” of an Indemnitee means (1) any controlling person or controlled Affiliate of such Indemnitee, (2) the respective directors, officers, or employees of such Indemnitee or any of its controlling persons or controlled Affiliates and</w:t>
      </w:r>
    </w:p>
    <w:p>
      <w:pPr>
        <w:spacing w:after="0" w:line="1" w:lineRule="exact"/>
        <w:rPr>
          <w:rFonts w:ascii="Arial" w:cs="Arial" w:eastAsia="Arial" w:hAnsi="Arial"/>
          <w:sz w:val="18"/>
          <w:szCs w:val="18"/>
          <w:color w:val="auto"/>
        </w:rPr>
      </w:pPr>
    </w:p>
    <w:p>
      <w:pPr>
        <w:jc w:val="both"/>
        <w:spacing w:after="0" w:line="250" w:lineRule="auto"/>
        <w:rPr>
          <w:rFonts w:ascii="Arial" w:cs="Arial" w:eastAsia="Arial" w:hAnsi="Arial"/>
          <w:sz w:val="18"/>
          <w:szCs w:val="18"/>
          <w:color w:val="auto"/>
        </w:rPr>
      </w:pPr>
      <w:r>
        <w:rPr>
          <w:rFonts w:ascii="Arial" w:cs="Arial" w:eastAsia="Arial" w:hAnsi="Arial"/>
          <w:sz w:val="20"/>
          <w:szCs w:val="20"/>
          <w:color w:val="auto"/>
        </w:rPr>
        <w:t>(3) the respective agents of such Indemnitee or any of its controlling persons or controlled Affiliates, in the case of this clause (3), acting at the instructions of such Indemnitee, controlling person or such controlled Affiliate; provided that each reference to a controlled Affiliate or controlling person in this sentence pertains to a controlled Affiliate or controlling person involved in the performance of the Indemnitee’s obligations under the Facilities.</w:t>
      </w:r>
    </w:p>
    <w:p>
      <w:pPr>
        <w:spacing w:after="0" w:line="21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113</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25" w:name="page126"/>
    <w:bookmarkEnd w:id="125"/>
    <w:p>
      <w:pPr>
        <w:jc w:val="both"/>
        <w:ind w:firstLine="599"/>
        <w:spacing w:after="0" w:line="264" w:lineRule="auto"/>
        <w:tabs>
          <w:tab w:leader="none" w:pos="1421"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Reimbursement by Lenders</w:t>
      </w:r>
      <w:r>
        <w:rPr>
          <w:rFonts w:ascii="Arial" w:cs="Arial" w:eastAsia="Arial" w:hAnsi="Arial"/>
          <w:sz w:val="19"/>
          <w:szCs w:val="19"/>
          <w:color w:val="auto"/>
        </w:rPr>
        <w:t xml:space="preserve">. To the extent that the Borrower for any reason fails to indefeasibly pay any amount required under </w:t>
      </w:r>
      <w:r>
        <w:rPr>
          <w:rFonts w:ascii="Arial" w:cs="Arial" w:eastAsia="Arial" w:hAnsi="Arial"/>
          <w:sz w:val="19"/>
          <w:szCs w:val="19"/>
          <w:u w:val="single" w:color="auto"/>
          <w:color w:val="auto"/>
        </w:rPr>
        <w:t>subsection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to be paid by it to the Administrative Agent (or any sub-agent thereof), any L/C Issuer, any Swing Line Lender, any Bookrunner, any Arranger or any Related Party of any of the foregoing (and without limiting the obligation of the Borrower to do so), each Lender severally agrees to pay to the Administrative Agent (or any such sub-agent), such L/C Issuer, such Swing Line Lender, such Bookrunner, such Arranger or such Related Party, as the case may be, such Lender’s Applicable Percentage of such unpaid amount (determined as of the time that the applicable unreimbursed expense or indemnity payment is sought);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(or any such sub-agent), any L/C Issuer, any Swing Line Lender, any Bookrunner or any Arranger in its capacity as such, or against any Related Party of any of the foregoing acting for the Administrative Agent (or any such sub-agent), any L/C Issuer, any Swing Line Lender, any Bookrunner or any Arranger in connection with such capacity;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that only the Revolving Credit Lenders shall be obligated to indemnify the L/C Issuers and Swing Line Lenders hereunder. The obligations of the Lenders under this </w:t>
      </w:r>
      <w:r>
        <w:rPr>
          <w:rFonts w:ascii="Arial" w:cs="Arial" w:eastAsia="Arial" w:hAnsi="Arial"/>
          <w:sz w:val="19"/>
          <w:szCs w:val="19"/>
          <w:u w:val="single" w:color="auto"/>
          <w:color w:val="auto"/>
        </w:rPr>
        <w:t>subsection (c)</w:t>
      </w:r>
      <w:r>
        <w:rPr>
          <w:rFonts w:ascii="Arial" w:cs="Arial" w:eastAsia="Arial" w:hAnsi="Arial"/>
          <w:sz w:val="19"/>
          <w:szCs w:val="19"/>
          <w:color w:val="auto"/>
        </w:rPr>
        <w:t xml:space="preserve"> are subject to the provisions of </w:t>
      </w:r>
      <w:r>
        <w:rPr>
          <w:rFonts w:ascii="Arial" w:cs="Arial" w:eastAsia="Arial" w:hAnsi="Arial"/>
          <w:sz w:val="19"/>
          <w:szCs w:val="19"/>
          <w:u w:val="single" w:color="auto"/>
          <w:color w:val="auto"/>
        </w:rPr>
        <w:t>Section 2.12(d)</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jc w:val="both"/>
        <w:ind w:firstLine="599"/>
        <w:spacing w:after="0" w:line="264" w:lineRule="auto"/>
        <w:tabs>
          <w:tab w:leader="none" w:pos="1432"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Waiver of Consequential Damages, Etc</w:t>
      </w:r>
      <w:r>
        <w:rPr>
          <w:rFonts w:ascii="Arial" w:cs="Arial" w:eastAsia="Arial" w:hAnsi="Arial"/>
          <w:sz w:val="19"/>
          <w:szCs w:val="19"/>
          <w:color w:val="auto"/>
        </w:rPr>
        <w:t xml:space="preserve">. To the fullest extent permitted by applicable law, no party hereto shall assert, and each party hereto hereby waives, and acknowledges that no other Person shall have, any claim against any other party hereto or any of their respective Related Parties,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waiver shall not limit the Borrower’s obligations under </w:t>
      </w:r>
      <w:r>
        <w:rPr>
          <w:rFonts w:ascii="Arial" w:cs="Arial" w:eastAsia="Arial" w:hAnsi="Arial"/>
          <w:sz w:val="19"/>
          <w:szCs w:val="19"/>
          <w:u w:val="single" w:color="auto"/>
          <w:color w:val="auto"/>
        </w:rPr>
        <w:t>Section 10.04(b)</w:t>
      </w:r>
      <w:r>
        <w:rPr>
          <w:rFonts w:ascii="Arial" w:cs="Arial" w:eastAsia="Arial" w:hAnsi="Arial"/>
          <w:sz w:val="19"/>
          <w:szCs w:val="19"/>
          <w:color w:val="auto"/>
        </w:rPr>
        <w:t xml:space="preserve"> with respect to third-party claims against any Indemnitee. No Indemnitee referred to in subsection (b) above shall be liable for any damages arising from the use by others of any information or other materials distributed to such party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203" w:lineRule="exact"/>
        <w:rPr>
          <w:rFonts w:ascii="Arial" w:cs="Arial" w:eastAsia="Arial" w:hAnsi="Arial"/>
          <w:sz w:val="19"/>
          <w:szCs w:val="19"/>
          <w:color w:val="auto"/>
        </w:rPr>
      </w:pPr>
    </w:p>
    <w:p>
      <w:pPr>
        <w:ind w:left="1420" w:hanging="821"/>
        <w:spacing w:after="0"/>
        <w:tabs>
          <w:tab w:leader="none" w:pos="142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267" w:lineRule="exact"/>
        <w:rPr>
          <w:rFonts w:ascii="Arial" w:cs="Arial" w:eastAsia="Arial" w:hAnsi="Arial"/>
          <w:sz w:val="18"/>
          <w:szCs w:val="18"/>
          <w:color w:val="auto"/>
        </w:rPr>
      </w:pPr>
    </w:p>
    <w:p>
      <w:pPr>
        <w:jc w:val="both"/>
        <w:ind w:firstLine="599"/>
        <w:spacing w:after="0" w:line="260" w:lineRule="auto"/>
        <w:tabs>
          <w:tab w:leader="none" w:pos="1399"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The agreements in this Section and the indemnity provisions of </w:t>
      </w:r>
      <w:r>
        <w:rPr>
          <w:rFonts w:ascii="Arial" w:cs="Arial" w:eastAsia="Arial" w:hAnsi="Arial"/>
          <w:sz w:val="20"/>
          <w:szCs w:val="20"/>
          <w:u w:val="single" w:color="auto"/>
          <w:color w:val="auto"/>
        </w:rPr>
        <w:t>Section 10.02(e)</w:t>
      </w:r>
      <w:r>
        <w:rPr>
          <w:rFonts w:ascii="Arial" w:cs="Arial" w:eastAsia="Arial" w:hAnsi="Arial"/>
          <w:sz w:val="20"/>
          <w:szCs w:val="20"/>
          <w:color w:val="auto"/>
        </w:rPr>
        <w:t xml:space="preserve"> shall survive the resignation or removal of the Administrative Agent, the L/C Issuers and the Swing Line Lenders, the replacement of any Lender, the termination of the Commitments and the repayment, satisfaction or discharge of all the other Obligations.</w:t>
      </w:r>
    </w:p>
    <w:p>
      <w:pPr>
        <w:spacing w:after="0" w:line="202"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9"/>
          <w:szCs w:val="19"/>
          <w:color w:val="auto"/>
        </w:rPr>
        <w:t xml:space="preserve">10.05. </w:t>
      </w:r>
      <w:r>
        <w:rPr>
          <w:rFonts w:ascii="Arial" w:cs="Arial" w:eastAsia="Arial" w:hAnsi="Arial"/>
          <w:sz w:val="19"/>
          <w:szCs w:val="19"/>
          <w:u w:val="single" w:color="auto"/>
          <w:color w:val="auto"/>
        </w:rPr>
        <w:t>Payments Set Aside</w:t>
      </w:r>
      <w:r>
        <w:rPr>
          <w:rFonts w:ascii="Arial" w:cs="Arial" w:eastAsia="Arial" w:hAnsi="Arial"/>
          <w:sz w:val="19"/>
          <w:szCs w:val="19"/>
          <w:color w:val="auto"/>
        </w:rPr>
        <w:t>. To the extent that any payment by or on behalf of any Loan Party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w:t>
      </w:r>
    </w:p>
    <w:p>
      <w:pPr>
        <w:spacing w:after="0" w:line="199"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114</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26" w:name="page127"/>
    <w:bookmarkEnd w:id="126"/>
    <w:p>
      <w:pPr>
        <w:spacing w:after="0" w:line="284" w:lineRule="auto"/>
        <w:rPr>
          <w:sz w:val="20"/>
          <w:szCs w:val="20"/>
          <w:color w:val="auto"/>
        </w:rPr>
      </w:pPr>
      <w:r>
        <w:rPr>
          <w:rFonts w:ascii="Arial" w:cs="Arial" w:eastAsia="Arial" w:hAnsi="Arial"/>
          <w:sz w:val="18"/>
          <w:szCs w:val="18"/>
          <w:color w:val="auto"/>
        </w:rPr>
        <w:t xml:space="preserve">recovered from or repaid by the Administrative Agent,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thereon from the date of such demand to the date such payment is made at a rate per annum equal to the Federal Funds Rate from time to time in effect. The obligations of the Lenders and each L/C Issuer under clause</w:t>
      </w:r>
    </w:p>
    <w:p>
      <w:pPr>
        <w:spacing w:after="0" w:line="1" w:lineRule="exact"/>
        <w:rPr>
          <w:sz w:val="20"/>
          <w:szCs w:val="20"/>
          <w:color w:val="auto"/>
        </w:rPr>
      </w:pPr>
    </w:p>
    <w:p>
      <w:pPr>
        <w:ind w:left="600" w:right="1820" w:hanging="600"/>
        <w:spacing w:after="0" w:line="486" w:lineRule="auto"/>
        <w:tabs>
          <w:tab w:leader="none" w:pos="283" w:val="left"/>
        </w:tabs>
        <w:numPr>
          <w:ilvl w:val="0"/>
          <w:numId w:val="166"/>
        </w:numPr>
        <w:rPr>
          <w:rFonts w:ascii="Arial" w:cs="Arial" w:eastAsia="Arial" w:hAnsi="Arial"/>
          <w:sz w:val="20"/>
          <w:szCs w:val="20"/>
          <w:color w:val="auto"/>
        </w:rPr>
      </w:pPr>
      <w:r>
        <w:rPr>
          <w:rFonts w:ascii="Arial" w:cs="Arial" w:eastAsia="Arial" w:hAnsi="Arial"/>
          <w:sz w:val="20"/>
          <w:szCs w:val="20"/>
          <w:color w:val="auto"/>
        </w:rPr>
        <w:t xml:space="preserve">of the preceding sentence shall survive the payment in full of the Obligations and the termination of this Agreement. 10.06.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w:t>
      </w:r>
    </w:p>
    <w:p>
      <w:pPr>
        <w:spacing w:after="0" w:line="1" w:lineRule="exact"/>
        <w:rPr>
          <w:rFonts w:ascii="Arial" w:cs="Arial" w:eastAsia="Arial" w:hAnsi="Arial"/>
          <w:sz w:val="20"/>
          <w:szCs w:val="20"/>
          <w:color w:val="auto"/>
        </w:rPr>
      </w:pPr>
    </w:p>
    <w:p>
      <w:pPr>
        <w:jc w:val="both"/>
        <w:ind w:firstLine="599"/>
        <w:spacing w:after="0" w:line="281" w:lineRule="auto"/>
        <w:tabs>
          <w:tab w:leader="none" w:pos="1421" w:val="left"/>
        </w:tabs>
        <w:numPr>
          <w:ilvl w:val="1"/>
          <w:numId w:val="166"/>
        </w:numPr>
        <w:rPr>
          <w:rFonts w:ascii="Arial" w:cs="Arial" w:eastAsia="Arial" w:hAnsi="Arial"/>
          <w:sz w:val="18"/>
          <w:szCs w:val="18"/>
          <w:color w:val="auto"/>
        </w:rPr>
      </w:pPr>
      <w:r>
        <w:rPr>
          <w:rFonts w:ascii="Arial" w:cs="Arial" w:eastAsia="Arial" w:hAnsi="Arial"/>
          <w:sz w:val="18"/>
          <w:szCs w:val="18"/>
          <w:u w:val="single" w:color="auto"/>
          <w:color w:val="auto"/>
        </w:rPr>
        <w:t>Successors and Assigns Generally</w:t>
      </w:r>
      <w:r>
        <w:rPr>
          <w:rFonts w:ascii="Arial" w:cs="Arial" w:eastAsia="Arial" w:hAnsi="Arial"/>
          <w:sz w:val="18"/>
          <w:szCs w:val="18"/>
          <w:color w:val="auto"/>
        </w:rPr>
        <w:t xml:space="preserve">. The provisions of this Agreement shall be binding upon and inure to the benefit of the parties hereto and their respective successors and assigns permitted hereby, except that neither the REIT nor the Borrower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8"/>
          <w:szCs w:val="18"/>
          <w:u w:val="single" w:color="auto"/>
          <w:color w:val="auto"/>
        </w:rPr>
        <w:t>Section 10.06(b)</w:t>
      </w:r>
      <w:r>
        <w:rPr>
          <w:rFonts w:ascii="Arial" w:cs="Arial" w:eastAsia="Arial" w:hAnsi="Arial"/>
          <w:sz w:val="18"/>
          <w:szCs w:val="18"/>
          <w:color w:val="auto"/>
        </w:rPr>
        <w:t xml:space="preserve">, (ii) by way of participation in accordance with the provisions of </w:t>
      </w:r>
      <w:r>
        <w:rPr>
          <w:rFonts w:ascii="Arial" w:cs="Arial" w:eastAsia="Arial" w:hAnsi="Arial"/>
          <w:sz w:val="18"/>
          <w:szCs w:val="18"/>
          <w:u w:val="single" w:color="auto"/>
          <w:color w:val="auto"/>
        </w:rPr>
        <w:t>Section 10.06(d)</w:t>
      </w:r>
      <w:r>
        <w:rPr>
          <w:rFonts w:ascii="Arial" w:cs="Arial" w:eastAsia="Arial" w:hAnsi="Arial"/>
          <w:sz w:val="18"/>
          <w:szCs w:val="18"/>
          <w:color w:val="auto"/>
        </w:rPr>
        <w:t xml:space="preserve">, or (iii) by way of pledge or assignment of a security interest subject to the restrictions of </w:t>
      </w:r>
      <w:r>
        <w:rPr>
          <w:rFonts w:ascii="Arial" w:cs="Arial" w:eastAsia="Arial" w:hAnsi="Arial"/>
          <w:sz w:val="18"/>
          <w:szCs w:val="18"/>
          <w:u w:val="single" w:color="auto"/>
          <w:color w:val="auto"/>
        </w:rPr>
        <w:t>Section 10.06(f)</w:t>
      </w:r>
      <w:r>
        <w:rPr>
          <w:rFonts w:ascii="Arial" w:cs="Arial" w:eastAsia="Arial" w:hAnsi="Arial"/>
          <w:sz w:val="18"/>
          <w:szCs w:val="18"/>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each L/C Issuer and the Lenders) any legal or equitable right, remedy or claim under or by reason of this Agreement.</w:t>
      </w:r>
    </w:p>
    <w:p>
      <w:pPr>
        <w:spacing w:after="0" w:line="186" w:lineRule="exact"/>
        <w:rPr>
          <w:rFonts w:ascii="Arial" w:cs="Arial" w:eastAsia="Arial" w:hAnsi="Arial"/>
          <w:sz w:val="18"/>
          <w:szCs w:val="18"/>
          <w:color w:val="auto"/>
        </w:rPr>
      </w:pPr>
    </w:p>
    <w:p>
      <w:pPr>
        <w:jc w:val="both"/>
        <w:ind w:firstLine="599"/>
        <w:spacing w:after="0" w:line="256" w:lineRule="auto"/>
        <w:tabs>
          <w:tab w:leader="none" w:pos="1432" w:val="left"/>
        </w:tabs>
        <w:numPr>
          <w:ilvl w:val="1"/>
          <w:numId w:val="166"/>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at any time assign to one or more assignees all or a portion of its rights and obligations under this Agreement (including all or a portion of its Commitment(s) and the Loans (including for purposes of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10.06(b)</w:t>
      </w:r>
      <w:r>
        <w:rPr>
          <w:rFonts w:ascii="Arial" w:cs="Arial" w:eastAsia="Arial" w:hAnsi="Arial"/>
          <w:sz w:val="20"/>
          <w:szCs w:val="20"/>
          <w:color w:val="auto"/>
        </w:rPr>
        <w:t xml:space="preserve">, participations in L/C Obligations and in Swing Line Loans)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each case with respect to any Facility) any such assignment shall be subject to the following conditions:</w:t>
      </w:r>
    </w:p>
    <w:p>
      <w:pPr>
        <w:spacing w:after="0" w:line="205" w:lineRule="exact"/>
        <w:rPr>
          <w:rFonts w:ascii="Arial" w:cs="Arial" w:eastAsia="Arial" w:hAnsi="Arial"/>
          <w:sz w:val="20"/>
          <w:szCs w:val="20"/>
          <w:color w:val="auto"/>
        </w:rPr>
      </w:pPr>
    </w:p>
    <w:p>
      <w:pPr>
        <w:ind w:left="2580" w:hanging="782"/>
        <w:spacing w:after="0"/>
        <w:tabs>
          <w:tab w:leader="none" w:pos="2580" w:val="left"/>
        </w:tabs>
        <w:numPr>
          <w:ilvl w:val="3"/>
          <w:numId w:val="166"/>
        </w:numPr>
        <w:rPr>
          <w:rFonts w:ascii="Arial" w:cs="Arial" w:eastAsia="Arial" w:hAnsi="Arial"/>
          <w:sz w:val="20"/>
          <w:szCs w:val="20"/>
          <w:color w:val="auto"/>
        </w:rPr>
      </w:pPr>
      <w:r>
        <w:rPr>
          <w:rFonts w:ascii="Arial" w:cs="Arial" w:eastAsia="Arial" w:hAnsi="Arial"/>
          <w:sz w:val="20"/>
          <w:szCs w:val="20"/>
          <w:color w:val="auto"/>
        </w:rPr>
        <w:t>Minimum Amounts.</w:t>
      </w:r>
    </w:p>
    <w:p>
      <w:pPr>
        <w:spacing w:after="0" w:line="244" w:lineRule="exact"/>
        <w:rPr>
          <w:rFonts w:ascii="Arial" w:cs="Arial" w:eastAsia="Arial" w:hAnsi="Arial"/>
          <w:sz w:val="20"/>
          <w:szCs w:val="20"/>
          <w:color w:val="auto"/>
        </w:rPr>
      </w:pPr>
    </w:p>
    <w:p>
      <w:pPr>
        <w:jc w:val="both"/>
        <w:ind w:left="600" w:firstLine="599"/>
        <w:spacing w:after="0" w:line="260" w:lineRule="auto"/>
        <w:tabs>
          <w:tab w:leader="none" w:pos="2076" w:val="left"/>
        </w:tabs>
        <w:numPr>
          <w:ilvl w:val="2"/>
          <w:numId w:val="166"/>
        </w:numPr>
        <w:rPr>
          <w:rFonts w:ascii="Arial" w:cs="Arial" w:eastAsia="Arial" w:hAnsi="Arial"/>
          <w:sz w:val="20"/>
          <w:szCs w:val="20"/>
          <w:color w:val="auto"/>
        </w:rPr>
      </w:pPr>
      <w:r>
        <w:rPr>
          <w:rFonts w:ascii="Arial" w:cs="Arial" w:eastAsia="Arial" w:hAnsi="Arial"/>
          <w:sz w:val="20"/>
          <w:szCs w:val="20"/>
          <w:color w:val="auto"/>
        </w:rPr>
        <w:t>in the case of an assignment of the entire remaining amount of the assigning Lender’s Commitment under any Facility and the Loans at the time owing to it under such Facility or in the case of an assignment to a Lender, an Affiliate of a Lender or an Approved Fund, no minimum amount need be assigned; and</w:t>
      </w:r>
    </w:p>
    <w:p>
      <w:pPr>
        <w:spacing w:after="0" w:line="201" w:lineRule="exact"/>
        <w:rPr>
          <w:rFonts w:ascii="Arial" w:cs="Arial" w:eastAsia="Arial" w:hAnsi="Arial"/>
          <w:sz w:val="20"/>
          <w:szCs w:val="20"/>
          <w:color w:val="auto"/>
        </w:rPr>
      </w:pPr>
    </w:p>
    <w:p>
      <w:pPr>
        <w:jc w:val="both"/>
        <w:ind w:left="600" w:firstLine="599"/>
        <w:spacing w:after="0" w:line="281" w:lineRule="auto"/>
        <w:tabs>
          <w:tab w:leader="none" w:pos="2065" w:val="left"/>
        </w:tabs>
        <w:numPr>
          <w:ilvl w:val="2"/>
          <w:numId w:val="166"/>
        </w:numPr>
        <w:rPr>
          <w:rFonts w:ascii="Arial" w:cs="Arial" w:eastAsia="Arial" w:hAnsi="Arial"/>
          <w:sz w:val="18"/>
          <w:szCs w:val="18"/>
          <w:color w:val="auto"/>
        </w:rPr>
      </w:pPr>
      <w:r>
        <w:rPr>
          <w:rFonts w:ascii="Arial" w:cs="Arial" w:eastAsia="Arial" w:hAnsi="Arial"/>
          <w:sz w:val="18"/>
          <w:szCs w:val="18"/>
          <w:color w:val="auto"/>
        </w:rPr>
        <w:t xml:space="preserve">in any case not described in subsection (b)(i)(A) of this Section, the aggregate amount of the Commitments (which for this purpose includes Loans outstanding thereunder) or, if the applicable Commitments are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Default has occurred and is continuing, the Borrower otherwise consents (each such consent not to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91" w:lineRule="exact"/>
        <w:rPr>
          <w:rFonts w:ascii="Arial" w:cs="Arial" w:eastAsia="Arial" w:hAnsi="Arial"/>
          <w:sz w:val="18"/>
          <w:szCs w:val="18"/>
          <w:color w:val="auto"/>
        </w:rPr>
      </w:pPr>
    </w:p>
    <w:p>
      <w:pPr>
        <w:ind w:left="600" w:firstLine="1198"/>
        <w:spacing w:after="0" w:line="272" w:lineRule="auto"/>
        <w:tabs>
          <w:tab w:leader="none" w:pos="2643" w:val="left"/>
        </w:tabs>
        <w:numPr>
          <w:ilvl w:val="3"/>
          <w:numId w:val="167"/>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Each partial assignment shall be made as an assignment of a proportionate part of all the assigning Lender’s rights and obligations under this</w:t>
      </w:r>
    </w:p>
    <w:p>
      <w:pPr>
        <w:spacing w:after="0" w:line="19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115</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27" w:name="page128"/>
    <w:bookmarkEnd w:id="127"/>
    <w:p>
      <w:pPr>
        <w:jc w:val="both"/>
        <w:spacing w:after="0" w:line="260" w:lineRule="auto"/>
        <w:rPr>
          <w:sz w:val="20"/>
          <w:szCs w:val="20"/>
          <w:color w:val="auto"/>
        </w:rPr>
      </w:pPr>
      <w:r>
        <w:rPr>
          <w:rFonts w:ascii="Arial" w:cs="Arial" w:eastAsia="Arial" w:hAnsi="Arial"/>
          <w:sz w:val="20"/>
          <w:szCs w:val="20"/>
          <w:color w:val="auto"/>
        </w:rPr>
        <w:t>Agreement with respect to the Loans or the Commitments assigned, except that this clause (ii) shall (A) not apply to the Swing Line Lender’s rights and obligations in respect of Swing Line Loans or (B) not prohibit any Lender from assigning all or a portion of its rights and obligations among separate Facilities on a non-pro rata basis;</w:t>
      </w:r>
    </w:p>
    <w:p>
      <w:pPr>
        <w:spacing w:after="0" w:line="202" w:lineRule="exact"/>
        <w:rPr>
          <w:sz w:val="20"/>
          <w:szCs w:val="20"/>
          <w:color w:val="auto"/>
        </w:rPr>
      </w:pPr>
    </w:p>
    <w:p>
      <w:pPr>
        <w:ind w:firstLine="1198"/>
        <w:spacing w:after="0" w:line="272" w:lineRule="auto"/>
        <w:tabs>
          <w:tab w:leader="none" w:pos="2098" w:val="left"/>
        </w:tabs>
        <w:numPr>
          <w:ilvl w:val="1"/>
          <w:numId w:val="168"/>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No consent shall be required for any assignment except to the extent required by subsection (b)(i)(B) of this Section and, in addition:</w:t>
      </w:r>
    </w:p>
    <w:p>
      <w:pPr>
        <w:spacing w:after="0" w:line="190" w:lineRule="exact"/>
        <w:rPr>
          <w:rFonts w:ascii="Arial" w:cs="Arial" w:eastAsia="Arial" w:hAnsi="Arial"/>
          <w:sz w:val="20"/>
          <w:szCs w:val="20"/>
          <w:color w:val="auto"/>
        </w:rPr>
      </w:pPr>
    </w:p>
    <w:p>
      <w:pPr>
        <w:jc w:val="both"/>
        <w:ind w:left="560" w:firstLine="601"/>
        <w:spacing w:after="0" w:line="253" w:lineRule="auto"/>
        <w:tabs>
          <w:tab w:leader="none" w:pos="2061" w:val="left"/>
        </w:tabs>
        <w:numPr>
          <w:ilvl w:val="0"/>
          <w:numId w:val="169"/>
        </w:numPr>
        <w:rPr>
          <w:rFonts w:ascii="Arial" w:cs="Arial" w:eastAsia="Arial" w:hAnsi="Arial"/>
          <w:sz w:val="20"/>
          <w:szCs w:val="20"/>
          <w:color w:val="auto"/>
        </w:rPr>
      </w:pPr>
      <w:r>
        <w:rPr>
          <w:rFonts w:ascii="Arial" w:cs="Arial" w:eastAsia="Arial" w:hAnsi="Arial"/>
          <w:sz w:val="20"/>
          <w:szCs w:val="20"/>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be deemed to have consented to any such assignment unless it shall object thereto by written notice to the Administrative Agent within five (5) Business Days after having received notice thereof;</w:t>
      </w:r>
    </w:p>
    <w:p>
      <w:pPr>
        <w:spacing w:after="0" w:line="211" w:lineRule="exact"/>
        <w:rPr>
          <w:rFonts w:ascii="Arial" w:cs="Arial" w:eastAsia="Arial" w:hAnsi="Arial"/>
          <w:sz w:val="20"/>
          <w:szCs w:val="20"/>
          <w:color w:val="auto"/>
        </w:rPr>
      </w:pPr>
    </w:p>
    <w:p>
      <w:pPr>
        <w:jc w:val="both"/>
        <w:ind w:left="560" w:firstLine="601"/>
        <w:spacing w:after="0" w:line="256" w:lineRule="auto"/>
        <w:tabs>
          <w:tab w:leader="none" w:pos="205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the consent of the Administrative Agent (such consent not to be unreasonably withheld or delayed) shall be required for assignments in respect of any Loan or unfunded Commitment if such assignment is to a Person that is not a Lender with a Commitment in respect of the applicable Facility, an Affiliate of such Lender or an Approved Fund with respect to such Lender;</w:t>
      </w:r>
    </w:p>
    <w:p>
      <w:pPr>
        <w:spacing w:after="0" w:line="205" w:lineRule="exact"/>
        <w:rPr>
          <w:rFonts w:ascii="Arial" w:cs="Arial" w:eastAsia="Arial" w:hAnsi="Arial"/>
          <w:sz w:val="20"/>
          <w:szCs w:val="20"/>
          <w:color w:val="auto"/>
        </w:rPr>
      </w:pPr>
    </w:p>
    <w:p>
      <w:pPr>
        <w:ind w:left="2060" w:hanging="899"/>
        <w:spacing w:after="0"/>
        <w:tabs>
          <w:tab w:leader="none" w:pos="206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the consent of each L/C Issuer shall be required for any assignment in respect of the Revolving Credit</w:t>
      </w:r>
    </w:p>
    <w:p>
      <w:pPr>
        <w:spacing w:after="0" w:line="34" w:lineRule="exact"/>
        <w:rPr>
          <w:rFonts w:ascii="Arial" w:cs="Arial" w:eastAsia="Arial" w:hAnsi="Arial"/>
          <w:sz w:val="19"/>
          <w:szCs w:val="19"/>
          <w:color w:val="auto"/>
        </w:rPr>
      </w:pPr>
    </w:p>
    <w:p>
      <w:pPr>
        <w:ind w:left="560"/>
        <w:spacing w:after="0"/>
        <w:rPr>
          <w:rFonts w:ascii="Arial" w:cs="Arial" w:eastAsia="Arial" w:hAnsi="Arial"/>
          <w:sz w:val="19"/>
          <w:szCs w:val="19"/>
          <w:color w:val="auto"/>
        </w:rPr>
      </w:pPr>
      <w:r>
        <w:rPr>
          <w:rFonts w:ascii="Arial" w:cs="Arial" w:eastAsia="Arial" w:hAnsi="Arial"/>
          <w:sz w:val="20"/>
          <w:szCs w:val="20"/>
          <w:color w:val="auto"/>
        </w:rPr>
        <w:t>Facility; and</w:t>
      </w:r>
    </w:p>
    <w:p>
      <w:pPr>
        <w:spacing w:after="0" w:line="228" w:lineRule="exact"/>
        <w:rPr>
          <w:rFonts w:ascii="Arial" w:cs="Arial" w:eastAsia="Arial" w:hAnsi="Arial"/>
          <w:sz w:val="19"/>
          <w:szCs w:val="19"/>
          <w:color w:val="auto"/>
        </w:rPr>
      </w:pPr>
    </w:p>
    <w:p>
      <w:pPr>
        <w:ind w:left="2060" w:hanging="899"/>
        <w:spacing w:after="0"/>
        <w:tabs>
          <w:tab w:leader="none" w:pos="206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the consent of each Swing Line Lender shall be required for any assignment in respect of the Revolving</w:t>
      </w:r>
    </w:p>
    <w:p>
      <w:pPr>
        <w:spacing w:after="0" w:line="34" w:lineRule="exact"/>
        <w:rPr>
          <w:rFonts w:ascii="Arial" w:cs="Arial" w:eastAsia="Arial" w:hAnsi="Arial"/>
          <w:sz w:val="19"/>
          <w:szCs w:val="19"/>
          <w:color w:val="auto"/>
        </w:rPr>
      </w:pPr>
    </w:p>
    <w:p>
      <w:pPr>
        <w:ind w:left="560"/>
        <w:spacing w:after="0"/>
        <w:rPr>
          <w:rFonts w:ascii="Arial" w:cs="Arial" w:eastAsia="Arial" w:hAnsi="Arial"/>
          <w:sz w:val="19"/>
          <w:szCs w:val="19"/>
          <w:color w:val="auto"/>
        </w:rPr>
      </w:pPr>
      <w:r>
        <w:rPr>
          <w:rFonts w:ascii="Arial" w:cs="Arial" w:eastAsia="Arial" w:hAnsi="Arial"/>
          <w:sz w:val="20"/>
          <w:szCs w:val="20"/>
          <w:color w:val="auto"/>
        </w:rPr>
        <w:t>Credit Facility.</w:t>
      </w:r>
    </w:p>
    <w:p>
      <w:pPr>
        <w:spacing w:after="0" w:line="228" w:lineRule="exact"/>
        <w:rPr>
          <w:rFonts w:ascii="Arial" w:cs="Arial" w:eastAsia="Arial" w:hAnsi="Arial"/>
          <w:sz w:val="19"/>
          <w:szCs w:val="19"/>
          <w:color w:val="auto"/>
        </w:rPr>
      </w:pPr>
    </w:p>
    <w:p>
      <w:pPr>
        <w:jc w:val="both"/>
        <w:ind w:firstLine="1198"/>
        <w:spacing w:after="0" w:line="293" w:lineRule="auto"/>
        <w:tabs>
          <w:tab w:leader="none" w:pos="2087" w:val="left"/>
        </w:tabs>
        <w:numPr>
          <w:ilvl w:val="1"/>
          <w:numId w:val="169"/>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75" w:lineRule="exact"/>
        <w:rPr>
          <w:rFonts w:ascii="Arial" w:cs="Arial" w:eastAsia="Arial" w:hAnsi="Arial"/>
          <w:sz w:val="18"/>
          <w:szCs w:val="18"/>
          <w:color w:val="auto"/>
        </w:rPr>
      </w:pPr>
    </w:p>
    <w:p>
      <w:pPr>
        <w:jc w:val="both"/>
        <w:ind w:firstLine="1198"/>
        <w:spacing w:after="0" w:line="253" w:lineRule="auto"/>
        <w:tabs>
          <w:tab w:leader="none" w:pos="2032" w:val="left"/>
        </w:tabs>
        <w:numPr>
          <w:ilvl w:val="1"/>
          <w:numId w:val="169"/>
        </w:numPr>
        <w:rPr>
          <w:rFonts w:ascii="Arial" w:cs="Arial" w:eastAsia="Arial" w:hAnsi="Arial"/>
          <w:sz w:val="20"/>
          <w:szCs w:val="20"/>
          <w:color w:val="auto"/>
        </w:rPr>
      </w:pPr>
      <w:r>
        <w:rPr>
          <w:rFonts w:ascii="Arial" w:cs="Arial" w:eastAsia="Arial" w:hAnsi="Arial"/>
          <w:sz w:val="20"/>
          <w:szCs w:val="20"/>
          <w:u w:val="single" w:color="auto"/>
          <w:color w:val="auto"/>
        </w:rPr>
        <w:t>No Assignment to Certain Persons</w:t>
      </w:r>
      <w:r>
        <w:rPr>
          <w:rFonts w:ascii="Arial" w:cs="Arial" w:eastAsia="Arial" w:hAnsi="Arial"/>
          <w:sz w:val="20"/>
          <w:szCs w:val="20"/>
          <w:color w:val="auto"/>
        </w:rPr>
        <w:t>. No such assignment shall be made (A) to the Borrower, the REIT or any of the Borrower’s or the REIT’s respective Affiliates or Subsidiaries, or (B) to any Defaulting Lender or any of its Subsidiaries, or any Person who, upon becoming a Lender hereunder, would constitute any of the foregoing Persons described in this clause (B), or (C) to a natural person (or a holding company, investment vehicle or trust for, or owned and operated for the primary benefit of a natural Person).</w:t>
      </w:r>
    </w:p>
    <w:p>
      <w:pPr>
        <w:spacing w:after="0" w:line="211" w:lineRule="exact"/>
        <w:rPr>
          <w:rFonts w:ascii="Arial" w:cs="Arial" w:eastAsia="Arial" w:hAnsi="Arial"/>
          <w:sz w:val="20"/>
          <w:szCs w:val="20"/>
          <w:color w:val="auto"/>
        </w:rPr>
      </w:pPr>
    </w:p>
    <w:p>
      <w:pPr>
        <w:jc w:val="both"/>
        <w:ind w:firstLine="1198"/>
        <w:spacing w:after="0" w:line="286" w:lineRule="auto"/>
        <w:tabs>
          <w:tab w:leader="none" w:pos="2087" w:val="left"/>
        </w:tabs>
        <w:numPr>
          <w:ilvl w:val="1"/>
          <w:numId w:val="169"/>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w:t>
      </w:r>
    </w:p>
    <w:p>
      <w:pPr>
        <w:spacing w:after="0" w:line="181" w:lineRule="exact"/>
        <w:rPr>
          <w:sz w:val="20"/>
          <w:szCs w:val="20"/>
          <w:color w:val="auto"/>
        </w:rPr>
      </w:pPr>
    </w:p>
    <w:p>
      <w:pPr>
        <w:ind w:left="490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116</w:t>
      </w:r>
      <w:r>
        <w:rPr>
          <w:rFonts w:ascii="MS PGothic" w:cs="MS PGothic" w:eastAsia="MS PGothic" w:hAnsi="MS PGothic"/>
          <w:sz w:val="20"/>
          <w:szCs w:val="20"/>
          <w:color w:val="auto"/>
        </w:rPr>
        <w:t>‑</w:t>
      </w:r>
    </w:p>
    <w:p>
      <w:pPr>
        <w:sectPr>
          <w:pgSz w:w="11900" w:h="16838" w:orient="portrait"/>
          <w:cols w:equalWidth="0" w:num="1">
            <w:col w:w="10820"/>
          </w:cols>
          <w:pgMar w:left="840" w:top="557" w:right="239" w:bottom="1440" w:gutter="0" w:footer="0" w:header="0"/>
        </w:sectPr>
      </w:pPr>
    </w:p>
    <w:bookmarkStart w:id="128" w:name="page129"/>
    <w:bookmarkEnd w:id="128"/>
    <w:p>
      <w:pPr>
        <w:jc w:val="both"/>
        <w:ind w:left="600"/>
        <w:spacing w:after="0" w:line="286" w:lineRule="auto"/>
        <w:rPr>
          <w:sz w:val="20"/>
          <w:szCs w:val="20"/>
          <w:color w:val="auto"/>
        </w:rPr>
      </w:pPr>
      <w:r>
        <w:rPr>
          <w:rFonts w:ascii="Arial" w:cs="Arial" w:eastAsia="Arial" w:hAnsi="Arial"/>
          <w:sz w:val="18"/>
          <w:szCs w:val="18"/>
          <w:color w:val="auto"/>
        </w:rPr>
        <w:t>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 Line Loans in accordance with its Applicable Percentage thereof.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1" w:lineRule="exact"/>
        <w:rPr>
          <w:sz w:val="20"/>
          <w:szCs w:val="20"/>
          <w:color w:val="auto"/>
        </w:rPr>
      </w:pPr>
    </w:p>
    <w:p>
      <w:pPr>
        <w:jc w:val="both"/>
        <w:ind w:firstLine="599"/>
        <w:spacing w:after="0" w:line="280" w:lineRule="auto"/>
        <w:rPr>
          <w:sz w:val="20"/>
          <w:szCs w:val="20"/>
          <w:color w:val="auto"/>
        </w:rPr>
      </w:pPr>
      <w:r>
        <w:rPr>
          <w:rFonts w:ascii="Arial" w:cs="Arial" w:eastAsia="Arial" w:hAnsi="Arial"/>
          <w:sz w:val="18"/>
          <w:szCs w:val="18"/>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 xml:space="preserve"> with respect to facts and circumstances occurring prior to the effective date of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150" w:lineRule="exact"/>
        <w:rPr>
          <w:sz w:val="20"/>
          <w:szCs w:val="20"/>
          <w:color w:val="auto"/>
        </w:rPr>
      </w:pPr>
    </w:p>
    <w:p>
      <w:pPr>
        <w:jc w:val="both"/>
        <w:ind w:firstLine="599"/>
        <w:spacing w:after="0" w:line="250" w:lineRule="auto"/>
        <w:tabs>
          <w:tab w:leader="none" w:pos="1421"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Register</w:t>
      </w:r>
      <w:r>
        <w:rPr>
          <w:rFonts w:ascii="Arial" w:cs="Arial" w:eastAsia="Arial" w:hAnsi="Arial"/>
          <w:sz w:val="20"/>
          <w:szCs w:val="20"/>
          <w:color w:val="auto"/>
        </w:rPr>
        <w:t>. The Administrative Agent, acting solely for this purpose as a non-fiduciary agent of the Borrower (and such agency being solely for tax purposes), shall maintain at the Administrative Agent’s Office a copy of each Assignment and Assumption delivered to it (or the equivalent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The entries in the Register shall be conclusive absent manifest error and, notwithstanding anything to the contrary contained in </w:t>
      </w:r>
      <w:r>
        <w:rPr>
          <w:rFonts w:ascii="Arial" w:cs="Arial" w:eastAsia="Arial" w:hAnsi="Arial"/>
          <w:sz w:val="20"/>
          <w:szCs w:val="20"/>
          <w:u w:val="single" w:color="auto"/>
          <w:color w:val="auto"/>
        </w:rPr>
        <w:t>Section 2.11</w:t>
      </w:r>
      <w:r>
        <w:rPr>
          <w:rFonts w:ascii="Arial" w:cs="Arial" w:eastAsia="Arial" w:hAnsi="Arial"/>
          <w:sz w:val="20"/>
          <w:szCs w:val="20"/>
          <w:color w:val="auto"/>
        </w:rPr>
        <w:t>, the Borrower, the Administrative Agent and the Lenders shall treat each Person whose name is recorded in the Register pursuant to the terms hereof as a Lender hereunder for all purposes of this Agreement. In addition, the Administrative Agent shall maintain on the Register information regarding the designation, and revocation of designation, of any Lender as a Defaulting Lender. The Register shall be available for inspection by the Borrower and any Lender, at any reasonable time and from time to time upon reasonable prior notice.</w:t>
      </w:r>
    </w:p>
    <w:p>
      <w:pPr>
        <w:spacing w:after="0" w:line="214" w:lineRule="exact"/>
        <w:rPr>
          <w:rFonts w:ascii="Arial" w:cs="Arial" w:eastAsia="Arial" w:hAnsi="Arial"/>
          <w:sz w:val="20"/>
          <w:szCs w:val="20"/>
          <w:color w:val="auto"/>
        </w:rPr>
      </w:pPr>
    </w:p>
    <w:p>
      <w:pPr>
        <w:jc w:val="both"/>
        <w:ind w:firstLine="599"/>
        <w:spacing w:after="0" w:line="265" w:lineRule="auto"/>
        <w:tabs>
          <w:tab w:leader="none" w:pos="1432" w:val="left"/>
        </w:tabs>
        <w:numPr>
          <w:ilvl w:val="0"/>
          <w:numId w:val="170"/>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or notice to, the Borrower, the Administrative Agent, any L/C Issuer or any Swing Line Lender, sell participations to any Person (other than a natural person (or a holding company, investment vehicle or trust for, or owned and operated for the primary benefit of a natural Person), a Defaulting Lender or the Borrower or any of the Borrower’s Affiliates or Subsidiaries)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Issuers shall continue to deal solely and directly with such Lender in connection with such Lender’s rights and obligations under this Agreement. For the avoidance of doubt, each Lender</w:t>
      </w:r>
    </w:p>
    <w:p>
      <w:pPr>
        <w:spacing w:after="0" w:line="20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117</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29" w:name="page130"/>
    <w:bookmarkEnd w:id="129"/>
    <w:p>
      <w:pPr>
        <w:spacing w:after="0"/>
        <w:rPr>
          <w:sz w:val="20"/>
          <w:szCs w:val="20"/>
          <w:color w:val="auto"/>
        </w:rPr>
      </w:pPr>
      <w:r>
        <w:rPr>
          <w:rFonts w:ascii="Arial" w:cs="Arial" w:eastAsia="Arial" w:hAnsi="Arial"/>
          <w:sz w:val="20"/>
          <w:szCs w:val="20"/>
          <w:color w:val="auto"/>
        </w:rPr>
        <w:t xml:space="preserve">shall be responsible for the indemnity under </w:t>
      </w:r>
      <w:r>
        <w:rPr>
          <w:rFonts w:ascii="Arial" w:cs="Arial" w:eastAsia="Arial" w:hAnsi="Arial"/>
          <w:sz w:val="20"/>
          <w:szCs w:val="20"/>
          <w:u w:val="single" w:color="auto"/>
          <w:color w:val="auto"/>
        </w:rPr>
        <w:t>Section 10.04(c)</w:t>
      </w:r>
      <w:r>
        <w:rPr>
          <w:rFonts w:ascii="Arial" w:cs="Arial" w:eastAsia="Arial" w:hAnsi="Arial"/>
          <w:sz w:val="20"/>
          <w:szCs w:val="20"/>
          <w:color w:val="auto"/>
        </w:rPr>
        <w:t xml:space="preserve"> without regard to the existence of any participation.</w:t>
      </w:r>
    </w:p>
    <w:p>
      <w:pPr>
        <w:spacing w:after="0" w:line="245" w:lineRule="exact"/>
        <w:rPr>
          <w:sz w:val="20"/>
          <w:szCs w:val="20"/>
          <w:color w:val="auto"/>
        </w:rPr>
      </w:pPr>
    </w:p>
    <w:p>
      <w:pPr>
        <w:jc w:val="both"/>
        <w:ind w:firstLine="599"/>
        <w:spacing w:after="0" w:line="277"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that affects such Participant. The Borrower agrees that each Participant shall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(subject to the requirements and limitations of such Sections) to the same extent as if it were a Lender and had acquired its interest by assignment pursuant to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of this Section (it being understood that the documentation required under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shall be delivered to the Lender who sells the participation) to the same extent as if it were a Lender and had acquired its interest by assignment pursuant to paragraph (b)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 agrees to be subject to the provisions of </w:t>
      </w:r>
      <w:r>
        <w:rPr>
          <w:rFonts w:ascii="Arial" w:cs="Arial" w:eastAsia="Arial" w:hAnsi="Arial"/>
          <w:sz w:val="18"/>
          <w:szCs w:val="18"/>
          <w:u w:val="single" w:color="auto"/>
          <w:color w:val="auto"/>
        </w:rPr>
        <w:t>Sections 3.06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10.13</w:t>
      </w:r>
      <w:r>
        <w:rPr>
          <w:rFonts w:ascii="Arial" w:cs="Arial" w:eastAsia="Arial" w:hAnsi="Arial"/>
          <w:sz w:val="18"/>
          <w:szCs w:val="18"/>
          <w:color w:val="auto"/>
        </w:rPr>
        <w:t xml:space="preserve"> as if it were an assignee under paragraph (b) of this Section and (B) shall not be entitled to receive any greater payment under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with respect to any Participant. To the extent permitted by law, each Participant also shall be entitled to the benefits of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60" w:lineRule="exact"/>
        <w:rPr>
          <w:sz w:val="20"/>
          <w:szCs w:val="20"/>
          <w:color w:val="auto"/>
        </w:rPr>
      </w:pPr>
    </w:p>
    <w:p>
      <w:pPr>
        <w:jc w:val="both"/>
        <w:ind w:firstLine="599"/>
        <w:spacing w:after="0" w:line="273" w:lineRule="auto"/>
        <w:tabs>
          <w:tab w:leader="none" w:pos="1421"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Certain Pledges</w:t>
      </w:r>
      <w:r>
        <w:rPr>
          <w:rFonts w:ascii="Arial" w:cs="Arial" w:eastAsia="Arial" w:hAnsi="Arial"/>
          <w:sz w:val="19"/>
          <w:szCs w:val="19"/>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or any other central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shall release such Lender from any of its obligations hereunder or substitute any such pledgee or assignee for such Lender as a party hereto.</w:t>
      </w:r>
    </w:p>
    <w:p>
      <w:pPr>
        <w:spacing w:after="0" w:line="192" w:lineRule="exact"/>
        <w:rPr>
          <w:rFonts w:ascii="Arial" w:cs="Arial" w:eastAsia="Arial" w:hAnsi="Arial"/>
          <w:sz w:val="19"/>
          <w:szCs w:val="19"/>
          <w:color w:val="auto"/>
        </w:rPr>
      </w:pPr>
    </w:p>
    <w:p>
      <w:pPr>
        <w:jc w:val="both"/>
        <w:ind w:firstLine="599"/>
        <w:spacing w:after="0" w:line="268" w:lineRule="auto"/>
        <w:tabs>
          <w:tab w:leader="none" w:pos="1399"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Resignation as L/C Issuer or Swing Line Lender after Assignment</w:t>
      </w:r>
      <w:r>
        <w:rPr>
          <w:rFonts w:ascii="Arial" w:cs="Arial" w:eastAsia="Arial" w:hAnsi="Arial"/>
          <w:sz w:val="19"/>
          <w:szCs w:val="19"/>
          <w:color w:val="auto"/>
        </w:rPr>
        <w:t xml:space="preserve">. Notwithstanding anything to the contrary contained herein, if at any time a Lender that is an L/C Issuer and/or a Swing Line Lender assigns all of its Revolving Credit Commitment and Revolving Credit Loans pursuant to </w:t>
      </w:r>
      <w:r>
        <w:rPr>
          <w:rFonts w:ascii="Arial" w:cs="Arial" w:eastAsia="Arial" w:hAnsi="Arial"/>
          <w:sz w:val="19"/>
          <w:szCs w:val="19"/>
          <w:u w:val="single" w:color="auto"/>
          <w:color w:val="auto"/>
        </w:rPr>
        <w:t>Section 10.06(b)</w:t>
      </w:r>
      <w:r>
        <w:rPr>
          <w:rFonts w:ascii="Arial" w:cs="Arial" w:eastAsia="Arial" w:hAnsi="Arial"/>
          <w:sz w:val="19"/>
          <w:szCs w:val="19"/>
          <w:color w:val="auto"/>
        </w:rPr>
        <w:t xml:space="preserve">, such Lender may, (i) upon 30 days’ notice to the Borrower and the Lenders, resign as an L/C Issuer and/or (ii) upon 30 days’ notice to the Borrower, resign as a Swing Line Lender. In the event of any such resignation as an L/C Issuer or a Swing Line Lender, the Borrower shall be entitled to appoint from among the Lenders a successor L/C Issuer or Swing Line Lender hereunder,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w:t>
      </w:r>
    </w:p>
    <w:p>
      <w:pPr>
        <w:spacing w:after="0" w:line="197"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118</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30" w:name="page131"/>
    <w:bookmarkEnd w:id="130"/>
    <w:p>
      <w:pPr>
        <w:jc w:val="both"/>
        <w:spacing w:after="0" w:line="264" w:lineRule="auto"/>
        <w:rPr>
          <w:sz w:val="20"/>
          <w:szCs w:val="20"/>
          <w:color w:val="auto"/>
        </w:rPr>
      </w:pPr>
      <w:r>
        <w:rPr>
          <w:rFonts w:ascii="Arial" w:cs="Arial" w:eastAsia="Arial" w:hAnsi="Arial"/>
          <w:sz w:val="19"/>
          <w:szCs w:val="19"/>
          <w:color w:val="auto"/>
        </w:rPr>
        <w:t xml:space="preserve">failure by the Borrower to appoint any such successor shall affect the resignation of such Lender as an L/C Issuer or a Swing Line Lender, as the case may be. If any Lender resigns as an L/C Issuer, it shall retain all the rights, powers, privileges and duties of an L/C Issuer hereunder with respect to all Letters of Credit issued by it and outstanding as of the effective date of its resignation as an L/C Issuer and all L/C Obligations with respect thereto (including the right to require the Lenders to make Base Rate Loans or fund risk participations in Unreimbursed Amounts pursuant to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If any Lender resigns as a Swing Line Lender, it shall retain all the rights of a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9"/>
          <w:szCs w:val="19"/>
          <w:u w:val="single" w:color="auto"/>
          <w:color w:val="auto"/>
        </w:rPr>
        <w:t>Section 2.04(c)</w:t>
      </w:r>
      <w:r>
        <w:rPr>
          <w:rFonts w:ascii="Arial" w:cs="Arial" w:eastAsia="Arial" w:hAnsi="Arial"/>
          <w:sz w:val="19"/>
          <w:szCs w:val="19"/>
          <w:color w:val="auto"/>
        </w:rPr>
        <w:t>. Upon the appointment of any successor L/C Issuer and/or Swing Line Lender, (a) such successor shall succeed to and become vested with all of the rights, powers, privileges and duties of the resigning L/C Issuer or Swing Line Lender, as the case may be, and (b) the successor L/C Issuer shall issue letters of credit in substitution for the Letters of Credit issued by the resigning L/C Issuer, if any, outstanding at the time of such succession or make other arrangements satisfactory to the resigning L/C Issuer to effectively assume the obligations of the resigning L/C Issuer with respect to such Letters of Credit.</w:t>
      </w:r>
    </w:p>
    <w:p>
      <w:pPr>
        <w:spacing w:after="0" w:line="201" w:lineRule="exact"/>
        <w:rPr>
          <w:sz w:val="20"/>
          <w:szCs w:val="20"/>
          <w:color w:val="auto"/>
        </w:rPr>
      </w:pPr>
    </w:p>
    <w:p>
      <w:pPr>
        <w:jc w:val="both"/>
        <w:ind w:firstLine="599"/>
        <w:spacing w:after="0" w:line="277" w:lineRule="auto"/>
        <w:rPr>
          <w:sz w:val="20"/>
          <w:szCs w:val="20"/>
          <w:color w:val="auto"/>
        </w:rPr>
      </w:pPr>
      <w:r>
        <w:rPr>
          <w:rFonts w:ascii="Arial" w:cs="Arial" w:eastAsia="Arial" w:hAnsi="Arial"/>
          <w:sz w:val="18"/>
          <w:szCs w:val="18"/>
          <w:color w:val="auto"/>
        </w:rPr>
        <w:t xml:space="preserve">10.07. </w:t>
      </w:r>
      <w:r>
        <w:rPr>
          <w:rFonts w:ascii="Arial" w:cs="Arial" w:eastAsia="Arial" w:hAnsi="Arial"/>
          <w:sz w:val="18"/>
          <w:szCs w:val="18"/>
          <w:u w:val="single" w:color="auto"/>
          <w:color w:val="auto"/>
        </w:rPr>
        <w:t>Treatment of Certain Information; Confidentiality</w:t>
      </w:r>
      <w:r>
        <w:rPr>
          <w:rFonts w:ascii="Arial" w:cs="Arial" w:eastAsia="Arial" w:hAnsi="Arial"/>
          <w:sz w:val="18"/>
          <w:szCs w:val="18"/>
          <w:color w:val="auto"/>
        </w:rPr>
        <w:t xml:space="preserve">. Each of the Administrative Agent, the Lenders and each L/C Issuer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(in which case, except with respect to any audit or examination conducted by bank accountants or governmental regulatory authorities exercising examination or regulatory authority, the disclosing party shall use commercially reasonable efforts to promptly notify the Borrower, in advance, to the extent practicable and permitted by Law), (c) to the extent required by applicable laws or regulations or by any subpoena or similar legal process (in which case the disclosing party shall use commercially reasonable efforts to promptly notify the Borrower, in advance, to the extent practicable and permitted by Law),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 a Lender pursuant to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the Borrower or (i) to the extent such Information (i) becomes publicly available other than as a result of a breach of this Section or (ii) becomes available to the Administrative Agent, any Lender, any L/C Issuer or any of their respective Affiliates on a nonconfidential basis from a source other than the Borrower.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and the other Loan Documents and Credit Extensions made pursuant thereto.</w:t>
      </w:r>
    </w:p>
    <w:p>
      <w:pPr>
        <w:spacing w:after="0" w:line="200" w:lineRule="exact"/>
        <w:rPr>
          <w:sz w:val="20"/>
          <w:szCs w:val="20"/>
          <w:color w:val="auto"/>
        </w:rPr>
      </w:pPr>
    </w:p>
    <w:p>
      <w:pPr>
        <w:spacing w:after="0" w:line="236"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119</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31" w:name="page132"/>
    <w:bookmarkEnd w:id="131"/>
    <w:p>
      <w:pPr>
        <w:jc w:val="both"/>
        <w:ind w:firstLine="599"/>
        <w:spacing w:after="0" w:line="252" w:lineRule="auto"/>
        <w:rPr>
          <w:sz w:val="20"/>
          <w:szCs w:val="20"/>
          <w:color w:val="auto"/>
        </w:rPr>
      </w:pPr>
      <w:r>
        <w:rPr>
          <w:rFonts w:ascii="Arial" w:cs="Arial" w:eastAsia="Arial" w:hAnsi="Arial"/>
          <w:sz w:val="20"/>
          <w:szCs w:val="20"/>
          <w:color w:val="auto"/>
        </w:rPr>
        <w:t>For purposes of this Section, “</w:t>
      </w:r>
      <w:r>
        <w:rPr>
          <w:rFonts w:ascii="Arial" w:cs="Arial" w:eastAsia="Arial" w:hAnsi="Arial"/>
          <w:sz w:val="20"/>
          <w:szCs w:val="20"/>
          <w:u w:val="single" w:color="auto"/>
          <w:color w:val="auto"/>
        </w:rPr>
        <w:t>Information</w:t>
      </w:r>
      <w:r>
        <w:rPr>
          <w:rFonts w:ascii="Arial" w:cs="Arial" w:eastAsia="Arial" w:hAnsi="Arial"/>
          <w:sz w:val="20"/>
          <w:szCs w:val="20"/>
          <w:color w:val="auto"/>
        </w:rPr>
        <w:t>” means all information received from the REIT or any Subsidiary relating to the REIT or any Subsidiary or any of their respective businesses, other than any such information that is available to the Administrative Agent, any Lender or any L/C Issuer on a nonconfidential basis prior to disclosure by the REIT or any Subsidiary thereof.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5"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Each of the Administrative Agent, the Lenders and each L/C Issuer acknowledges that (a) the Information may include material non-public information concerning the REIT or a Subsidiary thereof,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68" w:lineRule="exact"/>
        <w:rPr>
          <w:sz w:val="20"/>
          <w:szCs w:val="20"/>
          <w:color w:val="auto"/>
        </w:rPr>
      </w:pPr>
    </w:p>
    <w:p>
      <w:pPr>
        <w:jc w:val="both"/>
        <w:ind w:firstLine="599"/>
        <w:spacing w:after="0" w:line="278" w:lineRule="auto"/>
        <w:rPr>
          <w:sz w:val="20"/>
          <w:szCs w:val="20"/>
          <w:color w:val="auto"/>
        </w:rPr>
      </w:pPr>
      <w:r>
        <w:rPr>
          <w:rFonts w:ascii="Arial" w:cs="Arial" w:eastAsia="Arial" w:hAnsi="Arial"/>
          <w:sz w:val="18"/>
          <w:szCs w:val="18"/>
          <w:color w:val="auto"/>
        </w:rPr>
        <w:t xml:space="preserve">10.08. </w:t>
      </w:r>
      <w:r>
        <w:rPr>
          <w:rFonts w:ascii="Arial" w:cs="Arial" w:eastAsia="Arial" w:hAnsi="Arial"/>
          <w:sz w:val="18"/>
          <w:szCs w:val="18"/>
          <w:u w:val="single" w:color="auto"/>
          <w:color w:val="auto"/>
        </w:rPr>
        <w:t>Right of Setoff</w:t>
      </w:r>
      <w:r>
        <w:rPr>
          <w:rFonts w:ascii="Arial" w:cs="Arial" w:eastAsia="Arial" w:hAnsi="Arial"/>
          <w:sz w:val="18"/>
          <w:szCs w:val="18"/>
          <w:color w:val="auto"/>
        </w:rPr>
        <w:t xml:space="preserve">. If an Event of Default shall have occurred and be continuing, each Lender, each L/C Issuer and each of their respective Affiliates is hereby authorized at any time and from time to time, after obtaining the prior written consent of the Administrative Agent (not to be unreasonably withheld or delayed), to the fullest extent permitted by applicable law, to set off and apply any and all deposits (general or special, time or demand, provisional or final, in whatever currency) at any time held and other obligations (in whatever currency) at any time owing by such Lender, each L/C Issuer or any such Affiliate to or for the credit or the account of the Borrower or any other Loan Party against any and all of the obligations of the Borrower or such Loan Party now or hereafter existing under this Agreement or any other Loan Document to such Lender or such L/C Issuer, irrespective of whether or not such Lender or such L/C Issuer shall have made any demand under this Agreement or any other Loan Document and although such obligations of the Borrower or such Loan Party may be contingent or unmatured or are owed to a branch or office or Affiliate of such Lender or such L/C Issuer different from the branch, office or Affiliate 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Borrower and the Administrative Agent promptly after any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w:t>
      </w:r>
    </w:p>
    <w:p>
      <w:pPr>
        <w:spacing w:after="0" w:line="193"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9"/>
          <w:szCs w:val="19"/>
          <w:color w:val="auto"/>
        </w:rPr>
        <w:t xml:space="preserve">10.09.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9"/>
          <w:szCs w:val="19"/>
          <w:u w:val="single" w:color="auto"/>
          <w:color w:val="auto"/>
        </w:rPr>
        <w:t>Maximum Rate</w:t>
      </w:r>
      <w:r>
        <w:rPr>
          <w:rFonts w:ascii="Arial" w:cs="Arial" w:eastAsia="Arial" w:hAnsi="Arial"/>
          <w:sz w:val="19"/>
          <w:szCs w:val="19"/>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99"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120</w:t>
      </w:r>
      <w:r>
        <w:rPr>
          <w:rFonts w:ascii="MS PGothic" w:cs="MS PGothic" w:eastAsia="MS PGothic" w:hAnsi="MS PGothic"/>
          <w:sz w:val="20"/>
          <w:szCs w:val="20"/>
          <w:color w:val="auto"/>
        </w:rPr>
        <w:t>‑</w:t>
      </w:r>
    </w:p>
    <w:p>
      <w:pPr>
        <w:sectPr>
          <w:pgSz w:w="11900" w:h="16838" w:orient="portrait"/>
          <w:cols w:equalWidth="0" w:num="1">
            <w:col w:w="11420"/>
          </w:cols>
          <w:pgMar w:left="240" w:top="558" w:right="239" w:bottom="1440" w:gutter="0" w:footer="0" w:header="0"/>
        </w:sectPr>
      </w:pPr>
    </w:p>
    <w:bookmarkStart w:id="132" w:name="page133"/>
    <w:bookmarkEnd w:id="132"/>
    <w:p>
      <w:pPr>
        <w:jc w:val="both"/>
        <w:ind w:firstLine="599"/>
        <w:spacing w:after="0" w:line="265" w:lineRule="auto"/>
        <w:rPr>
          <w:sz w:val="20"/>
          <w:szCs w:val="20"/>
          <w:color w:val="auto"/>
        </w:rPr>
      </w:pPr>
      <w:r>
        <w:rPr>
          <w:rFonts w:ascii="Arial" w:cs="Arial" w:eastAsia="Arial" w:hAnsi="Arial"/>
          <w:sz w:val="19"/>
          <w:szCs w:val="19"/>
          <w:color w:val="auto"/>
        </w:rPr>
        <w:t xml:space="preserve">10.10. </w:t>
      </w:r>
      <w:r>
        <w:rPr>
          <w:rFonts w:ascii="Arial" w:cs="Arial" w:eastAsia="Arial" w:hAnsi="Arial"/>
          <w:sz w:val="19"/>
          <w:szCs w:val="19"/>
          <w:u w:val="single" w:color="auto"/>
          <w:color w:val="auto"/>
        </w:rPr>
        <w:t>Counterparts; Integration; Effectiveness</w:t>
      </w:r>
      <w:r>
        <w:rPr>
          <w:rFonts w:ascii="Arial" w:cs="Arial" w:eastAsia="Arial" w:hAnsi="Arial"/>
          <w:sz w:val="19"/>
          <w:szCs w:val="19"/>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or any L/C Issuer,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9"/>
          <w:szCs w:val="19"/>
          <w:u w:val="single" w:color="auto"/>
          <w:color w:val="auto"/>
        </w:rPr>
        <w:t>Section 4.01</w:t>
      </w:r>
      <w:r>
        <w:rPr>
          <w:rFonts w:ascii="Arial" w:cs="Arial" w:eastAsia="Arial" w:hAnsi="Arial"/>
          <w:sz w:val="19"/>
          <w:szCs w:val="19"/>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spacing w:after="0" w:line="202"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20"/>
          <w:szCs w:val="20"/>
          <w:color w:val="auto"/>
        </w:rPr>
        <w:t xml:space="preserve">10.11. </w:t>
      </w:r>
      <w:r>
        <w:rPr>
          <w:rFonts w:ascii="Arial" w:cs="Arial" w:eastAsia="Arial" w:hAnsi="Arial"/>
          <w:sz w:val="20"/>
          <w:szCs w:val="20"/>
          <w:u w:val="single" w:color="auto"/>
          <w:color w:val="auto"/>
        </w:rPr>
        <w:t>Survival of Representations and Warranties</w:t>
      </w:r>
      <w:r>
        <w:rPr>
          <w:rFonts w:ascii="Arial" w:cs="Arial" w:eastAsia="Arial" w:hAnsi="Arial"/>
          <w:sz w:val="20"/>
          <w:szCs w:val="20"/>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215" w:lineRule="exact"/>
        <w:rPr>
          <w:sz w:val="20"/>
          <w:szCs w:val="20"/>
          <w:color w:val="auto"/>
        </w:rPr>
      </w:pPr>
    </w:p>
    <w:p>
      <w:pPr>
        <w:ind w:left="600"/>
        <w:spacing w:after="0"/>
        <w:tabs>
          <w:tab w:leader="none" w:pos="1320" w:val="left"/>
        </w:tabs>
        <w:rPr>
          <w:sz w:val="20"/>
          <w:szCs w:val="20"/>
          <w:color w:val="auto"/>
        </w:rPr>
      </w:pPr>
      <w:r>
        <w:rPr>
          <w:rFonts w:ascii="Arial" w:cs="Arial" w:eastAsia="Arial" w:hAnsi="Arial"/>
          <w:sz w:val="20"/>
          <w:szCs w:val="20"/>
          <w:color w:val="auto"/>
        </w:rPr>
        <w:t>10.12.</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other Loan Documents is held to be illegal, invalid or unenforceable,</w:t>
      </w:r>
    </w:p>
    <w:p>
      <w:pPr>
        <w:spacing w:after="0" w:line="23" w:lineRule="exact"/>
        <w:rPr>
          <w:sz w:val="20"/>
          <w:szCs w:val="20"/>
          <w:color w:val="auto"/>
        </w:rPr>
      </w:pPr>
    </w:p>
    <w:p>
      <w:pPr>
        <w:jc w:val="both"/>
        <w:spacing w:after="0" w:line="281" w:lineRule="auto"/>
        <w:tabs>
          <w:tab w:leader="none" w:pos="27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 10.12</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Administrative Agent, the L/C Issuers or the Swing Line Lenders, as applicable, then such provisions shall be deemed to be in effect only to the extent not so limited.</w:t>
      </w:r>
    </w:p>
    <w:p>
      <w:pPr>
        <w:spacing w:after="0" w:line="186" w:lineRule="exact"/>
        <w:rPr>
          <w:sz w:val="20"/>
          <w:szCs w:val="20"/>
          <w:color w:val="auto"/>
        </w:rPr>
      </w:pPr>
    </w:p>
    <w:p>
      <w:pPr>
        <w:jc w:val="both"/>
        <w:ind w:firstLine="599"/>
        <w:spacing w:after="0" w:line="286"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the Borrower is entitled to replace a Lender pursuant to the provisions of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all of its interests, rights (other than its existing rights to payments pursuant to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obligations under this Agreement and the related Loan Documents to one or more Eligible Assignees that shall assume such obligations (which assignee(s)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1" w:lineRule="exact"/>
        <w:rPr>
          <w:sz w:val="20"/>
          <w:szCs w:val="20"/>
          <w:color w:val="auto"/>
        </w:rPr>
      </w:pPr>
    </w:p>
    <w:p>
      <w:pPr>
        <w:ind w:left="1420" w:hanging="821"/>
        <w:spacing w:after="0"/>
        <w:tabs>
          <w:tab w:leader="none" w:pos="142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 xml:space="preserve">the Borrower shall have paid to the Administrative Agent the assignment fee (if any) specified in </w:t>
      </w:r>
      <w:r>
        <w:rPr>
          <w:rFonts w:ascii="Arial" w:cs="Arial" w:eastAsia="Arial" w:hAnsi="Arial"/>
          <w:sz w:val="19"/>
          <w:szCs w:val="19"/>
          <w:u w:val="single" w:color="auto"/>
          <w:color w:val="auto"/>
        </w:rPr>
        <w:t>Section 10.06(b)</w:t>
      </w:r>
      <w:r>
        <w:rPr>
          <w:rFonts w:ascii="Arial" w:cs="Arial" w:eastAsia="Arial" w:hAnsi="Arial"/>
          <w:sz w:val="19"/>
          <w:szCs w:val="19"/>
          <w:color w:val="auto"/>
        </w:rPr>
        <w:t>;</w:t>
      </w:r>
    </w:p>
    <w:p>
      <w:pPr>
        <w:spacing w:after="0" w:line="256" w:lineRule="exact"/>
        <w:rPr>
          <w:rFonts w:ascii="Arial" w:cs="Arial" w:eastAsia="Arial" w:hAnsi="Arial"/>
          <w:sz w:val="19"/>
          <w:szCs w:val="19"/>
          <w:color w:val="auto"/>
        </w:rPr>
      </w:pPr>
    </w:p>
    <w:p>
      <w:pPr>
        <w:jc w:val="both"/>
        <w:ind w:firstLine="599"/>
        <w:spacing w:after="0" w:line="260" w:lineRule="auto"/>
        <w:tabs>
          <w:tab w:leader="none" w:pos="1432" w:val="left"/>
        </w:tabs>
        <w:numPr>
          <w:ilvl w:val="0"/>
          <w:numId w:val="173"/>
        </w:numPr>
        <w:rPr>
          <w:rFonts w:ascii="Arial" w:cs="Arial" w:eastAsia="Arial" w:hAnsi="Arial"/>
          <w:sz w:val="20"/>
          <w:szCs w:val="20"/>
          <w:color w:val="auto"/>
        </w:rPr>
      </w:pPr>
      <w:r>
        <w:rPr>
          <w:rFonts w:ascii="Arial" w:cs="Arial" w:eastAsia="Arial" w:hAnsi="Arial"/>
          <w:sz w:val="20"/>
          <w:szCs w:val="20"/>
          <w:color w:val="auto"/>
        </w:rPr>
        <w:t xml:space="preserve">such Lender shall have received payment of an amount equal to 100% of the outstanding principal of its Loans and L/C Advances from the assignee and any amounts payable by the Borrower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w:t>
      </w:r>
      <w:r>
        <w:rPr>
          <w:rFonts w:ascii="Arial" w:cs="Arial" w:eastAsia="Arial" w:hAnsi="Arial"/>
          <w:sz w:val="20"/>
          <w:szCs w:val="20"/>
          <w:u w:val="single" w:color="auto"/>
          <w:color w:val="auto"/>
        </w:rPr>
        <w:t>3.04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3.05</w:t>
      </w:r>
      <w:r>
        <w:rPr>
          <w:rFonts w:ascii="Arial" w:cs="Arial" w:eastAsia="Arial" w:hAnsi="Arial"/>
          <w:sz w:val="20"/>
          <w:szCs w:val="20"/>
          <w:color w:val="auto"/>
        </w:rPr>
        <w:t xml:space="preserve"> from the Borrower (it being understood that the Assignment and Assumption</w:t>
      </w:r>
    </w:p>
    <w:p>
      <w:pPr>
        <w:spacing w:after="0" w:line="20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121</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33" w:name="page134"/>
    <w:bookmarkEnd w:id="133"/>
    <w:p>
      <w:pPr>
        <w:jc w:val="both"/>
        <w:spacing w:after="0" w:line="260" w:lineRule="auto"/>
        <w:rPr>
          <w:sz w:val="20"/>
          <w:szCs w:val="20"/>
          <w:color w:val="auto"/>
        </w:rPr>
      </w:pPr>
      <w:r>
        <w:rPr>
          <w:rFonts w:ascii="Arial" w:cs="Arial" w:eastAsia="Arial" w:hAnsi="Arial"/>
          <w:sz w:val="20"/>
          <w:szCs w:val="20"/>
          <w:color w:val="auto"/>
        </w:rPr>
        <w:t>relating to such assignment shall provide that any interest and fees that accrued prior to the effective date of the assignment shall be for the account of the replaced Lender and such amounts that accrue on and after the effective date of the assignment shall be for the account of the replacement Lender);</w:t>
      </w:r>
    </w:p>
    <w:p>
      <w:pPr>
        <w:spacing w:after="0" w:line="202" w:lineRule="exact"/>
        <w:rPr>
          <w:sz w:val="20"/>
          <w:szCs w:val="20"/>
          <w:color w:val="auto"/>
        </w:rPr>
      </w:pPr>
    </w:p>
    <w:p>
      <w:pPr>
        <w:ind w:firstLine="599"/>
        <w:spacing w:after="0" w:line="299" w:lineRule="auto"/>
        <w:tabs>
          <w:tab w:leader="none" w:pos="1421" w:val="left"/>
        </w:tabs>
        <w:numPr>
          <w:ilvl w:val="0"/>
          <w:numId w:val="174"/>
        </w:numPr>
        <w:rPr>
          <w:rFonts w:ascii="Arial" w:cs="Arial" w:eastAsia="Arial" w:hAnsi="Arial"/>
          <w:sz w:val="19"/>
          <w:szCs w:val="19"/>
          <w:color w:val="auto"/>
        </w:rPr>
      </w:pPr>
      <w:r>
        <w:rPr>
          <w:rFonts w:ascii="Arial" w:cs="Arial" w:eastAsia="Arial" w:hAnsi="Arial"/>
          <w:sz w:val="19"/>
          <w:szCs w:val="19"/>
          <w:color w:val="auto"/>
        </w:rPr>
        <w:t xml:space="preserve">in the case of any such assignment resulting from a claim for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such assignment will result in a reduction in such compensation or payments thereafter;</w:t>
      </w:r>
    </w:p>
    <w:p>
      <w:pPr>
        <w:spacing w:after="0" w:line="167" w:lineRule="exact"/>
        <w:rPr>
          <w:rFonts w:ascii="Arial" w:cs="Arial" w:eastAsia="Arial" w:hAnsi="Arial"/>
          <w:sz w:val="19"/>
          <w:szCs w:val="19"/>
          <w:color w:val="auto"/>
        </w:rPr>
      </w:pPr>
    </w:p>
    <w:p>
      <w:pPr>
        <w:ind w:left="1440" w:hanging="841"/>
        <w:spacing w:after="0"/>
        <w:tabs>
          <w:tab w:leader="none" w:pos="144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Laws; and</w:t>
      </w:r>
    </w:p>
    <w:p>
      <w:pPr>
        <w:spacing w:after="0" w:line="244" w:lineRule="exact"/>
        <w:rPr>
          <w:rFonts w:ascii="Arial" w:cs="Arial" w:eastAsia="Arial" w:hAnsi="Arial"/>
          <w:sz w:val="20"/>
          <w:szCs w:val="20"/>
          <w:color w:val="auto"/>
        </w:rPr>
      </w:pPr>
    </w:p>
    <w:p>
      <w:pPr>
        <w:ind w:firstLine="599"/>
        <w:spacing w:after="0" w:line="272" w:lineRule="auto"/>
        <w:tabs>
          <w:tab w:leader="none" w:pos="1421" w:val="left"/>
        </w:tabs>
        <w:numPr>
          <w:ilvl w:val="0"/>
          <w:numId w:val="174"/>
        </w:numPr>
        <w:rPr>
          <w:rFonts w:ascii="Arial" w:cs="Arial" w:eastAsia="Arial" w:hAnsi="Arial"/>
          <w:sz w:val="20"/>
          <w:szCs w:val="20"/>
          <w:color w:val="auto"/>
        </w:rPr>
      </w:pPr>
      <w:r>
        <w:rPr>
          <w:rFonts w:ascii="Arial" w:cs="Arial" w:eastAsia="Arial" w:hAnsi="Arial"/>
          <w:sz w:val="20"/>
          <w:szCs w:val="20"/>
          <w:color w:val="auto"/>
        </w:rPr>
        <w:t>in the case of an assignment resulting from a Lender becoming a Non-Consenting Lender, the applicable assignee shall have consented to the applicable amendment, waiver or consent.</w:t>
      </w:r>
    </w:p>
    <w:p>
      <w:pPr>
        <w:spacing w:after="0" w:line="191" w:lineRule="exact"/>
        <w:rPr>
          <w:sz w:val="20"/>
          <w:szCs w:val="20"/>
          <w:color w:val="auto"/>
        </w:rPr>
      </w:pPr>
    </w:p>
    <w:p>
      <w:pPr>
        <w:jc w:val="both"/>
        <w:ind w:firstLine="599"/>
        <w:spacing w:after="0" w:line="286" w:lineRule="auto"/>
        <w:rPr>
          <w:sz w:val="20"/>
          <w:szCs w:val="20"/>
          <w:color w:val="auto"/>
        </w:rPr>
      </w:pPr>
      <w:r>
        <w:rPr>
          <w:rFonts w:ascii="Arial" w:cs="Arial" w:eastAsia="Arial" w:hAnsi="Arial"/>
          <w:sz w:val="18"/>
          <w:szCs w:val="18"/>
          <w:color w:val="auto"/>
        </w:rPr>
        <w:t xml:space="preserve">A Lender shall not be required to make any such assignment or delegation if, prior thereto, as a result of a waiver by such Lender or otherwise, the circumstances entitling the Borrower to require such assignment and delegation cease to apply. Each Lender agrees that, if the Borrower elects to replace such Lender in accordance with this Section 10.13, it shall promptly execute and deliver to the Administrative Agent an Assignment and Assumption to evidence the assignment and shall deliver to the Administrative Agent any Note (if a Note has been issued in respect of such Lender’s Loans) subject to such Assignment and Assumption;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failure of any such Lender to execute an Assignment and Assumption shall not render such assignment invalid and such assignment shall be recorded in the Register.</w:t>
      </w:r>
    </w:p>
    <w:p>
      <w:pPr>
        <w:spacing w:after="0" w:line="144" w:lineRule="exact"/>
        <w:rPr>
          <w:sz w:val="20"/>
          <w:szCs w:val="20"/>
          <w:color w:val="auto"/>
        </w:rPr>
      </w:pPr>
    </w:p>
    <w:p>
      <w:pPr>
        <w:ind w:left="600"/>
        <w:spacing w:after="0"/>
        <w:tabs>
          <w:tab w:leader="none" w:pos="1280" w:val="left"/>
        </w:tabs>
        <w:rPr>
          <w:sz w:val="20"/>
          <w:szCs w:val="20"/>
          <w:color w:val="auto"/>
        </w:rPr>
      </w:pPr>
      <w:r>
        <w:rPr>
          <w:rFonts w:ascii="Arial" w:cs="Arial" w:eastAsia="Arial" w:hAnsi="Arial"/>
          <w:sz w:val="20"/>
          <w:szCs w:val="20"/>
          <w:color w:val="auto"/>
        </w:rPr>
        <w:t>10.14.</w:t>
      </w:r>
      <w:r>
        <w:rPr>
          <w:sz w:val="20"/>
          <w:szCs w:val="20"/>
          <w:color w:val="auto"/>
        </w:rPr>
        <w:tab/>
      </w:r>
      <w:r>
        <w:rPr>
          <w:rFonts w:ascii="Arial" w:cs="Arial" w:eastAsia="Arial" w:hAnsi="Arial"/>
          <w:sz w:val="18"/>
          <w:szCs w:val="18"/>
          <w:u w:val="single" w:color="auto"/>
          <w:color w:val="auto"/>
        </w:rPr>
        <w:t>Governing Law; Jurisdiction; Etc.</w:t>
      </w:r>
    </w:p>
    <w:p>
      <w:pPr>
        <w:spacing w:after="0" w:line="200" w:lineRule="exact"/>
        <w:rPr>
          <w:sz w:val="20"/>
          <w:szCs w:val="20"/>
          <w:color w:val="auto"/>
        </w:rPr>
      </w:pPr>
    </w:p>
    <w:p>
      <w:pPr>
        <w:spacing w:after="0" w:line="244" w:lineRule="exact"/>
        <w:rPr>
          <w:sz w:val="20"/>
          <w:szCs w:val="20"/>
          <w:color w:val="auto"/>
        </w:rPr>
      </w:pPr>
    </w:p>
    <w:p>
      <w:pPr>
        <w:jc w:val="both"/>
        <w:ind w:firstLine="599"/>
        <w:spacing w:after="0" w:line="260" w:lineRule="auto"/>
        <w:tabs>
          <w:tab w:leader="none" w:pos="1421" w:val="left"/>
        </w:tabs>
        <w:numPr>
          <w:ilvl w:val="0"/>
          <w:numId w:val="175"/>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IN ACCORDANCE WITH, THE LAW OF THE STATE OF NEW YORK (WITHOUT GIVING EFFECT TO THE CONFLICTS OF LAW PROVISIONS THEREOF).</w:t>
      </w:r>
    </w:p>
    <w:p>
      <w:pPr>
        <w:spacing w:after="0" w:line="201" w:lineRule="exact"/>
        <w:rPr>
          <w:rFonts w:ascii="Arial" w:cs="Arial" w:eastAsia="Arial" w:hAnsi="Arial"/>
          <w:sz w:val="20"/>
          <w:szCs w:val="20"/>
          <w:color w:val="auto"/>
        </w:rPr>
      </w:pPr>
    </w:p>
    <w:p>
      <w:pPr>
        <w:jc w:val="both"/>
        <w:ind w:firstLine="599"/>
        <w:spacing w:after="0" w:line="249" w:lineRule="auto"/>
        <w:tabs>
          <w:tab w:leader="none" w:pos="1432" w:val="left"/>
        </w:tabs>
        <w:numPr>
          <w:ilvl w:val="0"/>
          <w:numId w:val="175"/>
        </w:numPr>
        <w:rPr>
          <w:rFonts w:ascii="Arial" w:cs="Arial" w:eastAsia="Arial" w:hAnsi="Arial"/>
          <w:sz w:val="20"/>
          <w:szCs w:val="20"/>
          <w:color w:val="auto"/>
        </w:rPr>
      </w:pPr>
      <w:r>
        <w:rPr>
          <w:rFonts w:ascii="Arial" w:cs="Arial" w:eastAsia="Arial" w:hAnsi="Arial"/>
          <w:sz w:val="20"/>
          <w:szCs w:val="20"/>
          <w:u w:val="single" w:color="auto"/>
          <w:color w:val="auto"/>
        </w:rPr>
        <w:t>SUBMISSION TO JURISDICTION</w:t>
      </w:r>
      <w:r>
        <w:rPr>
          <w:rFonts w:ascii="Arial" w:cs="Arial" w:eastAsia="Arial" w:hAnsi="Arial"/>
          <w:sz w:val="20"/>
          <w:szCs w:val="20"/>
          <w:color w:val="auto"/>
        </w:rPr>
        <w:t>. EACH OF THE BORROWER AND THE REIT IRREVOCABLY AND UNCONDITIONALLY SUBMITS, FOR 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THE BORROWER OR THE REIT OR ANY OF THEIR RESPECTIVE PROPERTIES IN THE COURTS OF ANY JURISDICTION.</w:t>
      </w:r>
    </w:p>
    <w:p>
      <w:pPr>
        <w:spacing w:after="0" w:line="200" w:lineRule="exact"/>
        <w:rPr>
          <w:sz w:val="20"/>
          <w:szCs w:val="20"/>
          <w:color w:val="auto"/>
        </w:rPr>
      </w:pPr>
    </w:p>
    <w:p>
      <w:pPr>
        <w:spacing w:after="0" w:line="25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122</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34" w:name="page135"/>
    <w:bookmarkEnd w:id="134"/>
    <w:p>
      <w:pPr>
        <w:jc w:val="both"/>
        <w:ind w:firstLine="599"/>
        <w:spacing w:after="0" w:line="251" w:lineRule="auto"/>
        <w:tabs>
          <w:tab w:leader="none" w:pos="1421" w:val="left"/>
        </w:tabs>
        <w:numPr>
          <w:ilvl w:val="0"/>
          <w:numId w:val="176"/>
        </w:numPr>
        <w:rPr>
          <w:rFonts w:ascii="Arial" w:cs="Arial" w:eastAsia="Arial" w:hAnsi="Arial"/>
          <w:sz w:val="20"/>
          <w:szCs w:val="20"/>
          <w:color w:val="auto"/>
        </w:rPr>
      </w:pPr>
      <w:r>
        <w:rPr>
          <w:rFonts w:ascii="Arial" w:cs="Arial" w:eastAsia="Arial" w:hAnsi="Arial"/>
          <w:sz w:val="20"/>
          <w:szCs w:val="20"/>
          <w:u w:val="single" w:color="auto"/>
          <w:color w:val="auto"/>
        </w:rPr>
        <w:t>WAIVER OF VENUE</w:t>
      </w:r>
      <w:r>
        <w:rPr>
          <w:rFonts w:ascii="Arial" w:cs="Arial" w:eastAsia="Arial" w:hAnsi="Arial"/>
          <w:sz w:val="20"/>
          <w:szCs w:val="20"/>
          <w:color w:val="auto"/>
        </w:rPr>
        <w:t>. EACH OF THE BORROWER AND THE REIT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214" w:lineRule="exact"/>
        <w:rPr>
          <w:rFonts w:ascii="Arial" w:cs="Arial" w:eastAsia="Arial" w:hAnsi="Arial"/>
          <w:sz w:val="20"/>
          <w:szCs w:val="20"/>
          <w:color w:val="auto"/>
        </w:rPr>
      </w:pPr>
    </w:p>
    <w:p>
      <w:pPr>
        <w:jc w:val="both"/>
        <w:ind w:firstLine="599"/>
        <w:spacing w:after="0" w:line="260" w:lineRule="auto"/>
        <w:tabs>
          <w:tab w:leader="none" w:pos="1432" w:val="left"/>
        </w:tabs>
        <w:numPr>
          <w:ilvl w:val="0"/>
          <w:numId w:val="176"/>
        </w:numPr>
        <w:rPr>
          <w:rFonts w:ascii="Arial" w:cs="Arial" w:eastAsia="Arial" w:hAnsi="Arial"/>
          <w:sz w:val="20"/>
          <w:szCs w:val="20"/>
          <w:color w:val="auto"/>
        </w:rPr>
      </w:pPr>
      <w:r>
        <w:rPr>
          <w:rFonts w:ascii="Arial" w:cs="Arial" w:eastAsia="Arial" w:hAnsi="Arial"/>
          <w:sz w:val="20"/>
          <w:szCs w:val="20"/>
          <w:u w:val="single" w:color="auto"/>
          <w:color w:val="auto"/>
        </w:rPr>
        <w:t>SERVICE OF PROCESS</w:t>
      </w:r>
      <w:r>
        <w:rPr>
          <w:rFonts w:ascii="Arial" w:cs="Arial" w:eastAsia="Arial" w:hAnsi="Arial"/>
          <w:sz w:val="20"/>
          <w:szCs w:val="20"/>
          <w:color w:val="auto"/>
        </w:rPr>
        <w:t xml:space="preserve">. EACH PARTY HERETO IRREVOCABLY CONSENTS TO SERVICE OF PROCESS IN THE MANNER PROVIDED FOR NOTICES IN </w:t>
      </w:r>
      <w:r>
        <w:rPr>
          <w:rFonts w:ascii="Arial" w:cs="Arial" w:eastAsia="Arial" w:hAnsi="Arial"/>
          <w:sz w:val="20"/>
          <w:szCs w:val="20"/>
          <w:u w:val="single" w:color="auto"/>
          <w:color w:val="auto"/>
        </w:rPr>
        <w:t>SECTION 10.02</w:t>
      </w:r>
      <w:r>
        <w:rPr>
          <w:rFonts w:ascii="Arial" w:cs="Arial" w:eastAsia="Arial" w:hAnsi="Arial"/>
          <w:sz w:val="20"/>
          <w:szCs w:val="20"/>
          <w:color w:val="auto"/>
        </w:rPr>
        <w:t>. NOTHING IN THIS AGREEMENT WILL AFFECT THE RIGHT OF ANY PARTY HERETO TO SERVE PROCESS IN ANY OTHER MANNER PERMITTED BY APPLICABLE LAW</w:t>
      </w:r>
    </w:p>
    <w:p>
      <w:pPr>
        <w:spacing w:after="0" w:line="202"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9"/>
          <w:szCs w:val="19"/>
          <w:color w:val="auto"/>
        </w:rPr>
        <w:t xml:space="preserve">10.15.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202" w:lineRule="exact"/>
        <w:rPr>
          <w:sz w:val="20"/>
          <w:szCs w:val="20"/>
          <w:color w:val="auto"/>
        </w:rPr>
      </w:pPr>
    </w:p>
    <w:p>
      <w:pPr>
        <w:jc w:val="both"/>
        <w:ind w:firstLine="599"/>
        <w:spacing w:after="0" w:line="278"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 In connection with all aspects of each transaction contemplated hereby (including in connection with any amendment, waiver or other modification hereof or of any other Loan Document), each of the Borrower and the REIT acknowledges and agrees, and acknowledges its Affiliates’ understanding, that: (i) (A) the arranging and other services regarding this Agreement provided by the Administrative Agent, the Bookrunners and the Arrangers are arm’s-length commercial transactions between the Borrower, the REIT and their respective Affiliates, on the one hand, and the Administrative Agent, the Bookrunners, the Arrangers and the Lenders, on the other hand, (B) each of the Borrower and the REIT has consulted its own legal, accounting, regulatory and tax advisors to the extent it has deemed appropriate, and (C) each of the Borrower and the REIT is capable of evaluating, and understands and accepts, the terms, risks and conditions of the transactions contemplated hereby and by the other Loan Documents; (ii) (A) the Administrative Agent, the Bookrunners, the Arrangers and the Lenders each is and has been acting solely as a principal and, except as expressly agreed in writing by the relevant parties, has not been, is not, and will not be acting as an advisor, agent or fiduciary for the Borrower, the REIT or any of their respective Affiliates, or any other Person and (B) neither the Administrative Agent, the Bookrunners, the Arrangers, nor any Lender have any obligation to the Borrower, the REIT or any of their respective Affiliates with respect to the transactions contemplated hereby except those obligations expressly set forth herein and in the other Loan Documents; and (iii) the Administrative Agent, the Bookrunners, the Arrangers, the Lenders and their respective Affiliates may be engaged in a broad range of transactions that involve interests that differ from those of the Borrower, the REIT and their respective Affiliates, and neither the Administrative Agent, the Bookrunners, the Arrangers nor any Lender have any obligation to disclose any of such interests to the Borrower, the REIT or any of their respective Affiliates. To the fullest extent permitted by law, each of the Borrower and the REIT hereby waives and releases any claims that it may have</w:t>
      </w:r>
    </w:p>
    <w:p>
      <w:pPr>
        <w:spacing w:after="0" w:line="196"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123</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35" w:name="page136"/>
    <w:bookmarkEnd w:id="135"/>
    <w:p>
      <w:pPr>
        <w:jc w:val="both"/>
        <w:spacing w:after="0" w:line="272" w:lineRule="auto"/>
        <w:rPr>
          <w:sz w:val="20"/>
          <w:szCs w:val="20"/>
          <w:color w:val="auto"/>
        </w:rPr>
      </w:pPr>
      <w:r>
        <w:rPr>
          <w:rFonts w:ascii="Arial" w:cs="Arial" w:eastAsia="Arial" w:hAnsi="Arial"/>
          <w:sz w:val="20"/>
          <w:szCs w:val="20"/>
          <w:color w:val="auto"/>
        </w:rPr>
        <w:t>against the Administrative Agent, the Arrangers and the Lenders with respect to any breach or alleged breach of agency or fiduciary duty in connection with any aspect of any transaction contemplated hereby.</w:t>
      </w:r>
    </w:p>
    <w:p>
      <w:pPr>
        <w:spacing w:after="0" w:line="191" w:lineRule="exact"/>
        <w:rPr>
          <w:sz w:val="20"/>
          <w:szCs w:val="20"/>
          <w:color w:val="auto"/>
        </w:rPr>
      </w:pPr>
    </w:p>
    <w:p>
      <w:pPr>
        <w:jc w:val="both"/>
        <w:ind w:firstLine="599"/>
        <w:spacing w:after="0" w:line="264" w:lineRule="auto"/>
        <w:rPr>
          <w:sz w:val="20"/>
          <w:szCs w:val="20"/>
          <w:color w:val="auto"/>
        </w:rPr>
      </w:pPr>
      <w:r>
        <w:rPr>
          <w:rFonts w:ascii="Arial" w:cs="Arial" w:eastAsia="Arial" w:hAnsi="Arial"/>
          <w:sz w:val="19"/>
          <w:szCs w:val="19"/>
          <w:color w:val="auto"/>
        </w:rPr>
        <w:t xml:space="preserve">10.17. </w:t>
      </w:r>
      <w:r>
        <w:rPr>
          <w:rFonts w:ascii="Arial" w:cs="Arial" w:eastAsia="Arial" w:hAnsi="Arial"/>
          <w:sz w:val="19"/>
          <w:szCs w:val="19"/>
          <w:u w:val="single" w:color="auto"/>
          <w:color w:val="auto"/>
        </w:rPr>
        <w:t>Electronic Execution of Assignments and Certain Other Documents</w:t>
      </w:r>
      <w:r>
        <w:rPr>
          <w:rFonts w:ascii="Arial" w:cs="Arial" w:eastAsia="Arial" w:hAnsi="Arial"/>
          <w:sz w:val="19"/>
          <w:szCs w:val="19"/>
          <w:color w:val="auto"/>
        </w:rPr>
        <w:t xml:space="preserve">. The words “execute,” “execution,” “signed,” “signature,” and words of like import in or related to any document to be signed in connection with this Agreement and the transactions contemplated hereby (including without limitation Assignment and Assumptions, amendments, amendment and restatements or other modifications,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204"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20"/>
          <w:szCs w:val="20"/>
          <w:color w:val="auto"/>
        </w:rPr>
        <w:t xml:space="preserve">10.18. </w:t>
      </w:r>
      <w:r>
        <w:rPr>
          <w:rFonts w:ascii="Arial" w:cs="Arial" w:eastAsia="Arial" w:hAnsi="Arial"/>
          <w:sz w:val="20"/>
          <w:szCs w:val="20"/>
          <w:u w:val="single" w:color="auto"/>
          <w:color w:val="auto"/>
        </w:rPr>
        <w:t>USA PATRIOT Act</w:t>
      </w:r>
      <w:r>
        <w:rPr>
          <w:rFonts w:ascii="Arial" w:cs="Arial" w:eastAsia="Arial" w:hAnsi="Arial"/>
          <w:sz w:val="20"/>
          <w:szCs w:val="20"/>
          <w:color w:val="auto"/>
        </w:rPr>
        <w:t>. Each Lender that is subject to the Act (as hereinafter defined) and the Administrative Agent (for itself and not on behalf of any Lender) hereby notifies the Borrower that pursuant to the requirements of the USA Patriot Act (Title III of Pub. L. 107-56 (signed into law October 26, 2001)) (the “</w:t>
      </w:r>
      <w:r>
        <w:rPr>
          <w:rFonts w:ascii="Arial" w:cs="Arial" w:eastAsia="Arial" w:hAnsi="Arial"/>
          <w:sz w:val="20"/>
          <w:szCs w:val="20"/>
          <w:u w:val="single" w:color="auto"/>
          <w:color w:val="auto"/>
        </w:rPr>
        <w:t>Act</w:t>
      </w:r>
      <w:r>
        <w:rPr>
          <w:rFonts w:ascii="Arial" w:cs="Arial" w:eastAsia="Arial" w:hAnsi="Arial"/>
          <w:sz w:val="20"/>
          <w:szCs w:val="20"/>
          <w:color w:val="auto"/>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212" w:lineRule="exact"/>
        <w:rPr>
          <w:sz w:val="20"/>
          <w:szCs w:val="20"/>
          <w:color w:val="auto"/>
        </w:rPr>
      </w:pPr>
    </w:p>
    <w:p>
      <w:pPr>
        <w:jc w:val="both"/>
        <w:ind w:firstLine="599"/>
        <w:spacing w:after="0" w:line="288" w:lineRule="auto"/>
        <w:rPr>
          <w:sz w:val="20"/>
          <w:szCs w:val="20"/>
          <w:color w:val="auto"/>
        </w:rPr>
      </w:pPr>
      <w:r>
        <w:rPr>
          <w:rFonts w:ascii="Arial" w:cs="Arial" w:eastAsia="Arial" w:hAnsi="Arial"/>
          <w:sz w:val="18"/>
          <w:szCs w:val="18"/>
          <w:color w:val="auto"/>
        </w:rPr>
        <w:t xml:space="preserve">10.19. </w:t>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 Solely to the extent any Lender or L/C Issuer that is an EEA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82" w:lineRule="exact"/>
        <w:rPr>
          <w:sz w:val="20"/>
          <w:szCs w:val="20"/>
          <w:color w:val="auto"/>
        </w:rPr>
      </w:pPr>
    </w:p>
    <w:p>
      <w:pPr>
        <w:ind w:firstLine="599"/>
        <w:spacing w:after="0" w:line="272" w:lineRule="auto"/>
        <w:tabs>
          <w:tab w:leader="none" w:pos="1421" w:val="left"/>
        </w:tabs>
        <w:numPr>
          <w:ilvl w:val="0"/>
          <w:numId w:val="177"/>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an EEA Resolution Authority to any such liabilities arising hereunder which may be payable to it by any Lender or L/C Issuer that is an EEA Financial Institution; and</w:t>
      </w:r>
    </w:p>
    <w:p>
      <w:pPr>
        <w:spacing w:after="0" w:line="190" w:lineRule="exact"/>
        <w:rPr>
          <w:rFonts w:ascii="Arial" w:cs="Arial" w:eastAsia="Arial" w:hAnsi="Arial"/>
          <w:sz w:val="20"/>
          <w:szCs w:val="20"/>
          <w:color w:val="auto"/>
        </w:rPr>
      </w:pPr>
    </w:p>
    <w:p>
      <w:pPr>
        <w:ind w:left="1440" w:hanging="841"/>
        <w:spacing w:after="0"/>
        <w:tabs>
          <w:tab w:leader="none" w:pos="144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44" w:lineRule="exact"/>
        <w:rPr>
          <w:rFonts w:ascii="Arial" w:cs="Arial" w:eastAsia="Arial" w:hAnsi="Arial"/>
          <w:sz w:val="20"/>
          <w:szCs w:val="20"/>
          <w:color w:val="auto"/>
        </w:rPr>
      </w:pPr>
    </w:p>
    <w:p>
      <w:pPr>
        <w:ind w:left="1980" w:hanging="781"/>
        <w:spacing w:after="0"/>
        <w:tabs>
          <w:tab w:leader="none" w:pos="1980" w:val="left"/>
        </w:tabs>
        <w:numPr>
          <w:ilvl w:val="1"/>
          <w:numId w:val="177"/>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44" w:lineRule="exact"/>
        <w:rPr>
          <w:rFonts w:ascii="Arial" w:cs="Arial" w:eastAsia="Arial" w:hAnsi="Arial"/>
          <w:sz w:val="20"/>
          <w:szCs w:val="20"/>
          <w:color w:val="auto"/>
        </w:rPr>
      </w:pPr>
    </w:p>
    <w:p>
      <w:pPr>
        <w:jc w:val="both"/>
        <w:ind w:left="600" w:firstLine="599"/>
        <w:spacing w:after="0" w:line="260" w:lineRule="auto"/>
        <w:tabs>
          <w:tab w:leader="none" w:pos="2043" w:val="left"/>
        </w:tabs>
        <w:numPr>
          <w:ilvl w:val="1"/>
          <w:numId w:val="177"/>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w:t>
      </w:r>
    </w:p>
    <w:p>
      <w:pPr>
        <w:spacing w:after="0" w:line="20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124</w:t>
      </w:r>
      <w:r>
        <w:rPr>
          <w:rFonts w:ascii="MS PGothic" w:cs="MS PGothic" w:eastAsia="MS PGothic" w:hAnsi="MS PGothic"/>
          <w:sz w:val="20"/>
          <w:szCs w:val="20"/>
          <w:color w:val="auto"/>
        </w:rPr>
        <w:t>‑</w:t>
      </w:r>
    </w:p>
    <w:p>
      <w:pPr>
        <w:sectPr>
          <w:pgSz w:w="11900" w:h="16838" w:orient="portrait"/>
          <w:cols w:equalWidth="0" w:num="1">
            <w:col w:w="11420"/>
          </w:cols>
          <w:pgMar w:left="240" w:top="558" w:right="239" w:bottom="1440" w:gutter="0" w:footer="0" w:header="0"/>
        </w:sectPr>
      </w:pPr>
    </w:p>
    <w:bookmarkStart w:id="136" w:name="page137"/>
    <w:bookmarkEnd w:id="136"/>
    <w:p>
      <w:pPr>
        <w:ind w:left="600"/>
        <w:spacing w:after="0"/>
        <w:rPr>
          <w:sz w:val="20"/>
          <w:szCs w:val="20"/>
          <w:color w:val="auto"/>
        </w:rPr>
      </w:pPr>
      <w:r>
        <w:rPr>
          <w:rFonts w:ascii="Arial" w:cs="Arial" w:eastAsia="Arial" w:hAnsi="Arial"/>
          <w:sz w:val="19"/>
          <w:szCs w:val="19"/>
          <w:color w:val="auto"/>
        </w:rPr>
        <w:t>will be accepted by it in lieu of any rights with respect to any such liability under this Agreement or any other Loan Document; or</w:t>
      </w:r>
    </w:p>
    <w:p>
      <w:pPr>
        <w:spacing w:after="0" w:line="256" w:lineRule="exact"/>
        <w:rPr>
          <w:sz w:val="20"/>
          <w:szCs w:val="20"/>
          <w:color w:val="auto"/>
        </w:rPr>
      </w:pPr>
    </w:p>
    <w:p>
      <w:pPr>
        <w:ind w:left="600" w:firstLine="599"/>
        <w:spacing w:after="0" w:line="272" w:lineRule="auto"/>
        <w:tabs>
          <w:tab w:leader="none" w:pos="2099" w:val="left"/>
        </w:tabs>
        <w:numPr>
          <w:ilvl w:val="0"/>
          <w:numId w:val="178"/>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191" w:lineRule="exact"/>
        <w:rPr>
          <w:sz w:val="20"/>
          <w:szCs w:val="20"/>
          <w:color w:val="auto"/>
        </w:rPr>
      </w:pPr>
    </w:p>
    <w:p>
      <w:pPr>
        <w:ind w:left="600"/>
        <w:spacing w:after="0"/>
        <w:tabs>
          <w:tab w:leader="none" w:pos="1280" w:val="left"/>
        </w:tabs>
        <w:rPr>
          <w:sz w:val="20"/>
          <w:szCs w:val="20"/>
          <w:color w:val="auto"/>
        </w:rPr>
      </w:pPr>
      <w:r>
        <w:rPr>
          <w:rFonts w:ascii="Arial" w:cs="Arial" w:eastAsia="Arial" w:hAnsi="Arial"/>
          <w:sz w:val="20"/>
          <w:szCs w:val="20"/>
          <w:color w:val="auto"/>
        </w:rPr>
        <w:t>10.20.</w:t>
      </w:r>
      <w:r>
        <w:rPr>
          <w:sz w:val="20"/>
          <w:szCs w:val="20"/>
          <w:color w:val="auto"/>
        </w:rPr>
        <w:tab/>
      </w:r>
      <w:r>
        <w:rPr>
          <w:rFonts w:ascii="Arial" w:cs="Arial" w:eastAsia="Arial" w:hAnsi="Arial"/>
          <w:sz w:val="18"/>
          <w:szCs w:val="18"/>
          <w:u w:val="single" w:color="auto"/>
          <w:color w:val="auto"/>
        </w:rPr>
        <w:t>No Novation</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70" w:lineRule="auto"/>
        <w:tabs>
          <w:tab w:leader="none" w:pos="1421" w:val="left"/>
        </w:tabs>
        <w:numPr>
          <w:ilvl w:val="0"/>
          <w:numId w:val="179"/>
        </w:numPr>
        <w:rPr>
          <w:rFonts w:ascii="Arial" w:cs="Arial" w:eastAsia="Arial" w:hAnsi="Arial"/>
          <w:sz w:val="19"/>
          <w:szCs w:val="19"/>
          <w:color w:val="auto"/>
        </w:rPr>
      </w:pPr>
      <w:r>
        <w:rPr>
          <w:rFonts w:ascii="Arial" w:cs="Arial" w:eastAsia="Arial" w:hAnsi="Arial"/>
          <w:sz w:val="19"/>
          <w:szCs w:val="19"/>
          <w:color w:val="auto"/>
        </w:rPr>
        <w:t>This Agreement amends, restates and supersedes the Existing Credit Agreement in its entirety and is not intended to be or operate as a novation or an accord and satisfaction of the Existing Credit Agreement or the obligations evidenced thereby or provided for thereunder. Without limiting the generality of the foregoing (i) all “Loans” under (and as defined in) the Existing Credit Agreement shall on the Restatement Effective Date become Loans hereunder and (ii) all other “Obligations” (under and as defined in the Existing Credit Agreement) that remain outstanding on the Restatement Effective Date shall be Obligations under this Agreement.</w:t>
      </w:r>
    </w:p>
    <w:p>
      <w:pPr>
        <w:spacing w:after="0" w:line="194" w:lineRule="exact"/>
        <w:rPr>
          <w:rFonts w:ascii="Arial" w:cs="Arial" w:eastAsia="Arial" w:hAnsi="Arial"/>
          <w:sz w:val="19"/>
          <w:szCs w:val="19"/>
          <w:color w:val="auto"/>
        </w:rPr>
      </w:pPr>
    </w:p>
    <w:p>
      <w:pPr>
        <w:jc w:val="both"/>
        <w:ind w:firstLine="599"/>
        <w:spacing w:after="0" w:line="279" w:lineRule="auto"/>
        <w:tabs>
          <w:tab w:leader="none" w:pos="143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On the Restatement Effective Date, the Existing Revolving Credit Notes and Existing Term Notes, if any, held by each Lender shall be deemed to be cancelled and, if such Lender has requested a Revolving Note and/or Term Note hereunder, amended and restated by the Revolving Note or Term Note, as applicable, delivered hereunder on or about the Restatement Effective Date (regardless of whether any Lender shall have delivered to the Borrower for cancellation any Existing Note held by it). Each Lender, whether or not requesting a Note hereunder, shall use its commercially reasonable efforts to deliver the Existing Notes held by it to the Borrower for cancellation and/or amendment and restatement. All amounts owing under, and evidenced by, the Existing Notes of any Lender as of the Restatement Effective Date shall continue to be outstanding hereunder, and shall from and after the Restatement Effective Date be evidenced by the Notes (if any) received by such Lender pursuant to this Agreement, and shall in any event be evidenced by, and governed by the terms of, this Agreement. Each Lender hereby agrees to indemnify and hold harmless the Borrower from and against any and all liabilities, losses, damages, actions or claims that may be imposed on, incurred by or asserted against the Borrower arising out of such Lender’s failure to deliver the Existing Notes held by it to the Borrower for cancellation, subject to the condition that the Borrower shall not make any payment to any Person claiming to be the holder of any such Existing Note unless such Lender is first notified of such claim and is given the opportunity, at such Lender’s sole cost and expense, to assert any defenses to such payment.</w:t>
      </w:r>
    </w:p>
    <w:p>
      <w:pPr>
        <w:spacing w:after="0" w:line="194"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20"/>
          <w:szCs w:val="20"/>
          <w:color w:val="auto"/>
        </w:rPr>
        <w:t xml:space="preserve">10.21. </w:t>
      </w:r>
      <w:r>
        <w:rPr>
          <w:rFonts w:ascii="Arial" w:cs="Arial" w:eastAsia="Arial" w:hAnsi="Arial"/>
          <w:sz w:val="20"/>
          <w:szCs w:val="20"/>
          <w:u w:val="single" w:color="auto"/>
          <w:color w:val="auto"/>
        </w:rPr>
        <w:t>Exiting Lenders</w:t>
      </w:r>
      <w:r>
        <w:rPr>
          <w:rFonts w:ascii="Arial" w:cs="Arial" w:eastAsia="Arial" w:hAnsi="Arial"/>
          <w:sz w:val="20"/>
          <w:szCs w:val="20"/>
          <w:color w:val="auto"/>
        </w:rPr>
        <w:t>. On the Restatement Effective Date, all commitments of each lender that is a party to the Existing Credit Agreement but is not a party to this Agreement (each an “</w:t>
      </w:r>
      <w:r>
        <w:rPr>
          <w:rFonts w:ascii="Arial" w:cs="Arial" w:eastAsia="Arial" w:hAnsi="Arial"/>
          <w:sz w:val="20"/>
          <w:szCs w:val="20"/>
          <w:u w:val="single" w:color="auto"/>
          <w:color w:val="auto"/>
        </w:rPr>
        <w:t>Exiting Lender</w:t>
      </w:r>
      <w:r>
        <w:rPr>
          <w:rFonts w:ascii="Arial" w:cs="Arial" w:eastAsia="Arial" w:hAnsi="Arial"/>
          <w:sz w:val="20"/>
          <w:szCs w:val="20"/>
          <w:color w:val="auto"/>
        </w:rPr>
        <w:t>”) will be terminated, all outstanding obligations owing to the Exiting Lenders will be repaid in full and the Existing Notes, if any, held by each Exiting Lender shall be deemed to be cancelled (regardless of whether any Exiting Lender shall have delivered to the Borrower for cancellation the Existing Notes held by it). To the extent the Existing Credit Agreement provides that certain terms survive the termination of the Existing Credit Agreement or survive the payment in full of principal, interest and all other amounts payable thereunder, then such terms shall survive the amendment and restatement of the Existing Credit Agreement for the benefit of the Exiting Lenders.</w:t>
      </w:r>
    </w:p>
    <w:p>
      <w:pPr>
        <w:spacing w:after="0" w:line="215" w:lineRule="exact"/>
        <w:rPr>
          <w:sz w:val="20"/>
          <w:szCs w:val="20"/>
          <w:color w:val="auto"/>
        </w:rPr>
      </w:pPr>
    </w:p>
    <w:p>
      <w:pPr>
        <w:ind w:left="600"/>
        <w:spacing w:after="0"/>
        <w:tabs>
          <w:tab w:leader="none" w:pos="1280" w:val="left"/>
        </w:tabs>
        <w:rPr>
          <w:sz w:val="20"/>
          <w:szCs w:val="20"/>
          <w:color w:val="auto"/>
        </w:rPr>
      </w:pPr>
      <w:r>
        <w:rPr>
          <w:rFonts w:ascii="Arial" w:cs="Arial" w:eastAsia="Arial" w:hAnsi="Arial"/>
          <w:sz w:val="20"/>
          <w:szCs w:val="20"/>
          <w:color w:val="auto"/>
        </w:rPr>
        <w:t>10.22.</w:t>
      </w:r>
      <w:r>
        <w:rPr>
          <w:sz w:val="20"/>
          <w:szCs w:val="20"/>
          <w:color w:val="auto"/>
        </w:rPr>
        <w:tab/>
      </w:r>
      <w:r>
        <w:rPr>
          <w:rFonts w:ascii="Arial" w:cs="Arial" w:eastAsia="Arial" w:hAnsi="Arial"/>
          <w:sz w:val="17"/>
          <w:szCs w:val="17"/>
          <w:u w:val="single" w:color="auto"/>
          <w:color w:val="auto"/>
        </w:rPr>
        <w:t>Release of Guarantors on Restatement Effective Date</w:t>
      </w:r>
      <w:r>
        <w:rPr>
          <w:rFonts w:ascii="Arial" w:cs="Arial" w:eastAsia="Arial" w:hAnsi="Arial"/>
          <w:sz w:val="17"/>
          <w:szCs w:val="17"/>
          <w:color w:val="auto"/>
        </w:rPr>
        <w:t>.</w:t>
      </w:r>
    </w:p>
    <w:p>
      <w:pPr>
        <w:spacing w:after="0" w:line="245" w:lineRule="exact"/>
        <w:rPr>
          <w:sz w:val="20"/>
          <w:szCs w:val="20"/>
          <w:color w:val="auto"/>
        </w:rPr>
      </w:pPr>
    </w:p>
    <w:p>
      <w:pPr>
        <w:jc w:val="both"/>
        <w:ind w:firstLine="599"/>
        <w:spacing w:after="0" w:line="260" w:lineRule="auto"/>
        <w:tabs>
          <w:tab w:leader="none" w:pos="1421" w:val="left"/>
        </w:tabs>
        <w:numPr>
          <w:ilvl w:val="0"/>
          <w:numId w:val="180"/>
        </w:numPr>
        <w:rPr>
          <w:rFonts w:ascii="Arial" w:cs="Arial" w:eastAsia="Arial" w:hAnsi="Arial"/>
          <w:sz w:val="20"/>
          <w:szCs w:val="20"/>
          <w:color w:val="auto"/>
        </w:rPr>
      </w:pPr>
      <w:r>
        <w:rPr>
          <w:rFonts w:ascii="Arial" w:cs="Arial" w:eastAsia="Arial" w:hAnsi="Arial"/>
          <w:sz w:val="20"/>
          <w:szCs w:val="20"/>
          <w:color w:val="auto"/>
        </w:rPr>
        <w:t>In reliance on the Borrower’s certification set forth in clause (b) below, the parties hereto hereby agree that each Subsidiary of the Borrower party to the Guaranty Agreement (as defined in the Existing Credit Agreement) immediately prior to the effectiveness of this Agreement (each such Subsidiary, an</w:t>
      </w:r>
    </w:p>
    <w:p>
      <w:pPr>
        <w:spacing w:after="0" w:line="20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125</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37" w:name="page138"/>
    <w:bookmarkEnd w:id="137"/>
    <w:p>
      <w:pPr>
        <w:jc w:val="both"/>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Existing Subsidiary Guarantor</w:t>
      </w:r>
      <w:r>
        <w:rPr>
          <w:rFonts w:ascii="Arial" w:cs="Arial" w:eastAsia="Arial" w:hAnsi="Arial"/>
          <w:sz w:val="19"/>
          <w:szCs w:val="19"/>
          <w:color w:val="auto"/>
        </w:rPr>
        <w:t>”) is released from all of its obligations under such Guaranty Agreement, effective on the Restatement Effective Date. The Administrative Agent will (at the sole cost of the Borrower), and each of the Lenders and the L/C Issuers irrevocably authorizes the Administrative Agent to, execute and deliver such documents and instruments, and take all such other actions, in each case, as the Borrower may reasonably request to evidence the release of any Subsidiary Guarantor from its obligations thereunder, which documents, instruments and other actions shall be reasonably satisfactory to the Administrative Agent.</w:t>
      </w:r>
    </w:p>
    <w:p>
      <w:pPr>
        <w:spacing w:after="0" w:line="195" w:lineRule="exact"/>
        <w:rPr>
          <w:sz w:val="20"/>
          <w:szCs w:val="20"/>
          <w:color w:val="auto"/>
        </w:rPr>
      </w:pPr>
    </w:p>
    <w:p>
      <w:pPr>
        <w:jc w:val="both"/>
        <w:ind w:firstLine="599"/>
        <w:spacing w:after="0" w:line="260" w:lineRule="auto"/>
        <w:tabs>
          <w:tab w:leader="none" w:pos="1432" w:val="left"/>
        </w:tabs>
        <w:numPr>
          <w:ilvl w:val="0"/>
          <w:numId w:val="181"/>
        </w:numPr>
        <w:rPr>
          <w:rFonts w:ascii="Arial" w:cs="Arial" w:eastAsia="Arial" w:hAnsi="Arial"/>
          <w:sz w:val="20"/>
          <w:szCs w:val="20"/>
          <w:color w:val="auto"/>
        </w:rPr>
      </w:pPr>
      <w:r>
        <w:rPr>
          <w:rFonts w:ascii="Arial" w:cs="Arial" w:eastAsia="Arial" w:hAnsi="Arial"/>
          <w:sz w:val="20"/>
          <w:szCs w:val="20"/>
          <w:color w:val="auto"/>
        </w:rPr>
        <w:t xml:space="preserve">The Borrower hereby certifies that on the Restatement Effective Date, no Existing Subsidiary Guarantor is a borrower or guarantor of, or has a payment obligation in respect of, Indebtedness for borrowed money that constitutes Recourse Indebtedness (other than Indebtedness permitted under </w:t>
      </w:r>
      <w:r>
        <w:rPr>
          <w:rFonts w:ascii="Arial" w:cs="Arial" w:eastAsia="Arial" w:hAnsi="Arial"/>
          <w:sz w:val="20"/>
          <w:szCs w:val="20"/>
          <w:u w:val="single" w:color="auto"/>
          <w:color w:val="auto"/>
        </w:rPr>
        <w:t>Section 7.02(b))</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126</w:t>
      </w:r>
      <w:r>
        <w:rPr>
          <w:rFonts w:ascii="MS PGothic" w:cs="MS PGothic" w:eastAsia="MS PGothic" w:hAnsi="MS PGothic"/>
          <w:sz w:val="20"/>
          <w:szCs w:val="20"/>
          <w:color w:val="auto"/>
        </w:rPr>
        <w:t>‑</w:t>
      </w:r>
    </w:p>
    <w:p>
      <w:pPr>
        <w:sectPr>
          <w:pgSz w:w="11900" w:h="16838" w:orient="portrait"/>
          <w:cols w:equalWidth="0" w:num="1">
            <w:col w:w="11420"/>
          </w:cols>
          <w:pgMar w:left="240" w:top="557" w:right="239" w:bottom="1440" w:gutter="0" w:footer="0" w:header="0"/>
        </w:sectPr>
      </w:pPr>
    </w:p>
    <w:bookmarkStart w:id="138" w:name="page139"/>
    <w:bookmarkEnd w:id="138"/>
    <w:p>
      <w:pPr>
        <w:spacing w:after="0"/>
        <w:rPr>
          <w:sz w:val="20"/>
          <w:szCs w:val="20"/>
          <w:color w:val="auto"/>
        </w:rPr>
      </w:pPr>
      <w:r>
        <w:rPr>
          <w:rFonts w:ascii="Arial" w:cs="Arial" w:eastAsia="Arial" w:hAnsi="Arial"/>
          <w:sz w:val="17"/>
          <w:szCs w:val="17"/>
          <w:i w:val="1"/>
          <w:iCs w:val="1"/>
          <w:color w:val="auto"/>
        </w:rPr>
        <w:t xml:space="preserve">IN WITNESS WHEREOF, </w:t>
      </w:r>
      <w:r>
        <w:rPr>
          <w:rFonts w:ascii="Arial" w:cs="Arial" w:eastAsia="Arial" w:hAnsi="Arial"/>
          <w:sz w:val="17"/>
          <w:szCs w:val="17"/>
          <w:color w:val="auto"/>
        </w:rPr>
        <w:t>the parties hereto have caused this Agreement to be duly executed as of the date first above written.</w:t>
      </w:r>
    </w:p>
    <w:p>
      <w:pPr>
        <w:sectPr>
          <w:pgSz w:w="11900" w:h="16838" w:orient="portrait"/>
          <w:cols w:equalWidth="0" w:num="1">
            <w:col w:w="10080"/>
          </w:cols>
          <w:pgMar w:left="840" w:top="557"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20"/>
          <w:szCs w:val="20"/>
          <w:color w:val="auto"/>
        </w:rPr>
        <w:t>AMERICAN ASSETS TRUST, L.P.</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5500" w:type="dxa"/>
            <w:vAlign w:val="bottom"/>
            <w:gridSpan w:val="2"/>
          </w:tcPr>
          <w:p>
            <w:pPr>
              <w:ind w:left="140"/>
              <w:spacing w:after="0"/>
              <w:rPr>
                <w:sz w:val="20"/>
                <w:szCs w:val="20"/>
                <w:color w:val="auto"/>
              </w:rPr>
            </w:pPr>
            <w:r>
              <w:rPr>
                <w:rFonts w:ascii="Arial" w:cs="Arial" w:eastAsia="Arial" w:hAnsi="Arial"/>
                <w:sz w:val="20"/>
                <w:szCs w:val="20"/>
                <w:color w:val="auto"/>
              </w:rPr>
              <w:t>AMERICAN ASSETS TRUST, INC., its General Partner</w:t>
            </w:r>
          </w:p>
        </w:tc>
      </w:tr>
      <w:tr>
        <w:trPr>
          <w:trHeight w:val="832"/>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20" w:type="dxa"/>
            <w:vAlign w:val="bottom"/>
          </w:tcPr>
          <w:p>
            <w:pPr>
              <w:spacing w:after="0"/>
              <w:rPr>
                <w:sz w:val="24"/>
                <w:szCs w:val="24"/>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ERNEST RADY</w:t>
            </w:r>
          </w:p>
        </w:tc>
      </w:tr>
      <w:tr>
        <w:trPr>
          <w:trHeight w:val="260"/>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20" w:type="dxa"/>
            <w:vAlign w:val="bottom"/>
          </w:tcPr>
          <w:p>
            <w:pPr>
              <w:spacing w:after="0"/>
              <w:rPr>
                <w:sz w:val="22"/>
                <w:szCs w:val="22"/>
                <w:color w:val="auto"/>
              </w:rPr>
            </w:pPr>
          </w:p>
        </w:tc>
        <w:tc>
          <w:tcPr>
            <w:tcW w:w="5080" w:type="dxa"/>
            <w:vAlign w:val="bottom"/>
          </w:tcPr>
          <w:p>
            <w:pPr>
              <w:ind w:left="20"/>
              <w:spacing w:after="0"/>
              <w:rPr>
                <w:sz w:val="20"/>
                <w:szCs w:val="20"/>
                <w:color w:val="auto"/>
              </w:rPr>
            </w:pPr>
            <w:r>
              <w:rPr>
                <w:rFonts w:ascii="Arial" w:cs="Arial" w:eastAsia="Arial" w:hAnsi="Arial"/>
                <w:sz w:val="20"/>
                <w:szCs w:val="20"/>
                <w:color w:val="auto"/>
              </w:rPr>
              <w:t>Ernest Rady</w:t>
            </w:r>
          </w:p>
        </w:tc>
      </w:tr>
      <w:tr>
        <w:trPr>
          <w:trHeight w:val="275"/>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20" w:type="dxa"/>
            <w:vAlign w:val="bottom"/>
          </w:tcPr>
          <w:p>
            <w:pPr>
              <w:spacing w:after="0"/>
              <w:rPr>
                <w:sz w:val="23"/>
                <w:szCs w:val="23"/>
                <w:color w:val="auto"/>
              </w:rPr>
            </w:pPr>
          </w:p>
        </w:tc>
        <w:tc>
          <w:tcPr>
            <w:tcW w:w="5080" w:type="dxa"/>
            <w:vAlign w:val="bottom"/>
          </w:tcPr>
          <w:p>
            <w:pPr>
              <w:ind w:left="20"/>
              <w:spacing w:after="0"/>
              <w:rPr>
                <w:sz w:val="20"/>
                <w:szCs w:val="20"/>
                <w:color w:val="auto"/>
              </w:rPr>
            </w:pPr>
            <w:r>
              <w:rPr>
                <w:rFonts w:ascii="Arial" w:cs="Arial" w:eastAsia="Arial" w:hAnsi="Arial"/>
                <w:sz w:val="20"/>
                <w:szCs w:val="20"/>
                <w:color w:val="auto"/>
              </w:rPr>
              <w:t>Chief Executive Officer &amp; President</w:t>
            </w:r>
          </w:p>
        </w:tc>
      </w:tr>
      <w:tr>
        <w:trPr>
          <w:trHeight w:val="607"/>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20" w:type="dxa"/>
            <w:vAlign w:val="bottom"/>
          </w:tcPr>
          <w:p>
            <w:pPr>
              <w:spacing w:after="0"/>
              <w:rPr>
                <w:sz w:val="24"/>
                <w:szCs w:val="24"/>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ROBERT F. BARTON</w:t>
            </w:r>
          </w:p>
        </w:tc>
      </w:tr>
      <w:tr>
        <w:trPr>
          <w:trHeight w:val="260"/>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20" w:type="dxa"/>
            <w:vAlign w:val="bottom"/>
          </w:tcPr>
          <w:p>
            <w:pPr>
              <w:spacing w:after="0"/>
              <w:rPr>
                <w:sz w:val="22"/>
                <w:szCs w:val="22"/>
                <w:color w:val="auto"/>
              </w:rPr>
            </w:pPr>
          </w:p>
        </w:tc>
        <w:tc>
          <w:tcPr>
            <w:tcW w:w="5080" w:type="dxa"/>
            <w:vAlign w:val="bottom"/>
          </w:tcPr>
          <w:p>
            <w:pPr>
              <w:ind w:left="20"/>
              <w:spacing w:after="0"/>
              <w:rPr>
                <w:sz w:val="20"/>
                <w:szCs w:val="20"/>
                <w:color w:val="auto"/>
              </w:rPr>
            </w:pPr>
            <w:r>
              <w:rPr>
                <w:rFonts w:ascii="Arial" w:cs="Arial" w:eastAsia="Arial" w:hAnsi="Arial"/>
                <w:sz w:val="20"/>
                <w:szCs w:val="20"/>
                <w:color w:val="auto"/>
              </w:rPr>
              <w:t>Robert F. Barton</w:t>
            </w:r>
          </w:p>
        </w:tc>
      </w:tr>
      <w:tr>
        <w:trPr>
          <w:trHeight w:val="275"/>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20" w:type="dxa"/>
            <w:vAlign w:val="bottom"/>
          </w:tcPr>
          <w:p>
            <w:pPr>
              <w:spacing w:after="0"/>
              <w:rPr>
                <w:sz w:val="23"/>
                <w:szCs w:val="23"/>
                <w:color w:val="auto"/>
              </w:rPr>
            </w:pPr>
          </w:p>
        </w:tc>
        <w:tc>
          <w:tcPr>
            <w:tcW w:w="5080" w:type="dxa"/>
            <w:vAlign w:val="bottom"/>
          </w:tcPr>
          <w:p>
            <w:pPr>
              <w:ind w:left="20"/>
              <w:spacing w:after="0"/>
              <w:rPr>
                <w:sz w:val="20"/>
                <w:szCs w:val="20"/>
                <w:color w:val="auto"/>
              </w:rPr>
            </w:pPr>
            <w:r>
              <w:rPr>
                <w:rFonts w:ascii="Arial" w:cs="Arial" w:eastAsia="Arial" w:hAnsi="Arial"/>
                <w:sz w:val="20"/>
                <w:szCs w:val="20"/>
                <w:color w:val="auto"/>
              </w:rPr>
              <w:t>Chief Financial Officer and Executive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20"/>
          <w:szCs w:val="20"/>
          <w:color w:val="auto"/>
        </w:rPr>
        <w:t>AMERICAN ASSETS TRUST, INC.</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1100" w:type="dxa"/>
            <w:vAlign w:val="bottom"/>
          </w:tcPr>
          <w:p>
            <w:pPr>
              <w:spacing w:after="0"/>
              <w:rPr>
                <w:sz w:val="20"/>
                <w:szCs w:val="20"/>
                <w:color w:val="auto"/>
              </w:rPr>
            </w:pPr>
            <w:r>
              <w:rPr>
                <w:rFonts w:ascii="Arial" w:cs="Arial" w:eastAsia="Arial" w:hAnsi="Arial"/>
                <w:sz w:val="20"/>
                <w:szCs w:val="20"/>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ERNEST RADY</w:t>
            </w:r>
          </w:p>
        </w:tc>
        <w:tc>
          <w:tcPr>
            <w:tcW w:w="1600" w:type="dxa"/>
            <w:vAlign w:val="bottom"/>
          </w:tcPr>
          <w:p>
            <w:pPr>
              <w:spacing w:after="0"/>
              <w:rPr>
                <w:sz w:val="22"/>
                <w:szCs w:val="22"/>
                <w:color w:val="auto"/>
              </w:rPr>
            </w:pPr>
          </w:p>
        </w:tc>
      </w:tr>
      <w:tr>
        <w:trPr>
          <w:trHeight w:val="260"/>
        </w:trPr>
        <w:tc>
          <w:tcPr>
            <w:tcW w:w="1100" w:type="dxa"/>
            <w:vAlign w:val="bottom"/>
          </w:tcPr>
          <w:p>
            <w:pPr>
              <w:spacing w:after="0"/>
              <w:rPr>
                <w:sz w:val="20"/>
                <w:szCs w:val="20"/>
                <w:color w:val="auto"/>
              </w:rPr>
            </w:pPr>
            <w:r>
              <w:rPr>
                <w:rFonts w:ascii="Arial" w:cs="Arial" w:eastAsia="Arial" w:hAnsi="Arial"/>
                <w:sz w:val="20"/>
                <w:szCs w:val="20"/>
                <w:color w:val="auto"/>
              </w:rPr>
              <w:t>Name:</w:t>
            </w:r>
          </w:p>
        </w:tc>
        <w:tc>
          <w:tcPr>
            <w:tcW w:w="6680" w:type="dxa"/>
            <w:vAlign w:val="bottom"/>
            <w:gridSpan w:val="2"/>
          </w:tcPr>
          <w:p>
            <w:pPr>
              <w:ind w:left="20"/>
              <w:spacing w:after="0"/>
              <w:rPr>
                <w:sz w:val="20"/>
                <w:szCs w:val="20"/>
                <w:color w:val="auto"/>
              </w:rPr>
            </w:pPr>
            <w:r>
              <w:rPr>
                <w:rFonts w:ascii="Arial" w:cs="Arial" w:eastAsia="Arial" w:hAnsi="Arial"/>
                <w:sz w:val="20"/>
                <w:szCs w:val="20"/>
                <w:color w:val="auto"/>
              </w:rPr>
              <w:t>Ernest Rady</w:t>
            </w:r>
          </w:p>
        </w:tc>
      </w:tr>
      <w:tr>
        <w:trPr>
          <w:trHeight w:val="275"/>
        </w:trPr>
        <w:tc>
          <w:tcPr>
            <w:tcW w:w="1100" w:type="dxa"/>
            <w:vAlign w:val="bottom"/>
          </w:tcPr>
          <w:p>
            <w:pPr>
              <w:spacing w:after="0"/>
              <w:rPr>
                <w:sz w:val="20"/>
                <w:szCs w:val="20"/>
                <w:color w:val="auto"/>
              </w:rPr>
            </w:pPr>
            <w:r>
              <w:rPr>
                <w:rFonts w:ascii="Arial" w:cs="Arial" w:eastAsia="Arial" w:hAnsi="Arial"/>
                <w:sz w:val="20"/>
                <w:szCs w:val="20"/>
                <w:color w:val="auto"/>
              </w:rPr>
              <w:t>Title:</w:t>
            </w:r>
          </w:p>
        </w:tc>
        <w:tc>
          <w:tcPr>
            <w:tcW w:w="6680" w:type="dxa"/>
            <w:vAlign w:val="bottom"/>
            <w:gridSpan w:val="2"/>
          </w:tcPr>
          <w:p>
            <w:pPr>
              <w:ind w:left="20"/>
              <w:spacing w:after="0"/>
              <w:rPr>
                <w:sz w:val="20"/>
                <w:szCs w:val="20"/>
                <w:color w:val="auto"/>
              </w:rPr>
            </w:pPr>
            <w:r>
              <w:rPr>
                <w:rFonts w:ascii="Arial" w:cs="Arial" w:eastAsia="Arial" w:hAnsi="Arial"/>
                <w:sz w:val="20"/>
                <w:szCs w:val="20"/>
                <w:color w:val="auto"/>
              </w:rPr>
              <w:t>Chief Executive Officer &amp; President</w:t>
            </w:r>
          </w:p>
        </w:tc>
      </w:tr>
      <w:tr>
        <w:trPr>
          <w:trHeight w:val="607"/>
        </w:trPr>
        <w:tc>
          <w:tcPr>
            <w:tcW w:w="1100" w:type="dxa"/>
            <w:vAlign w:val="bottom"/>
          </w:tcPr>
          <w:p>
            <w:pPr>
              <w:spacing w:after="0"/>
              <w:rPr>
                <w:sz w:val="20"/>
                <w:szCs w:val="20"/>
                <w:color w:val="auto"/>
              </w:rPr>
            </w:pPr>
            <w:r>
              <w:rPr>
                <w:rFonts w:ascii="Arial" w:cs="Arial" w:eastAsia="Arial" w:hAnsi="Arial"/>
                <w:sz w:val="20"/>
                <w:szCs w:val="20"/>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ROBERT F. BARTON</w:t>
            </w:r>
          </w:p>
        </w:tc>
        <w:tc>
          <w:tcPr>
            <w:tcW w:w="1600" w:type="dxa"/>
            <w:vAlign w:val="bottom"/>
          </w:tcPr>
          <w:p>
            <w:pPr>
              <w:spacing w:after="0"/>
              <w:rPr>
                <w:sz w:val="24"/>
                <w:szCs w:val="24"/>
                <w:color w:val="auto"/>
              </w:rPr>
            </w:pPr>
          </w:p>
        </w:tc>
      </w:tr>
      <w:tr>
        <w:trPr>
          <w:trHeight w:val="260"/>
        </w:trPr>
        <w:tc>
          <w:tcPr>
            <w:tcW w:w="1100" w:type="dxa"/>
            <w:vAlign w:val="bottom"/>
          </w:tcPr>
          <w:p>
            <w:pPr>
              <w:spacing w:after="0"/>
              <w:rPr>
                <w:sz w:val="20"/>
                <w:szCs w:val="20"/>
                <w:color w:val="auto"/>
              </w:rPr>
            </w:pPr>
            <w:r>
              <w:rPr>
                <w:rFonts w:ascii="Arial" w:cs="Arial" w:eastAsia="Arial" w:hAnsi="Arial"/>
                <w:sz w:val="20"/>
                <w:szCs w:val="20"/>
                <w:color w:val="auto"/>
              </w:rPr>
              <w:t>Name:</w:t>
            </w:r>
          </w:p>
        </w:tc>
        <w:tc>
          <w:tcPr>
            <w:tcW w:w="6680" w:type="dxa"/>
            <w:vAlign w:val="bottom"/>
            <w:gridSpan w:val="2"/>
          </w:tcPr>
          <w:p>
            <w:pPr>
              <w:ind w:left="20"/>
              <w:spacing w:after="0"/>
              <w:rPr>
                <w:sz w:val="20"/>
                <w:szCs w:val="20"/>
                <w:color w:val="auto"/>
              </w:rPr>
            </w:pPr>
            <w:r>
              <w:rPr>
                <w:rFonts w:ascii="Arial" w:cs="Arial" w:eastAsia="Arial" w:hAnsi="Arial"/>
                <w:sz w:val="20"/>
                <w:szCs w:val="20"/>
                <w:color w:val="auto"/>
              </w:rPr>
              <w:t>Robert F. Barton</w:t>
            </w:r>
          </w:p>
        </w:tc>
      </w:tr>
      <w:tr>
        <w:trPr>
          <w:trHeight w:val="275"/>
        </w:trPr>
        <w:tc>
          <w:tcPr>
            <w:tcW w:w="1100" w:type="dxa"/>
            <w:vAlign w:val="bottom"/>
          </w:tcPr>
          <w:p>
            <w:pPr>
              <w:spacing w:after="0"/>
              <w:rPr>
                <w:sz w:val="20"/>
                <w:szCs w:val="20"/>
                <w:color w:val="auto"/>
              </w:rPr>
            </w:pPr>
            <w:r>
              <w:rPr>
                <w:rFonts w:ascii="Arial" w:cs="Arial" w:eastAsia="Arial" w:hAnsi="Arial"/>
                <w:sz w:val="20"/>
                <w:szCs w:val="20"/>
                <w:color w:val="auto"/>
              </w:rPr>
              <w:t>Title:</w:t>
            </w:r>
          </w:p>
        </w:tc>
        <w:tc>
          <w:tcPr>
            <w:tcW w:w="6680" w:type="dxa"/>
            <w:vAlign w:val="bottom"/>
            <w:gridSpan w:val="2"/>
          </w:tcPr>
          <w:p>
            <w:pPr>
              <w:ind w:left="20"/>
              <w:spacing w:after="0"/>
              <w:rPr>
                <w:sz w:val="20"/>
                <w:szCs w:val="20"/>
                <w:color w:val="auto"/>
              </w:rPr>
            </w:pPr>
            <w:r>
              <w:rPr>
                <w:rFonts w:ascii="Arial" w:cs="Arial" w:eastAsia="Arial" w:hAnsi="Arial"/>
                <w:sz w:val="20"/>
                <w:szCs w:val="20"/>
                <w:color w:val="auto"/>
              </w:rPr>
              <w:t>Chief Financial Officer and Executive Vice President</w:t>
            </w:r>
          </w:p>
        </w:tc>
      </w:tr>
      <w:tr>
        <w:trPr>
          <w:trHeight w:val="893"/>
        </w:trPr>
        <w:tc>
          <w:tcPr>
            <w:tcW w:w="1100" w:type="dxa"/>
            <w:vAlign w:val="bottom"/>
          </w:tcPr>
          <w:p>
            <w:pPr>
              <w:spacing w:after="0"/>
              <w:rPr>
                <w:sz w:val="24"/>
                <w:szCs w:val="24"/>
                <w:color w:val="auto"/>
              </w:rPr>
            </w:pPr>
          </w:p>
        </w:tc>
        <w:tc>
          <w:tcPr>
            <w:tcW w:w="6680" w:type="dxa"/>
            <w:vAlign w:val="bottom"/>
            <w:gridSpan w:val="2"/>
          </w:tcPr>
          <w:p>
            <w:pPr>
              <w:ind w:left="1300"/>
              <w:spacing w:after="0"/>
              <w:rPr>
                <w:sz w:val="20"/>
                <w:szCs w:val="20"/>
                <w:color w:val="auto"/>
              </w:rPr>
            </w:pPr>
            <w:r>
              <w:rPr>
                <w:rFonts w:ascii="Arial" w:cs="Arial" w:eastAsia="Arial" w:hAnsi="Arial"/>
                <w:sz w:val="18"/>
                <w:szCs w:val="18"/>
                <w:color w:val="auto"/>
                <w:w w:val="90"/>
              </w:rPr>
              <w:t>Signature Page to AAT Second Amended and Restated Credit Agreement</w:t>
            </w:r>
          </w:p>
        </w:tc>
      </w:tr>
    </w:tbl>
    <w:p>
      <w:pPr>
        <w:sectPr>
          <w:pgSz w:w="11900" w:h="16838" w:orient="portrait"/>
          <w:cols w:equalWidth="0" w:num="1">
            <w:col w:w="10080"/>
          </w:cols>
          <w:pgMar w:left="840" w:top="557" w:right="979" w:bottom="1440" w:gutter="0" w:footer="0" w:header="0"/>
          <w:type w:val="continuous"/>
        </w:sectPr>
      </w:pPr>
    </w:p>
    <w:bookmarkStart w:id="139" w:name="page140"/>
    <w:bookmarkEnd w:id="139"/>
    <w:p>
      <w:pPr>
        <w:jc w:val="right"/>
        <w:ind w:right="579"/>
        <w:spacing w:after="0"/>
        <w:rPr>
          <w:sz w:val="20"/>
          <w:szCs w:val="20"/>
          <w:color w:val="auto"/>
        </w:rPr>
      </w:pPr>
      <w:r>
        <w:rPr>
          <w:rFonts w:ascii="Arial" w:cs="Arial" w:eastAsia="Arial" w:hAnsi="Arial"/>
          <w:sz w:val="20"/>
          <w:szCs w:val="20"/>
          <w:color w:val="auto"/>
        </w:rPr>
        <w:t>BANK OF AMERICA, N.A., as Administrative Agent</w:t>
      </w:r>
    </w:p>
    <w:p>
      <w:pPr>
        <w:spacing w:after="0" w:line="320" w:lineRule="exact"/>
        <w:rPr>
          <w:sz w:val="20"/>
          <w:szCs w:val="20"/>
          <w:color w:val="auto"/>
        </w:rPr>
      </w:pPr>
    </w:p>
    <w:p>
      <w:pPr>
        <w:ind w:left="4060"/>
        <w:spacing w:after="0"/>
        <w:tabs>
          <w:tab w:leader="none" w:pos="5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BANK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3274695</wp:posOffset>
            </wp:positionH>
            <wp:positionV relativeFrom="paragraph">
              <wp:posOffset>24765</wp:posOffset>
            </wp:positionV>
            <wp:extent cx="32200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00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AAT Second Amended and Restated Credit Agreement</w:t>
      </w:r>
    </w:p>
    <w:p>
      <w:pPr>
        <w:sectPr>
          <w:pgSz w:w="11900" w:h="16838" w:orient="portrait"/>
          <w:cols w:equalWidth="0" w:num="1">
            <w:col w:w="9019"/>
          </w:cols>
          <w:pgMar w:left="1440" w:top="895" w:right="1440" w:bottom="1440" w:gutter="0" w:footer="0" w:header="0"/>
        </w:sectPr>
      </w:pPr>
    </w:p>
    <w:bookmarkStart w:id="140" w:name="page141"/>
    <w:bookmarkEnd w:id="140"/>
    <w:p>
      <w:pPr>
        <w:ind w:left="4060"/>
        <w:spacing w:after="0" w:line="259" w:lineRule="auto"/>
        <w:rPr>
          <w:sz w:val="20"/>
          <w:szCs w:val="20"/>
          <w:color w:val="auto"/>
        </w:rPr>
      </w:pPr>
      <w:r>
        <w:rPr>
          <w:rFonts w:ascii="Arial" w:cs="Arial" w:eastAsia="Arial" w:hAnsi="Arial"/>
          <w:sz w:val="20"/>
          <w:szCs w:val="20"/>
          <w:color w:val="auto"/>
        </w:rPr>
        <w:t>BANK OF AMERICA, N.A., as Lender, an L/C Issuer and a Swing Line Lender</w:t>
      </w:r>
    </w:p>
    <w:p>
      <w:pPr>
        <w:spacing w:after="0" w:line="278" w:lineRule="exact"/>
        <w:rPr>
          <w:sz w:val="20"/>
          <w:szCs w:val="20"/>
          <w:color w:val="auto"/>
        </w:rPr>
      </w:pPr>
    </w:p>
    <w:p>
      <w:pPr>
        <w:ind w:left="4060"/>
        <w:spacing w:after="0"/>
        <w:tabs>
          <w:tab w:leader="none" w:pos="5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BANK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3274695</wp:posOffset>
            </wp:positionH>
            <wp:positionV relativeFrom="paragraph">
              <wp:posOffset>24765</wp:posOffset>
            </wp:positionV>
            <wp:extent cx="32200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00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Signature Page to AAT Second Amended and Restated Credit Agreement</w:t>
      </w:r>
    </w:p>
    <w:p>
      <w:pPr>
        <w:sectPr>
          <w:pgSz w:w="11900" w:h="16838" w:orient="portrait"/>
          <w:cols w:equalWidth="0" w:num="1">
            <w:col w:w="9900"/>
          </w:cols>
          <w:pgMar w:left="1440" w:top="895" w:right="559" w:bottom="1440" w:gutter="0" w:footer="0" w:header="0"/>
        </w:sectPr>
      </w:pPr>
    </w:p>
    <w:bookmarkStart w:id="141" w:name="page142"/>
    <w:bookmarkEnd w:id="141"/>
    <w:p>
      <w:pPr>
        <w:ind w:left="4060"/>
        <w:spacing w:after="0" w:line="259" w:lineRule="auto"/>
        <w:rPr>
          <w:sz w:val="20"/>
          <w:szCs w:val="20"/>
          <w:color w:val="auto"/>
        </w:rPr>
      </w:pPr>
      <w:r>
        <w:rPr>
          <w:rFonts w:ascii="Arial" w:cs="Arial" w:eastAsia="Arial" w:hAnsi="Arial"/>
          <w:sz w:val="20"/>
          <w:szCs w:val="20"/>
          <w:color w:val="auto"/>
        </w:rPr>
        <w:t>WELLS FARGO BANK, NATIONAL ASSOCIATION, as a Lender, an L/C Issuer and a Swing Line Lender</w:t>
      </w:r>
    </w:p>
    <w:p>
      <w:pPr>
        <w:spacing w:after="0" w:line="278" w:lineRule="exact"/>
        <w:rPr>
          <w:sz w:val="20"/>
          <w:szCs w:val="20"/>
          <w:color w:val="auto"/>
        </w:rPr>
      </w:pPr>
    </w:p>
    <w:p>
      <w:pPr>
        <w:ind w:left="4060"/>
        <w:spacing w:after="0"/>
        <w:tabs>
          <w:tab w:leader="none" w:pos="5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WELLS FARGO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3274695</wp:posOffset>
            </wp:positionH>
            <wp:positionV relativeFrom="paragraph">
              <wp:posOffset>24765</wp:posOffset>
            </wp:positionV>
            <wp:extent cx="32200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200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Signature Page to AAT Second Amended and Restated Credit Agreement</w:t>
      </w:r>
    </w:p>
    <w:p>
      <w:pPr>
        <w:sectPr>
          <w:pgSz w:w="11900" w:h="16838" w:orient="portrait"/>
          <w:cols w:equalWidth="0" w:num="1">
            <w:col w:w="10180"/>
          </w:cols>
          <w:pgMar w:left="1440" w:top="895" w:right="279" w:bottom="1440" w:gutter="0" w:footer="0" w:header="0"/>
        </w:sectPr>
      </w:pPr>
    </w:p>
    <w:bookmarkStart w:id="142" w:name="page143"/>
    <w:bookmarkEnd w:id="142"/>
    <w:p>
      <w:pPr>
        <w:ind w:left="4060"/>
        <w:spacing w:after="0" w:line="259" w:lineRule="auto"/>
        <w:rPr>
          <w:sz w:val="20"/>
          <w:szCs w:val="20"/>
          <w:color w:val="auto"/>
        </w:rPr>
      </w:pPr>
      <w:r>
        <w:rPr>
          <w:rFonts w:ascii="Arial" w:cs="Arial" w:eastAsia="Arial" w:hAnsi="Arial"/>
          <w:sz w:val="20"/>
          <w:szCs w:val="20"/>
          <w:color w:val="auto"/>
        </w:rPr>
        <w:t>PNC BANK, NATIONAL ASSOCIATION, as a Lender, an L/C Issuer and a Swing Line Lender</w:t>
      </w:r>
    </w:p>
    <w:p>
      <w:pPr>
        <w:spacing w:after="0" w:line="278" w:lineRule="exact"/>
        <w:rPr>
          <w:sz w:val="20"/>
          <w:szCs w:val="20"/>
          <w:color w:val="auto"/>
        </w:rPr>
      </w:pPr>
    </w:p>
    <w:p>
      <w:pPr>
        <w:ind w:left="4060"/>
        <w:spacing w:after="0"/>
        <w:tabs>
          <w:tab w:leader="none" w:pos="5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PNC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3274695</wp:posOffset>
            </wp:positionH>
            <wp:positionV relativeFrom="paragraph">
              <wp:posOffset>24765</wp:posOffset>
            </wp:positionV>
            <wp:extent cx="32200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200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Signature Page to AAT Second Amended and Restated Credit Agreement</w:t>
      </w:r>
    </w:p>
    <w:p>
      <w:pPr>
        <w:sectPr>
          <w:pgSz w:w="11900" w:h="16838" w:orient="portrait"/>
          <w:cols w:equalWidth="0" w:num="1">
            <w:col w:w="10200"/>
          </w:cols>
          <w:pgMar w:left="1440" w:top="895" w:right="259" w:bottom="1440" w:gutter="0" w:footer="0" w:header="0"/>
        </w:sectPr>
      </w:pPr>
    </w:p>
    <w:bookmarkStart w:id="143" w:name="page144"/>
    <w:bookmarkEnd w:id="143"/>
    <w:p>
      <w:pPr>
        <w:ind w:left="4060"/>
        <w:spacing w:after="0" w:line="259" w:lineRule="auto"/>
        <w:rPr>
          <w:sz w:val="20"/>
          <w:szCs w:val="20"/>
          <w:color w:val="auto"/>
        </w:rPr>
      </w:pPr>
      <w:r>
        <w:rPr>
          <w:rFonts w:ascii="Arial" w:cs="Arial" w:eastAsia="Arial" w:hAnsi="Arial"/>
          <w:sz w:val="20"/>
          <w:szCs w:val="20"/>
          <w:color w:val="auto"/>
        </w:rPr>
        <w:t>U.S. BANK, NATIONAL ASSOCIATION, as a Lender, an L/C Issuer and a Swing Line Lender</w:t>
      </w:r>
    </w:p>
    <w:p>
      <w:pPr>
        <w:spacing w:after="0" w:line="278" w:lineRule="exact"/>
        <w:rPr>
          <w:sz w:val="20"/>
          <w:szCs w:val="20"/>
          <w:color w:val="auto"/>
        </w:rPr>
      </w:pPr>
    </w:p>
    <w:p>
      <w:pPr>
        <w:ind w:left="4060"/>
        <w:spacing w:after="0"/>
        <w:tabs>
          <w:tab w:leader="none" w:pos="5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U.S.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3274695</wp:posOffset>
            </wp:positionH>
            <wp:positionV relativeFrom="paragraph">
              <wp:posOffset>24765</wp:posOffset>
            </wp:positionV>
            <wp:extent cx="32200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200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Signature Page to AAT Second Amended and Restated Credit Agreement</w:t>
      </w:r>
    </w:p>
    <w:p>
      <w:pPr>
        <w:sectPr>
          <w:pgSz w:w="11900" w:h="16838" w:orient="portrait"/>
          <w:cols w:equalWidth="0" w:num="1">
            <w:col w:w="10160"/>
          </w:cols>
          <w:pgMar w:left="1440" w:top="895" w:right="299" w:bottom="1440" w:gutter="0" w:footer="0" w:header="0"/>
        </w:sectPr>
      </w:pPr>
    </w:p>
    <w:bookmarkStart w:id="144" w:name="page145"/>
    <w:bookmarkEnd w:id="144"/>
    <w:p>
      <w:pPr>
        <w:ind w:left="4060"/>
        <w:spacing w:after="0"/>
        <w:rPr>
          <w:sz w:val="20"/>
          <w:szCs w:val="20"/>
          <w:color w:val="auto"/>
        </w:rPr>
      </w:pPr>
      <w:r>
        <w:rPr>
          <w:rFonts w:ascii="Arial" w:cs="Arial" w:eastAsia="Arial" w:hAnsi="Arial"/>
          <w:sz w:val="20"/>
          <w:szCs w:val="20"/>
          <w:color w:val="auto"/>
        </w:rPr>
        <w:t>MORGAN STANLEY BANK, N.A., as a Lender</w:t>
      </w:r>
    </w:p>
    <w:p>
      <w:pPr>
        <w:spacing w:after="0" w:line="320" w:lineRule="exact"/>
        <w:rPr>
          <w:sz w:val="20"/>
          <w:szCs w:val="20"/>
          <w:color w:val="auto"/>
        </w:rPr>
      </w:pPr>
    </w:p>
    <w:p>
      <w:pPr>
        <w:jc w:val="both"/>
        <w:ind w:left="4060"/>
        <w:spacing w:after="0"/>
        <w:tabs>
          <w:tab w:leader="none" w:pos="5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MORGAN STANLEY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3274695</wp:posOffset>
            </wp:positionH>
            <wp:positionV relativeFrom="paragraph">
              <wp:posOffset>24765</wp:posOffset>
            </wp:positionV>
            <wp:extent cx="32200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200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AAT Second Amended and Restated Credit Agreement</w:t>
      </w:r>
    </w:p>
    <w:p>
      <w:pPr>
        <w:sectPr>
          <w:pgSz w:w="11900" w:h="16838" w:orient="portrait"/>
          <w:cols w:equalWidth="0" w:num="1">
            <w:col w:w="9019"/>
          </w:cols>
          <w:pgMar w:left="1440" w:top="895" w:right="1440" w:bottom="1440" w:gutter="0" w:footer="0" w:header="0"/>
        </w:sectPr>
      </w:pPr>
    </w:p>
    <w:bookmarkStart w:id="145" w:name="page146"/>
    <w:bookmarkEnd w:id="145"/>
    <w:p>
      <w:pPr>
        <w:ind w:left="4060"/>
        <w:spacing w:after="0"/>
        <w:rPr>
          <w:sz w:val="20"/>
          <w:szCs w:val="20"/>
          <w:color w:val="auto"/>
        </w:rPr>
      </w:pPr>
      <w:r>
        <w:rPr>
          <w:rFonts w:ascii="Arial" w:cs="Arial" w:eastAsia="Arial" w:hAnsi="Arial"/>
          <w:sz w:val="20"/>
          <w:szCs w:val="20"/>
          <w:color w:val="auto"/>
        </w:rPr>
        <w:t>ROYAL BANK OF CANADA, as a Lender</w:t>
      </w:r>
    </w:p>
    <w:p>
      <w:pPr>
        <w:spacing w:after="0" w:line="320" w:lineRule="exact"/>
        <w:rPr>
          <w:sz w:val="20"/>
          <w:szCs w:val="20"/>
          <w:color w:val="auto"/>
        </w:rPr>
      </w:pPr>
    </w:p>
    <w:p>
      <w:pPr>
        <w:jc w:val="both"/>
        <w:ind w:left="4060"/>
        <w:spacing w:after="0"/>
        <w:tabs>
          <w:tab w:leader="none" w:pos="5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ROYAL BANK OF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3274695</wp:posOffset>
            </wp:positionH>
            <wp:positionV relativeFrom="paragraph">
              <wp:posOffset>24765</wp:posOffset>
            </wp:positionV>
            <wp:extent cx="32200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200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AAT Second Amended and Restated Credit Agreement</w:t>
      </w:r>
    </w:p>
    <w:p>
      <w:pPr>
        <w:sectPr>
          <w:pgSz w:w="11900" w:h="16838" w:orient="portrait"/>
          <w:cols w:equalWidth="0" w:num="1">
            <w:col w:w="9019"/>
          </w:cols>
          <w:pgMar w:left="1440" w:top="895" w:right="1440" w:bottom="1440" w:gutter="0" w:footer="0" w:header="0"/>
        </w:sectPr>
      </w:pPr>
    </w:p>
    <w:bookmarkStart w:id="146" w:name="page147"/>
    <w:bookmarkEnd w:id="146"/>
    <w:p>
      <w:pPr>
        <w:ind w:left="4060"/>
        <w:spacing w:after="0"/>
        <w:rPr>
          <w:sz w:val="20"/>
          <w:szCs w:val="20"/>
          <w:color w:val="auto"/>
        </w:rPr>
      </w:pPr>
      <w:r>
        <w:rPr>
          <w:rFonts w:ascii="Arial" w:cs="Arial" w:eastAsia="Arial" w:hAnsi="Arial"/>
          <w:sz w:val="20"/>
          <w:szCs w:val="20"/>
          <w:color w:val="auto"/>
        </w:rPr>
        <w:t>MIZUHO BANK, LTD., as a Lender</w:t>
      </w:r>
    </w:p>
    <w:p>
      <w:pPr>
        <w:spacing w:after="0" w:line="320" w:lineRule="exact"/>
        <w:rPr>
          <w:sz w:val="20"/>
          <w:szCs w:val="20"/>
          <w:color w:val="auto"/>
        </w:rPr>
      </w:pPr>
    </w:p>
    <w:p>
      <w:pPr>
        <w:jc w:val="both"/>
        <w:ind w:left="4060"/>
        <w:spacing w:after="0"/>
        <w:tabs>
          <w:tab w:leader="none" w:pos="5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MIZUHO BANK,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3274695</wp:posOffset>
            </wp:positionH>
            <wp:positionV relativeFrom="paragraph">
              <wp:posOffset>24765</wp:posOffset>
            </wp:positionV>
            <wp:extent cx="322008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200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AAT Second Amended and Restated Credit Agreement</w:t>
      </w:r>
    </w:p>
    <w:p>
      <w:pPr>
        <w:sectPr>
          <w:pgSz w:w="11900" w:h="16838" w:orient="portrait"/>
          <w:cols w:equalWidth="0" w:num="1">
            <w:col w:w="9019"/>
          </w:cols>
          <w:pgMar w:left="1440" w:top="895" w:right="1440" w:bottom="1440" w:gutter="0" w:footer="0" w:header="0"/>
        </w:sectPr>
      </w:pPr>
    </w:p>
    <w:bookmarkStart w:id="147" w:name="page148"/>
    <w:bookmarkEnd w:id="147"/>
    <w:p>
      <w:pPr>
        <w:ind w:left="4060"/>
        <w:spacing w:after="0"/>
        <w:rPr>
          <w:sz w:val="20"/>
          <w:szCs w:val="20"/>
          <w:color w:val="auto"/>
        </w:rPr>
      </w:pPr>
      <w:r>
        <w:rPr>
          <w:rFonts w:ascii="Arial" w:cs="Arial" w:eastAsia="Arial" w:hAnsi="Arial"/>
          <w:sz w:val="20"/>
          <w:szCs w:val="20"/>
          <w:color w:val="auto"/>
        </w:rPr>
        <w:t>FIRST HAWAIIAN BANK, as a Lender</w:t>
      </w:r>
    </w:p>
    <w:p>
      <w:pPr>
        <w:spacing w:after="0" w:line="320" w:lineRule="exact"/>
        <w:rPr>
          <w:sz w:val="20"/>
          <w:szCs w:val="20"/>
          <w:color w:val="auto"/>
        </w:rPr>
      </w:pPr>
    </w:p>
    <w:p>
      <w:pPr>
        <w:jc w:val="both"/>
        <w:ind w:left="4060"/>
        <w:spacing w:after="0"/>
        <w:tabs>
          <w:tab w:leader="none" w:pos="5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FIRST HAWAIIAN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3274695</wp:posOffset>
            </wp:positionH>
            <wp:positionV relativeFrom="paragraph">
              <wp:posOffset>24765</wp:posOffset>
            </wp:positionV>
            <wp:extent cx="322008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200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AAT Second Amended and Restated Credit Agreement</w:t>
      </w:r>
    </w:p>
    <w:p>
      <w:pPr>
        <w:sectPr>
          <w:pgSz w:w="11900" w:h="16838" w:orient="portrait"/>
          <w:cols w:equalWidth="0" w:num="1">
            <w:col w:w="9019"/>
          </w:cols>
          <w:pgMar w:left="1440" w:top="895" w:right="1440"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i w:val="1"/>
          <w:iCs w:val="1"/>
          <w:color w:val="auto"/>
        </w:rPr>
        <w:t>SCHEDULE I</w:t>
      </w:r>
    </w:p>
    <w:p>
      <w:pPr>
        <w:spacing w:after="0" w:line="164"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RESERVED</w:t>
      </w:r>
    </w:p>
    <w:p>
      <w:pPr>
        <w:sectPr>
          <w:pgSz w:w="11900" w:h="16838" w:orient="portrait"/>
          <w:cols w:equalWidth="0" w:num="1">
            <w:col w:w="10220"/>
          </w:cols>
          <w:pgMar w:left="1440" w:top="747"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i w:val="1"/>
          <w:iCs w:val="1"/>
          <w:color w:val="auto"/>
        </w:rPr>
        <w:t>SCHEDULE II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EXCEPTIONS TO RECOURSE LIABILITY</w:t>
      </w:r>
    </w:p>
    <w:p>
      <w:pPr>
        <w:spacing w:after="0" w:line="200" w:lineRule="exact"/>
        <w:rPr>
          <w:sz w:val="20"/>
          <w:szCs w:val="20"/>
          <w:color w:val="auto"/>
        </w:rPr>
      </w:pPr>
    </w:p>
    <w:p>
      <w:pPr>
        <w:spacing w:after="0" w:line="271" w:lineRule="exact"/>
        <w:rPr>
          <w:sz w:val="20"/>
          <w:szCs w:val="20"/>
          <w:color w:val="auto"/>
        </w:rPr>
      </w:pPr>
    </w:p>
    <w:p>
      <w:pPr>
        <w:jc w:val="both"/>
        <w:ind w:firstLine="599"/>
        <w:spacing w:after="0" w:line="290" w:lineRule="auto"/>
        <w:tabs>
          <w:tab w:leader="none" w:pos="1324" w:val="left"/>
        </w:tabs>
        <w:numPr>
          <w:ilvl w:val="0"/>
          <w:numId w:val="182"/>
        </w:numPr>
        <w:rPr>
          <w:rFonts w:ascii="Arial" w:cs="Arial" w:eastAsia="Arial" w:hAnsi="Arial"/>
          <w:sz w:val="17"/>
          <w:szCs w:val="17"/>
          <w:color w:val="auto"/>
        </w:rPr>
      </w:pPr>
      <w:r>
        <w:rPr>
          <w:rFonts w:ascii="Arial" w:cs="Arial" w:eastAsia="Arial" w:hAnsi="Arial"/>
          <w:sz w:val="18"/>
          <w:szCs w:val="18"/>
          <w:color w:val="auto"/>
        </w:rPr>
        <w:t>The Indemnification Agreement, dated as of January 19, 2011, by American Assets Trust, L.P., a Maryland limited partnership, to and for the benefit of John Hancock Life Insurance Company (U.S.A.), a Michigan corporation and the successor by merger to John Hancock Life Insurance Company, a Massachusetts corporation. (TRNC)</w:t>
      </w:r>
    </w:p>
    <w:p>
      <w:pPr>
        <w:spacing w:after="0" w:line="173" w:lineRule="exact"/>
        <w:rPr>
          <w:rFonts w:ascii="Arial" w:cs="Arial" w:eastAsia="Arial" w:hAnsi="Arial"/>
          <w:sz w:val="17"/>
          <w:szCs w:val="17"/>
          <w:color w:val="auto"/>
        </w:rPr>
      </w:pPr>
    </w:p>
    <w:p>
      <w:pPr>
        <w:jc w:val="both"/>
        <w:ind w:firstLine="599"/>
        <w:spacing w:after="0" w:line="290" w:lineRule="auto"/>
        <w:tabs>
          <w:tab w:leader="none" w:pos="1324" w:val="left"/>
        </w:tabs>
        <w:numPr>
          <w:ilvl w:val="0"/>
          <w:numId w:val="182"/>
        </w:numPr>
        <w:rPr>
          <w:rFonts w:ascii="Arial" w:cs="Arial" w:eastAsia="Arial" w:hAnsi="Arial"/>
          <w:sz w:val="17"/>
          <w:szCs w:val="17"/>
          <w:color w:val="auto"/>
        </w:rPr>
      </w:pPr>
      <w:r>
        <w:rPr>
          <w:rFonts w:ascii="Arial" w:cs="Arial" w:eastAsia="Arial" w:hAnsi="Arial"/>
          <w:sz w:val="18"/>
          <w:szCs w:val="18"/>
          <w:color w:val="auto"/>
        </w:rPr>
        <w:t>The Indemnity Agreement, dated as of March 29, 2012 by AAT One Beach, LLC, a Delaware limited liability company, and American Assets Trust, L.P., a Maryland limited partnership, in favor of PNC BANK, NATIONAL ASSOCIATION, a national banking c/o Midland Loan Services, Inc., Reference Loan Number 940960219. (One Beach)</w:t>
      </w:r>
    </w:p>
    <w:p>
      <w:pPr>
        <w:spacing w:after="0" w:line="173" w:lineRule="exact"/>
        <w:rPr>
          <w:rFonts w:ascii="Arial" w:cs="Arial" w:eastAsia="Arial" w:hAnsi="Arial"/>
          <w:sz w:val="17"/>
          <w:szCs w:val="17"/>
          <w:color w:val="auto"/>
        </w:rPr>
      </w:pPr>
    </w:p>
    <w:p>
      <w:pPr>
        <w:jc w:val="both"/>
        <w:ind w:firstLine="599"/>
        <w:spacing w:after="0" w:line="290" w:lineRule="auto"/>
        <w:tabs>
          <w:tab w:leader="none" w:pos="1324" w:val="left"/>
        </w:tabs>
        <w:numPr>
          <w:ilvl w:val="0"/>
          <w:numId w:val="182"/>
        </w:numPr>
        <w:rPr>
          <w:rFonts w:ascii="Arial" w:cs="Arial" w:eastAsia="Arial" w:hAnsi="Arial"/>
          <w:sz w:val="17"/>
          <w:szCs w:val="17"/>
          <w:color w:val="auto"/>
        </w:rPr>
      </w:pPr>
      <w:r>
        <w:rPr>
          <w:rFonts w:ascii="Arial" w:cs="Arial" w:eastAsia="Arial" w:hAnsi="Arial"/>
          <w:sz w:val="18"/>
          <w:szCs w:val="18"/>
          <w:color w:val="auto"/>
        </w:rPr>
        <w:t>The Indemnity Agreement, dated as of October 10, 2012 by AAT CC Bellevue, LLC, a Delaware limited liability company, and American Assets Trust, L.P., a Maryland limited partnership, in favor of PNC BANK, NATIONAL ASSOCIATION, a national banking association c/o Midland Loan Services, Inc., Reference Loan Number 940960335. (CCB)</w:t>
      </w:r>
    </w:p>
    <w:p>
      <w:pPr>
        <w:spacing w:after="0" w:line="173" w:lineRule="exact"/>
        <w:rPr>
          <w:rFonts w:ascii="Arial" w:cs="Arial" w:eastAsia="Arial" w:hAnsi="Arial"/>
          <w:sz w:val="17"/>
          <w:szCs w:val="17"/>
          <w:color w:val="auto"/>
        </w:rPr>
      </w:pPr>
    </w:p>
    <w:p>
      <w:pPr>
        <w:jc w:val="both"/>
        <w:ind w:firstLine="599"/>
        <w:spacing w:after="0" w:line="290" w:lineRule="auto"/>
        <w:tabs>
          <w:tab w:leader="none" w:pos="1324" w:val="left"/>
        </w:tabs>
        <w:numPr>
          <w:ilvl w:val="0"/>
          <w:numId w:val="182"/>
        </w:numPr>
        <w:rPr>
          <w:rFonts w:ascii="Arial" w:cs="Arial" w:eastAsia="Arial" w:hAnsi="Arial"/>
          <w:sz w:val="17"/>
          <w:szCs w:val="17"/>
          <w:color w:val="auto"/>
        </w:rPr>
      </w:pPr>
      <w:r>
        <w:rPr>
          <w:rFonts w:ascii="Arial" w:cs="Arial" w:eastAsia="Arial" w:hAnsi="Arial"/>
          <w:sz w:val="18"/>
          <w:szCs w:val="18"/>
          <w:color w:val="auto"/>
        </w:rPr>
        <w:t>The Guaranty Agreement, dated as of January 19, 2011, by American Assets Trust, L.P., a Maryland limited partnership, in favor of the Partnership and John Hancock Life Insurance Company (U.S.A.), a Michigan corporation and the successor by merger to John Hancock Life Insurance Company, a Massachusetts corporation. (TRNC)</w:t>
      </w:r>
    </w:p>
    <w:p>
      <w:pPr>
        <w:spacing w:after="0" w:line="173" w:lineRule="exact"/>
        <w:rPr>
          <w:rFonts w:ascii="Arial" w:cs="Arial" w:eastAsia="Arial" w:hAnsi="Arial"/>
          <w:sz w:val="17"/>
          <w:szCs w:val="17"/>
          <w:color w:val="auto"/>
        </w:rPr>
      </w:pPr>
    </w:p>
    <w:p>
      <w:pPr>
        <w:jc w:val="both"/>
        <w:ind w:firstLine="599"/>
        <w:spacing w:after="0" w:line="290" w:lineRule="auto"/>
        <w:tabs>
          <w:tab w:leader="none" w:pos="1324" w:val="left"/>
        </w:tabs>
        <w:numPr>
          <w:ilvl w:val="0"/>
          <w:numId w:val="182"/>
        </w:numPr>
        <w:rPr>
          <w:rFonts w:ascii="Arial" w:cs="Arial" w:eastAsia="Arial" w:hAnsi="Arial"/>
          <w:sz w:val="17"/>
          <w:szCs w:val="17"/>
          <w:color w:val="auto"/>
        </w:rPr>
      </w:pPr>
      <w:r>
        <w:rPr>
          <w:rFonts w:ascii="Arial" w:cs="Arial" w:eastAsia="Arial" w:hAnsi="Arial"/>
          <w:sz w:val="18"/>
          <w:szCs w:val="18"/>
          <w:color w:val="auto"/>
        </w:rPr>
        <w:t>The Guaranty of Recourse Obligations, dated as of January 19, 2011, by American Assets Trust, L.P., a Maryland limited partnership, for the benefit of U.S. Bank National Association, as Trustee for the registered holders of COMM 2010-C1 Mortgage Trust, COMM 2010-C1 Commercial Mortgage Pass-Through Certificates. (SBCC I-II)</w:t>
      </w:r>
    </w:p>
    <w:p>
      <w:pPr>
        <w:spacing w:after="0" w:line="173" w:lineRule="exact"/>
        <w:rPr>
          <w:rFonts w:ascii="Arial" w:cs="Arial" w:eastAsia="Arial" w:hAnsi="Arial"/>
          <w:sz w:val="17"/>
          <w:szCs w:val="17"/>
          <w:color w:val="auto"/>
        </w:rPr>
      </w:pPr>
    </w:p>
    <w:p>
      <w:pPr>
        <w:jc w:val="both"/>
        <w:ind w:firstLine="599"/>
        <w:spacing w:after="0" w:line="285" w:lineRule="auto"/>
        <w:tabs>
          <w:tab w:leader="none" w:pos="1324" w:val="left"/>
        </w:tabs>
        <w:numPr>
          <w:ilvl w:val="0"/>
          <w:numId w:val="182"/>
        </w:numPr>
        <w:rPr>
          <w:rFonts w:ascii="Arial" w:cs="Arial" w:eastAsia="Arial" w:hAnsi="Arial"/>
          <w:sz w:val="17"/>
          <w:szCs w:val="17"/>
          <w:color w:val="auto"/>
        </w:rPr>
      </w:pPr>
      <w:r>
        <w:rPr>
          <w:rFonts w:ascii="Arial" w:cs="Arial" w:eastAsia="Arial" w:hAnsi="Arial"/>
          <w:sz w:val="18"/>
          <w:szCs w:val="18"/>
          <w:color w:val="auto"/>
        </w:rPr>
        <w:t>The Environmental Indemnity Agreement, dated as of January 19, 2011, by SBCC Holdings, LLC, a Delaware limited liability company, and American Assets Trust, L.P., a Maryland limited partnership in favor of the U.S. Bank National Association, as Trustee for the registered holders of COMM 2010-C1 Mortgage Trust, COMM 2010-C1 Commercial Mortgage Pass-Through Certificates and the other indemnified parties named therein. (SBCC I-II)</w:t>
      </w:r>
    </w:p>
    <w:p>
      <w:pPr>
        <w:spacing w:after="0" w:line="178" w:lineRule="exact"/>
        <w:rPr>
          <w:rFonts w:ascii="Arial" w:cs="Arial" w:eastAsia="Arial" w:hAnsi="Arial"/>
          <w:sz w:val="17"/>
          <w:szCs w:val="17"/>
          <w:color w:val="auto"/>
        </w:rPr>
      </w:pPr>
    </w:p>
    <w:p>
      <w:pPr>
        <w:jc w:val="both"/>
        <w:ind w:firstLine="599"/>
        <w:spacing w:after="0" w:line="290" w:lineRule="auto"/>
        <w:tabs>
          <w:tab w:leader="none" w:pos="1324" w:val="left"/>
        </w:tabs>
        <w:numPr>
          <w:ilvl w:val="0"/>
          <w:numId w:val="182"/>
        </w:numPr>
        <w:rPr>
          <w:rFonts w:ascii="Arial" w:cs="Arial" w:eastAsia="Arial" w:hAnsi="Arial"/>
          <w:sz w:val="17"/>
          <w:szCs w:val="17"/>
          <w:color w:val="auto"/>
        </w:rPr>
      </w:pPr>
      <w:r>
        <w:rPr>
          <w:rFonts w:ascii="Arial" w:cs="Arial" w:eastAsia="Arial" w:hAnsi="Arial"/>
          <w:sz w:val="18"/>
          <w:szCs w:val="18"/>
          <w:color w:val="auto"/>
        </w:rPr>
        <w:t>The Guaranty of Recourse Obligations, dated as of January 19, 2011, by American Assets Trust, L.P., a Maryland limited partnership, for the benefit of U.S. Bank National Association, as Trustee for the registered holders of COMM 2010-C1 Mortgage Trust, COMM 2010-C1 Commercial Mortgage Pass-Through Certificates. (SBTC)</w:t>
      </w:r>
    </w:p>
    <w:p>
      <w:pPr>
        <w:spacing w:after="0" w:line="173" w:lineRule="exact"/>
        <w:rPr>
          <w:rFonts w:ascii="Arial" w:cs="Arial" w:eastAsia="Arial" w:hAnsi="Arial"/>
          <w:sz w:val="17"/>
          <w:szCs w:val="17"/>
          <w:color w:val="auto"/>
        </w:rPr>
      </w:pPr>
    </w:p>
    <w:p>
      <w:pPr>
        <w:jc w:val="both"/>
        <w:ind w:firstLine="599"/>
        <w:spacing w:after="0" w:line="285" w:lineRule="auto"/>
        <w:tabs>
          <w:tab w:leader="none" w:pos="133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Environmental Indemnity Agreement, dated as of January 19, 2011, by SBTC Holdings, LLC, a Delaware limited liability company, and American Assets Trust, L.P., a Maryland limited partnership, in favor of the U.S. Bank National Association, as Trustee for the registered holders of COMM 2010-C1 Mortgage Trust, COMM 2010-C1 Commercial Mortgage Pass-Through Certificates and the other indemnified parties named therein. (SBTC)</w:t>
      </w:r>
    </w:p>
    <w:p>
      <w:pPr>
        <w:spacing w:after="0" w:line="178" w:lineRule="exact"/>
        <w:rPr>
          <w:rFonts w:ascii="Arial" w:cs="Arial" w:eastAsia="Arial" w:hAnsi="Arial"/>
          <w:sz w:val="18"/>
          <w:szCs w:val="18"/>
          <w:color w:val="auto"/>
        </w:rPr>
      </w:pPr>
    </w:p>
    <w:p>
      <w:pPr>
        <w:jc w:val="both"/>
        <w:ind w:firstLine="599"/>
        <w:spacing w:after="0" w:line="290" w:lineRule="auto"/>
        <w:tabs>
          <w:tab w:leader="none" w:pos="1324" w:val="left"/>
        </w:tabs>
        <w:numPr>
          <w:ilvl w:val="0"/>
          <w:numId w:val="182"/>
        </w:numPr>
        <w:rPr>
          <w:rFonts w:ascii="Arial" w:cs="Arial" w:eastAsia="Arial" w:hAnsi="Arial"/>
          <w:sz w:val="17"/>
          <w:szCs w:val="17"/>
          <w:color w:val="auto"/>
        </w:rPr>
      </w:pPr>
      <w:r>
        <w:rPr>
          <w:rFonts w:ascii="Arial" w:cs="Arial" w:eastAsia="Arial" w:hAnsi="Arial"/>
          <w:sz w:val="18"/>
          <w:szCs w:val="18"/>
          <w:color w:val="auto"/>
        </w:rPr>
        <w:t>The Guaranty of Recourse Obligations, dated as of January 19, 2011, by American Assets Trust, L.P., a Maryland limited partnership, for the benefit of U.S. Bank National Association, as Trustee for the registered holders of COMM 2010-C1 Mortgage Trust, COMM 2010-C1 Commercial Mortgage Pass-Through Certificates. (TRVC)</w:t>
      </w:r>
    </w:p>
    <w:p>
      <w:pPr>
        <w:spacing w:after="0" w:line="173" w:lineRule="exact"/>
        <w:rPr>
          <w:rFonts w:ascii="Arial" w:cs="Arial" w:eastAsia="Arial" w:hAnsi="Arial"/>
          <w:sz w:val="17"/>
          <w:szCs w:val="17"/>
          <w:color w:val="auto"/>
        </w:rPr>
      </w:pPr>
    </w:p>
    <w:p>
      <w:pPr>
        <w:jc w:val="both"/>
        <w:ind w:firstLine="599"/>
        <w:spacing w:after="0" w:line="290" w:lineRule="auto"/>
        <w:tabs>
          <w:tab w:leader="none" w:pos="1407" w:val="left"/>
        </w:tabs>
        <w:numPr>
          <w:ilvl w:val="0"/>
          <w:numId w:val="182"/>
        </w:numPr>
        <w:rPr>
          <w:rFonts w:ascii="Arial" w:cs="Arial" w:eastAsia="Arial" w:hAnsi="Arial"/>
          <w:sz w:val="17"/>
          <w:szCs w:val="17"/>
          <w:color w:val="auto"/>
        </w:rPr>
      </w:pPr>
      <w:r>
        <w:rPr>
          <w:rFonts w:ascii="Arial" w:cs="Arial" w:eastAsia="Arial" w:hAnsi="Arial"/>
          <w:sz w:val="18"/>
          <w:szCs w:val="18"/>
          <w:color w:val="auto"/>
        </w:rPr>
        <w:t>The Environmental Indemnity Agreement, dated as of January 19, 2011, by Pacific VC Holdings, LLC, a Delaware limited liability company, and American Assets Trust, L.P., a Maryland limited partnership, in favor of the U.S. Bank National Association, as Trustee for the registered holders of COMM 2010-C1 Mortgage Trust,</w:t>
      </w:r>
    </w:p>
    <w:p>
      <w:pPr>
        <w:sectPr>
          <w:pgSz w:w="11900" w:h="16838" w:orient="portrait"/>
          <w:cols w:equalWidth="0" w:num="1">
            <w:col w:w="11420"/>
          </w:cols>
          <w:pgMar w:left="240" w:top="610"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t>COMM 2010-C1 Commercial Mortgage Pass-Through Certificates and the other indemnified parties named therein. (TRVC)</w:t>
      </w:r>
    </w:p>
    <w:p>
      <w:pPr>
        <w:spacing w:after="0" w:line="243" w:lineRule="exact"/>
        <w:rPr>
          <w:sz w:val="20"/>
          <w:szCs w:val="20"/>
          <w:color w:val="auto"/>
        </w:rPr>
      </w:pPr>
    </w:p>
    <w:p>
      <w:pPr>
        <w:jc w:val="both"/>
        <w:ind w:firstLine="599"/>
        <w:spacing w:after="0" w:line="290" w:lineRule="auto"/>
        <w:tabs>
          <w:tab w:leader="none" w:pos="1401" w:val="left"/>
        </w:tabs>
        <w:numPr>
          <w:ilvl w:val="0"/>
          <w:numId w:val="183"/>
        </w:numPr>
        <w:rPr>
          <w:rFonts w:ascii="Arial" w:cs="Arial" w:eastAsia="Arial" w:hAnsi="Arial"/>
          <w:sz w:val="17"/>
          <w:szCs w:val="17"/>
          <w:color w:val="auto"/>
        </w:rPr>
      </w:pPr>
      <w:r>
        <w:rPr>
          <w:rFonts w:ascii="Arial" w:cs="Arial" w:eastAsia="Arial" w:hAnsi="Arial"/>
          <w:sz w:val="18"/>
          <w:szCs w:val="18"/>
          <w:color w:val="auto"/>
        </w:rPr>
        <w:t>The Environmental Indemnity Agreement, dated as of March 29, 2012 by AAT One Beach, LLC, a Delaware limited liability company, and American Assets Trust, L.P., a Maryland limited partnership, in favor of PNC BANK, NATIONAL ASSOCIATION, a national banking association c/o Midland Loan Services, Inc., Reference Loan Number 940960219. (One Beach)</w:t>
      </w:r>
    </w:p>
    <w:p>
      <w:pPr>
        <w:spacing w:after="0" w:line="173" w:lineRule="exact"/>
        <w:rPr>
          <w:rFonts w:ascii="Arial" w:cs="Arial" w:eastAsia="Arial" w:hAnsi="Arial"/>
          <w:sz w:val="17"/>
          <w:szCs w:val="17"/>
          <w:color w:val="auto"/>
        </w:rPr>
      </w:pPr>
    </w:p>
    <w:p>
      <w:pPr>
        <w:jc w:val="both"/>
        <w:ind w:firstLine="599"/>
        <w:spacing w:after="0" w:line="290" w:lineRule="auto"/>
        <w:tabs>
          <w:tab w:leader="none" w:pos="1407" w:val="left"/>
        </w:tabs>
        <w:numPr>
          <w:ilvl w:val="0"/>
          <w:numId w:val="183"/>
        </w:numPr>
        <w:rPr>
          <w:rFonts w:ascii="Arial" w:cs="Arial" w:eastAsia="Arial" w:hAnsi="Arial"/>
          <w:sz w:val="17"/>
          <w:szCs w:val="17"/>
          <w:color w:val="auto"/>
        </w:rPr>
      </w:pPr>
      <w:r>
        <w:rPr>
          <w:rFonts w:ascii="Arial" w:cs="Arial" w:eastAsia="Arial" w:hAnsi="Arial"/>
          <w:sz w:val="18"/>
          <w:szCs w:val="18"/>
          <w:color w:val="auto"/>
        </w:rPr>
        <w:t>The Environmental Indemnity Agreement, dated as of October 10, 2012 by AAT CC Bellevue, LLC, a Delaware limited liability company, and American Assets Trust, L.P., a Maryland limited partnership, in favor of PNC BANK, NATIONAL ASSOCIATION, a national banking association c/o Midland Loan Services, Inc., Reference Loan Number 940960335. (CCB)</w:t>
      </w:r>
    </w:p>
    <w:p>
      <w:pPr>
        <w:spacing w:after="0" w:line="173" w:lineRule="exact"/>
        <w:rPr>
          <w:rFonts w:ascii="Arial" w:cs="Arial" w:eastAsia="Arial" w:hAnsi="Arial"/>
          <w:sz w:val="17"/>
          <w:szCs w:val="17"/>
          <w:color w:val="auto"/>
        </w:rPr>
      </w:pPr>
    </w:p>
    <w:p>
      <w:pPr>
        <w:ind w:firstLine="599"/>
        <w:spacing w:after="0" w:line="305" w:lineRule="auto"/>
        <w:tabs>
          <w:tab w:leader="none" w:pos="1407" w:val="left"/>
        </w:tabs>
        <w:numPr>
          <w:ilvl w:val="0"/>
          <w:numId w:val="183"/>
        </w:numPr>
        <w:rPr>
          <w:rFonts w:ascii="Arial" w:cs="Arial" w:eastAsia="Arial" w:hAnsi="Arial"/>
          <w:sz w:val="17"/>
          <w:szCs w:val="17"/>
          <w:color w:val="auto"/>
        </w:rPr>
      </w:pPr>
      <w:r>
        <w:rPr>
          <w:rFonts w:ascii="Arial" w:cs="Arial" w:eastAsia="Arial" w:hAnsi="Arial"/>
          <w:sz w:val="18"/>
          <w:szCs w:val="18"/>
          <w:color w:val="auto"/>
        </w:rPr>
        <w:t>The Guaranty, dated as of January 19, 2011, by American Assets Trust, L.P., a Maryland limited partnership, for the benefit of the Federal Home Loan Mortgage Corporation. (LP)</w:t>
      </w:r>
    </w:p>
    <w:p>
      <w:pPr>
        <w:sectPr>
          <w:pgSz w:w="11900" w:h="16838" w:orient="portrait"/>
          <w:cols w:equalWidth="0" w:num="1">
            <w:col w:w="11420"/>
          </w:cols>
          <w:pgMar w:left="240" w:top="560"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i w:val="1"/>
          <w:iCs w:val="1"/>
          <w:color w:val="auto"/>
        </w:rPr>
        <w:t>SCHEDULE III</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INITIAL UNENCUMBERED ELIGIBLE PROPERTIES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Retail:</w:t>
      </w:r>
    </w:p>
    <w:p>
      <w:pPr>
        <w:spacing w:after="0" w:line="168" w:lineRule="exact"/>
        <w:rPr>
          <w:sz w:val="20"/>
          <w:szCs w:val="20"/>
          <w:color w:val="auto"/>
        </w:rPr>
      </w:pPr>
    </w:p>
    <w:p>
      <w:pPr>
        <w:ind w:left="600" w:hanging="300"/>
        <w:spacing w:after="0"/>
        <w:tabs>
          <w:tab w:leader="none" w:pos="600" w:val="left"/>
        </w:tabs>
        <w:numPr>
          <w:ilvl w:val="0"/>
          <w:numId w:val="184"/>
        </w:numPr>
        <w:rPr>
          <w:rFonts w:ascii="Arial" w:cs="Arial" w:eastAsia="Arial" w:hAnsi="Arial"/>
          <w:sz w:val="17"/>
          <w:szCs w:val="17"/>
          <w:color w:val="auto"/>
        </w:rPr>
      </w:pPr>
      <w:r>
        <w:rPr>
          <w:rFonts w:ascii="Arial" w:cs="Arial" w:eastAsia="Arial" w:hAnsi="Arial"/>
          <w:sz w:val="18"/>
          <w:szCs w:val="18"/>
          <w:color w:val="auto"/>
        </w:rPr>
        <w:t>Carmel Country Plaza</w:t>
      </w:r>
    </w:p>
    <w:p>
      <w:pPr>
        <w:spacing w:after="0" w:line="21" w:lineRule="exact"/>
        <w:rPr>
          <w:rFonts w:ascii="Arial" w:cs="Arial" w:eastAsia="Arial" w:hAnsi="Arial"/>
          <w:sz w:val="17"/>
          <w:szCs w:val="17"/>
          <w:color w:val="auto"/>
        </w:rPr>
      </w:pPr>
    </w:p>
    <w:p>
      <w:pPr>
        <w:ind w:left="600" w:hanging="300"/>
        <w:spacing w:after="0"/>
        <w:tabs>
          <w:tab w:leader="none" w:pos="600" w:val="left"/>
        </w:tabs>
        <w:numPr>
          <w:ilvl w:val="0"/>
          <w:numId w:val="184"/>
        </w:numPr>
        <w:rPr>
          <w:rFonts w:ascii="Arial" w:cs="Arial" w:eastAsia="Arial" w:hAnsi="Arial"/>
          <w:sz w:val="17"/>
          <w:szCs w:val="17"/>
          <w:color w:val="auto"/>
        </w:rPr>
      </w:pPr>
      <w:r>
        <w:rPr>
          <w:rFonts w:ascii="Arial" w:cs="Arial" w:eastAsia="Arial" w:hAnsi="Arial"/>
          <w:sz w:val="18"/>
          <w:szCs w:val="18"/>
          <w:color w:val="auto"/>
        </w:rPr>
        <w:t>Carmel Mountain Plaza</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184"/>
        </w:numPr>
        <w:rPr>
          <w:rFonts w:ascii="Arial" w:cs="Arial" w:eastAsia="Arial" w:hAnsi="Arial"/>
          <w:sz w:val="17"/>
          <w:szCs w:val="17"/>
          <w:color w:val="auto"/>
        </w:rPr>
      </w:pPr>
      <w:r>
        <w:rPr>
          <w:rFonts w:ascii="Arial" w:cs="Arial" w:eastAsia="Arial" w:hAnsi="Arial"/>
          <w:sz w:val="18"/>
          <w:szCs w:val="18"/>
          <w:color w:val="auto"/>
        </w:rPr>
        <w:t>Lomas Santa Fe Plaza</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184"/>
        </w:numPr>
        <w:rPr>
          <w:rFonts w:ascii="Arial" w:cs="Arial" w:eastAsia="Arial" w:hAnsi="Arial"/>
          <w:sz w:val="17"/>
          <w:szCs w:val="17"/>
          <w:color w:val="auto"/>
        </w:rPr>
      </w:pPr>
      <w:r>
        <w:rPr>
          <w:rFonts w:ascii="Arial" w:cs="Arial" w:eastAsia="Arial" w:hAnsi="Arial"/>
          <w:sz w:val="18"/>
          <w:szCs w:val="18"/>
          <w:color w:val="auto"/>
        </w:rPr>
        <w:t>Alamo Quarry Market</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184"/>
        </w:numPr>
        <w:rPr>
          <w:rFonts w:ascii="Arial" w:cs="Arial" w:eastAsia="Arial" w:hAnsi="Arial"/>
          <w:sz w:val="17"/>
          <w:szCs w:val="17"/>
          <w:color w:val="auto"/>
        </w:rPr>
      </w:pPr>
      <w:r>
        <w:rPr>
          <w:rFonts w:ascii="Arial" w:cs="Arial" w:eastAsia="Arial" w:hAnsi="Arial"/>
          <w:sz w:val="18"/>
          <w:szCs w:val="18"/>
          <w:color w:val="auto"/>
        </w:rPr>
        <w:t>Geary Marketplace</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184"/>
        </w:numPr>
        <w:rPr>
          <w:rFonts w:ascii="Arial" w:cs="Arial" w:eastAsia="Arial" w:hAnsi="Arial"/>
          <w:sz w:val="17"/>
          <w:szCs w:val="17"/>
          <w:color w:val="auto"/>
        </w:rPr>
      </w:pPr>
      <w:r>
        <w:rPr>
          <w:rFonts w:ascii="Arial" w:cs="Arial" w:eastAsia="Arial" w:hAnsi="Arial"/>
          <w:sz w:val="18"/>
          <w:szCs w:val="18"/>
          <w:color w:val="auto"/>
        </w:rPr>
        <w:t>Waikele Center</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184"/>
        </w:numPr>
        <w:rPr>
          <w:rFonts w:ascii="Arial" w:cs="Arial" w:eastAsia="Arial" w:hAnsi="Arial"/>
          <w:sz w:val="17"/>
          <w:szCs w:val="17"/>
          <w:color w:val="auto"/>
        </w:rPr>
      </w:pPr>
      <w:r>
        <w:rPr>
          <w:rFonts w:ascii="Arial" w:cs="Arial" w:eastAsia="Arial" w:hAnsi="Arial"/>
          <w:sz w:val="18"/>
          <w:szCs w:val="18"/>
          <w:color w:val="auto"/>
        </w:rPr>
        <w:t>Southbay Marketplace</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184"/>
        </w:numPr>
        <w:rPr>
          <w:rFonts w:ascii="Arial" w:cs="Arial" w:eastAsia="Arial" w:hAnsi="Arial"/>
          <w:sz w:val="17"/>
          <w:szCs w:val="17"/>
          <w:color w:val="auto"/>
        </w:rPr>
      </w:pPr>
      <w:r>
        <w:rPr>
          <w:rFonts w:ascii="Arial" w:cs="Arial" w:eastAsia="Arial" w:hAnsi="Arial"/>
          <w:sz w:val="18"/>
          <w:szCs w:val="18"/>
          <w:color w:val="auto"/>
        </w:rPr>
        <w:t>The Shops of Kalakaua</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184"/>
        </w:numPr>
        <w:rPr>
          <w:rFonts w:ascii="Arial" w:cs="Arial" w:eastAsia="Arial" w:hAnsi="Arial"/>
          <w:sz w:val="17"/>
          <w:szCs w:val="17"/>
          <w:color w:val="auto"/>
        </w:rPr>
      </w:pPr>
      <w:r>
        <w:rPr>
          <w:rFonts w:ascii="Arial" w:cs="Arial" w:eastAsia="Arial" w:hAnsi="Arial"/>
          <w:sz w:val="18"/>
          <w:szCs w:val="18"/>
          <w:color w:val="auto"/>
        </w:rPr>
        <w:t>Del Monte Center</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184"/>
        </w:numPr>
        <w:rPr>
          <w:rFonts w:ascii="Arial" w:cs="Arial" w:eastAsia="Arial" w:hAnsi="Arial"/>
          <w:sz w:val="17"/>
          <w:szCs w:val="17"/>
          <w:color w:val="auto"/>
        </w:rPr>
      </w:pPr>
      <w:r>
        <w:rPr>
          <w:rFonts w:ascii="Arial" w:cs="Arial" w:eastAsia="Arial" w:hAnsi="Arial"/>
          <w:sz w:val="18"/>
          <w:szCs w:val="18"/>
          <w:color w:val="auto"/>
        </w:rPr>
        <w:t>Gateway Marketplace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Office:</w:t>
      </w:r>
    </w:p>
    <w:p>
      <w:pPr>
        <w:spacing w:after="0" w:line="168" w:lineRule="exact"/>
        <w:rPr>
          <w:sz w:val="20"/>
          <w:szCs w:val="20"/>
          <w:color w:val="auto"/>
        </w:rPr>
      </w:pPr>
    </w:p>
    <w:p>
      <w:pPr>
        <w:ind w:left="600" w:hanging="300"/>
        <w:spacing w:after="0"/>
        <w:tabs>
          <w:tab w:leader="none" w:pos="600" w:val="left"/>
        </w:tabs>
        <w:numPr>
          <w:ilvl w:val="0"/>
          <w:numId w:val="185"/>
        </w:numPr>
        <w:rPr>
          <w:rFonts w:ascii="Arial" w:cs="Arial" w:eastAsia="Arial" w:hAnsi="Arial"/>
          <w:sz w:val="17"/>
          <w:szCs w:val="17"/>
          <w:color w:val="auto"/>
        </w:rPr>
      </w:pPr>
      <w:r>
        <w:rPr>
          <w:rFonts w:ascii="Arial" w:cs="Arial" w:eastAsia="Arial" w:hAnsi="Arial"/>
          <w:sz w:val="18"/>
          <w:szCs w:val="18"/>
          <w:color w:val="auto"/>
        </w:rPr>
        <w:t>Torrey Reserve - Torrey Plaza</w:t>
      </w:r>
    </w:p>
    <w:p>
      <w:pPr>
        <w:spacing w:after="0" w:line="21" w:lineRule="exact"/>
        <w:rPr>
          <w:rFonts w:ascii="Arial" w:cs="Arial" w:eastAsia="Arial" w:hAnsi="Arial"/>
          <w:sz w:val="17"/>
          <w:szCs w:val="17"/>
          <w:color w:val="auto"/>
        </w:rPr>
      </w:pPr>
    </w:p>
    <w:p>
      <w:pPr>
        <w:ind w:left="600" w:hanging="300"/>
        <w:spacing w:after="0"/>
        <w:tabs>
          <w:tab w:leader="none" w:pos="600" w:val="left"/>
        </w:tabs>
        <w:numPr>
          <w:ilvl w:val="0"/>
          <w:numId w:val="185"/>
        </w:numPr>
        <w:rPr>
          <w:rFonts w:ascii="Arial" w:cs="Arial" w:eastAsia="Arial" w:hAnsi="Arial"/>
          <w:sz w:val="17"/>
          <w:szCs w:val="17"/>
          <w:color w:val="auto"/>
        </w:rPr>
      </w:pPr>
      <w:r>
        <w:rPr>
          <w:rFonts w:ascii="Arial" w:cs="Arial" w:eastAsia="Arial" w:hAnsi="Arial"/>
          <w:sz w:val="18"/>
          <w:szCs w:val="18"/>
          <w:color w:val="auto"/>
        </w:rPr>
        <w:t>Torrey Reserve - South Court</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185"/>
        </w:numPr>
        <w:rPr>
          <w:rFonts w:ascii="Arial" w:cs="Arial" w:eastAsia="Arial" w:hAnsi="Arial"/>
          <w:sz w:val="17"/>
          <w:szCs w:val="17"/>
          <w:color w:val="auto"/>
        </w:rPr>
      </w:pPr>
      <w:r>
        <w:rPr>
          <w:rFonts w:ascii="Arial" w:cs="Arial" w:eastAsia="Arial" w:hAnsi="Arial"/>
          <w:sz w:val="18"/>
          <w:szCs w:val="18"/>
          <w:color w:val="auto"/>
        </w:rPr>
        <w:t>Torrey Reserve - Daycare</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185"/>
        </w:numPr>
        <w:rPr>
          <w:rFonts w:ascii="Arial" w:cs="Arial" w:eastAsia="Arial" w:hAnsi="Arial"/>
          <w:sz w:val="17"/>
          <w:szCs w:val="17"/>
          <w:color w:val="auto"/>
        </w:rPr>
      </w:pPr>
      <w:r>
        <w:rPr>
          <w:rFonts w:ascii="Arial" w:cs="Arial" w:eastAsia="Arial" w:hAnsi="Arial"/>
          <w:sz w:val="18"/>
          <w:szCs w:val="18"/>
          <w:color w:val="auto"/>
        </w:rPr>
        <w:t>Torrey Reserve - Building 6</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185"/>
        </w:numPr>
        <w:rPr>
          <w:rFonts w:ascii="Arial" w:cs="Arial" w:eastAsia="Arial" w:hAnsi="Arial"/>
          <w:sz w:val="17"/>
          <w:szCs w:val="17"/>
          <w:color w:val="auto"/>
        </w:rPr>
      </w:pPr>
      <w:r>
        <w:rPr>
          <w:rFonts w:ascii="Arial" w:cs="Arial" w:eastAsia="Arial" w:hAnsi="Arial"/>
          <w:sz w:val="18"/>
          <w:szCs w:val="18"/>
          <w:color w:val="auto"/>
        </w:rPr>
        <w:t>Torrey Reserve - Building 5</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185"/>
        </w:numPr>
        <w:rPr>
          <w:rFonts w:ascii="Arial" w:cs="Arial" w:eastAsia="Arial" w:hAnsi="Arial"/>
          <w:sz w:val="17"/>
          <w:szCs w:val="17"/>
          <w:color w:val="auto"/>
        </w:rPr>
      </w:pPr>
      <w:r>
        <w:rPr>
          <w:rFonts w:ascii="Arial" w:cs="Arial" w:eastAsia="Arial" w:hAnsi="Arial"/>
          <w:sz w:val="18"/>
          <w:szCs w:val="18"/>
          <w:color w:val="auto"/>
        </w:rPr>
        <w:t>Torrey Reserve - Building 4</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185"/>
        </w:numPr>
        <w:rPr>
          <w:rFonts w:ascii="Arial" w:cs="Arial" w:eastAsia="Arial" w:hAnsi="Arial"/>
          <w:sz w:val="17"/>
          <w:szCs w:val="17"/>
          <w:color w:val="auto"/>
        </w:rPr>
      </w:pPr>
      <w:r>
        <w:rPr>
          <w:rFonts w:ascii="Arial" w:cs="Arial" w:eastAsia="Arial" w:hAnsi="Arial"/>
          <w:sz w:val="18"/>
          <w:szCs w:val="18"/>
          <w:color w:val="auto"/>
        </w:rPr>
        <w:t>Torrey Reserve - Building 13 and 14</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185"/>
        </w:numPr>
        <w:rPr>
          <w:rFonts w:ascii="Arial" w:cs="Arial" w:eastAsia="Arial" w:hAnsi="Arial"/>
          <w:sz w:val="17"/>
          <w:szCs w:val="17"/>
          <w:color w:val="auto"/>
        </w:rPr>
      </w:pPr>
      <w:r>
        <w:rPr>
          <w:rFonts w:ascii="Arial" w:cs="Arial" w:eastAsia="Arial" w:hAnsi="Arial"/>
          <w:sz w:val="18"/>
          <w:szCs w:val="18"/>
          <w:color w:val="auto"/>
        </w:rPr>
        <w:t>Lloyd District Portfolio</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185"/>
        </w:numPr>
        <w:rPr>
          <w:rFonts w:ascii="Arial" w:cs="Arial" w:eastAsia="Arial" w:hAnsi="Arial"/>
          <w:sz w:val="17"/>
          <w:szCs w:val="17"/>
          <w:color w:val="auto"/>
        </w:rPr>
      </w:pPr>
      <w:r>
        <w:rPr>
          <w:rFonts w:ascii="Arial" w:cs="Arial" w:eastAsia="Arial" w:hAnsi="Arial"/>
          <w:sz w:val="18"/>
          <w:szCs w:val="18"/>
          <w:color w:val="auto"/>
        </w:rPr>
        <w:t>Landmark at One Market</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185"/>
        </w:numPr>
        <w:rPr>
          <w:rFonts w:ascii="Arial" w:cs="Arial" w:eastAsia="Arial" w:hAnsi="Arial"/>
          <w:sz w:val="17"/>
          <w:szCs w:val="17"/>
          <w:color w:val="auto"/>
        </w:rPr>
      </w:pPr>
      <w:r>
        <w:rPr>
          <w:rFonts w:ascii="Arial" w:cs="Arial" w:eastAsia="Arial" w:hAnsi="Arial"/>
          <w:sz w:val="18"/>
          <w:szCs w:val="18"/>
          <w:color w:val="auto"/>
        </w:rPr>
        <w:t>First and Main</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185"/>
        </w:numPr>
        <w:rPr>
          <w:rFonts w:ascii="Arial" w:cs="Arial" w:eastAsia="Arial" w:hAnsi="Arial"/>
          <w:sz w:val="17"/>
          <w:szCs w:val="17"/>
          <w:color w:val="auto"/>
        </w:rPr>
      </w:pPr>
      <w:r>
        <w:rPr>
          <w:rFonts w:ascii="Arial" w:cs="Arial" w:eastAsia="Arial" w:hAnsi="Arial"/>
          <w:sz w:val="18"/>
          <w:szCs w:val="18"/>
          <w:color w:val="auto"/>
        </w:rPr>
        <w:t>Solana Beach Corporate Center - Building 3 and 4</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185"/>
        </w:numPr>
        <w:rPr>
          <w:rFonts w:ascii="Arial" w:cs="Arial" w:eastAsia="Arial" w:hAnsi="Arial"/>
          <w:sz w:val="17"/>
          <w:szCs w:val="17"/>
          <w:color w:val="auto"/>
        </w:rPr>
      </w:pPr>
      <w:r>
        <w:rPr>
          <w:rFonts w:ascii="Arial" w:cs="Arial" w:eastAsia="Arial" w:hAnsi="Arial"/>
          <w:sz w:val="18"/>
          <w:szCs w:val="18"/>
          <w:color w:val="auto"/>
        </w:rPr>
        <w:t>Torrey Point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Multifamily:</w:t>
      </w:r>
    </w:p>
    <w:p>
      <w:pPr>
        <w:spacing w:after="0" w:line="168" w:lineRule="exact"/>
        <w:rPr>
          <w:sz w:val="20"/>
          <w:szCs w:val="20"/>
          <w:color w:val="auto"/>
        </w:rPr>
      </w:pPr>
    </w:p>
    <w:p>
      <w:pPr>
        <w:ind w:left="600" w:hanging="300"/>
        <w:spacing w:after="0"/>
        <w:tabs>
          <w:tab w:leader="none" w:pos="600" w:val="left"/>
        </w:tabs>
        <w:numPr>
          <w:ilvl w:val="0"/>
          <w:numId w:val="186"/>
        </w:numPr>
        <w:rPr>
          <w:rFonts w:ascii="Arial" w:cs="Arial" w:eastAsia="Arial" w:hAnsi="Arial"/>
          <w:sz w:val="17"/>
          <w:szCs w:val="17"/>
          <w:color w:val="auto"/>
        </w:rPr>
      </w:pPr>
      <w:r>
        <w:rPr>
          <w:rFonts w:ascii="Arial" w:cs="Arial" w:eastAsia="Arial" w:hAnsi="Arial"/>
          <w:sz w:val="18"/>
          <w:szCs w:val="18"/>
          <w:color w:val="auto"/>
        </w:rPr>
        <w:t>Santa Fe RV Park</w:t>
      </w:r>
    </w:p>
    <w:p>
      <w:pPr>
        <w:spacing w:after="0" w:line="21" w:lineRule="exact"/>
        <w:rPr>
          <w:rFonts w:ascii="Arial" w:cs="Arial" w:eastAsia="Arial" w:hAnsi="Arial"/>
          <w:sz w:val="17"/>
          <w:szCs w:val="17"/>
          <w:color w:val="auto"/>
        </w:rPr>
      </w:pPr>
    </w:p>
    <w:p>
      <w:pPr>
        <w:ind w:left="600" w:hanging="300"/>
        <w:spacing w:after="0"/>
        <w:tabs>
          <w:tab w:leader="none" w:pos="600" w:val="left"/>
        </w:tabs>
        <w:numPr>
          <w:ilvl w:val="0"/>
          <w:numId w:val="186"/>
        </w:numPr>
        <w:rPr>
          <w:rFonts w:ascii="Arial" w:cs="Arial" w:eastAsia="Arial" w:hAnsi="Arial"/>
          <w:sz w:val="17"/>
          <w:szCs w:val="17"/>
          <w:color w:val="auto"/>
        </w:rPr>
      </w:pPr>
      <w:r>
        <w:rPr>
          <w:rFonts w:ascii="Arial" w:cs="Arial" w:eastAsia="Arial" w:hAnsi="Arial"/>
          <w:sz w:val="18"/>
          <w:szCs w:val="18"/>
          <w:color w:val="auto"/>
        </w:rPr>
        <w:t>Hassalo on Eighth</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186"/>
        </w:numPr>
        <w:rPr>
          <w:rFonts w:ascii="Arial" w:cs="Arial" w:eastAsia="Arial" w:hAnsi="Arial"/>
          <w:sz w:val="17"/>
          <w:szCs w:val="17"/>
          <w:color w:val="auto"/>
        </w:rPr>
      </w:pPr>
      <w:r>
        <w:rPr>
          <w:rFonts w:ascii="Arial" w:cs="Arial" w:eastAsia="Arial" w:hAnsi="Arial"/>
          <w:sz w:val="18"/>
          <w:szCs w:val="18"/>
          <w:color w:val="auto"/>
        </w:rPr>
        <w:t>Imperial Beach Gardens</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186"/>
        </w:numPr>
        <w:rPr>
          <w:rFonts w:ascii="Arial" w:cs="Arial" w:eastAsia="Arial" w:hAnsi="Arial"/>
          <w:sz w:val="17"/>
          <w:szCs w:val="17"/>
          <w:color w:val="auto"/>
        </w:rPr>
      </w:pPr>
      <w:r>
        <w:rPr>
          <w:rFonts w:ascii="Arial" w:cs="Arial" w:eastAsia="Arial" w:hAnsi="Arial"/>
          <w:sz w:val="18"/>
          <w:szCs w:val="18"/>
          <w:color w:val="auto"/>
        </w:rPr>
        <w:t>Mariner’s Point</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186"/>
        </w:numPr>
        <w:rPr>
          <w:rFonts w:ascii="Arial" w:cs="Arial" w:eastAsia="Arial" w:hAnsi="Arial"/>
          <w:sz w:val="17"/>
          <w:szCs w:val="17"/>
          <w:color w:val="auto"/>
        </w:rPr>
      </w:pPr>
      <w:r>
        <w:rPr>
          <w:rFonts w:ascii="Arial" w:cs="Arial" w:eastAsia="Arial" w:hAnsi="Arial"/>
          <w:sz w:val="18"/>
          <w:szCs w:val="18"/>
          <w:color w:val="auto"/>
        </w:rPr>
        <w:t>Pacific Ridge Apartments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Mixed Use:</w:t>
      </w:r>
    </w:p>
    <w:p>
      <w:pPr>
        <w:spacing w:after="0" w:line="168" w:lineRule="exact"/>
        <w:rPr>
          <w:sz w:val="20"/>
          <w:szCs w:val="20"/>
          <w:color w:val="auto"/>
        </w:rPr>
      </w:pPr>
    </w:p>
    <w:p>
      <w:pPr>
        <w:ind w:left="600" w:hanging="300"/>
        <w:spacing w:after="0"/>
        <w:tabs>
          <w:tab w:leader="none" w:pos="600" w:val="left"/>
        </w:tabs>
        <w:numPr>
          <w:ilvl w:val="0"/>
          <w:numId w:val="187"/>
        </w:numPr>
        <w:rPr>
          <w:rFonts w:ascii="Arial" w:cs="Arial" w:eastAsia="Arial" w:hAnsi="Arial"/>
          <w:sz w:val="17"/>
          <w:szCs w:val="17"/>
          <w:color w:val="auto"/>
        </w:rPr>
      </w:pPr>
      <w:r>
        <w:rPr>
          <w:rFonts w:ascii="Arial" w:cs="Arial" w:eastAsia="Arial" w:hAnsi="Arial"/>
          <w:sz w:val="18"/>
          <w:szCs w:val="18"/>
          <w:color w:val="auto"/>
        </w:rPr>
        <w:t>Waikiki Beach Walk - Embassy Suites</w:t>
      </w:r>
    </w:p>
    <w:p>
      <w:pPr>
        <w:spacing w:after="0" w:line="21" w:lineRule="exact"/>
        <w:rPr>
          <w:rFonts w:ascii="Arial" w:cs="Arial" w:eastAsia="Arial" w:hAnsi="Arial"/>
          <w:sz w:val="17"/>
          <w:szCs w:val="17"/>
          <w:color w:val="auto"/>
        </w:rPr>
      </w:pPr>
    </w:p>
    <w:p>
      <w:pPr>
        <w:ind w:left="600" w:hanging="300"/>
        <w:spacing w:after="0"/>
        <w:tabs>
          <w:tab w:leader="none" w:pos="600" w:val="left"/>
        </w:tabs>
        <w:numPr>
          <w:ilvl w:val="0"/>
          <w:numId w:val="187"/>
        </w:numPr>
        <w:rPr>
          <w:rFonts w:ascii="Arial" w:cs="Arial" w:eastAsia="Arial" w:hAnsi="Arial"/>
          <w:sz w:val="17"/>
          <w:szCs w:val="17"/>
          <w:color w:val="auto"/>
        </w:rPr>
      </w:pPr>
      <w:r>
        <w:rPr>
          <w:rFonts w:ascii="Arial" w:cs="Arial" w:eastAsia="Arial" w:hAnsi="Arial"/>
          <w:sz w:val="18"/>
          <w:szCs w:val="18"/>
          <w:color w:val="auto"/>
        </w:rPr>
        <w:t>Waikiki Beach Walk - Retail</w:t>
      </w:r>
    </w:p>
    <w:p>
      <w:pPr>
        <w:sectPr>
          <w:pgSz w:w="11900" w:h="16838" w:orient="portrait"/>
          <w:cols w:equalWidth="0" w:num="1">
            <w:col w:w="11420"/>
          </w:cols>
          <w:pgMar w:left="240" w:top="547" w:right="239" w:bottom="1440" w:gutter="0" w:footer="0" w:header="0"/>
        </w:sectPr>
      </w:pPr>
    </w:p>
    <w:bookmarkStart w:id="152" w:name="page153"/>
    <w:bookmarkEnd w:id="152"/>
    <w:p>
      <w:pPr>
        <w:ind w:left="10080"/>
        <w:spacing w:after="0"/>
        <w:rPr>
          <w:sz w:val="20"/>
          <w:szCs w:val="20"/>
          <w:color w:val="auto"/>
        </w:rPr>
      </w:pPr>
      <w:r>
        <w:rPr>
          <w:rFonts w:ascii="Arial" w:cs="Arial" w:eastAsia="Arial" w:hAnsi="Arial"/>
          <w:sz w:val="18"/>
          <w:szCs w:val="18"/>
          <w:b w:val="1"/>
          <w:bCs w:val="1"/>
          <w:i w:val="1"/>
          <w:iCs w:val="1"/>
          <w:color w:val="auto"/>
        </w:rPr>
        <w:t>SCHEDULE 2.01</w:t>
      </w:r>
    </w:p>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COMMITMENTS, APPLICABLE PERCENTAGES AND SUBLIMITS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960" w:type="dxa"/>
            <w:vAlign w:val="bottom"/>
            <w:tcBorders>
              <w:top w:val="single" w:sz="8" w:color="auto"/>
              <w:left w:val="single" w:sz="8" w:color="auto"/>
              <w:right w:val="single" w:sz="8" w:color="auto"/>
            </w:tcBorders>
          </w:tcPr>
          <w:p>
            <w:pPr>
              <w:spacing w:after="0"/>
              <w:rPr>
                <w:sz w:val="19"/>
                <w:szCs w:val="19"/>
                <w:color w:val="auto"/>
              </w:rPr>
            </w:pPr>
          </w:p>
        </w:tc>
        <w:tc>
          <w:tcPr>
            <w:tcW w:w="1300" w:type="dxa"/>
            <w:vAlign w:val="bottom"/>
            <w:tcBorders>
              <w:top w:val="single" w:sz="8" w:color="auto"/>
              <w:right w:val="single" w:sz="8" w:color="auto"/>
            </w:tcBorders>
          </w:tcPr>
          <w:p>
            <w:pPr>
              <w:spacing w:after="0"/>
              <w:rPr>
                <w:sz w:val="19"/>
                <w:szCs w:val="19"/>
                <w:color w:val="auto"/>
              </w:rPr>
            </w:pPr>
          </w:p>
        </w:tc>
        <w:tc>
          <w:tcPr>
            <w:tcW w:w="1400" w:type="dxa"/>
            <w:vAlign w:val="bottom"/>
            <w:tcBorders>
              <w:top w:val="single" w:sz="8" w:color="auto"/>
              <w:right w:val="single" w:sz="8" w:color="auto"/>
            </w:tcBorders>
          </w:tcPr>
          <w:p>
            <w:pPr>
              <w:spacing w:after="0"/>
              <w:rPr>
                <w:sz w:val="19"/>
                <w:szCs w:val="19"/>
                <w:color w:val="auto"/>
              </w:rPr>
            </w:pPr>
          </w:p>
        </w:tc>
        <w:tc>
          <w:tcPr>
            <w:tcW w:w="1300" w:type="dxa"/>
            <w:vAlign w:val="bottom"/>
            <w:tcBorders>
              <w:top w:val="single" w:sz="8" w:color="auto"/>
              <w:right w:val="single" w:sz="8" w:color="auto"/>
            </w:tcBorders>
          </w:tcPr>
          <w:p>
            <w:pPr>
              <w:spacing w:after="0"/>
              <w:rPr>
                <w:sz w:val="19"/>
                <w:szCs w:val="19"/>
                <w:color w:val="auto"/>
              </w:rPr>
            </w:pPr>
          </w:p>
        </w:tc>
        <w:tc>
          <w:tcPr>
            <w:tcW w:w="1400" w:type="dxa"/>
            <w:vAlign w:val="bottom"/>
            <w:tcBorders>
              <w:top w:val="single" w:sz="8" w:color="auto"/>
              <w:right w:val="single" w:sz="8" w:color="auto"/>
            </w:tcBorders>
          </w:tcPr>
          <w:p>
            <w:pPr>
              <w:spacing w:after="0"/>
              <w:rPr>
                <w:sz w:val="19"/>
                <w:szCs w:val="19"/>
                <w:color w:val="auto"/>
              </w:rPr>
            </w:pP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Aggregate Rev.</w:t>
            </w:r>
          </w:p>
        </w:tc>
        <w:tc>
          <w:tcPr>
            <w:tcW w:w="1460" w:type="dxa"/>
            <w:vAlign w:val="bottom"/>
            <w:tcBorders>
              <w:top w:val="single" w:sz="8" w:color="auto"/>
              <w:right w:val="single" w:sz="8" w:color="auto"/>
            </w:tcBorders>
          </w:tcPr>
          <w:p>
            <w:pPr>
              <w:spacing w:after="0"/>
              <w:rPr>
                <w:sz w:val="19"/>
                <w:szCs w:val="19"/>
                <w:color w:val="auto"/>
              </w:rPr>
            </w:pPr>
          </w:p>
        </w:tc>
        <w:tc>
          <w:tcPr>
            <w:tcW w:w="1200" w:type="dxa"/>
            <w:vAlign w:val="bottom"/>
            <w:tcBorders>
              <w:top w:val="single" w:sz="8" w:color="auto"/>
              <w:right w:val="single" w:sz="8" w:color="auto"/>
            </w:tcBorders>
          </w:tcPr>
          <w:p>
            <w:pPr>
              <w:spacing w:after="0"/>
              <w:rPr>
                <w:sz w:val="19"/>
                <w:szCs w:val="19"/>
                <w:color w:val="auto"/>
              </w:rPr>
            </w:pPr>
          </w:p>
        </w:tc>
        <w:tc>
          <w:tcPr>
            <w:tcW w:w="12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96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Applicable</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Credit</w:t>
            </w:r>
          </w:p>
        </w:tc>
        <w:tc>
          <w:tcPr>
            <w:tcW w:w="14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6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Revolving</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Applicable</w:t>
            </w:r>
          </w:p>
        </w:tc>
        <w:tc>
          <w:tcPr>
            <w:tcW w:w="13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Percentage</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Comm/Closing</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Applicable</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Letter of</w:t>
            </w: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6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Credit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Revolving Credit</w:t>
            </w:r>
          </w:p>
        </w:tc>
        <w:tc>
          <w:tcPr>
            <w:tcW w:w="1300" w:type="dxa"/>
            <w:vAlign w:val="bottom"/>
            <w:tcBorders>
              <w:right w:val="single" w:sz="8" w:color="auto"/>
            </w:tcBorders>
          </w:tcPr>
          <w:p>
            <w:pPr>
              <w:jc w:val="right"/>
              <w:ind w:right="68"/>
              <w:spacing w:after="0"/>
              <w:rPr>
                <w:sz w:val="20"/>
                <w:szCs w:val="20"/>
                <w:color w:val="auto"/>
              </w:rPr>
            </w:pPr>
            <w:r>
              <w:rPr>
                <w:rFonts w:ascii="Arial" w:cs="Arial" w:eastAsia="Arial" w:hAnsi="Arial"/>
                <w:sz w:val="18"/>
                <w:szCs w:val="18"/>
                <w:b w:val="1"/>
                <w:bCs w:val="1"/>
                <w:color w:val="auto"/>
              </w:rPr>
              <w:t>Closing Date</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(Closing Date</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Date Term</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Percentage</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Credit</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8"/>
                <w:szCs w:val="18"/>
                <w:b w:val="1"/>
                <w:bCs w:val="1"/>
                <w:color w:val="auto"/>
              </w:rPr>
              <w:t>Swing Line</w:t>
            </w:r>
          </w:p>
        </w:tc>
        <w:tc>
          <w:tcPr>
            <w:tcW w:w="0" w:type="dxa"/>
            <w:vAlign w:val="bottom"/>
          </w:tcPr>
          <w:p>
            <w:pPr>
              <w:spacing w:after="0"/>
              <w:rPr>
                <w:sz w:val="1"/>
                <w:szCs w:val="1"/>
                <w:color w:val="auto"/>
              </w:rPr>
            </w:pPr>
          </w:p>
        </w:tc>
      </w:tr>
      <w:tr>
        <w:trPr>
          <w:trHeight w:val="237"/>
        </w:trPr>
        <w:tc>
          <w:tcPr>
            <w:tcW w:w="9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Lender</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Commitment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Percentage</w:t>
            </w:r>
          </w:p>
        </w:tc>
        <w:tc>
          <w:tcPr>
            <w:tcW w:w="1300" w:type="dxa"/>
            <w:vAlign w:val="bottom"/>
            <w:tcBorders>
              <w:right w:val="single" w:sz="8" w:color="auto"/>
            </w:tcBorders>
          </w:tcPr>
          <w:p>
            <w:pPr>
              <w:jc w:val="right"/>
              <w:ind w:right="148"/>
              <w:spacing w:after="0"/>
              <w:rPr>
                <w:sz w:val="20"/>
                <w:szCs w:val="20"/>
                <w:color w:val="auto"/>
              </w:rPr>
            </w:pPr>
            <w:r>
              <w:rPr>
                <w:rFonts w:ascii="Arial" w:cs="Arial" w:eastAsia="Arial" w:hAnsi="Arial"/>
                <w:sz w:val="18"/>
                <w:szCs w:val="18"/>
                <w:b w:val="1"/>
                <w:bCs w:val="1"/>
                <w:color w:val="auto"/>
              </w:rPr>
              <w:t>Term Loan</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Term Facility)</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Loan</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(all Facilities)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Sublimit</w:t>
            </w:r>
          </w:p>
        </w:tc>
        <w:tc>
          <w:tcPr>
            <w:tcW w:w="1220" w:type="dxa"/>
            <w:vAlign w:val="bottom"/>
            <w:tcBorders>
              <w:right w:val="single" w:sz="8" w:color="auto"/>
            </w:tcBorders>
          </w:tcPr>
          <w:p>
            <w:pPr>
              <w:jc w:val="right"/>
              <w:ind w:right="188"/>
              <w:spacing w:after="0"/>
              <w:rPr>
                <w:sz w:val="20"/>
                <w:szCs w:val="20"/>
                <w:color w:val="auto"/>
              </w:rPr>
            </w:pPr>
            <w:r>
              <w:rPr>
                <w:rFonts w:ascii="Arial" w:cs="Arial" w:eastAsia="Arial" w:hAnsi="Arial"/>
                <w:sz w:val="18"/>
                <w:szCs w:val="18"/>
                <w:b w:val="1"/>
                <w:bCs w:val="1"/>
                <w:color w:val="auto"/>
              </w:rPr>
              <w:t>Sublimit</w:t>
            </w:r>
          </w:p>
        </w:tc>
        <w:tc>
          <w:tcPr>
            <w:tcW w:w="0" w:type="dxa"/>
            <w:vAlign w:val="bottom"/>
          </w:tcPr>
          <w:p>
            <w:pPr>
              <w:spacing w:after="0"/>
              <w:rPr>
                <w:sz w:val="1"/>
                <w:szCs w:val="1"/>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Wells</w:t>
            </w:r>
          </w:p>
        </w:tc>
        <w:tc>
          <w:tcPr>
            <w:tcW w:w="13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Fargo</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$52,500,000.00</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15.000000000%</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$15,714,286.00</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15.714286000%</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$68,214,286.00</w:t>
            </w:r>
          </w:p>
        </w:tc>
        <w:tc>
          <w:tcPr>
            <w:tcW w:w="1460" w:type="dxa"/>
            <w:vAlign w:val="bottom"/>
            <w:tcBorders>
              <w:right w:val="single" w:sz="8" w:color="auto"/>
            </w:tcBorders>
          </w:tcPr>
          <w:p>
            <w:pPr>
              <w:jc w:val="right"/>
              <w:ind w:right="148"/>
              <w:spacing w:after="0"/>
              <w:rPr>
                <w:sz w:val="20"/>
                <w:szCs w:val="20"/>
                <w:color w:val="auto"/>
              </w:rPr>
            </w:pPr>
            <w:r>
              <w:rPr>
                <w:rFonts w:ascii="Arial" w:cs="Arial" w:eastAsia="Arial" w:hAnsi="Arial"/>
                <w:sz w:val="18"/>
                <w:szCs w:val="18"/>
                <w:color w:val="auto"/>
                <w:w w:val="91"/>
              </w:rPr>
              <w:t>15.158730222%</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1"/>
              </w:rPr>
              <w:t>$12,500,000.00</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$8,750,000.00</w:t>
            </w:r>
          </w:p>
        </w:tc>
        <w:tc>
          <w:tcPr>
            <w:tcW w:w="0" w:type="dxa"/>
            <w:vAlign w:val="bottom"/>
          </w:tcPr>
          <w:p>
            <w:pPr>
              <w:spacing w:after="0"/>
              <w:rPr>
                <w:sz w:val="1"/>
                <w:szCs w:val="1"/>
                <w:color w:val="auto"/>
              </w:rPr>
            </w:pPr>
          </w:p>
        </w:tc>
      </w:tr>
      <w:tr>
        <w:trPr>
          <w:trHeight w:val="233"/>
        </w:trPr>
        <w:tc>
          <w:tcPr>
            <w:tcW w:w="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Bank, N.A.</w:t>
            </w:r>
          </w:p>
        </w:tc>
        <w:tc>
          <w:tcPr>
            <w:tcW w:w="13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Bank of</w:t>
            </w:r>
          </w:p>
        </w:tc>
        <w:tc>
          <w:tcPr>
            <w:tcW w:w="13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$52,500,000.00</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15.000000000%</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$15,714,286.00</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15.714286000%</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$68,214,286.00</w:t>
            </w:r>
          </w:p>
        </w:tc>
        <w:tc>
          <w:tcPr>
            <w:tcW w:w="1460" w:type="dxa"/>
            <w:vAlign w:val="bottom"/>
            <w:tcBorders>
              <w:right w:val="single" w:sz="8" w:color="auto"/>
            </w:tcBorders>
          </w:tcPr>
          <w:p>
            <w:pPr>
              <w:jc w:val="right"/>
              <w:ind w:right="148"/>
              <w:spacing w:after="0"/>
              <w:rPr>
                <w:sz w:val="20"/>
                <w:szCs w:val="20"/>
                <w:color w:val="auto"/>
              </w:rPr>
            </w:pPr>
            <w:r>
              <w:rPr>
                <w:rFonts w:ascii="Arial" w:cs="Arial" w:eastAsia="Arial" w:hAnsi="Arial"/>
                <w:sz w:val="18"/>
                <w:szCs w:val="18"/>
                <w:color w:val="auto"/>
                <w:w w:val="91"/>
              </w:rPr>
              <w:t>15.158730222%</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1"/>
              </w:rPr>
              <w:t>$12,500,000.00</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$8,750,000.00</w:t>
            </w:r>
          </w:p>
        </w:tc>
        <w:tc>
          <w:tcPr>
            <w:tcW w:w="0" w:type="dxa"/>
            <w:vAlign w:val="bottom"/>
          </w:tcPr>
          <w:p>
            <w:pPr>
              <w:spacing w:after="0"/>
              <w:rPr>
                <w:sz w:val="1"/>
                <w:szCs w:val="1"/>
                <w:color w:val="auto"/>
              </w:rPr>
            </w:pPr>
          </w:p>
        </w:tc>
      </w:tr>
      <w:tr>
        <w:trPr>
          <w:trHeight w:val="233"/>
        </w:trPr>
        <w:tc>
          <w:tcPr>
            <w:tcW w:w="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w:t>
            </w:r>
          </w:p>
        </w:tc>
        <w:tc>
          <w:tcPr>
            <w:tcW w:w="13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8"/>
              </w:rPr>
              <w:t>PNC Bank,</w:t>
            </w:r>
          </w:p>
        </w:tc>
        <w:tc>
          <w:tcPr>
            <w:tcW w:w="13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National</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$47,500,000.00</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13.571428571%</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$12,857,143.00</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12.857143000%</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$60,357,143.00</w:t>
            </w:r>
          </w:p>
        </w:tc>
        <w:tc>
          <w:tcPr>
            <w:tcW w:w="1460" w:type="dxa"/>
            <w:vAlign w:val="bottom"/>
            <w:tcBorders>
              <w:right w:val="single" w:sz="8" w:color="auto"/>
            </w:tcBorders>
          </w:tcPr>
          <w:p>
            <w:pPr>
              <w:jc w:val="right"/>
              <w:ind w:right="148"/>
              <w:spacing w:after="0"/>
              <w:rPr>
                <w:sz w:val="20"/>
                <w:szCs w:val="20"/>
                <w:color w:val="auto"/>
              </w:rPr>
            </w:pPr>
            <w:r>
              <w:rPr>
                <w:rFonts w:ascii="Arial" w:cs="Arial" w:eastAsia="Arial" w:hAnsi="Arial"/>
                <w:sz w:val="18"/>
                <w:szCs w:val="18"/>
                <w:color w:val="auto"/>
                <w:w w:val="91"/>
              </w:rPr>
              <w:t>13.412698444%</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1"/>
              </w:rPr>
              <w:t>$12,500,000.00</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$8,750,000.00</w:t>
            </w:r>
          </w:p>
        </w:tc>
        <w:tc>
          <w:tcPr>
            <w:tcW w:w="0" w:type="dxa"/>
            <w:vAlign w:val="bottom"/>
          </w:tcPr>
          <w:p>
            <w:pPr>
              <w:spacing w:after="0"/>
              <w:rPr>
                <w:sz w:val="1"/>
                <w:szCs w:val="1"/>
                <w:color w:val="auto"/>
              </w:rPr>
            </w:pPr>
          </w:p>
        </w:tc>
      </w:tr>
      <w:tr>
        <w:trPr>
          <w:trHeight w:val="233"/>
        </w:trPr>
        <w:tc>
          <w:tcPr>
            <w:tcW w:w="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Association</w:t>
            </w:r>
          </w:p>
        </w:tc>
        <w:tc>
          <w:tcPr>
            <w:tcW w:w="13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 Bank</w:t>
            </w:r>
          </w:p>
        </w:tc>
        <w:tc>
          <w:tcPr>
            <w:tcW w:w="13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National</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$47,500,000.00</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13.571428571%</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$14,285,714.00</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14.285714000%</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$61,785,714.00</w:t>
            </w:r>
          </w:p>
        </w:tc>
        <w:tc>
          <w:tcPr>
            <w:tcW w:w="1460" w:type="dxa"/>
            <w:vAlign w:val="bottom"/>
            <w:tcBorders>
              <w:right w:val="single" w:sz="8" w:color="auto"/>
            </w:tcBorders>
          </w:tcPr>
          <w:p>
            <w:pPr>
              <w:jc w:val="right"/>
              <w:ind w:right="148"/>
              <w:spacing w:after="0"/>
              <w:rPr>
                <w:sz w:val="20"/>
                <w:szCs w:val="20"/>
                <w:color w:val="auto"/>
              </w:rPr>
            </w:pPr>
            <w:r>
              <w:rPr>
                <w:rFonts w:ascii="Arial" w:cs="Arial" w:eastAsia="Arial" w:hAnsi="Arial"/>
                <w:sz w:val="18"/>
                <w:szCs w:val="18"/>
                <w:color w:val="auto"/>
                <w:w w:val="91"/>
              </w:rPr>
              <w:t>13.730158667%</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1"/>
              </w:rPr>
              <w:t>$12,500,000.00</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$8,750,000.00</w:t>
            </w:r>
          </w:p>
        </w:tc>
        <w:tc>
          <w:tcPr>
            <w:tcW w:w="0" w:type="dxa"/>
            <w:vAlign w:val="bottom"/>
          </w:tcPr>
          <w:p>
            <w:pPr>
              <w:spacing w:after="0"/>
              <w:rPr>
                <w:sz w:val="1"/>
                <w:szCs w:val="1"/>
                <w:color w:val="auto"/>
              </w:rPr>
            </w:pPr>
          </w:p>
        </w:tc>
      </w:tr>
      <w:tr>
        <w:trPr>
          <w:trHeight w:val="233"/>
        </w:trPr>
        <w:tc>
          <w:tcPr>
            <w:tcW w:w="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Association</w:t>
            </w:r>
          </w:p>
        </w:tc>
        <w:tc>
          <w:tcPr>
            <w:tcW w:w="13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0"/>
        </w:trPr>
        <w:tc>
          <w:tcPr>
            <w:tcW w:w="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Royal Bank</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$45,000,000.00</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12.857142857%</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$14,285,714.00</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14.285714000%</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$59,285,714.00</w:t>
            </w:r>
          </w:p>
        </w:tc>
        <w:tc>
          <w:tcPr>
            <w:tcW w:w="1460" w:type="dxa"/>
            <w:vAlign w:val="bottom"/>
            <w:tcBorders>
              <w:right w:val="single" w:sz="8" w:color="auto"/>
            </w:tcBorders>
          </w:tcPr>
          <w:p>
            <w:pPr>
              <w:jc w:val="right"/>
              <w:ind w:right="148"/>
              <w:spacing w:after="0"/>
              <w:rPr>
                <w:sz w:val="20"/>
                <w:szCs w:val="20"/>
                <w:color w:val="auto"/>
              </w:rPr>
            </w:pPr>
            <w:r>
              <w:rPr>
                <w:rFonts w:ascii="Arial" w:cs="Arial" w:eastAsia="Arial" w:hAnsi="Arial"/>
                <w:sz w:val="18"/>
                <w:szCs w:val="18"/>
                <w:color w:val="auto"/>
                <w:w w:val="91"/>
              </w:rPr>
              <w:t>13.174603111%</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87"/>
        </w:trPr>
        <w:tc>
          <w:tcPr>
            <w:tcW w:w="960" w:type="dxa"/>
            <w:vAlign w:val="bottom"/>
            <w:tcBorders>
              <w:left w:val="single" w:sz="8" w:color="auto"/>
              <w:bottom w:val="single" w:sz="8" w:color="auto"/>
              <w:right w:val="single" w:sz="8" w:color="auto"/>
            </w:tcBorders>
          </w:tcPr>
          <w:p>
            <w:pPr>
              <w:ind w:left="40"/>
              <w:spacing w:after="0" w:line="188" w:lineRule="exact"/>
              <w:rPr>
                <w:sz w:val="20"/>
                <w:szCs w:val="20"/>
                <w:color w:val="auto"/>
              </w:rPr>
            </w:pPr>
            <w:r>
              <w:rPr>
                <w:rFonts w:ascii="Arial" w:cs="Arial" w:eastAsia="Arial" w:hAnsi="Arial"/>
                <w:sz w:val="18"/>
                <w:szCs w:val="18"/>
                <w:color w:val="auto"/>
              </w:rPr>
              <w:t>of Canada</w:t>
            </w:r>
          </w:p>
        </w:tc>
        <w:tc>
          <w:tcPr>
            <w:tcW w:w="130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Morgan</w:t>
            </w:r>
          </w:p>
        </w:tc>
        <w:tc>
          <w:tcPr>
            <w:tcW w:w="13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Stanley</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$45,000,000.00</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12.857142857%</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$12,857,143.00</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12.857143000%</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$57,857,143.00</w:t>
            </w:r>
          </w:p>
        </w:tc>
        <w:tc>
          <w:tcPr>
            <w:tcW w:w="1460" w:type="dxa"/>
            <w:vAlign w:val="bottom"/>
            <w:tcBorders>
              <w:right w:val="single" w:sz="8" w:color="auto"/>
            </w:tcBorders>
          </w:tcPr>
          <w:p>
            <w:pPr>
              <w:jc w:val="right"/>
              <w:ind w:right="148"/>
              <w:spacing w:after="0"/>
              <w:rPr>
                <w:sz w:val="20"/>
                <w:szCs w:val="20"/>
                <w:color w:val="auto"/>
              </w:rPr>
            </w:pPr>
            <w:r>
              <w:rPr>
                <w:rFonts w:ascii="Arial" w:cs="Arial" w:eastAsia="Arial" w:hAnsi="Arial"/>
                <w:sz w:val="18"/>
                <w:szCs w:val="18"/>
                <w:color w:val="auto"/>
                <w:w w:val="91"/>
              </w:rPr>
              <w:t>12.857142889%</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3"/>
        </w:trPr>
        <w:tc>
          <w:tcPr>
            <w:tcW w:w="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Bank, N.A.</w:t>
            </w:r>
          </w:p>
        </w:tc>
        <w:tc>
          <w:tcPr>
            <w:tcW w:w="13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Mizuho</w:t>
            </w:r>
          </w:p>
        </w:tc>
        <w:tc>
          <w:tcPr>
            <w:tcW w:w="1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$45,000,000.00</w:t>
            </w:r>
          </w:p>
        </w:tc>
        <w:tc>
          <w:tcPr>
            <w:tcW w:w="1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12.857142857%</w:t>
            </w:r>
          </w:p>
        </w:tc>
        <w:tc>
          <w:tcPr>
            <w:tcW w:w="1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$10,000,000.00</w:t>
            </w:r>
          </w:p>
        </w:tc>
        <w:tc>
          <w:tcPr>
            <w:tcW w:w="1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10.000000000%</w:t>
            </w:r>
          </w:p>
        </w:tc>
        <w:tc>
          <w:tcPr>
            <w:tcW w:w="1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$55,000,000.00</w:t>
            </w:r>
          </w:p>
        </w:tc>
        <w:tc>
          <w:tcPr>
            <w:tcW w:w="146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8"/>
                <w:szCs w:val="18"/>
                <w:color w:val="auto"/>
                <w:w w:val="91"/>
              </w:rPr>
              <w:t>12.222222222%</w:t>
            </w:r>
          </w:p>
        </w:tc>
        <w:tc>
          <w:tcPr>
            <w:tcW w:w="12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$0.00</w:t>
            </w:r>
          </w:p>
        </w:tc>
        <w:tc>
          <w:tcPr>
            <w:tcW w:w="1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21"/>
        </w:trPr>
        <w:tc>
          <w:tcPr>
            <w:tcW w:w="9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Bank, Ltd.</w:t>
            </w:r>
          </w:p>
        </w:tc>
        <w:tc>
          <w:tcPr>
            <w:tcW w:w="130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960" w:type="dxa"/>
            <w:vAlign w:val="bottom"/>
            <w:tcBorders>
              <w:left w:val="single" w:sz="8" w:color="auto"/>
              <w:right w:val="single" w:sz="8" w:color="auto"/>
            </w:tcBorders>
            <w:vMerge w:val="continue"/>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First</w:t>
            </w:r>
          </w:p>
        </w:tc>
        <w:tc>
          <w:tcPr>
            <w:tcW w:w="13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Hawaiian</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$15,000,000.00</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4.285714286%</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$4,285,714.00</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4.285714000%</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$19,285,714.00</w:t>
            </w:r>
          </w:p>
        </w:tc>
        <w:tc>
          <w:tcPr>
            <w:tcW w:w="1460" w:type="dxa"/>
            <w:vAlign w:val="bottom"/>
            <w:tcBorders>
              <w:right w:val="single" w:sz="8" w:color="auto"/>
            </w:tcBorders>
          </w:tcPr>
          <w:p>
            <w:pPr>
              <w:jc w:val="right"/>
              <w:ind w:right="148"/>
              <w:spacing w:after="0"/>
              <w:rPr>
                <w:sz w:val="20"/>
                <w:szCs w:val="20"/>
                <w:color w:val="auto"/>
              </w:rPr>
            </w:pPr>
            <w:r>
              <w:rPr>
                <w:rFonts w:ascii="Arial" w:cs="Arial" w:eastAsia="Arial" w:hAnsi="Arial"/>
                <w:sz w:val="18"/>
                <w:szCs w:val="18"/>
                <w:color w:val="auto"/>
                <w:w w:val="99"/>
              </w:rPr>
              <w:t>4.285714222%</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3"/>
        </w:trPr>
        <w:tc>
          <w:tcPr>
            <w:tcW w:w="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Bank</w:t>
            </w:r>
          </w:p>
        </w:tc>
        <w:tc>
          <w:tcPr>
            <w:tcW w:w="13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960" w:type="dxa"/>
            <w:vAlign w:val="bottom"/>
            <w:tcBorders>
              <w:left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w w:val="92"/>
              </w:rPr>
              <w:t>Total</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$350,000,000.00</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100.000000000%</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$100,000,000.00</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100.000000000%</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$450,000,000.00</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100.00000000%</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$50,000,000.00</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$35,000,000.00</w:t>
            </w:r>
          </w:p>
        </w:tc>
        <w:tc>
          <w:tcPr>
            <w:tcW w:w="0" w:type="dxa"/>
            <w:vAlign w:val="bottom"/>
          </w:tcPr>
          <w:p>
            <w:pPr>
              <w:spacing w:after="0"/>
              <w:rPr>
                <w:sz w:val="1"/>
                <w:szCs w:val="1"/>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547" w:right="1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i w:val="1"/>
          <w:iCs w:val="1"/>
          <w:color w:val="auto"/>
        </w:rPr>
        <w:t>SCHEDULE 5.09(c)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RELEASES OF HAZARDOUS MATERIAL</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548"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i w:val="1"/>
          <w:iCs w:val="1"/>
          <w:color w:val="auto"/>
        </w:rPr>
        <w:t>SCHEDULE 5.09(d)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ENVIRONMENTAL COMPLIANCE</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547"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i w:val="1"/>
          <w:iCs w:val="1"/>
          <w:color w:val="auto"/>
        </w:rPr>
        <w:t>SCHEDULE 5.11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SHARING AGREEMENTS</w:t>
      </w:r>
    </w:p>
    <w:p>
      <w:pPr>
        <w:spacing w:after="0" w:line="200" w:lineRule="exact"/>
        <w:rPr>
          <w:sz w:val="20"/>
          <w:szCs w:val="20"/>
          <w:color w:val="auto"/>
        </w:rPr>
      </w:pPr>
    </w:p>
    <w:p>
      <w:pPr>
        <w:spacing w:after="0" w:line="334"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Tax Protection Agreement, entered into as of January 19, 2011, by and among American Assets Trust, Inc., a Maryland corporation, American Assets Trust, L.P., a Maryland limited partnership (the “Operating Partnership”), and each limited partner of the Operating Partnership identified as a signatory thereto.</w:t>
      </w:r>
    </w:p>
    <w:p>
      <w:pPr>
        <w:sectPr>
          <w:pgSz w:w="11900" w:h="16838" w:orient="portrait"/>
          <w:cols w:equalWidth="0" w:num="1">
            <w:col w:w="11420"/>
          </w:cols>
          <w:pgMar w:left="240" w:top="548"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i w:val="1"/>
          <w:iCs w:val="1"/>
          <w:color w:val="auto"/>
        </w:rPr>
        <w:t>SCHEDULE 5.12(d)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PLANS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547"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i w:val="1"/>
          <w:iCs w:val="1"/>
          <w:color w:val="auto"/>
        </w:rPr>
        <w:t>SCHEDULE 5.13</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AND OTHER EQUITY INVESTMENTS; LOAN PARTIES</w:t>
      </w:r>
    </w:p>
    <w:p>
      <w:pPr>
        <w:spacing w:after="0" w:line="172" w:lineRule="exact"/>
        <w:rPr>
          <w:sz w:val="20"/>
          <w:szCs w:val="20"/>
          <w:color w:val="auto"/>
        </w:rPr>
      </w:pPr>
    </w:p>
    <w:p>
      <w:pPr>
        <w:ind w:left="340" w:hanging="340"/>
        <w:spacing w:after="0"/>
        <w:tabs>
          <w:tab w:leader="none" w:pos="340" w:val="left"/>
        </w:tabs>
        <w:numPr>
          <w:ilvl w:val="0"/>
          <w:numId w:val="188"/>
        </w:numPr>
        <w:rPr>
          <w:rFonts w:ascii="Arial" w:cs="Arial" w:eastAsia="Arial" w:hAnsi="Arial"/>
          <w:sz w:val="17"/>
          <w:szCs w:val="17"/>
          <w:color w:val="auto"/>
        </w:rPr>
      </w:pPr>
      <w:r>
        <w:rPr>
          <w:rFonts w:ascii="Arial" w:cs="Arial" w:eastAsia="Arial" w:hAnsi="Arial"/>
          <w:sz w:val="18"/>
          <w:szCs w:val="18"/>
          <w:color w:val="auto"/>
        </w:rPr>
        <w:t>List all Subsidiaries of each Loan Party</w:t>
      </w:r>
    </w:p>
    <w:p>
      <w:pPr>
        <w:spacing w:after="0" w:line="339" w:lineRule="exact"/>
        <w:rPr>
          <w:sz w:val="20"/>
          <w:szCs w:val="20"/>
          <w:color w:val="auto"/>
        </w:rPr>
      </w:pPr>
    </w:p>
    <w:tbl>
      <w:tblPr>
        <w:tblLayout w:type="fixed"/>
        <w:tblInd w:w="410" w:type="dxa"/>
        <w:tblCellMar>
          <w:top w:w="0" w:type="dxa"/>
          <w:left w:w="0" w:type="dxa"/>
          <w:bottom w:w="0" w:type="dxa"/>
          <w:right w:w="0" w:type="dxa"/>
        </w:tblCellMar>
      </w:tblPr>
      <w:tr>
        <w:trPr>
          <w:trHeight w:val="212"/>
        </w:trPr>
        <w:tc>
          <w:tcPr>
            <w:tcW w:w="1740" w:type="dxa"/>
            <w:vAlign w:val="bottom"/>
            <w:tcBorders>
              <w:top w:val="single" w:sz="8" w:color="auto"/>
              <w:left w:val="single" w:sz="8" w:color="auto"/>
              <w:bottom w:val="single" w:sz="8" w:color="D9D9D9"/>
            </w:tcBorders>
            <w:shd w:val="clear" w:color="auto" w:fill="D9D9D9"/>
          </w:tcPr>
          <w:p>
            <w:pPr>
              <w:spacing w:after="0"/>
              <w:rPr>
                <w:sz w:val="18"/>
                <w:szCs w:val="18"/>
                <w:color w:val="auto"/>
              </w:rPr>
            </w:pPr>
          </w:p>
        </w:tc>
        <w:tc>
          <w:tcPr>
            <w:tcW w:w="900" w:type="dxa"/>
            <w:vAlign w:val="bottom"/>
            <w:tcBorders>
              <w:top w:val="single" w:sz="8" w:color="auto"/>
              <w:bottom w:val="single" w:sz="8" w:color="auto"/>
            </w:tcBorders>
            <w:vMerge w:val="restart"/>
            <w:shd w:val="clear" w:color="auto" w:fill="D9D9D9"/>
          </w:tcPr>
          <w:p>
            <w:pPr>
              <w:spacing w:after="0"/>
              <w:rPr>
                <w:sz w:val="20"/>
                <w:szCs w:val="20"/>
                <w:color w:val="auto"/>
              </w:rPr>
            </w:pPr>
            <w:r>
              <w:rPr>
                <w:rFonts w:ascii="Arial" w:cs="Arial" w:eastAsia="Arial" w:hAnsi="Arial"/>
                <w:sz w:val="18"/>
                <w:szCs w:val="18"/>
                <w:b w:val="1"/>
                <w:bCs w:val="1"/>
                <w:color w:val="auto"/>
                <w:w w:val="94"/>
              </w:rPr>
              <w:t>Loan Party</w:t>
            </w:r>
          </w:p>
        </w:tc>
        <w:tc>
          <w:tcPr>
            <w:tcW w:w="1760" w:type="dxa"/>
            <w:vAlign w:val="bottom"/>
            <w:tcBorders>
              <w:top w:val="single" w:sz="8" w:color="auto"/>
              <w:bottom w:val="single" w:sz="8" w:color="auto"/>
              <w:right w:val="single" w:sz="8" w:color="auto"/>
            </w:tcBorders>
            <w:vMerge w:val="restart"/>
            <w:shd w:val="clear" w:color="auto" w:fill="D9D9D9"/>
          </w:tcPr>
          <w:p>
            <w:pPr>
              <w:spacing w:after="0"/>
              <w:rPr>
                <w:sz w:val="18"/>
                <w:szCs w:val="18"/>
                <w:color w:val="auto"/>
              </w:rPr>
            </w:pPr>
          </w:p>
        </w:tc>
        <w:tc>
          <w:tcPr>
            <w:tcW w:w="4460" w:type="dxa"/>
            <w:vAlign w:val="bottom"/>
            <w:tcBorders>
              <w:top w:val="single" w:sz="8" w:color="auto"/>
              <w:bottom w:val="single" w:sz="8" w:color="auto"/>
              <w:right w:val="single" w:sz="8" w:color="auto"/>
            </w:tcBorders>
            <w:gridSpan w:val="3"/>
            <w:vMerge w:val="restart"/>
            <w:shd w:val="clear" w:color="auto" w:fill="D9D9D9"/>
          </w:tcPr>
          <w:p>
            <w:pPr>
              <w:ind w:left="1540"/>
              <w:spacing w:after="0"/>
              <w:rPr>
                <w:sz w:val="20"/>
                <w:szCs w:val="20"/>
                <w:color w:val="auto"/>
              </w:rPr>
            </w:pPr>
            <w:r>
              <w:rPr>
                <w:rFonts w:ascii="Arial" w:cs="Arial" w:eastAsia="Arial" w:hAnsi="Arial"/>
                <w:sz w:val="18"/>
                <w:szCs w:val="18"/>
                <w:b w:val="1"/>
                <w:bCs w:val="1"/>
                <w:color w:val="auto"/>
              </w:rPr>
              <w:t>Subsidiary Name</w:t>
            </w:r>
          </w:p>
        </w:tc>
        <w:tc>
          <w:tcPr>
            <w:tcW w:w="460" w:type="dxa"/>
            <w:vAlign w:val="bottom"/>
            <w:tcBorders>
              <w:top w:val="single" w:sz="8" w:color="auto"/>
              <w:bottom w:val="single" w:sz="8" w:color="D9D9D9"/>
              <w:right w:val="single" w:sz="8" w:color="D9D9D9"/>
            </w:tcBorders>
            <w:shd w:val="clear" w:color="auto" w:fill="D9D9D9"/>
          </w:tcPr>
          <w:p>
            <w:pPr>
              <w:spacing w:after="0"/>
              <w:rPr>
                <w:sz w:val="18"/>
                <w:szCs w:val="18"/>
                <w:color w:val="auto"/>
              </w:rPr>
            </w:pPr>
          </w:p>
        </w:tc>
        <w:tc>
          <w:tcPr>
            <w:tcW w:w="160" w:type="dxa"/>
            <w:vAlign w:val="bottom"/>
            <w:tcBorders>
              <w:top w:val="single" w:sz="8" w:color="auto"/>
              <w:bottom w:val="single" w:sz="8" w:color="D9D9D9"/>
            </w:tcBorders>
            <w:shd w:val="clear" w:color="auto" w:fill="D9D9D9"/>
          </w:tcPr>
          <w:p>
            <w:pPr>
              <w:spacing w:after="0"/>
              <w:rPr>
                <w:sz w:val="18"/>
                <w:szCs w:val="18"/>
                <w:color w:val="auto"/>
              </w:rPr>
            </w:pPr>
          </w:p>
        </w:tc>
        <w:tc>
          <w:tcPr>
            <w:tcW w:w="520" w:type="dxa"/>
            <w:vAlign w:val="bottom"/>
            <w:tcBorders>
              <w:top w:val="single" w:sz="8" w:color="auto"/>
              <w:bottom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4"/>
              </w:rPr>
              <w:t>Share/</w:t>
            </w:r>
          </w:p>
        </w:tc>
        <w:tc>
          <w:tcPr>
            <w:tcW w:w="660" w:type="dxa"/>
            <w:vAlign w:val="bottom"/>
            <w:tcBorders>
              <w:top w:val="single" w:sz="8" w:color="auto"/>
              <w:bottom w:val="single" w:sz="8" w:color="D9D9D9"/>
              <w:right w:val="single" w:sz="8" w:color="auto"/>
            </w:tcBorders>
            <w:gridSpan w:val="2"/>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740" w:type="dxa"/>
            <w:vAlign w:val="bottom"/>
            <w:tcBorders>
              <w:left w:val="single" w:sz="8" w:color="auto"/>
            </w:tcBorders>
            <w:shd w:val="clear" w:color="auto" w:fill="D9D9D9"/>
          </w:tcPr>
          <w:p>
            <w:pPr>
              <w:spacing w:after="0"/>
              <w:rPr>
                <w:sz w:val="16"/>
                <w:szCs w:val="16"/>
                <w:color w:val="auto"/>
              </w:rPr>
            </w:pPr>
          </w:p>
        </w:tc>
        <w:tc>
          <w:tcPr>
            <w:tcW w:w="900" w:type="dxa"/>
            <w:vAlign w:val="bottom"/>
            <w:vMerge w:val="continue"/>
            <w:shd w:val="clear" w:color="auto" w:fill="D9D9D9"/>
          </w:tcPr>
          <w:p>
            <w:pPr>
              <w:spacing w:after="0"/>
              <w:rPr>
                <w:sz w:val="16"/>
                <w:szCs w:val="16"/>
                <w:color w:val="auto"/>
              </w:rPr>
            </w:pPr>
          </w:p>
        </w:tc>
        <w:tc>
          <w:tcPr>
            <w:tcW w:w="1760" w:type="dxa"/>
            <w:vAlign w:val="bottom"/>
            <w:tcBorders>
              <w:right w:val="single" w:sz="8" w:color="auto"/>
            </w:tcBorders>
            <w:vMerge w:val="continue"/>
            <w:shd w:val="clear" w:color="auto" w:fill="D9D9D9"/>
          </w:tcPr>
          <w:p>
            <w:pPr>
              <w:spacing w:after="0"/>
              <w:rPr>
                <w:sz w:val="16"/>
                <w:szCs w:val="16"/>
                <w:color w:val="auto"/>
              </w:rPr>
            </w:pPr>
          </w:p>
        </w:tc>
        <w:tc>
          <w:tcPr>
            <w:tcW w:w="4460" w:type="dxa"/>
            <w:vAlign w:val="bottom"/>
            <w:tcBorders>
              <w:right w:val="single" w:sz="8" w:color="auto"/>
            </w:tcBorders>
            <w:gridSpan w:val="3"/>
            <w:vMerge w:val="continue"/>
            <w:shd w:val="clear" w:color="auto" w:fill="D9D9D9"/>
          </w:tcPr>
          <w:p>
            <w:pPr>
              <w:spacing w:after="0"/>
              <w:rPr>
                <w:sz w:val="16"/>
                <w:szCs w:val="16"/>
                <w:color w:val="auto"/>
              </w:rPr>
            </w:pPr>
          </w:p>
        </w:tc>
        <w:tc>
          <w:tcPr>
            <w:tcW w:w="460" w:type="dxa"/>
            <w:vAlign w:val="bottom"/>
            <w:tcBorders>
              <w:right w:val="single" w:sz="8" w:color="D9D9D9"/>
            </w:tcBorders>
            <w:shd w:val="clear" w:color="auto" w:fill="D9D9D9"/>
          </w:tcPr>
          <w:p>
            <w:pPr>
              <w:spacing w:after="0"/>
              <w:rPr>
                <w:sz w:val="16"/>
                <w:szCs w:val="16"/>
                <w:color w:val="auto"/>
              </w:rPr>
            </w:pPr>
          </w:p>
        </w:tc>
        <w:tc>
          <w:tcPr>
            <w:tcW w:w="1340" w:type="dxa"/>
            <w:vAlign w:val="bottom"/>
            <w:tcBorders>
              <w:right w:val="single" w:sz="8" w:color="auto"/>
            </w:tcBorders>
            <w:gridSpan w:val="4"/>
            <w:shd w:val="clear" w:color="auto" w:fill="D9D9D9"/>
          </w:tcPr>
          <w:p>
            <w:pPr>
              <w:jc w:val="center"/>
              <w:ind w:right="480"/>
              <w:spacing w:after="0" w:line="193" w:lineRule="exact"/>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0"/>
        </w:trPr>
        <w:tc>
          <w:tcPr>
            <w:tcW w:w="1740" w:type="dxa"/>
            <w:vAlign w:val="bottom"/>
            <w:tcBorders>
              <w:left w:val="single" w:sz="8" w:color="auto"/>
            </w:tcBorders>
            <w:shd w:val="clear" w:color="auto" w:fill="D9D9D9"/>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760" w:type="dxa"/>
            <w:vAlign w:val="bottom"/>
            <w:tcBorders>
              <w:right w:val="single" w:sz="8" w:color="auto"/>
            </w:tcBorders>
            <w:shd w:val="clear" w:color="auto" w:fill="D9D9D9"/>
          </w:tcPr>
          <w:p>
            <w:pPr>
              <w:spacing w:after="0" w:line="20" w:lineRule="exact"/>
              <w:rPr>
                <w:sz w:val="1"/>
                <w:szCs w:val="1"/>
                <w:color w:val="auto"/>
              </w:rPr>
            </w:pPr>
          </w:p>
        </w:tc>
        <w:tc>
          <w:tcPr>
            <w:tcW w:w="1540" w:type="dxa"/>
            <w:vAlign w:val="bottom"/>
            <w:shd w:val="clear" w:color="auto" w:fill="D9D9D9"/>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80" w:type="dxa"/>
            <w:vAlign w:val="bottom"/>
            <w:tcBorders>
              <w:right w:val="single" w:sz="8" w:color="auto"/>
            </w:tcBorders>
            <w:shd w:val="clear" w:color="auto" w:fill="D9D9D9"/>
          </w:tcPr>
          <w:p>
            <w:pPr>
              <w:spacing w:after="0" w:line="20" w:lineRule="exact"/>
              <w:rPr>
                <w:sz w:val="1"/>
                <w:szCs w:val="1"/>
                <w:color w:val="auto"/>
              </w:rPr>
            </w:pPr>
          </w:p>
        </w:tc>
        <w:tc>
          <w:tcPr>
            <w:tcW w:w="460" w:type="dxa"/>
            <w:vAlign w:val="bottom"/>
            <w:tcBorders>
              <w:right w:val="single" w:sz="8" w:color="D9D9D9"/>
            </w:tcBorders>
            <w:shd w:val="clear" w:color="auto" w:fill="D9D9D9"/>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740" w:type="dxa"/>
            <w:vAlign w:val="bottom"/>
            <w:tcBorders>
              <w:left w:val="single" w:sz="8" w:color="auto"/>
              <w:bottom w:val="single" w:sz="8" w:color="auto"/>
            </w:tcBorders>
            <w:shd w:val="clear" w:color="auto" w:fill="D9D9D9"/>
          </w:tcPr>
          <w:p>
            <w:pPr>
              <w:spacing w:after="0"/>
              <w:rPr>
                <w:sz w:val="22"/>
                <w:szCs w:val="22"/>
                <w:color w:val="auto"/>
              </w:rPr>
            </w:pPr>
          </w:p>
        </w:tc>
        <w:tc>
          <w:tcPr>
            <w:tcW w:w="900" w:type="dxa"/>
            <w:vAlign w:val="bottom"/>
            <w:tcBorders>
              <w:bottom w:val="single" w:sz="8" w:color="auto"/>
            </w:tcBorders>
            <w:shd w:val="clear" w:color="auto" w:fill="D9D9D9"/>
          </w:tcPr>
          <w:p>
            <w:pPr>
              <w:spacing w:after="0"/>
              <w:rPr>
                <w:sz w:val="22"/>
                <w:szCs w:val="22"/>
                <w:color w:val="auto"/>
              </w:rPr>
            </w:pPr>
          </w:p>
        </w:tc>
        <w:tc>
          <w:tcPr>
            <w:tcW w:w="1760" w:type="dxa"/>
            <w:vAlign w:val="bottom"/>
            <w:tcBorders>
              <w:bottom w:val="single" w:sz="8" w:color="auto"/>
              <w:right w:val="single" w:sz="8" w:color="auto"/>
            </w:tcBorders>
            <w:shd w:val="clear" w:color="auto" w:fill="D9D9D9"/>
          </w:tcPr>
          <w:p>
            <w:pPr>
              <w:spacing w:after="0"/>
              <w:rPr>
                <w:sz w:val="22"/>
                <w:szCs w:val="22"/>
                <w:color w:val="auto"/>
              </w:rPr>
            </w:pPr>
          </w:p>
        </w:tc>
        <w:tc>
          <w:tcPr>
            <w:tcW w:w="1540" w:type="dxa"/>
            <w:vAlign w:val="bottom"/>
            <w:tcBorders>
              <w:bottom w:val="single" w:sz="8" w:color="auto"/>
            </w:tcBorders>
            <w:shd w:val="clear" w:color="auto" w:fill="D9D9D9"/>
          </w:tcPr>
          <w:p>
            <w:pPr>
              <w:spacing w:after="0"/>
              <w:rPr>
                <w:sz w:val="22"/>
                <w:szCs w:val="22"/>
                <w:color w:val="auto"/>
              </w:rPr>
            </w:pPr>
          </w:p>
        </w:tc>
        <w:tc>
          <w:tcPr>
            <w:tcW w:w="1340" w:type="dxa"/>
            <w:vAlign w:val="bottom"/>
            <w:tcBorders>
              <w:bottom w:val="single" w:sz="8" w:color="auto"/>
            </w:tcBorders>
            <w:shd w:val="clear" w:color="auto" w:fill="D9D9D9"/>
          </w:tcPr>
          <w:p>
            <w:pPr>
              <w:spacing w:after="0"/>
              <w:rPr>
                <w:sz w:val="22"/>
                <w:szCs w:val="22"/>
                <w:color w:val="auto"/>
              </w:rPr>
            </w:pPr>
          </w:p>
        </w:tc>
        <w:tc>
          <w:tcPr>
            <w:tcW w:w="1580" w:type="dxa"/>
            <w:vAlign w:val="bottom"/>
            <w:tcBorders>
              <w:bottom w:val="single" w:sz="8" w:color="auto"/>
              <w:right w:val="single" w:sz="8" w:color="auto"/>
            </w:tcBorders>
            <w:shd w:val="clear" w:color="auto" w:fill="D9D9D9"/>
          </w:tcPr>
          <w:p>
            <w:pPr>
              <w:spacing w:after="0"/>
              <w:rPr>
                <w:sz w:val="22"/>
                <w:szCs w:val="22"/>
                <w:color w:val="auto"/>
              </w:rPr>
            </w:pPr>
          </w:p>
        </w:tc>
        <w:tc>
          <w:tcPr>
            <w:tcW w:w="460" w:type="dxa"/>
            <w:vAlign w:val="bottom"/>
            <w:tcBorders>
              <w:bottom w:val="single" w:sz="8" w:color="auto"/>
              <w:right w:val="single" w:sz="8" w:color="D9D9D9"/>
            </w:tcBorders>
            <w:shd w:val="clear" w:color="auto" w:fill="D9D9D9"/>
          </w:tcPr>
          <w:p>
            <w:pPr>
              <w:spacing w:after="0"/>
              <w:rPr>
                <w:sz w:val="22"/>
                <w:szCs w:val="22"/>
                <w:color w:val="auto"/>
              </w:rPr>
            </w:pPr>
          </w:p>
        </w:tc>
        <w:tc>
          <w:tcPr>
            <w:tcW w:w="1340" w:type="dxa"/>
            <w:vAlign w:val="bottom"/>
            <w:tcBorders>
              <w:bottom w:val="single" w:sz="8" w:color="auto"/>
              <w:right w:val="single" w:sz="8" w:color="auto"/>
            </w:tcBorders>
            <w:gridSpan w:val="4"/>
            <w:shd w:val="clear" w:color="auto" w:fill="D9D9D9"/>
          </w:tcPr>
          <w:p>
            <w:pPr>
              <w:jc w:val="center"/>
              <w:ind w:right="480"/>
              <w:spacing w:after="0" w:line="193" w:lineRule="exact"/>
              <w:rPr>
                <w:sz w:val="20"/>
                <w:szCs w:val="20"/>
                <w:color w:val="auto"/>
              </w:rPr>
            </w:pPr>
            <w:r>
              <w:rPr>
                <w:rFonts w:ascii="Arial" w:cs="Arial" w:eastAsia="Arial" w:hAnsi="Arial"/>
                <w:sz w:val="18"/>
                <w:szCs w:val="18"/>
                <w:b w:val="1"/>
                <w:bCs w:val="1"/>
                <w:color w:val="auto"/>
                <w:w w:val="92"/>
              </w:rPr>
              <w:t>Ownership</w:t>
            </w: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Inc.</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American Assets Trust, L.P.</w:t>
            </w:r>
          </w:p>
        </w:tc>
        <w:tc>
          <w:tcPr>
            <w:tcW w:w="180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18"/>
                <w:szCs w:val="18"/>
                <w:color w:val="auto"/>
                <w:w w:val="96"/>
              </w:rPr>
              <w:t>Approx. 73%</w:t>
            </w: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Pacific Del Mar Assets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Carmel Country Plaza, L.P.</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88"/>
              </w:rPr>
              <w:t>99%</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Pacific Carmel Mountain Assets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Pacific Carmel Mountain Holdings, L.P.</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88"/>
              </w:rPr>
              <w:t>99%</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Carmel Mountain Pad,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Pacific Solana Beach Assets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Pacific Solana Beach Holdings, L.P.</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88"/>
              </w:rPr>
              <w:t>80%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AAT Del Monte,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AAT Del Monte 2,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Beach Walk Holdings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ABW Lewers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88"/>
              </w:rPr>
              <w:t>20%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ICW Plaza Merger Sub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Pacific North Court GP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Pacific North Court Holdings, L.P.</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88"/>
              </w:rPr>
              <w:t>99%</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Pacific South Court Assets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Pacific South Court Holdings, L.P.</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88"/>
              </w:rPr>
              <w:t>99%</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Pacific Torrey Daycare Assets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Pacific Torrey Daycare Holdings, L.P.</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88"/>
              </w:rPr>
              <w:t>99%</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Landmark Venture JV,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Pacific Firecreek Holdings,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AAT Oregon Office I,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AAT Lloyd District,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AAT One Beach,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AAT CC Bellevue,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Imperial Strand Holdings,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Mariner’s Point Holdings,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AAT Waikele Center,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Broadway 225 Stonecrest Holdings,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Broadway 225 Sorrento Holdings,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EBW Hotel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Waikele Venture Holdings,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AAT Alamo Quarry,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AAT Solana 101,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AAT Geary Marketplace,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Pacific Santa Fe Assets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Pacific Santa Fe Holdings, L.P.</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88"/>
              </w:rPr>
              <w:t>99%</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American Assets Services, Inc.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American Assets Trust Management,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8" w:right="239" w:bottom="1440" w:gutter="0" w:footer="0" w:header="0"/>
        </w:sectPr>
      </w:pPr>
    </w:p>
    <w:bookmarkStart w:id="158" w:name="page159"/>
    <w:bookmarkEnd w:id="158"/>
    <w:p>
      <w:pPr>
        <w:spacing w:after="0" w:line="1" w:lineRule="exact"/>
        <w:rPr>
          <w:sz w:val="20"/>
          <w:szCs w:val="20"/>
          <w:color w:val="auto"/>
        </w:rPr>
      </w:pPr>
    </w:p>
    <w:tbl>
      <w:tblPr>
        <w:tblLayout w:type="fixed"/>
        <w:tblInd w:w="410" w:type="dxa"/>
        <w:tblCellMar>
          <w:top w:w="0" w:type="dxa"/>
          <w:left w:w="0" w:type="dxa"/>
          <w:bottom w:w="0" w:type="dxa"/>
          <w:right w:w="0" w:type="dxa"/>
        </w:tblCellMar>
      </w:tblPr>
      <w:tr>
        <w:trPr>
          <w:trHeight w:val="254"/>
        </w:trPr>
        <w:tc>
          <w:tcPr>
            <w:tcW w:w="44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Southbay Marketplace Holdings, LLC</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100%</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SB Towne Centre LLC</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100%</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Pacific Waikiki Assets, LLC</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100%</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Pacific Waikiki Holdings, L.P.</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75%</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Pacific VC Holdings, LLC</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100%</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AAT Torrey Reserve 6, LLC</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100%</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AAT Torrey Reserve 5, LLC</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100%</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AAT Torrey 13-14, LLC</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100%</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AAT Torrey Point, LLC</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100%</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SB Corporate Centre, LLC</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100%</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Loma Palisades GP LLC</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100%</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Loma Palisades, a California general partnership</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SB Corporate Centre III-IV LLC</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100%</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AAT Pacific Ridge, LLC</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100%</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AAT Gateway Marketplace, LLC</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100%</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bl>
    <w:p>
      <w:pPr>
        <w:spacing w:after="0" w:line="345" w:lineRule="exact"/>
        <w:rPr>
          <w:sz w:val="20"/>
          <w:szCs w:val="20"/>
          <w:color w:val="auto"/>
        </w:rPr>
      </w:pPr>
    </w:p>
    <w:p>
      <w:pPr>
        <w:jc w:val="both"/>
        <w:ind w:left="340" w:hanging="340"/>
        <w:spacing w:after="0" w:line="283" w:lineRule="auto"/>
        <w:tabs>
          <w:tab w:leader="none" w:pos="340" w:val="left"/>
        </w:tabs>
        <w:numPr>
          <w:ilvl w:val="0"/>
          <w:numId w:val="189"/>
        </w:numPr>
        <w:rPr>
          <w:rFonts w:ascii="Arial" w:cs="Arial" w:eastAsia="Arial" w:hAnsi="Arial"/>
          <w:sz w:val="16"/>
          <w:szCs w:val="16"/>
          <w:color w:val="auto"/>
        </w:rPr>
      </w:pPr>
      <w:r>
        <w:rPr>
          <w:rFonts w:ascii="Arial" w:cs="Arial" w:eastAsia="Arial" w:hAnsi="Arial"/>
          <w:sz w:val="17"/>
          <w:szCs w:val="17"/>
          <w:color w:val="auto"/>
        </w:rPr>
        <w:t>List a complete and accurate list of all Loan Parties, showing (as to each Loan Party) the jurisdiction of its incorporation or organization, the address of its principal place of business and its U.S. taxpayer identification number or, in the case of any non-U.S. Loan Party that does not have a U.S. taxpayer identification number, its unique identification number issued to it by the jurisdiction of its incorporation or organization</w:t>
      </w:r>
    </w:p>
    <w:p>
      <w:pPr>
        <w:spacing w:after="0" w:line="67" w:lineRule="exact"/>
        <w:rPr>
          <w:sz w:val="20"/>
          <w:szCs w:val="20"/>
          <w:color w:val="auto"/>
        </w:rPr>
      </w:pPr>
    </w:p>
    <w:tbl>
      <w:tblPr>
        <w:tblLayout w:type="fixed"/>
        <w:tblInd w:w="390" w:type="dxa"/>
        <w:tblCellMar>
          <w:top w:w="0" w:type="dxa"/>
          <w:left w:w="0" w:type="dxa"/>
          <w:bottom w:w="0" w:type="dxa"/>
          <w:right w:w="0" w:type="dxa"/>
        </w:tblCellMar>
      </w:tblPr>
      <w:tr>
        <w:trPr>
          <w:trHeight w:val="212"/>
        </w:trPr>
        <w:tc>
          <w:tcPr>
            <w:tcW w:w="1280" w:type="dxa"/>
            <w:vAlign w:val="bottom"/>
            <w:tcBorders>
              <w:top w:val="single" w:sz="8" w:color="auto"/>
              <w:left w:val="single" w:sz="8" w:color="auto"/>
              <w:bottom w:val="single" w:sz="8" w:color="D9D9D9"/>
            </w:tcBorders>
            <w:shd w:val="clear" w:color="auto" w:fill="D9D9D9"/>
          </w:tcPr>
          <w:p>
            <w:pPr>
              <w:spacing w:after="0"/>
              <w:rPr>
                <w:sz w:val="18"/>
                <w:szCs w:val="18"/>
                <w:color w:val="auto"/>
              </w:rPr>
            </w:pPr>
          </w:p>
        </w:tc>
        <w:tc>
          <w:tcPr>
            <w:tcW w:w="880" w:type="dxa"/>
            <w:vAlign w:val="bottom"/>
            <w:tcBorders>
              <w:top w:val="single" w:sz="8" w:color="auto"/>
              <w:bottom w:val="single" w:sz="8" w:color="D9D9D9"/>
            </w:tcBorders>
            <w:shd w:val="clear" w:color="auto" w:fill="D9D9D9"/>
          </w:tcPr>
          <w:p>
            <w:pPr>
              <w:spacing w:after="0"/>
              <w:rPr>
                <w:sz w:val="18"/>
                <w:szCs w:val="18"/>
                <w:color w:val="auto"/>
              </w:rPr>
            </w:pPr>
          </w:p>
        </w:tc>
        <w:tc>
          <w:tcPr>
            <w:tcW w:w="1280" w:type="dxa"/>
            <w:vAlign w:val="bottom"/>
            <w:tcBorders>
              <w:top w:val="single" w:sz="8" w:color="auto"/>
              <w:bottom w:val="single" w:sz="8" w:color="D9D9D9"/>
              <w:right w:val="single" w:sz="8" w:color="auto"/>
            </w:tcBorders>
            <w:shd w:val="clear" w:color="auto" w:fill="D9D9D9"/>
          </w:tcPr>
          <w:p>
            <w:pPr>
              <w:spacing w:after="0"/>
              <w:rPr>
                <w:sz w:val="18"/>
                <w:szCs w:val="18"/>
                <w:color w:val="auto"/>
              </w:rPr>
            </w:pPr>
          </w:p>
        </w:tc>
        <w:tc>
          <w:tcPr>
            <w:tcW w:w="2140" w:type="dxa"/>
            <w:vAlign w:val="bottom"/>
            <w:tcBorders>
              <w:top w:val="single" w:sz="8" w:color="auto"/>
              <w:bottom w:val="single" w:sz="8" w:color="auto"/>
              <w:right w:val="single" w:sz="8" w:color="auto"/>
            </w:tcBorders>
            <w:gridSpan w:val="4"/>
            <w:vMerge w:val="restart"/>
            <w:shd w:val="clear" w:color="auto" w:fill="D9D9D9"/>
          </w:tcPr>
          <w:p>
            <w:pPr>
              <w:jc w:val="center"/>
              <w:ind w:right="20"/>
              <w:spacing w:after="0"/>
              <w:rPr>
                <w:sz w:val="20"/>
                <w:szCs w:val="20"/>
                <w:color w:val="auto"/>
              </w:rPr>
            </w:pPr>
            <w:r>
              <w:rPr>
                <w:rFonts w:ascii="Arial" w:cs="Arial" w:eastAsia="Arial" w:hAnsi="Arial"/>
                <w:sz w:val="18"/>
                <w:szCs w:val="18"/>
                <w:b w:val="1"/>
                <w:bCs w:val="1"/>
                <w:color w:val="auto"/>
                <w:w w:val="90"/>
              </w:rPr>
              <w:t>Jurisdiction of</w:t>
            </w:r>
          </w:p>
        </w:tc>
        <w:tc>
          <w:tcPr>
            <w:tcW w:w="280" w:type="dxa"/>
            <w:vAlign w:val="bottom"/>
            <w:tcBorders>
              <w:top w:val="single" w:sz="8" w:color="auto"/>
              <w:bottom w:val="single" w:sz="8" w:color="D9D9D9"/>
            </w:tcBorders>
            <w:shd w:val="clear" w:color="auto" w:fill="D9D9D9"/>
          </w:tcPr>
          <w:p>
            <w:pPr>
              <w:spacing w:after="0"/>
              <w:rPr>
                <w:sz w:val="18"/>
                <w:szCs w:val="18"/>
                <w:color w:val="auto"/>
              </w:rPr>
            </w:pPr>
          </w:p>
        </w:tc>
        <w:tc>
          <w:tcPr>
            <w:tcW w:w="2600" w:type="dxa"/>
            <w:vAlign w:val="bottom"/>
            <w:tcBorders>
              <w:top w:val="single" w:sz="8" w:color="auto"/>
              <w:bottom w:val="single" w:sz="8" w:color="auto"/>
              <w:right w:val="single" w:sz="8" w:color="auto"/>
            </w:tcBorders>
            <w:gridSpan w:val="4"/>
            <w:vMerge w:val="restart"/>
            <w:shd w:val="clear" w:color="auto" w:fill="D9D9D9"/>
          </w:tcPr>
          <w:p>
            <w:pPr>
              <w:jc w:val="center"/>
              <w:ind w:right="320"/>
              <w:spacing w:after="0"/>
              <w:rPr>
                <w:sz w:val="20"/>
                <w:szCs w:val="20"/>
                <w:color w:val="auto"/>
              </w:rPr>
            </w:pPr>
            <w:r>
              <w:rPr>
                <w:rFonts w:ascii="Arial" w:cs="Arial" w:eastAsia="Arial" w:hAnsi="Arial"/>
                <w:sz w:val="18"/>
                <w:szCs w:val="18"/>
                <w:b w:val="1"/>
                <w:bCs w:val="1"/>
                <w:color w:val="auto"/>
                <w:w w:val="91"/>
              </w:rPr>
              <w:t>Address of Principal Place of</w:t>
            </w:r>
          </w:p>
        </w:tc>
        <w:tc>
          <w:tcPr>
            <w:tcW w:w="300" w:type="dxa"/>
            <w:vAlign w:val="bottom"/>
            <w:tcBorders>
              <w:top w:val="single" w:sz="8" w:color="auto"/>
              <w:bottom w:val="single" w:sz="8" w:color="D9D9D9"/>
            </w:tcBorders>
            <w:shd w:val="clear" w:color="auto" w:fill="D9D9D9"/>
          </w:tcPr>
          <w:p>
            <w:pPr>
              <w:spacing w:after="0"/>
              <w:rPr>
                <w:sz w:val="18"/>
                <w:szCs w:val="18"/>
                <w:color w:val="auto"/>
              </w:rPr>
            </w:pPr>
          </w:p>
        </w:tc>
        <w:tc>
          <w:tcPr>
            <w:tcW w:w="40" w:type="dxa"/>
            <w:vAlign w:val="bottom"/>
            <w:tcBorders>
              <w:top w:val="single" w:sz="8" w:color="auto"/>
              <w:bottom w:val="single" w:sz="8" w:color="D9D9D9"/>
            </w:tcBorders>
            <w:shd w:val="clear" w:color="auto" w:fill="D9D9D9"/>
          </w:tcPr>
          <w:p>
            <w:pPr>
              <w:spacing w:after="0"/>
              <w:rPr>
                <w:sz w:val="18"/>
                <w:szCs w:val="18"/>
                <w:color w:val="auto"/>
              </w:rPr>
            </w:pPr>
          </w:p>
        </w:tc>
        <w:tc>
          <w:tcPr>
            <w:tcW w:w="100" w:type="dxa"/>
            <w:vAlign w:val="bottom"/>
            <w:tcBorders>
              <w:top w:val="single" w:sz="8" w:color="auto"/>
              <w:bottom w:val="single" w:sz="8" w:color="D9D9D9"/>
            </w:tcBorders>
            <w:shd w:val="clear" w:color="auto" w:fill="D9D9D9"/>
          </w:tcPr>
          <w:p>
            <w:pPr>
              <w:spacing w:after="0"/>
              <w:rPr>
                <w:sz w:val="18"/>
                <w:szCs w:val="18"/>
                <w:color w:val="auto"/>
              </w:rPr>
            </w:pPr>
          </w:p>
        </w:tc>
        <w:tc>
          <w:tcPr>
            <w:tcW w:w="1320" w:type="dxa"/>
            <w:vAlign w:val="bottom"/>
            <w:tcBorders>
              <w:top w:val="single" w:sz="8" w:color="auto"/>
              <w:bottom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6"/>
              </w:rPr>
              <w:t>U.S Taxpayer ID</w:t>
            </w:r>
          </w:p>
        </w:tc>
        <w:tc>
          <w:tcPr>
            <w:tcW w:w="480" w:type="dxa"/>
            <w:vAlign w:val="bottom"/>
            <w:tcBorders>
              <w:top w:val="single" w:sz="8" w:color="auto"/>
              <w:bottom w:val="single" w:sz="8" w:color="D9D9D9"/>
              <w:right w:val="single" w:sz="8" w:color="auto"/>
            </w:tcBorders>
            <w:gridSpan w:val="3"/>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3440" w:type="dxa"/>
            <w:vAlign w:val="bottom"/>
            <w:tcBorders>
              <w:left w:val="single" w:sz="8" w:color="auto"/>
              <w:right w:val="single" w:sz="8" w:color="auto"/>
            </w:tcBorders>
            <w:gridSpan w:val="3"/>
            <w:vMerge w:val="restart"/>
            <w:shd w:val="clear" w:color="auto" w:fill="D9D9D9"/>
          </w:tcPr>
          <w:p>
            <w:pPr>
              <w:ind w:left="1280"/>
              <w:spacing w:after="0" w:line="193" w:lineRule="exact"/>
              <w:rPr>
                <w:sz w:val="20"/>
                <w:szCs w:val="20"/>
                <w:color w:val="auto"/>
              </w:rPr>
            </w:pPr>
            <w:r>
              <w:rPr>
                <w:rFonts w:ascii="Arial" w:cs="Arial" w:eastAsia="Arial" w:hAnsi="Arial"/>
                <w:sz w:val="18"/>
                <w:szCs w:val="18"/>
                <w:b w:val="1"/>
                <w:bCs w:val="1"/>
                <w:color w:val="auto"/>
              </w:rPr>
              <w:t>Loan Party</w:t>
            </w:r>
          </w:p>
        </w:tc>
        <w:tc>
          <w:tcPr>
            <w:tcW w:w="2140" w:type="dxa"/>
            <w:vAlign w:val="bottom"/>
            <w:tcBorders>
              <w:right w:val="single" w:sz="8" w:color="auto"/>
            </w:tcBorders>
            <w:gridSpan w:val="4"/>
            <w:vMerge w:val="continue"/>
            <w:shd w:val="clear" w:color="auto" w:fill="D9D9D9"/>
          </w:tcPr>
          <w:p>
            <w:pPr>
              <w:spacing w:after="0"/>
              <w:rPr>
                <w:sz w:val="6"/>
                <w:szCs w:val="6"/>
                <w:color w:val="auto"/>
              </w:rPr>
            </w:pPr>
          </w:p>
        </w:tc>
        <w:tc>
          <w:tcPr>
            <w:tcW w:w="280" w:type="dxa"/>
            <w:vAlign w:val="bottom"/>
            <w:shd w:val="clear" w:color="auto" w:fill="D9D9D9"/>
          </w:tcPr>
          <w:p>
            <w:pPr>
              <w:spacing w:after="0"/>
              <w:rPr>
                <w:sz w:val="6"/>
                <w:szCs w:val="6"/>
                <w:color w:val="auto"/>
              </w:rPr>
            </w:pPr>
          </w:p>
        </w:tc>
        <w:tc>
          <w:tcPr>
            <w:tcW w:w="2600" w:type="dxa"/>
            <w:vAlign w:val="bottom"/>
            <w:tcBorders>
              <w:right w:val="single" w:sz="8" w:color="auto"/>
            </w:tcBorders>
            <w:gridSpan w:val="4"/>
            <w:vMerge w:val="continue"/>
            <w:shd w:val="clear" w:color="auto" w:fill="D9D9D9"/>
          </w:tcPr>
          <w:p>
            <w:pPr>
              <w:spacing w:after="0"/>
              <w:rPr>
                <w:sz w:val="6"/>
                <w:szCs w:val="6"/>
                <w:color w:val="auto"/>
              </w:rPr>
            </w:pPr>
          </w:p>
        </w:tc>
        <w:tc>
          <w:tcPr>
            <w:tcW w:w="300" w:type="dxa"/>
            <w:vAlign w:val="bottom"/>
            <w:shd w:val="clear" w:color="auto" w:fill="D9D9D9"/>
          </w:tcPr>
          <w:p>
            <w:pPr>
              <w:spacing w:after="0"/>
              <w:rPr>
                <w:sz w:val="6"/>
                <w:szCs w:val="6"/>
                <w:color w:val="auto"/>
              </w:rPr>
            </w:pPr>
          </w:p>
        </w:tc>
        <w:tc>
          <w:tcPr>
            <w:tcW w:w="1940" w:type="dxa"/>
            <w:vAlign w:val="bottom"/>
            <w:tcBorders>
              <w:right w:val="single" w:sz="8" w:color="auto"/>
            </w:tcBorders>
            <w:gridSpan w:val="6"/>
            <w:vMerge w:val="restart"/>
            <w:shd w:val="clear" w:color="auto" w:fill="D9D9D9"/>
          </w:tcPr>
          <w:p>
            <w:pPr>
              <w:jc w:val="center"/>
              <w:ind w:right="340"/>
              <w:spacing w:after="0" w:line="193" w:lineRule="exact"/>
              <w:rPr>
                <w:sz w:val="20"/>
                <w:szCs w:val="20"/>
                <w:color w:val="auto"/>
              </w:rPr>
            </w:pPr>
            <w:r>
              <w:rPr>
                <w:rFonts w:ascii="Arial" w:cs="Arial" w:eastAsia="Arial" w:hAnsi="Arial"/>
                <w:sz w:val="18"/>
                <w:szCs w:val="18"/>
                <w:b w:val="1"/>
                <w:bCs w:val="1"/>
                <w:color w:val="auto"/>
                <w:w w:val="94"/>
              </w:rPr>
              <w:t>Number or non-U.S.</w:t>
            </w:r>
          </w:p>
        </w:tc>
        <w:tc>
          <w:tcPr>
            <w:tcW w:w="0" w:type="dxa"/>
            <w:vAlign w:val="bottom"/>
          </w:tcPr>
          <w:p>
            <w:pPr>
              <w:spacing w:after="0"/>
              <w:rPr>
                <w:sz w:val="1"/>
                <w:szCs w:val="1"/>
                <w:color w:val="auto"/>
              </w:rPr>
            </w:pPr>
          </w:p>
        </w:tc>
      </w:tr>
      <w:tr>
        <w:trPr>
          <w:trHeight w:val="92"/>
        </w:trPr>
        <w:tc>
          <w:tcPr>
            <w:tcW w:w="3440" w:type="dxa"/>
            <w:vAlign w:val="bottom"/>
            <w:tcBorders>
              <w:top w:val="single" w:sz="8" w:color="D9D9D9"/>
              <w:left w:val="single" w:sz="8" w:color="auto"/>
              <w:right w:val="single" w:sz="8" w:color="auto"/>
            </w:tcBorders>
            <w:gridSpan w:val="3"/>
            <w:vMerge w:val="continue"/>
            <w:shd w:val="clear" w:color="auto" w:fill="D9D9D9"/>
          </w:tcPr>
          <w:p>
            <w:pPr>
              <w:spacing w:after="0"/>
              <w:rPr>
                <w:sz w:val="8"/>
                <w:szCs w:val="8"/>
                <w:color w:val="auto"/>
              </w:rPr>
            </w:pPr>
          </w:p>
        </w:tc>
        <w:tc>
          <w:tcPr>
            <w:tcW w:w="500" w:type="dxa"/>
            <w:vAlign w:val="bottom"/>
            <w:tcBorders>
              <w:top w:val="single" w:sz="8" w:color="D9D9D9"/>
            </w:tcBorders>
            <w:shd w:val="clear" w:color="auto" w:fill="D9D9D9"/>
          </w:tcPr>
          <w:p>
            <w:pPr>
              <w:spacing w:after="0"/>
              <w:rPr>
                <w:sz w:val="8"/>
                <w:szCs w:val="8"/>
                <w:color w:val="auto"/>
              </w:rPr>
            </w:pPr>
          </w:p>
        </w:tc>
        <w:tc>
          <w:tcPr>
            <w:tcW w:w="1120" w:type="dxa"/>
            <w:vAlign w:val="bottom"/>
            <w:tcBorders>
              <w:top w:val="single" w:sz="8" w:color="auto"/>
            </w:tcBorders>
            <w:gridSpan w:val="2"/>
            <w:vMerge w:val="restart"/>
            <w:shd w:val="clear" w:color="auto" w:fill="D9D9D9"/>
          </w:tcPr>
          <w:p>
            <w:pPr>
              <w:jc w:val="center"/>
              <w:ind w:right="20"/>
              <w:spacing w:after="0" w:line="193" w:lineRule="exact"/>
              <w:rPr>
                <w:sz w:val="20"/>
                <w:szCs w:val="20"/>
                <w:color w:val="auto"/>
              </w:rPr>
            </w:pPr>
            <w:r>
              <w:rPr>
                <w:rFonts w:ascii="Arial" w:cs="Arial" w:eastAsia="Arial" w:hAnsi="Arial"/>
                <w:sz w:val="18"/>
                <w:szCs w:val="18"/>
                <w:b w:val="1"/>
                <w:bCs w:val="1"/>
                <w:color w:val="auto"/>
                <w:w w:val="94"/>
              </w:rPr>
              <w:t>Incorporation</w:t>
            </w:r>
          </w:p>
        </w:tc>
        <w:tc>
          <w:tcPr>
            <w:tcW w:w="520" w:type="dxa"/>
            <w:vAlign w:val="bottom"/>
            <w:tcBorders>
              <w:top w:val="single" w:sz="8" w:color="D9D9D9"/>
              <w:right w:val="single" w:sz="8" w:color="auto"/>
            </w:tcBorders>
            <w:vMerge w:val="restart"/>
            <w:shd w:val="clear" w:color="auto" w:fill="D9D9D9"/>
          </w:tcPr>
          <w:p>
            <w:pPr>
              <w:spacing w:after="0"/>
              <w:rPr>
                <w:sz w:val="8"/>
                <w:szCs w:val="8"/>
                <w:color w:val="auto"/>
              </w:rPr>
            </w:pPr>
          </w:p>
        </w:tc>
        <w:tc>
          <w:tcPr>
            <w:tcW w:w="280" w:type="dxa"/>
            <w:vAlign w:val="bottom"/>
            <w:tcBorders>
              <w:top w:val="single" w:sz="8" w:color="D9D9D9"/>
            </w:tcBorders>
            <w:shd w:val="clear" w:color="auto" w:fill="D9D9D9"/>
          </w:tcPr>
          <w:p>
            <w:pPr>
              <w:spacing w:after="0"/>
              <w:rPr>
                <w:sz w:val="8"/>
                <w:szCs w:val="8"/>
                <w:color w:val="auto"/>
              </w:rPr>
            </w:pPr>
          </w:p>
        </w:tc>
        <w:tc>
          <w:tcPr>
            <w:tcW w:w="800" w:type="dxa"/>
            <w:vAlign w:val="bottom"/>
            <w:tcBorders>
              <w:top w:val="single" w:sz="8" w:color="auto"/>
            </w:tcBorders>
            <w:shd w:val="clear" w:color="auto" w:fill="D9D9D9"/>
          </w:tcPr>
          <w:p>
            <w:pPr>
              <w:spacing w:after="0"/>
              <w:rPr>
                <w:sz w:val="8"/>
                <w:szCs w:val="8"/>
                <w:color w:val="auto"/>
              </w:rPr>
            </w:pPr>
          </w:p>
        </w:tc>
        <w:tc>
          <w:tcPr>
            <w:tcW w:w="1480" w:type="dxa"/>
            <w:vAlign w:val="bottom"/>
            <w:tcBorders>
              <w:top w:val="single" w:sz="8" w:color="auto"/>
            </w:tcBorders>
            <w:gridSpan w:val="2"/>
            <w:vMerge w:val="restart"/>
            <w:shd w:val="clear" w:color="auto" w:fill="D9D9D9"/>
          </w:tcPr>
          <w:p>
            <w:pPr>
              <w:jc w:val="center"/>
              <w:ind w:right="800"/>
              <w:spacing w:after="0" w:line="193" w:lineRule="exact"/>
              <w:rPr>
                <w:sz w:val="20"/>
                <w:szCs w:val="20"/>
                <w:color w:val="auto"/>
              </w:rPr>
            </w:pPr>
            <w:r>
              <w:rPr>
                <w:rFonts w:ascii="Arial" w:cs="Arial" w:eastAsia="Arial" w:hAnsi="Arial"/>
                <w:sz w:val="18"/>
                <w:szCs w:val="18"/>
                <w:b w:val="1"/>
                <w:bCs w:val="1"/>
                <w:color w:val="auto"/>
                <w:w w:val="84"/>
              </w:rPr>
              <w:t>Business</w:t>
            </w:r>
          </w:p>
        </w:tc>
        <w:tc>
          <w:tcPr>
            <w:tcW w:w="320" w:type="dxa"/>
            <w:vAlign w:val="bottom"/>
            <w:tcBorders>
              <w:top w:val="single" w:sz="8" w:color="D9D9D9"/>
              <w:right w:val="single" w:sz="8" w:color="auto"/>
            </w:tcBorders>
            <w:vMerge w:val="restart"/>
            <w:shd w:val="clear" w:color="auto" w:fill="D9D9D9"/>
          </w:tcPr>
          <w:p>
            <w:pPr>
              <w:spacing w:after="0"/>
              <w:rPr>
                <w:sz w:val="8"/>
                <w:szCs w:val="8"/>
                <w:color w:val="auto"/>
              </w:rPr>
            </w:pPr>
          </w:p>
        </w:tc>
        <w:tc>
          <w:tcPr>
            <w:tcW w:w="300" w:type="dxa"/>
            <w:vAlign w:val="bottom"/>
            <w:tcBorders>
              <w:top w:val="single" w:sz="8" w:color="D9D9D9"/>
            </w:tcBorders>
            <w:shd w:val="clear" w:color="auto" w:fill="D9D9D9"/>
          </w:tcPr>
          <w:p>
            <w:pPr>
              <w:spacing w:after="0"/>
              <w:rPr>
                <w:sz w:val="8"/>
                <w:szCs w:val="8"/>
                <w:color w:val="auto"/>
              </w:rPr>
            </w:pPr>
          </w:p>
        </w:tc>
        <w:tc>
          <w:tcPr>
            <w:tcW w:w="1940" w:type="dxa"/>
            <w:vAlign w:val="bottom"/>
            <w:tcBorders>
              <w:top w:val="single" w:sz="8" w:color="D9D9D9"/>
              <w:right w:val="single" w:sz="8" w:color="auto"/>
            </w:tcBorders>
            <w:gridSpan w:val="6"/>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280" w:type="dxa"/>
            <w:vAlign w:val="bottom"/>
            <w:tcBorders>
              <w:top w:val="single" w:sz="8" w:color="D9D9D9"/>
              <w:left w:val="single" w:sz="8" w:color="auto"/>
            </w:tcBorders>
            <w:shd w:val="clear" w:color="auto" w:fill="D9D9D9"/>
          </w:tcPr>
          <w:p>
            <w:pPr>
              <w:spacing w:after="0"/>
              <w:rPr>
                <w:sz w:val="6"/>
                <w:szCs w:val="6"/>
                <w:color w:val="auto"/>
              </w:rPr>
            </w:pPr>
          </w:p>
        </w:tc>
        <w:tc>
          <w:tcPr>
            <w:tcW w:w="880" w:type="dxa"/>
            <w:vAlign w:val="bottom"/>
            <w:tcBorders>
              <w:top w:val="single" w:sz="8" w:color="auto"/>
            </w:tcBorders>
            <w:shd w:val="clear" w:color="auto" w:fill="D9D9D9"/>
          </w:tcPr>
          <w:p>
            <w:pPr>
              <w:spacing w:after="0"/>
              <w:rPr>
                <w:sz w:val="6"/>
                <w:szCs w:val="6"/>
                <w:color w:val="auto"/>
              </w:rPr>
            </w:pPr>
          </w:p>
        </w:tc>
        <w:tc>
          <w:tcPr>
            <w:tcW w:w="1280" w:type="dxa"/>
            <w:vAlign w:val="bottom"/>
            <w:tcBorders>
              <w:top w:val="single" w:sz="8" w:color="D9D9D9"/>
              <w:right w:val="single" w:sz="8" w:color="auto"/>
            </w:tcBorders>
            <w:shd w:val="clear" w:color="auto" w:fill="D9D9D9"/>
          </w:tcPr>
          <w:p>
            <w:pPr>
              <w:spacing w:after="0"/>
              <w:rPr>
                <w:sz w:val="6"/>
                <w:szCs w:val="6"/>
                <w:color w:val="auto"/>
              </w:rPr>
            </w:pPr>
          </w:p>
        </w:tc>
        <w:tc>
          <w:tcPr>
            <w:tcW w:w="500" w:type="dxa"/>
            <w:vAlign w:val="bottom"/>
            <w:tcBorders>
              <w:top w:val="single" w:sz="8" w:color="D9D9D9"/>
            </w:tcBorders>
            <w:shd w:val="clear" w:color="auto" w:fill="D9D9D9"/>
          </w:tcPr>
          <w:p>
            <w:pPr>
              <w:spacing w:after="0"/>
              <w:rPr>
                <w:sz w:val="6"/>
                <w:szCs w:val="6"/>
                <w:color w:val="auto"/>
              </w:rPr>
            </w:pPr>
          </w:p>
        </w:tc>
        <w:tc>
          <w:tcPr>
            <w:tcW w:w="1120" w:type="dxa"/>
            <w:vAlign w:val="bottom"/>
            <w:tcBorders>
              <w:top w:val="single" w:sz="8" w:color="auto"/>
            </w:tcBorders>
            <w:gridSpan w:val="2"/>
            <w:vMerge w:val="continue"/>
            <w:shd w:val="clear" w:color="auto" w:fill="D9D9D9"/>
          </w:tcPr>
          <w:p>
            <w:pPr>
              <w:spacing w:after="0"/>
              <w:rPr>
                <w:sz w:val="6"/>
                <w:szCs w:val="6"/>
                <w:color w:val="auto"/>
              </w:rPr>
            </w:pPr>
          </w:p>
        </w:tc>
        <w:tc>
          <w:tcPr>
            <w:tcW w:w="520" w:type="dxa"/>
            <w:vAlign w:val="bottom"/>
            <w:tcBorders>
              <w:top w:val="single" w:sz="8" w:color="D9D9D9"/>
              <w:right w:val="single" w:sz="8" w:color="auto"/>
            </w:tcBorders>
            <w:vMerge w:val="continue"/>
            <w:shd w:val="clear" w:color="auto" w:fill="D9D9D9"/>
          </w:tcPr>
          <w:p>
            <w:pPr>
              <w:spacing w:after="0"/>
              <w:rPr>
                <w:sz w:val="6"/>
                <w:szCs w:val="6"/>
                <w:color w:val="auto"/>
              </w:rPr>
            </w:pPr>
          </w:p>
        </w:tc>
        <w:tc>
          <w:tcPr>
            <w:tcW w:w="280" w:type="dxa"/>
            <w:vAlign w:val="bottom"/>
            <w:tcBorders>
              <w:top w:val="single" w:sz="8" w:color="D9D9D9"/>
            </w:tcBorders>
            <w:shd w:val="clear" w:color="auto" w:fill="D9D9D9"/>
          </w:tcPr>
          <w:p>
            <w:pPr>
              <w:spacing w:after="0"/>
              <w:rPr>
                <w:sz w:val="6"/>
                <w:szCs w:val="6"/>
                <w:color w:val="auto"/>
              </w:rPr>
            </w:pPr>
          </w:p>
        </w:tc>
        <w:tc>
          <w:tcPr>
            <w:tcW w:w="800" w:type="dxa"/>
            <w:vAlign w:val="bottom"/>
            <w:tcBorders>
              <w:top w:val="single" w:sz="8" w:color="D9D9D9"/>
            </w:tcBorders>
            <w:shd w:val="clear" w:color="auto" w:fill="D9D9D9"/>
          </w:tcPr>
          <w:p>
            <w:pPr>
              <w:spacing w:after="0"/>
              <w:rPr>
                <w:sz w:val="6"/>
                <w:szCs w:val="6"/>
                <w:color w:val="auto"/>
              </w:rPr>
            </w:pPr>
          </w:p>
        </w:tc>
        <w:tc>
          <w:tcPr>
            <w:tcW w:w="1480" w:type="dxa"/>
            <w:vAlign w:val="bottom"/>
            <w:tcBorders>
              <w:top w:val="single" w:sz="8" w:color="auto"/>
            </w:tcBorders>
            <w:gridSpan w:val="2"/>
            <w:vMerge w:val="continue"/>
            <w:shd w:val="clear" w:color="auto" w:fill="D9D9D9"/>
          </w:tcPr>
          <w:p>
            <w:pPr>
              <w:spacing w:after="0"/>
              <w:rPr>
                <w:sz w:val="6"/>
                <w:szCs w:val="6"/>
                <w:color w:val="auto"/>
              </w:rPr>
            </w:pPr>
          </w:p>
        </w:tc>
        <w:tc>
          <w:tcPr>
            <w:tcW w:w="320" w:type="dxa"/>
            <w:vAlign w:val="bottom"/>
            <w:tcBorders>
              <w:top w:val="single" w:sz="8" w:color="D9D9D9"/>
              <w:right w:val="single" w:sz="8" w:color="auto"/>
            </w:tcBorders>
            <w:vMerge w:val="continue"/>
            <w:shd w:val="clear" w:color="auto" w:fill="D9D9D9"/>
          </w:tcPr>
          <w:p>
            <w:pPr>
              <w:spacing w:after="0"/>
              <w:rPr>
                <w:sz w:val="6"/>
                <w:szCs w:val="6"/>
                <w:color w:val="auto"/>
              </w:rPr>
            </w:pPr>
          </w:p>
        </w:tc>
        <w:tc>
          <w:tcPr>
            <w:tcW w:w="300" w:type="dxa"/>
            <w:vAlign w:val="bottom"/>
            <w:tcBorders>
              <w:top w:val="single" w:sz="8" w:color="D9D9D9"/>
            </w:tcBorders>
            <w:shd w:val="clear" w:color="auto" w:fill="D9D9D9"/>
          </w:tcPr>
          <w:p>
            <w:pPr>
              <w:spacing w:after="0"/>
              <w:rPr>
                <w:sz w:val="6"/>
                <w:szCs w:val="6"/>
                <w:color w:val="auto"/>
              </w:rPr>
            </w:pPr>
          </w:p>
        </w:tc>
        <w:tc>
          <w:tcPr>
            <w:tcW w:w="40" w:type="dxa"/>
            <w:vAlign w:val="bottom"/>
            <w:tcBorders>
              <w:top w:val="single" w:sz="8" w:color="auto"/>
            </w:tcBorders>
            <w:shd w:val="clear" w:color="auto" w:fill="D9D9D9"/>
          </w:tcPr>
          <w:p>
            <w:pPr>
              <w:spacing w:after="0"/>
              <w:rPr>
                <w:sz w:val="6"/>
                <w:szCs w:val="6"/>
                <w:color w:val="auto"/>
              </w:rPr>
            </w:pPr>
          </w:p>
        </w:tc>
        <w:tc>
          <w:tcPr>
            <w:tcW w:w="1560" w:type="dxa"/>
            <w:vAlign w:val="bottom"/>
            <w:tcBorders>
              <w:top w:val="single" w:sz="8" w:color="auto"/>
            </w:tcBorders>
            <w:gridSpan w:val="4"/>
            <w:vMerge w:val="restart"/>
            <w:shd w:val="clear" w:color="auto" w:fill="D9D9D9"/>
          </w:tcPr>
          <w:p>
            <w:pPr>
              <w:jc w:val="center"/>
              <w:ind w:right="40"/>
              <w:spacing w:after="0" w:line="193" w:lineRule="exact"/>
              <w:rPr>
                <w:sz w:val="20"/>
                <w:szCs w:val="20"/>
                <w:color w:val="auto"/>
              </w:rPr>
            </w:pPr>
            <w:r>
              <w:rPr>
                <w:rFonts w:ascii="Arial" w:cs="Arial" w:eastAsia="Arial" w:hAnsi="Arial"/>
                <w:sz w:val="18"/>
                <w:szCs w:val="18"/>
                <w:b w:val="1"/>
                <w:bCs w:val="1"/>
                <w:color w:val="auto"/>
                <w:w w:val="96"/>
              </w:rPr>
              <w:t>Unique ID Number</w:t>
            </w:r>
          </w:p>
        </w:tc>
        <w:tc>
          <w:tcPr>
            <w:tcW w:w="340" w:type="dxa"/>
            <w:vAlign w:val="bottom"/>
            <w:tcBorders>
              <w:top w:val="single" w:sz="8" w:color="D9D9D9"/>
              <w:right w:val="single" w:sz="8" w:color="auto"/>
            </w:tcBorders>
            <w:vMerge w:val="restart"/>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1280" w:type="dxa"/>
            <w:vAlign w:val="bottom"/>
            <w:tcBorders>
              <w:top w:val="single" w:sz="8" w:color="D9D9D9"/>
              <w:left w:val="single" w:sz="8" w:color="auto"/>
              <w:bottom w:val="single" w:sz="8" w:color="auto"/>
            </w:tcBorders>
            <w:shd w:val="clear" w:color="auto" w:fill="D9D9D9"/>
          </w:tcPr>
          <w:p>
            <w:pPr>
              <w:spacing w:after="0"/>
              <w:rPr>
                <w:sz w:val="13"/>
                <w:szCs w:val="13"/>
                <w:color w:val="auto"/>
              </w:rPr>
            </w:pPr>
          </w:p>
        </w:tc>
        <w:tc>
          <w:tcPr>
            <w:tcW w:w="880" w:type="dxa"/>
            <w:vAlign w:val="bottom"/>
            <w:tcBorders>
              <w:top w:val="single" w:sz="8" w:color="D9D9D9"/>
              <w:bottom w:val="single" w:sz="8" w:color="auto"/>
            </w:tcBorders>
            <w:shd w:val="clear" w:color="auto" w:fill="D9D9D9"/>
          </w:tcPr>
          <w:p>
            <w:pPr>
              <w:spacing w:after="0"/>
              <w:rPr>
                <w:sz w:val="13"/>
                <w:szCs w:val="13"/>
                <w:color w:val="auto"/>
              </w:rPr>
            </w:pPr>
          </w:p>
        </w:tc>
        <w:tc>
          <w:tcPr>
            <w:tcW w:w="1280" w:type="dxa"/>
            <w:vAlign w:val="bottom"/>
            <w:tcBorders>
              <w:top w:val="single" w:sz="8" w:color="D9D9D9"/>
              <w:bottom w:val="single" w:sz="8" w:color="auto"/>
              <w:right w:val="single" w:sz="8" w:color="auto"/>
            </w:tcBorders>
            <w:shd w:val="clear" w:color="auto" w:fill="D9D9D9"/>
          </w:tcPr>
          <w:p>
            <w:pPr>
              <w:spacing w:after="0"/>
              <w:rPr>
                <w:sz w:val="13"/>
                <w:szCs w:val="13"/>
                <w:color w:val="auto"/>
              </w:rPr>
            </w:pPr>
          </w:p>
        </w:tc>
        <w:tc>
          <w:tcPr>
            <w:tcW w:w="500" w:type="dxa"/>
            <w:vAlign w:val="bottom"/>
            <w:tcBorders>
              <w:top w:val="single" w:sz="8" w:color="D9D9D9"/>
              <w:bottom w:val="single" w:sz="8" w:color="auto"/>
            </w:tcBorders>
            <w:shd w:val="clear" w:color="auto" w:fill="D9D9D9"/>
          </w:tcPr>
          <w:p>
            <w:pPr>
              <w:spacing w:after="0"/>
              <w:rPr>
                <w:sz w:val="13"/>
                <w:szCs w:val="13"/>
                <w:color w:val="auto"/>
              </w:rPr>
            </w:pPr>
          </w:p>
        </w:tc>
        <w:tc>
          <w:tcPr>
            <w:tcW w:w="1100" w:type="dxa"/>
            <w:vAlign w:val="bottom"/>
            <w:tcBorders>
              <w:top w:val="single" w:sz="8" w:color="auto"/>
              <w:bottom w:val="single" w:sz="8" w:color="auto"/>
            </w:tcBorders>
            <w:shd w:val="clear" w:color="auto" w:fill="D9D9D9"/>
          </w:tcPr>
          <w:p>
            <w:pPr>
              <w:spacing w:after="0"/>
              <w:rPr>
                <w:sz w:val="13"/>
                <w:szCs w:val="13"/>
                <w:color w:val="auto"/>
              </w:rPr>
            </w:pPr>
          </w:p>
        </w:tc>
        <w:tc>
          <w:tcPr>
            <w:tcW w:w="20" w:type="dxa"/>
            <w:vAlign w:val="bottom"/>
            <w:tcBorders>
              <w:top w:val="single" w:sz="8" w:color="D9D9D9"/>
              <w:bottom w:val="single" w:sz="8" w:color="auto"/>
            </w:tcBorders>
            <w:shd w:val="clear" w:color="auto" w:fill="D9D9D9"/>
          </w:tcPr>
          <w:p>
            <w:pPr>
              <w:spacing w:after="0"/>
              <w:rPr>
                <w:sz w:val="13"/>
                <w:szCs w:val="13"/>
                <w:color w:val="auto"/>
              </w:rPr>
            </w:pPr>
          </w:p>
        </w:tc>
        <w:tc>
          <w:tcPr>
            <w:tcW w:w="520" w:type="dxa"/>
            <w:vAlign w:val="bottom"/>
            <w:tcBorders>
              <w:top w:val="single" w:sz="8" w:color="D9D9D9"/>
              <w:bottom w:val="single" w:sz="8" w:color="auto"/>
              <w:right w:val="single" w:sz="8" w:color="auto"/>
            </w:tcBorders>
            <w:shd w:val="clear" w:color="auto" w:fill="D9D9D9"/>
          </w:tcPr>
          <w:p>
            <w:pPr>
              <w:spacing w:after="0"/>
              <w:rPr>
                <w:sz w:val="13"/>
                <w:szCs w:val="13"/>
                <w:color w:val="auto"/>
              </w:rPr>
            </w:pPr>
          </w:p>
        </w:tc>
        <w:tc>
          <w:tcPr>
            <w:tcW w:w="280" w:type="dxa"/>
            <w:vAlign w:val="bottom"/>
            <w:tcBorders>
              <w:top w:val="single" w:sz="8" w:color="D9D9D9"/>
              <w:bottom w:val="single" w:sz="8" w:color="auto"/>
            </w:tcBorders>
            <w:shd w:val="clear" w:color="auto" w:fill="D9D9D9"/>
          </w:tcPr>
          <w:p>
            <w:pPr>
              <w:spacing w:after="0"/>
              <w:rPr>
                <w:sz w:val="13"/>
                <w:szCs w:val="13"/>
                <w:color w:val="auto"/>
              </w:rPr>
            </w:pPr>
          </w:p>
        </w:tc>
        <w:tc>
          <w:tcPr>
            <w:tcW w:w="800" w:type="dxa"/>
            <w:vAlign w:val="bottom"/>
            <w:tcBorders>
              <w:top w:val="single" w:sz="8" w:color="D9D9D9"/>
              <w:bottom w:val="single" w:sz="8" w:color="auto"/>
            </w:tcBorders>
            <w:shd w:val="clear" w:color="auto" w:fill="D9D9D9"/>
          </w:tcPr>
          <w:p>
            <w:pPr>
              <w:spacing w:after="0"/>
              <w:rPr>
                <w:sz w:val="13"/>
                <w:szCs w:val="13"/>
                <w:color w:val="auto"/>
              </w:rPr>
            </w:pPr>
          </w:p>
        </w:tc>
        <w:tc>
          <w:tcPr>
            <w:tcW w:w="680" w:type="dxa"/>
            <w:vAlign w:val="bottom"/>
            <w:tcBorders>
              <w:top w:val="single" w:sz="8" w:color="auto"/>
              <w:bottom w:val="single" w:sz="8" w:color="auto"/>
            </w:tcBorders>
            <w:shd w:val="clear" w:color="auto" w:fill="D9D9D9"/>
          </w:tcPr>
          <w:p>
            <w:pPr>
              <w:spacing w:after="0"/>
              <w:rPr>
                <w:sz w:val="13"/>
                <w:szCs w:val="13"/>
                <w:color w:val="auto"/>
              </w:rPr>
            </w:pPr>
          </w:p>
        </w:tc>
        <w:tc>
          <w:tcPr>
            <w:tcW w:w="800" w:type="dxa"/>
            <w:vAlign w:val="bottom"/>
            <w:tcBorders>
              <w:top w:val="single" w:sz="8" w:color="D9D9D9"/>
              <w:bottom w:val="single" w:sz="8" w:color="auto"/>
            </w:tcBorders>
            <w:shd w:val="clear" w:color="auto" w:fill="D9D9D9"/>
          </w:tcPr>
          <w:p>
            <w:pPr>
              <w:spacing w:after="0"/>
              <w:rPr>
                <w:sz w:val="13"/>
                <w:szCs w:val="13"/>
                <w:color w:val="auto"/>
              </w:rPr>
            </w:pPr>
          </w:p>
        </w:tc>
        <w:tc>
          <w:tcPr>
            <w:tcW w:w="320" w:type="dxa"/>
            <w:vAlign w:val="bottom"/>
            <w:tcBorders>
              <w:top w:val="single" w:sz="8" w:color="D9D9D9"/>
              <w:bottom w:val="single" w:sz="8" w:color="auto"/>
              <w:right w:val="single" w:sz="8" w:color="auto"/>
            </w:tcBorders>
            <w:shd w:val="clear" w:color="auto" w:fill="D9D9D9"/>
          </w:tcPr>
          <w:p>
            <w:pPr>
              <w:spacing w:after="0"/>
              <w:rPr>
                <w:sz w:val="13"/>
                <w:szCs w:val="13"/>
                <w:color w:val="auto"/>
              </w:rPr>
            </w:pPr>
          </w:p>
        </w:tc>
        <w:tc>
          <w:tcPr>
            <w:tcW w:w="300" w:type="dxa"/>
            <w:vAlign w:val="bottom"/>
            <w:tcBorders>
              <w:top w:val="single" w:sz="8" w:color="D9D9D9"/>
              <w:bottom w:val="single" w:sz="8" w:color="auto"/>
            </w:tcBorders>
            <w:shd w:val="clear" w:color="auto" w:fill="D9D9D9"/>
          </w:tcPr>
          <w:p>
            <w:pPr>
              <w:spacing w:after="0"/>
              <w:rPr>
                <w:sz w:val="13"/>
                <w:szCs w:val="13"/>
                <w:color w:val="auto"/>
              </w:rPr>
            </w:pPr>
          </w:p>
        </w:tc>
        <w:tc>
          <w:tcPr>
            <w:tcW w:w="40" w:type="dxa"/>
            <w:vAlign w:val="bottom"/>
            <w:tcBorders>
              <w:top w:val="single" w:sz="8" w:color="D9D9D9"/>
              <w:bottom w:val="single" w:sz="8" w:color="auto"/>
            </w:tcBorders>
            <w:shd w:val="clear" w:color="auto" w:fill="D9D9D9"/>
          </w:tcPr>
          <w:p>
            <w:pPr>
              <w:spacing w:after="0"/>
              <w:rPr>
                <w:sz w:val="13"/>
                <w:szCs w:val="13"/>
                <w:color w:val="auto"/>
              </w:rPr>
            </w:pPr>
          </w:p>
        </w:tc>
        <w:tc>
          <w:tcPr>
            <w:tcW w:w="1560" w:type="dxa"/>
            <w:vAlign w:val="bottom"/>
            <w:tcBorders>
              <w:top w:val="single" w:sz="8" w:color="auto"/>
              <w:bottom w:val="single" w:sz="8" w:color="auto"/>
            </w:tcBorders>
            <w:gridSpan w:val="4"/>
            <w:vMerge w:val="continue"/>
            <w:shd w:val="clear" w:color="auto" w:fill="D9D9D9"/>
          </w:tcPr>
          <w:p>
            <w:pPr>
              <w:spacing w:after="0"/>
              <w:rPr>
                <w:sz w:val="13"/>
                <w:szCs w:val="13"/>
                <w:color w:val="auto"/>
              </w:rPr>
            </w:pPr>
          </w:p>
        </w:tc>
        <w:tc>
          <w:tcPr>
            <w:tcW w:w="340" w:type="dxa"/>
            <w:vAlign w:val="bottom"/>
            <w:tcBorders>
              <w:top w:val="single" w:sz="8" w:color="D9D9D9"/>
              <w:bottom w:val="single" w:sz="8" w:color="auto"/>
              <w:right w:val="single" w:sz="8" w:color="auto"/>
            </w:tcBorders>
            <w:vMerge w:val="continue"/>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280" w:type="dxa"/>
            <w:vAlign w:val="bottom"/>
            <w:tcBorders>
              <w:lef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11455 El Camino Real,</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4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Inc.</w:t>
            </w:r>
          </w:p>
        </w:tc>
        <w:tc>
          <w:tcPr>
            <w:tcW w:w="500" w:type="dxa"/>
            <w:vAlign w:val="bottom"/>
          </w:tcPr>
          <w:p>
            <w:pPr>
              <w:spacing w:after="0"/>
              <w:rPr>
                <w:sz w:val="20"/>
                <w:szCs w:val="20"/>
                <w:color w:val="auto"/>
              </w:rPr>
            </w:pPr>
          </w:p>
        </w:tc>
        <w:tc>
          <w:tcPr>
            <w:tcW w:w="1640" w:type="dxa"/>
            <w:vAlign w:val="bottom"/>
            <w:tcBorders>
              <w:right w:val="single" w:sz="8" w:color="auto"/>
            </w:tcBorders>
            <w:gridSpan w:val="3"/>
          </w:tcPr>
          <w:p>
            <w:pPr>
              <w:jc w:val="center"/>
              <w:ind w:right="520"/>
              <w:spacing w:after="0"/>
              <w:rPr>
                <w:sz w:val="20"/>
                <w:szCs w:val="20"/>
                <w:color w:val="auto"/>
              </w:rPr>
            </w:pPr>
            <w:r>
              <w:rPr>
                <w:rFonts w:ascii="Arial" w:cs="Arial" w:eastAsia="Arial" w:hAnsi="Arial"/>
                <w:sz w:val="18"/>
                <w:szCs w:val="18"/>
                <w:color w:val="auto"/>
                <w:w w:val="97"/>
              </w:rPr>
              <w:t>Maryland</w:t>
            </w:r>
          </w:p>
        </w:tc>
        <w:tc>
          <w:tcPr>
            <w:tcW w:w="288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Ste. 200, San Diego, CA</w:t>
            </w:r>
          </w:p>
        </w:tc>
        <w:tc>
          <w:tcPr>
            <w:tcW w:w="1760" w:type="dxa"/>
            <w:vAlign w:val="bottom"/>
            <w:gridSpan w:val="4"/>
          </w:tcPr>
          <w:p>
            <w:pPr>
              <w:jc w:val="center"/>
              <w:ind w:left="348"/>
              <w:spacing w:after="0"/>
              <w:rPr>
                <w:sz w:val="20"/>
                <w:szCs w:val="20"/>
                <w:color w:val="auto"/>
              </w:rPr>
            </w:pPr>
            <w:r>
              <w:rPr>
                <w:rFonts w:ascii="Arial" w:cs="Arial" w:eastAsia="Arial" w:hAnsi="Arial"/>
                <w:sz w:val="18"/>
                <w:szCs w:val="18"/>
                <w:color w:val="auto"/>
                <w:w w:val="91"/>
              </w:rPr>
              <w:t>27-3338708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280" w:type="dxa"/>
            <w:vAlign w:val="bottom"/>
            <w:tcBorders>
              <w:left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1280" w:type="dxa"/>
            <w:vAlign w:val="bottom"/>
            <w:tcBorders>
              <w:lef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11455 El Camino Real,</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4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500" w:type="dxa"/>
            <w:vAlign w:val="bottom"/>
          </w:tcPr>
          <w:p>
            <w:pPr>
              <w:spacing w:after="0"/>
              <w:rPr>
                <w:sz w:val="20"/>
                <w:szCs w:val="20"/>
                <w:color w:val="auto"/>
              </w:rPr>
            </w:pPr>
          </w:p>
        </w:tc>
        <w:tc>
          <w:tcPr>
            <w:tcW w:w="1640" w:type="dxa"/>
            <w:vAlign w:val="bottom"/>
            <w:tcBorders>
              <w:right w:val="single" w:sz="8" w:color="auto"/>
            </w:tcBorders>
            <w:gridSpan w:val="3"/>
          </w:tcPr>
          <w:p>
            <w:pPr>
              <w:jc w:val="center"/>
              <w:ind w:right="520"/>
              <w:spacing w:after="0"/>
              <w:rPr>
                <w:sz w:val="20"/>
                <w:szCs w:val="20"/>
                <w:color w:val="auto"/>
              </w:rPr>
            </w:pPr>
            <w:r>
              <w:rPr>
                <w:rFonts w:ascii="Arial" w:cs="Arial" w:eastAsia="Arial" w:hAnsi="Arial"/>
                <w:sz w:val="18"/>
                <w:szCs w:val="18"/>
                <w:color w:val="auto"/>
                <w:w w:val="97"/>
              </w:rPr>
              <w:t>Maryland</w:t>
            </w:r>
          </w:p>
        </w:tc>
        <w:tc>
          <w:tcPr>
            <w:tcW w:w="288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Ste. 200, San Diego, CA</w:t>
            </w:r>
          </w:p>
        </w:tc>
        <w:tc>
          <w:tcPr>
            <w:tcW w:w="1760" w:type="dxa"/>
            <w:vAlign w:val="bottom"/>
            <w:gridSpan w:val="4"/>
          </w:tcPr>
          <w:p>
            <w:pPr>
              <w:jc w:val="center"/>
              <w:ind w:left="348"/>
              <w:spacing w:after="0"/>
              <w:rPr>
                <w:sz w:val="20"/>
                <w:szCs w:val="20"/>
                <w:color w:val="auto"/>
              </w:rPr>
            </w:pPr>
            <w:r>
              <w:rPr>
                <w:rFonts w:ascii="Arial" w:cs="Arial" w:eastAsia="Arial" w:hAnsi="Arial"/>
                <w:sz w:val="18"/>
                <w:szCs w:val="18"/>
                <w:color w:val="auto"/>
                <w:w w:val="91"/>
              </w:rPr>
              <w:t>27-3338894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280" w:type="dxa"/>
            <w:vAlign w:val="bottom"/>
            <w:tcBorders>
              <w:left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9" w:right="239" w:bottom="1440" w:gutter="0" w:footer="0" w:header="0"/>
        </w:sectPr>
      </w:pPr>
    </w:p>
    <w:bookmarkStart w:id="159" w:name="page160"/>
    <w:bookmarkEnd w:id="15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1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100" w:type="dxa"/>
            <w:vAlign w:val="bottom"/>
            <w:gridSpan w:val="3"/>
          </w:tcPr>
          <w:p>
            <w:pPr>
              <w:ind w:left="500"/>
              <w:spacing w:after="0"/>
              <w:rPr>
                <w:sz w:val="20"/>
                <w:szCs w:val="20"/>
                <w:color w:val="auto"/>
              </w:rPr>
            </w:pPr>
            <w:r>
              <w:rPr>
                <w:rFonts w:ascii="Arial" w:cs="Arial" w:eastAsia="Arial" w:hAnsi="Arial"/>
                <w:sz w:val="18"/>
                <w:szCs w:val="18"/>
                <w:b w:val="1"/>
                <w:bCs w:val="1"/>
                <w:i w:val="1"/>
                <w:iCs w:val="1"/>
                <w:color w:val="auto"/>
                <w:w w:val="94"/>
              </w:rPr>
              <w:t>SCHEDULE 7.01(m)</w:t>
            </w:r>
          </w:p>
        </w:tc>
      </w:tr>
      <w:tr>
        <w:trPr>
          <w:trHeight w:val="375"/>
        </w:trPr>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60" w:type="dxa"/>
            <w:vAlign w:val="bottom"/>
            <w:gridSpan w:val="5"/>
          </w:tcPr>
          <w:p>
            <w:pPr>
              <w:ind w:left="660"/>
              <w:spacing w:after="0"/>
              <w:rPr>
                <w:sz w:val="20"/>
                <w:szCs w:val="20"/>
                <w:color w:val="auto"/>
              </w:rPr>
            </w:pPr>
            <w:r>
              <w:rPr>
                <w:rFonts w:ascii="Arial" w:cs="Arial" w:eastAsia="Arial" w:hAnsi="Arial"/>
                <w:sz w:val="18"/>
                <w:szCs w:val="18"/>
                <w:b w:val="1"/>
                <w:bCs w:val="1"/>
                <w:color w:val="auto"/>
              </w:rPr>
              <w:t>Existing LIENS</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83"/>
        </w:trPr>
        <w:tc>
          <w:tcPr>
            <w:tcW w:w="1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r>
        <w:trPr>
          <w:trHeight w:val="255"/>
        </w:trPr>
        <w:tc>
          <w:tcPr>
            <w:tcW w:w="1260" w:type="dxa"/>
            <w:vAlign w:val="bottom"/>
            <w:tcBorders>
              <w:left w:val="single" w:sz="8" w:color="auto"/>
              <w:bottom w:val="single" w:sz="8" w:color="auto"/>
            </w:tcBorders>
            <w:shd w:val="clear" w:color="auto" w:fill="D9D9D9"/>
          </w:tcPr>
          <w:p>
            <w:pPr>
              <w:spacing w:after="0"/>
              <w:rPr>
                <w:sz w:val="22"/>
                <w:szCs w:val="22"/>
                <w:color w:val="auto"/>
              </w:rPr>
            </w:pPr>
          </w:p>
        </w:tc>
        <w:tc>
          <w:tcPr>
            <w:tcW w:w="2280" w:type="dxa"/>
            <w:vAlign w:val="bottom"/>
            <w:tcBorders>
              <w:bottom w:val="single" w:sz="8" w:color="auto"/>
              <w:right w:val="single" w:sz="8" w:color="auto"/>
            </w:tcBorders>
            <w:gridSpan w:val="2"/>
            <w:shd w:val="clear" w:color="auto" w:fill="D9D9D9"/>
          </w:tcPr>
          <w:p>
            <w:pPr>
              <w:spacing w:after="0" w:line="193" w:lineRule="exact"/>
              <w:rPr>
                <w:sz w:val="20"/>
                <w:szCs w:val="20"/>
                <w:color w:val="auto"/>
              </w:rPr>
            </w:pPr>
            <w:r>
              <w:rPr>
                <w:rFonts w:ascii="Arial" w:cs="Arial" w:eastAsia="Arial" w:hAnsi="Arial"/>
                <w:sz w:val="18"/>
                <w:szCs w:val="18"/>
                <w:b w:val="1"/>
                <w:bCs w:val="1"/>
                <w:color w:val="auto"/>
              </w:rPr>
              <w:t>Entity Name</w:t>
            </w:r>
          </w:p>
        </w:tc>
        <w:tc>
          <w:tcPr>
            <w:tcW w:w="500" w:type="dxa"/>
            <w:vAlign w:val="bottom"/>
            <w:tcBorders>
              <w:bottom w:val="single" w:sz="8" w:color="auto"/>
            </w:tcBorders>
            <w:shd w:val="clear" w:color="auto" w:fill="D9D9D9"/>
          </w:tcPr>
          <w:p>
            <w:pPr>
              <w:spacing w:after="0"/>
              <w:rPr>
                <w:sz w:val="22"/>
                <w:szCs w:val="22"/>
                <w:color w:val="auto"/>
              </w:rPr>
            </w:pPr>
          </w:p>
        </w:tc>
        <w:tc>
          <w:tcPr>
            <w:tcW w:w="1620" w:type="dxa"/>
            <w:vAlign w:val="bottom"/>
            <w:tcBorders>
              <w:bottom w:val="single" w:sz="8" w:color="auto"/>
              <w:right w:val="single" w:sz="8" w:color="auto"/>
            </w:tcBorders>
            <w:gridSpan w:val="2"/>
            <w:shd w:val="clear" w:color="auto" w:fill="D9D9D9"/>
          </w:tcPr>
          <w:p>
            <w:pPr>
              <w:spacing w:after="0" w:line="193" w:lineRule="exact"/>
              <w:rPr>
                <w:sz w:val="20"/>
                <w:szCs w:val="20"/>
                <w:color w:val="auto"/>
              </w:rPr>
            </w:pPr>
            <w:r>
              <w:rPr>
                <w:rFonts w:ascii="Arial" w:cs="Arial" w:eastAsia="Arial" w:hAnsi="Arial"/>
                <w:sz w:val="18"/>
                <w:szCs w:val="18"/>
                <w:b w:val="1"/>
                <w:bCs w:val="1"/>
                <w:color w:val="auto"/>
              </w:rPr>
              <w:t>UCC Number</w:t>
            </w:r>
          </w:p>
        </w:tc>
        <w:tc>
          <w:tcPr>
            <w:tcW w:w="800" w:type="dxa"/>
            <w:vAlign w:val="bottom"/>
            <w:tcBorders>
              <w:bottom w:val="single" w:sz="8" w:color="auto"/>
            </w:tcBorders>
            <w:shd w:val="clear" w:color="auto" w:fill="D9D9D9"/>
          </w:tcPr>
          <w:p>
            <w:pPr>
              <w:spacing w:after="0"/>
              <w:rPr>
                <w:sz w:val="22"/>
                <w:szCs w:val="22"/>
                <w:color w:val="auto"/>
              </w:rPr>
            </w:pPr>
          </w:p>
        </w:tc>
        <w:tc>
          <w:tcPr>
            <w:tcW w:w="1540" w:type="dxa"/>
            <w:vAlign w:val="bottom"/>
            <w:tcBorders>
              <w:bottom w:val="single" w:sz="8" w:color="auto"/>
              <w:right w:val="single" w:sz="8" w:color="auto"/>
            </w:tcBorders>
            <w:gridSpan w:val="2"/>
            <w:shd w:val="clear" w:color="auto" w:fill="D9D9D9"/>
          </w:tcPr>
          <w:p>
            <w:pPr>
              <w:jc w:val="center"/>
              <w:ind w:right="840"/>
              <w:spacing w:after="0" w:line="193" w:lineRule="exact"/>
              <w:rPr>
                <w:sz w:val="20"/>
                <w:szCs w:val="20"/>
                <w:color w:val="auto"/>
              </w:rPr>
            </w:pPr>
            <w:r>
              <w:rPr>
                <w:rFonts w:ascii="Arial" w:cs="Arial" w:eastAsia="Arial" w:hAnsi="Arial"/>
                <w:sz w:val="18"/>
                <w:szCs w:val="18"/>
                <w:b w:val="1"/>
                <w:bCs w:val="1"/>
                <w:color w:val="auto"/>
                <w:w w:val="93"/>
              </w:rPr>
              <w:t>Location</w:t>
            </w:r>
          </w:p>
        </w:tc>
        <w:tc>
          <w:tcPr>
            <w:tcW w:w="2660" w:type="dxa"/>
            <w:vAlign w:val="bottom"/>
            <w:tcBorders>
              <w:bottom w:val="single" w:sz="8" w:color="auto"/>
              <w:right w:val="single" w:sz="8" w:color="auto"/>
            </w:tcBorders>
            <w:gridSpan w:val="3"/>
            <w:shd w:val="clear" w:color="auto" w:fill="D9D9D9"/>
          </w:tcPr>
          <w:p>
            <w:pPr>
              <w:ind w:left="920"/>
              <w:spacing w:after="0" w:line="193" w:lineRule="exact"/>
              <w:rPr>
                <w:sz w:val="20"/>
                <w:szCs w:val="20"/>
                <w:color w:val="auto"/>
              </w:rPr>
            </w:pPr>
            <w:r>
              <w:rPr>
                <w:rFonts w:ascii="Arial" w:cs="Arial" w:eastAsia="Arial" w:hAnsi="Arial"/>
                <w:sz w:val="18"/>
                <w:szCs w:val="18"/>
                <w:b w:val="1"/>
                <w:bCs w:val="1"/>
                <w:color w:val="auto"/>
              </w:rPr>
              <w:t>Collateral</w:t>
            </w:r>
          </w:p>
        </w:tc>
        <w:tc>
          <w:tcPr>
            <w:tcW w:w="360" w:type="dxa"/>
            <w:vAlign w:val="bottom"/>
          </w:tcPr>
          <w:p>
            <w:pPr>
              <w:spacing w:after="0"/>
              <w:rPr>
                <w:sz w:val="22"/>
                <w:szCs w:val="22"/>
                <w:color w:val="auto"/>
              </w:rPr>
            </w:pPr>
          </w:p>
        </w:tc>
      </w:tr>
      <w:tr>
        <w:trPr>
          <w:trHeight w:val="213"/>
        </w:trPr>
        <w:tc>
          <w:tcPr>
            <w:tcW w:w="3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ABW Lewers LLC</w:t>
            </w:r>
          </w:p>
        </w:tc>
        <w:tc>
          <w:tcPr>
            <w:tcW w:w="1580" w:type="dxa"/>
            <w:vAlign w:val="bottom"/>
            <w:gridSpan w:val="2"/>
          </w:tcPr>
          <w:p>
            <w:pPr>
              <w:jc w:val="center"/>
              <w:ind w:left="428"/>
              <w:spacing w:after="0"/>
              <w:rPr>
                <w:sz w:val="20"/>
                <w:szCs w:val="20"/>
                <w:color w:val="auto"/>
              </w:rPr>
            </w:pPr>
            <w:r>
              <w:rPr>
                <w:rFonts w:ascii="Arial" w:cs="Arial" w:eastAsia="Arial" w:hAnsi="Arial"/>
                <w:sz w:val="18"/>
                <w:szCs w:val="18"/>
                <w:color w:val="auto"/>
                <w:w w:val="92"/>
              </w:rPr>
              <w:t>2006-227575</w:t>
            </w:r>
          </w:p>
        </w:tc>
        <w:tc>
          <w:tcPr>
            <w:tcW w:w="5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Hawaii Bureau of</w:t>
            </w:r>
          </w:p>
        </w:tc>
        <w:tc>
          <w:tcPr>
            <w:tcW w:w="26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Equipment Lease Filing</w:t>
            </w:r>
          </w:p>
        </w:tc>
        <w:tc>
          <w:tcPr>
            <w:tcW w:w="360" w:type="dxa"/>
            <w:vAlign w:val="bottom"/>
          </w:tcPr>
          <w:p>
            <w:pPr>
              <w:spacing w:after="0"/>
              <w:rPr>
                <w:sz w:val="18"/>
                <w:szCs w:val="18"/>
                <w:color w:val="auto"/>
              </w:rPr>
            </w:pPr>
          </w:p>
        </w:tc>
      </w:tr>
      <w:tr>
        <w:trPr>
          <w:trHeight w:val="233"/>
        </w:trPr>
        <w:tc>
          <w:tcPr>
            <w:tcW w:w="1260" w:type="dxa"/>
            <w:vAlign w:val="bottom"/>
            <w:tcBorders>
              <w:left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Conveyances</w:t>
            </w: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r>
      <w:tr>
        <w:trPr>
          <w:trHeight w:val="21"/>
        </w:trPr>
        <w:tc>
          <w:tcPr>
            <w:tcW w:w="1260" w:type="dxa"/>
            <w:vAlign w:val="bottom"/>
            <w:tcBorders>
              <w:left w:val="single" w:sz="8" w:color="auto"/>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4"/>
        </w:trPr>
        <w:tc>
          <w:tcPr>
            <w:tcW w:w="3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Del Monte Centre Holdings LLC</w:t>
            </w:r>
          </w:p>
        </w:tc>
        <w:tc>
          <w:tcPr>
            <w:tcW w:w="21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08-7176897215</w:t>
            </w:r>
          </w:p>
        </w:tc>
        <w:tc>
          <w:tcPr>
            <w:tcW w:w="23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3"/>
              </w:rPr>
              <w:t>California Secretary of State</w:t>
            </w:r>
          </w:p>
        </w:tc>
        <w:tc>
          <w:tcPr>
            <w:tcW w:w="26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Equipment Lease Filing</w:t>
            </w:r>
          </w:p>
        </w:tc>
        <w:tc>
          <w:tcPr>
            <w:tcW w:w="360" w:type="dxa"/>
            <w:vAlign w:val="bottom"/>
          </w:tcPr>
          <w:p>
            <w:pPr>
              <w:spacing w:after="0"/>
              <w:rPr>
                <w:sz w:val="20"/>
                <w:szCs w:val="20"/>
                <w:color w:val="auto"/>
              </w:rPr>
            </w:pPr>
          </w:p>
        </w:tc>
      </w:tr>
      <w:tr>
        <w:trPr>
          <w:trHeight w:val="21"/>
        </w:trPr>
        <w:tc>
          <w:tcPr>
            <w:tcW w:w="1260" w:type="dxa"/>
            <w:vAlign w:val="bottom"/>
            <w:tcBorders>
              <w:left w:val="single" w:sz="8" w:color="auto"/>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3"/>
        </w:trPr>
        <w:tc>
          <w:tcPr>
            <w:tcW w:w="3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EBW Hotel LLC</w:t>
            </w:r>
          </w:p>
        </w:tc>
        <w:tc>
          <w:tcPr>
            <w:tcW w:w="1580" w:type="dxa"/>
            <w:vAlign w:val="bottom"/>
            <w:gridSpan w:val="2"/>
          </w:tcPr>
          <w:p>
            <w:pPr>
              <w:jc w:val="center"/>
              <w:ind w:left="428"/>
              <w:spacing w:after="0"/>
              <w:rPr>
                <w:sz w:val="20"/>
                <w:szCs w:val="20"/>
                <w:color w:val="auto"/>
              </w:rPr>
            </w:pPr>
            <w:r>
              <w:rPr>
                <w:rFonts w:ascii="Arial" w:cs="Arial" w:eastAsia="Arial" w:hAnsi="Arial"/>
                <w:sz w:val="18"/>
                <w:szCs w:val="18"/>
                <w:color w:val="auto"/>
                <w:w w:val="92"/>
              </w:rPr>
              <w:t>2007-045320</w:t>
            </w:r>
          </w:p>
        </w:tc>
        <w:tc>
          <w:tcPr>
            <w:tcW w:w="5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Hawaii Bureau of</w:t>
            </w:r>
          </w:p>
        </w:tc>
        <w:tc>
          <w:tcPr>
            <w:tcW w:w="26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Equipment Lease Filing</w:t>
            </w:r>
          </w:p>
        </w:tc>
        <w:tc>
          <w:tcPr>
            <w:tcW w:w="360" w:type="dxa"/>
            <w:vAlign w:val="bottom"/>
          </w:tcPr>
          <w:p>
            <w:pPr>
              <w:spacing w:after="0"/>
              <w:rPr>
                <w:sz w:val="18"/>
                <w:szCs w:val="18"/>
                <w:color w:val="auto"/>
              </w:rPr>
            </w:pPr>
          </w:p>
        </w:tc>
      </w:tr>
      <w:tr>
        <w:trPr>
          <w:trHeight w:val="233"/>
        </w:trPr>
        <w:tc>
          <w:tcPr>
            <w:tcW w:w="1260" w:type="dxa"/>
            <w:vAlign w:val="bottom"/>
            <w:tcBorders>
              <w:left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Conveyances</w:t>
            </w: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r>
      <w:tr>
        <w:trPr>
          <w:trHeight w:val="21"/>
        </w:trPr>
        <w:tc>
          <w:tcPr>
            <w:tcW w:w="1260" w:type="dxa"/>
            <w:vAlign w:val="bottom"/>
            <w:tcBorders>
              <w:left w:val="single" w:sz="8" w:color="auto"/>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4"/>
        </w:trPr>
        <w:tc>
          <w:tcPr>
            <w:tcW w:w="3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Pacific Oceanside Holdings LLC</w:t>
            </w:r>
          </w:p>
        </w:tc>
        <w:tc>
          <w:tcPr>
            <w:tcW w:w="1580" w:type="dxa"/>
            <w:vAlign w:val="bottom"/>
            <w:gridSpan w:val="2"/>
          </w:tcPr>
          <w:p>
            <w:pPr>
              <w:jc w:val="center"/>
              <w:ind w:left="428"/>
              <w:spacing w:after="0"/>
              <w:rPr>
                <w:sz w:val="20"/>
                <w:szCs w:val="20"/>
                <w:color w:val="auto"/>
              </w:rPr>
            </w:pPr>
            <w:r>
              <w:rPr>
                <w:rFonts w:ascii="Arial" w:cs="Arial" w:eastAsia="Arial" w:hAnsi="Arial"/>
                <w:sz w:val="18"/>
                <w:szCs w:val="18"/>
                <w:color w:val="auto"/>
                <w:w w:val="91"/>
              </w:rPr>
              <w:t>09-720959113</w:t>
            </w:r>
          </w:p>
        </w:tc>
        <w:tc>
          <w:tcPr>
            <w:tcW w:w="54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3"/>
              </w:rPr>
              <w:t>California Secretary of State</w:t>
            </w:r>
          </w:p>
        </w:tc>
        <w:tc>
          <w:tcPr>
            <w:tcW w:w="26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Equipment Lease Filing</w:t>
            </w:r>
          </w:p>
        </w:tc>
        <w:tc>
          <w:tcPr>
            <w:tcW w:w="360" w:type="dxa"/>
            <w:vAlign w:val="bottom"/>
          </w:tcPr>
          <w:p>
            <w:pPr>
              <w:spacing w:after="0"/>
              <w:rPr>
                <w:sz w:val="20"/>
                <w:szCs w:val="20"/>
                <w:color w:val="auto"/>
              </w:rPr>
            </w:pPr>
          </w:p>
        </w:tc>
      </w:tr>
      <w:tr>
        <w:trPr>
          <w:trHeight w:val="21"/>
        </w:trPr>
        <w:tc>
          <w:tcPr>
            <w:tcW w:w="1260" w:type="dxa"/>
            <w:vAlign w:val="bottom"/>
            <w:tcBorders>
              <w:left w:val="single" w:sz="8" w:color="auto"/>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ectPr>
          <w:pgSz w:w="11900" w:h="16838" w:orient="portrait"/>
          <w:cols w:equalWidth="0" w:num="1">
            <w:col w:w="11020"/>
          </w:cols>
          <w:pgMar w:left="640" w:top="548"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i w:val="1"/>
          <w:iCs w:val="1"/>
          <w:color w:val="auto"/>
        </w:rPr>
        <w:t>SCHEDULE 7.03</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Existing investments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547"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i w:val="1"/>
          <w:iCs w:val="1"/>
          <w:color w:val="auto"/>
        </w:rPr>
        <w:t>SCHEDULE 10.02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ADMINISTRATIVE AGENT’S OFFICE, CERTAIN ADDRESSES FOR NOTICES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Robert F. Barton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EVP, 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11455 El Camino Real, Suite 200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rbarton@americanassets.com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Telephone: (858) 350-2600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Fax: (858) 350-2620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Adam Wyll</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SVP, General Counsel</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11455 El Camino Real, Suite 200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awyll@americanassets.com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Telephone: (858) 350-2600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Fax: (858) 350-2620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Website: </w:t>
      </w:r>
      <w:r>
        <w:rPr>
          <w:rFonts w:ascii="Arial" w:cs="Arial" w:eastAsia="Arial" w:hAnsi="Arial"/>
          <w:sz w:val="18"/>
          <w:szCs w:val="18"/>
          <w:u w:val="single" w:color="auto"/>
          <w:color w:val="0000FF"/>
        </w:rPr>
        <w:t>www.americanassetstrust.com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Robert F. Barton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EVP, 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11455 El Camino Real, Suite 200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rbarton@americanassets.com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Telephone: (858) 350-2600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Fax: (858) 350-2620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Adam Wyll</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SVP, General Counsel</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11455 El Camino Real, Suite 200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awyll@americanassets.com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Telephone: (858) 350-2600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Fax: (858) 350-2620</w:t>
      </w:r>
    </w:p>
    <w:p>
      <w:pPr>
        <w:sectPr>
          <w:pgSz w:w="11900" w:h="16838" w:orient="portrait"/>
          <w:cols w:equalWidth="0" w:num="1">
            <w:col w:w="11420"/>
          </w:cols>
          <w:pgMar w:left="240" w:top="548" w:right="2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ADMINISTRATIVE AGENT: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Administrative Agent’s Office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payments and Requests for Credit Extensions):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Building 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2380 Performance Dr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Mail Code: TX2-984-03-23</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Richardson, TX 75082</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Attention: Kesha Martinez</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Telephone: (469) 201-8836</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Fax: (214) 290-9416</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Electronic Mail: kesha.martinez@bankofamerica.com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Account Bank Name: Bank of America, NA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ABA#: 026009593</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Account: 1366072250600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Attention: Wire Clearing Acct for Syn Loans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Reference: American Assets Trust</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Notices as Administrative Agent</w:t>
      </w:r>
      <w:r>
        <w:rPr>
          <w:rFonts w:ascii="Arial" w:cs="Arial" w:eastAsia="Arial" w:hAnsi="Arial"/>
          <w:sz w:val="18"/>
          <w:szCs w:val="18"/>
          <w:i w:val="1"/>
          <w:i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Agency Management</w:t>
      </w:r>
    </w:p>
    <w:p>
      <w:pPr>
        <w:spacing w:after="0" w:line="197" w:lineRule="auto"/>
        <w:rPr>
          <w:sz w:val="20"/>
          <w:szCs w:val="20"/>
          <w:color w:val="auto"/>
        </w:rPr>
      </w:pPr>
      <w:r>
        <w:rPr>
          <w:rFonts w:ascii="Arial" w:cs="Arial" w:eastAsia="Arial" w:hAnsi="Arial"/>
          <w:sz w:val="18"/>
          <w:szCs w:val="18"/>
          <w:color w:val="auto"/>
        </w:rPr>
        <w:t>222 Broadway, 14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Mail Code: NY3-222-14-03</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10038</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Attention: Paley Chen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Telephone: (646) 556-0753</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Telecopier: (212) 548-8944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Electronic Mail: </w:t>
      </w:r>
      <w:r>
        <w:rPr>
          <w:rFonts w:ascii="Arial" w:cs="Arial" w:eastAsia="Arial" w:hAnsi="Arial"/>
          <w:sz w:val="18"/>
          <w:szCs w:val="18"/>
          <w:u w:val="single" w:color="auto"/>
          <w:color w:val="0000FF"/>
        </w:rPr>
        <w:t>Paley.Chen@baml.com</w:t>
      </w:r>
    </w:p>
    <w:p>
      <w:pPr>
        <w:sectPr>
          <w:pgSz w:w="11900" w:h="16838" w:orient="portrait"/>
          <w:cols w:equalWidth="0" w:num="1">
            <w:col w:w="10219"/>
          </w:cols>
          <w:pgMar w:left="240" w:top="543" w:right="1440"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L/C ISSUERS: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Wells Fargo Bank, National Association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Letter of Credit requests):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401 B Street, Suite 1100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92101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Attention: Dale Northup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Telephone: (619) 699-3025</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Electronic Mail: </w:t>
      </w:r>
      <w:r>
        <w:rPr>
          <w:rFonts w:ascii="Arial" w:cs="Arial" w:eastAsia="Arial" w:hAnsi="Arial"/>
          <w:sz w:val="18"/>
          <w:szCs w:val="18"/>
          <w:u w:val="single" w:color="auto"/>
          <w:color w:val="0000FF"/>
        </w:rPr>
        <w:t>Dale.A.Northup@wellsfargo.com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With a CC: to Ryan Gawel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Electronic Mail: </w:t>
      </w:r>
      <w:r>
        <w:rPr>
          <w:rFonts w:ascii="Arial" w:cs="Arial" w:eastAsia="Arial" w:hAnsi="Arial"/>
          <w:sz w:val="18"/>
          <w:szCs w:val="18"/>
          <w:u w:val="single" w:color="auto"/>
          <w:color w:val="0000FF"/>
        </w:rPr>
        <w:t>Ryan.S.Gawel@wellsfargo.com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 respect to issued Letters of Credit):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w:t>
      </w:r>
    </w:p>
    <w:p>
      <w:pPr>
        <w:spacing w:after="0" w:line="194" w:lineRule="auto"/>
        <w:rPr>
          <w:sz w:val="20"/>
          <w:szCs w:val="20"/>
          <w:color w:val="auto"/>
        </w:rPr>
      </w:pPr>
      <w:r>
        <w:rPr>
          <w:rFonts w:ascii="Arial" w:cs="Arial" w:eastAsia="Arial" w:hAnsi="Arial"/>
          <w:sz w:val="18"/>
          <w:szCs w:val="18"/>
          <w:color w:val="auto"/>
        </w:rPr>
        <w:t>600 South 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w:t>
      </w:r>
    </w:p>
    <w:p>
      <w:pPr>
        <w:spacing w:after="0" w:line="196" w:lineRule="auto"/>
        <w:rPr>
          <w:sz w:val="20"/>
          <w:szCs w:val="20"/>
          <w:color w:val="auto"/>
        </w:rPr>
      </w:pPr>
      <w:r>
        <w:rPr>
          <w:rFonts w:ascii="Arial" w:cs="Arial" w:eastAsia="Arial" w:hAnsi="Arial"/>
          <w:sz w:val="18"/>
          <w:szCs w:val="18"/>
          <w:color w:val="auto"/>
        </w:rPr>
        <w:t>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Minneapolis, MN 55415</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Attention: Mary Kjornes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Telephone: (612) 667-7440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Facsimile: (866) 968-5584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Electronic Mail: </w:t>
      </w:r>
      <w:r>
        <w:rPr>
          <w:rFonts w:ascii="Arial" w:cs="Arial" w:eastAsia="Arial" w:hAnsi="Arial"/>
          <w:sz w:val="18"/>
          <w:szCs w:val="18"/>
          <w:u w:val="single" w:color="auto"/>
          <w:color w:val="0000FF"/>
        </w:rPr>
        <w:t>Mary.B.Kjornes@wellsfargo.com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Bank of America, N.A.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Trade Operations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 Fleet Way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Mail Code: PA6-580-02-30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Scranton, PA 18507</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Telephone: (570) 496-9619</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Telecopier: (800) 755-8740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Electronic Mail: </w:t>
      </w:r>
      <w:r>
        <w:rPr>
          <w:rFonts w:ascii="Arial" w:cs="Arial" w:eastAsia="Arial" w:hAnsi="Arial"/>
          <w:sz w:val="18"/>
          <w:szCs w:val="18"/>
          <w:u w:val="single" w:color="auto"/>
          <w:color w:val="0000FF"/>
        </w:rPr>
        <w:t>tradeclientserviceteam@baml.com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Attn: Michael Grizzanti</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PNC Bank, National Association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6750 Miller Road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Brecksville, OH 44141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Attention: Myra Ollison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Loan Administrator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Telephone: (440) 546-7434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Facsimile: (877) 718-2638</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Electronic Mail: </w:t>
      </w:r>
      <w:r>
        <w:rPr>
          <w:rFonts w:ascii="Arial" w:cs="Arial" w:eastAsia="Arial" w:hAnsi="Arial"/>
          <w:sz w:val="18"/>
          <w:szCs w:val="18"/>
          <w:u w:val="single" w:color="auto"/>
          <w:color w:val="0000FF"/>
        </w:rPr>
        <w:t>Myra.ollison@pnc.com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Bank National Association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NSLS Deal Administrator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555 SW Oak Street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Portland, Oregon 97204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Attention: Deal Administrator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Telephone: (920) 237-7601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Facsimile: (866) 721-7062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Electronic Mail: </w:t>
      </w:r>
      <w:r>
        <w:rPr>
          <w:rFonts w:ascii="Arial" w:cs="Arial" w:eastAsia="Arial" w:hAnsi="Arial"/>
          <w:sz w:val="16"/>
          <w:szCs w:val="16"/>
          <w:u w:val="single" w:color="auto"/>
          <w:color w:val="0000FF"/>
        </w:rPr>
        <w:t>CLSSyndicationServicesTeam@USBank.com</w:t>
      </w:r>
    </w:p>
    <w:p>
      <w:pPr>
        <w:sectPr>
          <w:pgSz w:w="11900" w:h="16838" w:orient="portrait"/>
          <w:cols w:equalWidth="0" w:num="1">
            <w:col w:w="10219"/>
          </w:cols>
          <w:pgMar w:left="240" w:top="743" w:right="1440"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SWING LINE LENDERS: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Wells Fargo Bank, National Association</w:t>
      </w:r>
    </w:p>
    <w:p>
      <w:pPr>
        <w:spacing w:after="0" w:line="209" w:lineRule="auto"/>
        <w:rPr>
          <w:sz w:val="20"/>
          <w:szCs w:val="20"/>
          <w:color w:val="auto"/>
        </w:rPr>
      </w:pPr>
      <w:r>
        <w:rPr>
          <w:rFonts w:ascii="Arial" w:cs="Arial" w:eastAsia="Arial" w:hAnsi="Arial"/>
          <w:sz w:val="18"/>
          <w:szCs w:val="18"/>
          <w:color w:val="auto"/>
        </w:rPr>
        <w:t>600 South 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w:t>
      </w:r>
    </w:p>
    <w:p>
      <w:pPr>
        <w:spacing w:after="0" w:line="195" w:lineRule="auto"/>
        <w:rPr>
          <w:sz w:val="20"/>
          <w:szCs w:val="20"/>
          <w:color w:val="auto"/>
        </w:rPr>
      </w:pPr>
      <w:r>
        <w:rPr>
          <w:rFonts w:ascii="Arial" w:cs="Arial" w:eastAsia="Arial" w:hAnsi="Arial"/>
          <w:sz w:val="18"/>
          <w:szCs w:val="18"/>
          <w:color w:val="auto"/>
        </w:rPr>
        <w:t>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55415</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Attention: Mary Kjornes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Telephone: (612)667-7440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Facsimile: (866) 968-5584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Electronic Mail: </w:t>
      </w:r>
      <w:r>
        <w:rPr>
          <w:rFonts w:ascii="Arial" w:cs="Arial" w:eastAsia="Arial" w:hAnsi="Arial"/>
          <w:sz w:val="18"/>
          <w:szCs w:val="18"/>
          <w:u w:val="single" w:color="auto"/>
          <w:color w:val="0000FF"/>
        </w:rPr>
        <w:t>Mary.B.Kjornes@wellsfargo.com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Bank of America, N.A.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Building 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2380 Performance Dr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Mail Code: TX2-984-03-23</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Richardson, TX 75082</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Attention: Kesha Martinez</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Telephone: (469) 201-8836</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Fax: (214) 290-9416</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Electronic Mail: </w:t>
      </w:r>
      <w:r>
        <w:rPr>
          <w:rFonts w:ascii="Arial" w:cs="Arial" w:eastAsia="Arial" w:hAnsi="Arial"/>
          <w:sz w:val="18"/>
          <w:szCs w:val="18"/>
          <w:u w:val="single" w:color="auto"/>
          <w:color w:val="0000FF"/>
        </w:rPr>
        <w:t>kesha.martinez@bankofamerica.com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PNC Bank, National Association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6750 Miller Road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Brecksville, OH 44141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Attention: Myra Ollison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Loan Administrator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Telephone: (440) 546-7434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Facsimile: (877) 718-2638</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Electronic Mail: </w:t>
      </w:r>
      <w:r>
        <w:rPr>
          <w:rFonts w:ascii="Arial" w:cs="Arial" w:eastAsia="Arial" w:hAnsi="Arial"/>
          <w:sz w:val="18"/>
          <w:szCs w:val="18"/>
          <w:u w:val="single" w:color="auto"/>
          <w:color w:val="0000FF"/>
        </w:rPr>
        <w:t>Myra.ollison@pnc.com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Bank National Association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NSLS Deal Administrator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555 SW Oak Street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Portland, Oregon 97204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Attention: Deal Administrator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Telephone: (920) 237-7601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Facsimile: (866) 721-7062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Electronic Mail: </w:t>
      </w:r>
      <w:r>
        <w:rPr>
          <w:rFonts w:ascii="Arial" w:cs="Arial" w:eastAsia="Arial" w:hAnsi="Arial"/>
          <w:sz w:val="16"/>
          <w:szCs w:val="16"/>
          <w:u w:val="single" w:color="auto"/>
          <w:color w:val="0000FF"/>
        </w:rPr>
        <w:t>CLSSyndicationServicesTeam@USBank.com</w:t>
      </w:r>
    </w:p>
    <w:p>
      <w:pPr>
        <w:sectPr>
          <w:pgSz w:w="11900" w:h="16838" w:orient="portrait"/>
          <w:cols w:equalWidth="0" w:num="1">
            <w:col w:w="10219"/>
          </w:cols>
          <w:pgMar w:left="240" w:top="543" w:right="1440"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i w:val="1"/>
          <w:iCs w:val="1"/>
          <w:color w:val="auto"/>
        </w:rPr>
        <w:t>EXHIBIT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LOAN NOTICE</w:t>
      </w:r>
    </w:p>
    <w:p>
      <w:pPr>
        <w:spacing w:after="0" w:line="222" w:lineRule="exact"/>
        <w:rPr>
          <w:sz w:val="20"/>
          <w:szCs w:val="20"/>
          <w:color w:val="auto"/>
        </w:rPr>
      </w:pPr>
    </w:p>
    <w:p>
      <w:pPr>
        <w:ind w:left="9440"/>
        <w:spacing w:after="0"/>
        <w:rPr>
          <w:sz w:val="20"/>
          <w:szCs w:val="20"/>
          <w:color w:val="auto"/>
        </w:rPr>
      </w:pPr>
      <w:r>
        <w:rPr>
          <w:rFonts w:ascii="Arial" w:cs="Arial" w:eastAsia="Arial" w:hAnsi="Arial"/>
          <w:sz w:val="16"/>
          <w:szCs w:val="16"/>
          <w:color w:val="auto"/>
        </w:rPr>
        <w:t>Date: ___________, _____</w:t>
      </w:r>
    </w:p>
    <w:p>
      <w:pPr>
        <w:spacing w:after="0" w:line="4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Bank of America, N.A., as Administrative Agent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Reference is made to that certain Second Amended and Restated Credit Agreement, dated as of January 9, 2018 (as amended, restated, extended, supplemented or otherwise modified in writing from time to time, the “</w:t>
      </w:r>
      <w:r>
        <w:rPr>
          <w:rFonts w:ascii="Arial" w:cs="Arial" w:eastAsia="Arial" w:hAnsi="Arial"/>
          <w:sz w:val="17"/>
          <w:szCs w:val="17"/>
          <w:u w:val="single" w:color="auto"/>
          <w:color w:val="auto"/>
        </w:rPr>
        <w:t>Agreement</w:t>
      </w:r>
      <w:r>
        <w:rPr>
          <w:rFonts w:ascii="Arial" w:cs="Arial" w:eastAsia="Arial" w:hAnsi="Arial"/>
          <w:sz w:val="17"/>
          <w:szCs w:val="17"/>
          <w:color w:val="auto"/>
        </w:rPr>
        <w:t>;” the terms defined therein being used herein as therein defined), among American Assets Trust, Inc., a Maryland corporation, American Assets Trust, L.P., a Maryland limited partnership (the “</w:t>
      </w:r>
      <w:r>
        <w:rPr>
          <w:rFonts w:ascii="Arial" w:cs="Arial" w:eastAsia="Arial" w:hAnsi="Arial"/>
          <w:sz w:val="17"/>
          <w:szCs w:val="17"/>
          <w:u w:val="single" w:color="auto"/>
          <w:color w:val="auto"/>
        </w:rPr>
        <w:t>Borrower</w:t>
      </w:r>
      <w:r>
        <w:rPr>
          <w:rFonts w:ascii="Arial" w:cs="Arial" w:eastAsia="Arial" w:hAnsi="Arial"/>
          <w:sz w:val="17"/>
          <w:szCs w:val="17"/>
          <w:color w:val="auto"/>
        </w:rPr>
        <w:t>”), the Lenders, L/C Issuers and Swing Line Lenders from time to time party thereto, and Bank of America, N.A., as Administrative Agent.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requests (select one):</w:t>
      </w:r>
    </w:p>
    <w:p>
      <w:pPr>
        <w:spacing w:after="0" w:line="155" w:lineRule="exact"/>
        <w:rPr>
          <w:sz w:val="20"/>
          <w:szCs w:val="20"/>
          <w:color w:val="auto"/>
        </w:rPr>
      </w:pPr>
    </w:p>
    <w:p>
      <w:pPr>
        <w:ind w:left="1220" w:hanging="596"/>
        <w:spacing w:after="0"/>
        <w:tabs>
          <w:tab w:leader="none" w:pos="122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Borrowing of Revolving Credit Loans</w:t>
      </w:r>
    </w:p>
    <w:p>
      <w:pPr>
        <w:spacing w:after="0" w:line="55" w:lineRule="exact"/>
        <w:rPr>
          <w:rFonts w:ascii="Arial" w:cs="Arial" w:eastAsia="Arial" w:hAnsi="Arial"/>
          <w:sz w:val="18"/>
          <w:szCs w:val="18"/>
          <w:color w:val="auto"/>
        </w:rPr>
      </w:pPr>
    </w:p>
    <w:p>
      <w:pPr>
        <w:ind w:left="1220" w:hanging="596"/>
        <w:spacing w:after="0"/>
        <w:tabs>
          <w:tab w:leader="none" w:pos="122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 Borrowing of Term Loans</w:t>
      </w:r>
    </w:p>
    <w:p>
      <w:pPr>
        <w:spacing w:after="0" w:line="55" w:lineRule="exact"/>
        <w:rPr>
          <w:rFonts w:ascii="Arial" w:cs="Arial" w:eastAsia="Arial" w:hAnsi="Arial"/>
          <w:sz w:val="18"/>
          <w:szCs w:val="18"/>
          <w:color w:val="auto"/>
        </w:rPr>
      </w:pPr>
    </w:p>
    <w:p>
      <w:pPr>
        <w:ind w:left="1220" w:hanging="596"/>
        <w:spacing w:after="0"/>
        <w:tabs>
          <w:tab w:leader="none" w:pos="122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 conversion or continuation of Revolving Credit Loans</w:t>
      </w:r>
    </w:p>
    <w:p>
      <w:pPr>
        <w:spacing w:after="0" w:line="55" w:lineRule="exact"/>
        <w:rPr>
          <w:rFonts w:ascii="Arial" w:cs="Arial" w:eastAsia="Arial" w:hAnsi="Arial"/>
          <w:sz w:val="18"/>
          <w:szCs w:val="18"/>
          <w:color w:val="auto"/>
        </w:rPr>
      </w:pPr>
    </w:p>
    <w:p>
      <w:pPr>
        <w:ind w:left="1220" w:hanging="596"/>
        <w:spacing w:after="0"/>
        <w:tabs>
          <w:tab w:leader="none" w:pos="122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 conversion or continuation of Term Loans</w:t>
      </w:r>
    </w:p>
    <w:p>
      <w:pPr>
        <w:spacing w:after="0" w:line="180" w:lineRule="exact"/>
        <w:rPr>
          <w:rFonts w:ascii="Arial" w:cs="Arial" w:eastAsia="Arial" w:hAnsi="Arial"/>
          <w:sz w:val="18"/>
          <w:szCs w:val="18"/>
          <w:color w:val="auto"/>
        </w:rPr>
      </w:pPr>
    </w:p>
    <w:p>
      <w:pPr>
        <w:ind w:left="440" w:hanging="415"/>
        <w:spacing w:after="0"/>
        <w:tabs>
          <w:tab w:leader="none" w:pos="4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On ______________________ ( a Business Day).</w:t>
      </w:r>
    </w:p>
    <w:p>
      <w:pPr>
        <w:spacing w:after="0" w:line="55" w:lineRule="exact"/>
        <w:rPr>
          <w:rFonts w:ascii="Arial" w:cs="Arial" w:eastAsia="Arial" w:hAnsi="Arial"/>
          <w:sz w:val="18"/>
          <w:szCs w:val="18"/>
          <w:color w:val="auto"/>
        </w:rPr>
      </w:pPr>
    </w:p>
    <w:p>
      <w:pPr>
        <w:ind w:left="440" w:hanging="415"/>
        <w:spacing w:after="0"/>
        <w:tabs>
          <w:tab w:leader="none" w:pos="4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the amount of $ __________________________.</w:t>
      </w:r>
    </w:p>
    <w:p>
      <w:pPr>
        <w:spacing w:after="0" w:line="55" w:lineRule="exact"/>
        <w:rPr>
          <w:sz w:val="20"/>
          <w:szCs w:val="20"/>
          <w:color w:val="auto"/>
        </w:rPr>
      </w:pPr>
    </w:p>
    <w:p>
      <w:pPr>
        <w:ind w:left="20"/>
        <w:spacing w:after="0"/>
        <w:tabs>
          <w:tab w:leader="none" w:pos="420" w:val="left"/>
          <w:tab w:leader="none" w:pos="1660" w:val="left"/>
        </w:tabs>
        <w:rPr>
          <w:sz w:val="20"/>
          <w:szCs w:val="20"/>
          <w:color w:val="auto"/>
        </w:rPr>
      </w:pPr>
      <w:r>
        <w:rPr>
          <w:rFonts w:ascii="Arial" w:cs="Arial" w:eastAsia="Arial" w:hAnsi="Arial"/>
          <w:sz w:val="18"/>
          <w:szCs w:val="18"/>
          <w:color w:val="auto"/>
        </w:rPr>
        <w:t>3.</w:t>
        <w:tab/>
        <w:t>Comprised of</w:t>
      </w:r>
      <w:r>
        <w:rPr>
          <w:sz w:val="20"/>
          <w:szCs w:val="20"/>
          <w:color w:val="auto"/>
        </w:rPr>
        <w:tab/>
      </w:r>
      <w:r>
        <w:rPr>
          <w:rFonts w:ascii="Arial" w:cs="Arial" w:eastAsia="Arial" w:hAnsi="Arial"/>
          <w:sz w:val="16"/>
          <w:szCs w:val="16"/>
          <w:color w:val="auto"/>
        </w:rPr>
        <w:t>_________________________.</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[Facility and Type of Loan requested]</w:t>
      </w:r>
    </w:p>
    <w:p>
      <w:pPr>
        <w:spacing w:after="0" w:line="55" w:lineRule="exact"/>
        <w:rPr>
          <w:sz w:val="20"/>
          <w:szCs w:val="20"/>
          <w:color w:val="auto"/>
        </w:rPr>
      </w:pPr>
    </w:p>
    <w:p>
      <w:pPr>
        <w:ind w:left="440" w:hanging="415"/>
        <w:spacing w:after="0"/>
        <w:tabs>
          <w:tab w:leader="none" w:pos="4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For Eurodollar Rate Loans: with an Interest Period of _________months.</w:t>
      </w:r>
    </w:p>
    <w:p>
      <w:pPr>
        <w:spacing w:after="0" w:line="55" w:lineRule="exact"/>
        <w:rPr>
          <w:rFonts w:ascii="Arial" w:cs="Arial" w:eastAsia="Arial" w:hAnsi="Arial"/>
          <w:sz w:val="18"/>
          <w:szCs w:val="18"/>
          <w:color w:val="auto"/>
        </w:rPr>
      </w:pPr>
    </w:p>
    <w:p>
      <w:pPr>
        <w:ind w:left="440" w:hanging="415"/>
        <w:spacing w:after="0"/>
        <w:tabs>
          <w:tab w:leader="none" w:pos="4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Loans, if any, borrowed hereunder shall be disbursed to the following deposit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616585</wp:posOffset>
            </wp:positionV>
            <wp:extent cx="320421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4210" cy="7620"/>
                    </a:xfrm>
                    <a:prstGeom prst="rect">
                      <a:avLst/>
                    </a:prstGeom>
                    <a:noFill/>
                  </pic:spPr>
                </pic:pic>
              </a:graphicData>
            </a:graphic>
          </wp:anchor>
        </w:drawing>
        <w:drawing>
          <wp:anchor simplePos="0" relativeHeight="251657728" behindDoc="1" locked="0" layoutInCell="0" allowOverlap="1">
            <wp:simplePos x="0" y="0"/>
            <wp:positionH relativeFrom="column">
              <wp:posOffset>269875</wp:posOffset>
            </wp:positionH>
            <wp:positionV relativeFrom="paragraph">
              <wp:posOffset>418465</wp:posOffset>
            </wp:positionV>
            <wp:extent cx="320421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4210" cy="7620"/>
                    </a:xfrm>
                    <a:prstGeom prst="rect">
                      <a:avLst/>
                    </a:prstGeom>
                    <a:noFill/>
                  </pic:spPr>
                </pic:pic>
              </a:graphicData>
            </a:graphic>
          </wp:anchor>
        </w:drawing>
        <w:drawing>
          <wp:anchor simplePos="0" relativeHeight="251657728" behindDoc="1" locked="0" layoutInCell="0" allowOverlap="1">
            <wp:simplePos x="0" y="0"/>
            <wp:positionH relativeFrom="column">
              <wp:posOffset>269875</wp:posOffset>
            </wp:positionH>
            <wp:positionV relativeFrom="paragraph">
              <wp:posOffset>220345</wp:posOffset>
            </wp:positionV>
            <wp:extent cx="320421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42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Revolving Credit Borrowing requested herein complies with the proviso to the first sentence of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of the Agreement.]</w:t>
      </w:r>
      <w:r>
        <w:rPr>
          <w:rFonts w:ascii="Arial" w:cs="Arial" w:eastAsia="Arial" w:hAnsi="Arial"/>
          <w:sz w:val="23"/>
          <w:szCs w:val="23"/>
          <w:color w:val="auto"/>
          <w:vertAlign w:val="superscript"/>
        </w:rPr>
        <w:t>1</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w:t>
      </w:r>
    </w:p>
    <w:p>
      <w:pPr>
        <w:spacing w:after="0" w:line="40" w:lineRule="exact"/>
        <w:rPr>
          <w:sz w:val="20"/>
          <w:szCs w:val="20"/>
          <w:color w:val="auto"/>
        </w:rPr>
      </w:pPr>
    </w:p>
    <w:p>
      <w:pPr>
        <w:ind w:left="100" w:hanging="100"/>
        <w:spacing w:after="0"/>
        <w:tabs>
          <w:tab w:leader="none" w:pos="100" w:val="left"/>
        </w:tabs>
        <w:numPr>
          <w:ilvl w:val="0"/>
          <w:numId w:val="192"/>
        </w:numPr>
        <w:rPr>
          <w:rFonts w:ascii="Arial" w:cs="Arial" w:eastAsia="Arial" w:hAnsi="Arial"/>
          <w:sz w:val="23"/>
          <w:szCs w:val="23"/>
          <w:color w:val="auto"/>
          <w:vertAlign w:val="superscript"/>
        </w:rPr>
      </w:pPr>
      <w:r>
        <w:rPr>
          <w:rFonts w:ascii="Arial" w:cs="Arial" w:eastAsia="Arial" w:hAnsi="Arial"/>
          <w:sz w:val="18"/>
          <w:szCs w:val="18"/>
          <w:color w:val="auto"/>
        </w:rPr>
        <w:t>Only applicable to a Revolving Credit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Loan Notice</w:t>
      </w:r>
    </w:p>
    <w:p>
      <w:pPr>
        <w:sectPr>
          <w:pgSz w:w="11900" w:h="16838" w:orient="portrait"/>
          <w:cols w:equalWidth="0" w:num="1">
            <w:col w:w="11420"/>
          </w:cols>
          <w:pgMar w:left="240" w:top="547" w:right="239" w:bottom="1440" w:gutter="0" w:footer="0" w:header="0"/>
        </w:sectPr>
      </w:pPr>
    </w:p>
    <w:bookmarkStart w:id="166" w:name="page167"/>
    <w:bookmarkEnd w:id="166"/>
    <w:p>
      <w:pPr>
        <w:spacing w:after="0" w:line="282" w:lineRule="auto"/>
        <w:rPr>
          <w:sz w:val="20"/>
          <w:szCs w:val="20"/>
          <w:color w:val="auto"/>
        </w:rPr>
      </w:pPr>
      <w:r>
        <w:rPr>
          <w:rFonts w:ascii="Arial" w:cs="Arial" w:eastAsia="Arial" w:hAnsi="Arial"/>
          <w:sz w:val="18"/>
          <w:szCs w:val="18"/>
          <w:color w:val="auto"/>
        </w:rPr>
        <w:t xml:space="preserve">[The Borrower hereby represents and warrants that the conditions specified in </w:t>
      </w:r>
      <w:r>
        <w:rPr>
          <w:rFonts w:ascii="Arial" w:cs="Arial" w:eastAsia="Arial" w:hAnsi="Arial"/>
          <w:sz w:val="18"/>
          <w:szCs w:val="18"/>
          <w:u w:val="single" w:color="auto"/>
          <w:color w:val="auto"/>
        </w:rPr>
        <w:t>Sections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be satisfied on and as of the date of the proposed Credit Extension.]</w:t>
      </w:r>
      <w:r>
        <w:rPr>
          <w:rFonts w:ascii="Arial" w:cs="Arial" w:eastAsia="Arial" w:hAnsi="Arial"/>
          <w:sz w:val="23"/>
          <w:szCs w:val="23"/>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7600"/>
        <w:spacing w:after="0"/>
        <w:rPr>
          <w:sz w:val="20"/>
          <w:szCs w:val="20"/>
          <w:color w:val="auto"/>
        </w:rPr>
      </w:pPr>
      <w:r>
        <w:rPr>
          <w:rFonts w:ascii="Arial" w:cs="Arial" w:eastAsia="Arial" w:hAnsi="Arial"/>
          <w:sz w:val="20"/>
          <w:szCs w:val="20"/>
          <w:b w:val="1"/>
          <w:bCs w:val="1"/>
          <w:color w:val="auto"/>
        </w:rPr>
        <w:t>AMERICAN ASSETS TRUST, L.P.</w:t>
      </w:r>
    </w:p>
    <w:p>
      <w:pPr>
        <w:spacing w:after="0" w:line="51" w:lineRule="exact"/>
        <w:rPr>
          <w:sz w:val="20"/>
          <w:szCs w:val="20"/>
          <w:color w:val="auto"/>
        </w:rPr>
      </w:pPr>
    </w:p>
    <w:p>
      <w:pPr>
        <w:ind w:left="7600"/>
        <w:spacing w:after="0"/>
        <w:tabs>
          <w:tab w:leader="none" w:pos="83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AMERICAN ASSETS TRUST INC.,</w:t>
      </w:r>
    </w:p>
    <w:p>
      <w:pPr>
        <w:spacing w:after="0" w:line="56" w:lineRule="exact"/>
        <w:rPr>
          <w:sz w:val="20"/>
          <w:szCs w:val="20"/>
          <w:color w:val="auto"/>
        </w:rPr>
      </w:pPr>
    </w:p>
    <w:p>
      <w:pPr>
        <w:ind w:left="8340"/>
        <w:spacing w:after="0"/>
        <w:rPr>
          <w:sz w:val="20"/>
          <w:szCs w:val="20"/>
          <w:color w:val="auto"/>
        </w:rPr>
      </w:pPr>
      <w:r>
        <w:rPr>
          <w:rFonts w:ascii="Arial" w:cs="Arial" w:eastAsia="Arial" w:hAnsi="Arial"/>
          <w:sz w:val="20"/>
          <w:szCs w:val="20"/>
          <w:color w:val="auto"/>
        </w:rPr>
        <w:t>its General Partner</w:t>
      </w:r>
    </w:p>
    <w:p>
      <w:pPr>
        <w:spacing w:after="0" w:line="345" w:lineRule="exact"/>
        <w:rPr>
          <w:sz w:val="20"/>
          <w:szCs w:val="20"/>
          <w:color w:val="auto"/>
        </w:rPr>
      </w:pPr>
    </w:p>
    <w:p>
      <w:pPr>
        <w:ind w:left="76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5274310</wp:posOffset>
            </wp:positionH>
            <wp:positionV relativeFrom="paragraph">
              <wp:posOffset>24765</wp:posOffset>
            </wp:positionV>
            <wp:extent cx="198247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82470" cy="7620"/>
                    </a:xfrm>
                    <a:prstGeom prst="rect">
                      <a:avLst/>
                    </a:prstGeom>
                    <a:noFill/>
                  </pic:spPr>
                </pic:pic>
              </a:graphicData>
            </a:graphic>
          </wp:anchor>
        </w:drawing>
      </w:r>
    </w:p>
    <w:p>
      <w:pPr>
        <w:spacing w:after="0" w:line="25" w:lineRule="exact"/>
        <w:rPr>
          <w:sz w:val="20"/>
          <w:szCs w:val="20"/>
          <w:color w:val="auto"/>
        </w:rPr>
      </w:pPr>
    </w:p>
    <w:p>
      <w:pPr>
        <w:ind w:left="76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5274310</wp:posOffset>
            </wp:positionH>
            <wp:positionV relativeFrom="paragraph">
              <wp:posOffset>24765</wp:posOffset>
            </wp:positionV>
            <wp:extent cx="198247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82470" cy="7620"/>
                    </a:xfrm>
                    <a:prstGeom prst="rect">
                      <a:avLst/>
                    </a:prstGeom>
                    <a:noFill/>
                  </pic:spPr>
                </pic:pic>
              </a:graphicData>
            </a:graphic>
          </wp:anchor>
        </w:drawing>
      </w:r>
    </w:p>
    <w:p>
      <w:pPr>
        <w:spacing w:after="0" w:line="25" w:lineRule="exact"/>
        <w:rPr>
          <w:sz w:val="20"/>
          <w:szCs w:val="20"/>
          <w:color w:val="auto"/>
        </w:rPr>
      </w:pPr>
    </w:p>
    <w:p>
      <w:pPr>
        <w:ind w:left="76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5274310</wp:posOffset>
            </wp:positionH>
            <wp:positionV relativeFrom="paragraph">
              <wp:posOffset>24765</wp:posOffset>
            </wp:positionV>
            <wp:extent cx="198247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8247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w:t>
      </w:r>
    </w:p>
    <w:p>
      <w:pPr>
        <w:spacing w:after="0" w:line="40" w:lineRule="exact"/>
        <w:rPr>
          <w:sz w:val="20"/>
          <w:szCs w:val="20"/>
          <w:color w:val="auto"/>
        </w:rPr>
      </w:pPr>
    </w:p>
    <w:p>
      <w:pPr>
        <w:ind w:left="100" w:hanging="100"/>
        <w:spacing w:after="0"/>
        <w:tabs>
          <w:tab w:leader="none" w:pos="100" w:val="left"/>
        </w:tabs>
        <w:numPr>
          <w:ilvl w:val="0"/>
          <w:numId w:val="193"/>
        </w:numPr>
        <w:rPr>
          <w:rFonts w:ascii="Arial" w:cs="Arial" w:eastAsia="Arial" w:hAnsi="Arial"/>
          <w:sz w:val="23"/>
          <w:szCs w:val="23"/>
          <w:color w:val="auto"/>
          <w:vertAlign w:val="superscript"/>
        </w:rPr>
      </w:pPr>
      <w:r>
        <w:rPr>
          <w:rFonts w:ascii="Arial" w:cs="Arial" w:eastAsia="Arial" w:hAnsi="Arial"/>
          <w:sz w:val="18"/>
          <w:szCs w:val="18"/>
          <w:color w:val="auto"/>
        </w:rPr>
        <w:t>Only applicable to a Revolving Credit Borrowing.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Loan Notice</w:t>
      </w:r>
    </w:p>
    <w:p>
      <w:pPr>
        <w:sectPr>
          <w:pgSz w:w="11900" w:h="16838" w:orient="portrait"/>
          <w:cols w:equalWidth="0" w:num="1">
            <w:col w:w="11420"/>
          </w:cols>
          <w:pgMar w:left="240" w:top="548"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20"/>
          <w:szCs w:val="20"/>
          <w:b w:val="1"/>
          <w:bCs w:val="1"/>
          <w:i w:val="1"/>
          <w:iCs w:val="1"/>
          <w:color w:val="auto"/>
        </w:rPr>
        <w:t>EXHIBIT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SWING LINE LOAN NOTICE</w:t>
      </w:r>
    </w:p>
    <w:p>
      <w:pPr>
        <w:spacing w:after="0" w:line="7" w:lineRule="exact"/>
        <w:rPr>
          <w:sz w:val="20"/>
          <w:szCs w:val="20"/>
          <w:color w:val="auto"/>
        </w:rPr>
      </w:pPr>
    </w:p>
    <w:p>
      <w:pPr>
        <w:ind w:left="9240"/>
        <w:spacing w:after="0"/>
        <w:rPr>
          <w:sz w:val="20"/>
          <w:szCs w:val="20"/>
          <w:color w:val="auto"/>
        </w:rPr>
      </w:pPr>
      <w:r>
        <w:rPr>
          <w:rFonts w:ascii="Arial" w:cs="Arial" w:eastAsia="Arial" w:hAnsi="Arial"/>
          <w:sz w:val="17"/>
          <w:szCs w:val="17"/>
          <w:color w:val="auto"/>
        </w:rPr>
        <w:t>Date: ___________, _____</w:t>
      </w:r>
    </w:p>
    <w:p>
      <w:pPr>
        <w:spacing w:after="0" w:line="126"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8"/>
          <w:szCs w:val="18"/>
          <w:color w:val="auto"/>
        </w:rPr>
        <w:t>Bank of America, N.A., as a Swing Line Lender</w:t>
      </w:r>
    </w:p>
    <w:p>
      <w:pPr>
        <w:spacing w:after="0" w:line="2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Wells Fargo Bank, National Association, as a Swing Line Lender</w:t>
      </w:r>
    </w:p>
    <w:p>
      <w:pPr>
        <w:spacing w:after="0" w:line="1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PNC Bank, National Association, as a Swing Line Lender</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U.S. Bank National Association, as a Swing Line Lender</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Bank of America, N.A., as Administrative Agent</w:t>
      </w: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07"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Reference is made to that certain Second Amended and Restated Credit Agreement, dated as of January 9, 2018 (as amended, restated, extended, supplemented or otherwise modified in writing from time to time, the “</w:t>
      </w:r>
      <w:r>
        <w:rPr>
          <w:rFonts w:ascii="Arial" w:cs="Arial" w:eastAsia="Arial" w:hAnsi="Arial"/>
          <w:sz w:val="20"/>
          <w:szCs w:val="20"/>
          <w:u w:val="single" w:color="auto"/>
          <w:color w:val="auto"/>
        </w:rPr>
        <w:t>Agreement</w:t>
      </w:r>
      <w:r>
        <w:rPr>
          <w:rFonts w:ascii="Arial" w:cs="Arial" w:eastAsia="Arial" w:hAnsi="Arial"/>
          <w:sz w:val="20"/>
          <w:szCs w:val="20"/>
          <w:color w:val="auto"/>
        </w:rPr>
        <w:t>;” the terms defined therein being used herein as therein defined), among American Assets Trust, Inc., a Maryland corporation, American Assets Trust, L.P., a Maryland limited partnership (the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L/C Issuers and Swing Line Lenders from time to time party thereto, and Bank of America, N.A., as Administrative Agent.</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undersigned hereby requests a Swing Line Loan:</w:t>
      </w:r>
    </w:p>
    <w:p>
      <w:pPr>
        <w:spacing w:after="0" w:line="345" w:lineRule="exact"/>
        <w:rPr>
          <w:sz w:val="20"/>
          <w:szCs w:val="20"/>
          <w:color w:val="auto"/>
        </w:rPr>
      </w:pPr>
    </w:p>
    <w:p>
      <w:pPr>
        <w:ind w:left="400" w:hanging="375"/>
        <w:spacing w:after="0"/>
        <w:tabs>
          <w:tab w:leader="none" w:pos="400" w:val="left"/>
        </w:tabs>
        <w:numPr>
          <w:ilvl w:val="0"/>
          <w:numId w:val="194"/>
        </w:numPr>
        <w:rPr>
          <w:rFonts w:ascii="Arial" w:cs="Arial" w:eastAsia="Arial" w:hAnsi="Arial"/>
          <w:sz w:val="20"/>
          <w:szCs w:val="20"/>
          <w:color w:val="auto"/>
        </w:rPr>
      </w:pPr>
      <w:r>
        <w:rPr>
          <w:rFonts w:ascii="Arial" w:cs="Arial" w:eastAsia="Arial" w:hAnsi="Arial"/>
          <w:sz w:val="20"/>
          <w:szCs w:val="20"/>
          <w:color w:val="auto"/>
        </w:rPr>
        <w:t>On ______________________ ( a Business Day).</w:t>
      </w:r>
    </w:p>
    <w:p>
      <w:pPr>
        <w:spacing w:after="0" w:line="44" w:lineRule="exact"/>
        <w:rPr>
          <w:rFonts w:ascii="Arial" w:cs="Arial" w:eastAsia="Arial" w:hAnsi="Arial"/>
          <w:sz w:val="20"/>
          <w:szCs w:val="20"/>
          <w:color w:val="auto"/>
        </w:rPr>
      </w:pPr>
    </w:p>
    <w:p>
      <w:pPr>
        <w:ind w:left="400" w:hanging="375"/>
        <w:spacing w:after="0"/>
        <w:tabs>
          <w:tab w:leader="none" w:pos="400" w:val="left"/>
        </w:tabs>
        <w:numPr>
          <w:ilvl w:val="0"/>
          <w:numId w:val="194"/>
        </w:numPr>
        <w:rPr>
          <w:rFonts w:ascii="Arial" w:cs="Arial" w:eastAsia="Arial" w:hAnsi="Arial"/>
          <w:sz w:val="20"/>
          <w:szCs w:val="20"/>
          <w:color w:val="auto"/>
        </w:rPr>
      </w:pPr>
      <w:r>
        <w:rPr>
          <w:rFonts w:ascii="Arial" w:cs="Arial" w:eastAsia="Arial" w:hAnsi="Arial"/>
          <w:sz w:val="20"/>
          <w:szCs w:val="20"/>
          <w:color w:val="auto"/>
        </w:rPr>
        <w:t>In the amount of $ __________________________.</w:t>
      </w:r>
    </w:p>
    <w:p>
      <w:pPr>
        <w:spacing w:after="0" w:line="232" w:lineRule="exact"/>
        <w:rPr>
          <w:sz w:val="20"/>
          <w:szCs w:val="20"/>
          <w:color w:val="auto"/>
        </w:rPr>
      </w:pPr>
    </w:p>
    <w:p>
      <w:pPr>
        <w:ind w:right="160" w:firstLine="599"/>
        <w:spacing w:after="0" w:line="272" w:lineRule="auto"/>
        <w:rPr>
          <w:sz w:val="20"/>
          <w:szCs w:val="20"/>
          <w:color w:val="auto"/>
        </w:rPr>
      </w:pPr>
      <w:r>
        <w:rPr>
          <w:rFonts w:ascii="Arial" w:cs="Arial" w:eastAsia="Arial" w:hAnsi="Arial"/>
          <w:sz w:val="20"/>
          <w:szCs w:val="20"/>
          <w:color w:val="auto"/>
        </w:rPr>
        <w:t xml:space="preserve">The Swing Line Borrowing requested herein complies with the requirements of clauses (x) and (y) of the proviso to the first sentence of </w:t>
      </w:r>
      <w:r>
        <w:rPr>
          <w:rFonts w:ascii="Arial" w:cs="Arial" w:eastAsia="Arial" w:hAnsi="Arial"/>
          <w:sz w:val="20"/>
          <w:szCs w:val="20"/>
          <w:u w:val="single" w:color="auto"/>
          <w:color w:val="auto"/>
        </w:rPr>
        <w:t>Section 2.04(a)</w:t>
      </w:r>
      <w:r>
        <w:rPr>
          <w:rFonts w:ascii="Arial" w:cs="Arial" w:eastAsia="Arial" w:hAnsi="Arial"/>
          <w:sz w:val="20"/>
          <w:szCs w:val="20"/>
          <w:color w:val="auto"/>
        </w:rPr>
        <w:t xml:space="preserve"> of the Agreement.</w:t>
      </w:r>
    </w:p>
    <w:p>
      <w:pPr>
        <w:spacing w:after="0" w:line="153" w:lineRule="exact"/>
        <w:rPr>
          <w:sz w:val="20"/>
          <w:szCs w:val="20"/>
          <w:color w:val="auto"/>
        </w:rPr>
      </w:pPr>
    </w:p>
    <w:p>
      <w:pPr>
        <w:ind w:firstLine="599"/>
        <w:spacing w:after="0" w:line="272" w:lineRule="auto"/>
        <w:rPr>
          <w:sz w:val="20"/>
          <w:szCs w:val="20"/>
          <w:color w:val="auto"/>
        </w:rPr>
      </w:pPr>
      <w:r>
        <w:rPr>
          <w:rFonts w:ascii="Arial" w:cs="Arial" w:eastAsia="Arial" w:hAnsi="Arial"/>
          <w:sz w:val="20"/>
          <w:szCs w:val="20"/>
          <w:color w:val="auto"/>
        </w:rPr>
        <w:t xml:space="preserve">The Borrower hereby represents and warrants that the conditions specified in </w:t>
      </w:r>
      <w:r>
        <w:rPr>
          <w:rFonts w:ascii="Arial" w:cs="Arial" w:eastAsia="Arial" w:hAnsi="Arial"/>
          <w:sz w:val="20"/>
          <w:szCs w:val="20"/>
          <w:u w:val="single" w:color="auto"/>
          <w:color w:val="auto"/>
        </w:rPr>
        <w:t>Sections 4.02(a)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shall be satisfied on and as of the date of the proposed Credit Extension.</w:t>
      </w:r>
    </w:p>
    <w:p>
      <w:pPr>
        <w:spacing w:after="0" w:line="384" w:lineRule="exact"/>
        <w:rPr>
          <w:sz w:val="20"/>
          <w:szCs w:val="20"/>
          <w:color w:val="auto"/>
        </w:rPr>
      </w:pPr>
    </w:p>
    <w:p>
      <w:pPr>
        <w:ind w:left="7600"/>
        <w:spacing w:after="0"/>
        <w:rPr>
          <w:sz w:val="20"/>
          <w:szCs w:val="20"/>
          <w:color w:val="auto"/>
        </w:rPr>
      </w:pPr>
      <w:r>
        <w:rPr>
          <w:rFonts w:ascii="Arial" w:cs="Arial" w:eastAsia="Arial" w:hAnsi="Arial"/>
          <w:sz w:val="20"/>
          <w:szCs w:val="20"/>
          <w:b w:val="1"/>
          <w:bCs w:val="1"/>
          <w:color w:val="auto"/>
        </w:rPr>
        <w:t>AMERICAN ASSETS TRUST, L.P.</w:t>
      </w:r>
    </w:p>
    <w:p>
      <w:pPr>
        <w:spacing w:after="0" w:line="51" w:lineRule="exact"/>
        <w:rPr>
          <w:sz w:val="20"/>
          <w:szCs w:val="20"/>
          <w:color w:val="auto"/>
        </w:rPr>
      </w:pPr>
    </w:p>
    <w:p>
      <w:pPr>
        <w:ind w:left="7600"/>
        <w:spacing w:after="0"/>
        <w:tabs>
          <w:tab w:leader="none" w:pos="83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AMERICAN ASSETS TRUST INC.,</w:t>
      </w:r>
    </w:p>
    <w:p>
      <w:pPr>
        <w:spacing w:after="0" w:line="56" w:lineRule="exact"/>
        <w:rPr>
          <w:sz w:val="20"/>
          <w:szCs w:val="20"/>
          <w:color w:val="auto"/>
        </w:rPr>
      </w:pPr>
    </w:p>
    <w:p>
      <w:pPr>
        <w:ind w:left="8340"/>
        <w:spacing w:after="0"/>
        <w:rPr>
          <w:sz w:val="20"/>
          <w:szCs w:val="20"/>
          <w:color w:val="auto"/>
        </w:rPr>
      </w:pPr>
      <w:r>
        <w:rPr>
          <w:rFonts w:ascii="Arial" w:cs="Arial" w:eastAsia="Arial" w:hAnsi="Arial"/>
          <w:sz w:val="20"/>
          <w:szCs w:val="20"/>
          <w:color w:val="auto"/>
        </w:rPr>
        <w:t>its General Partner</w:t>
      </w:r>
    </w:p>
    <w:p>
      <w:pPr>
        <w:spacing w:after="0" w:line="345" w:lineRule="exact"/>
        <w:rPr>
          <w:sz w:val="20"/>
          <w:szCs w:val="20"/>
          <w:color w:val="auto"/>
        </w:rPr>
      </w:pPr>
    </w:p>
    <w:p>
      <w:pPr>
        <w:ind w:left="76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5274310</wp:posOffset>
            </wp:positionH>
            <wp:positionV relativeFrom="paragraph">
              <wp:posOffset>24765</wp:posOffset>
            </wp:positionV>
            <wp:extent cx="198247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82470" cy="7620"/>
                    </a:xfrm>
                    <a:prstGeom prst="rect">
                      <a:avLst/>
                    </a:prstGeom>
                    <a:noFill/>
                  </pic:spPr>
                </pic:pic>
              </a:graphicData>
            </a:graphic>
          </wp:anchor>
        </w:drawing>
      </w:r>
    </w:p>
    <w:p>
      <w:pPr>
        <w:spacing w:after="0" w:line="25" w:lineRule="exact"/>
        <w:rPr>
          <w:sz w:val="20"/>
          <w:szCs w:val="20"/>
          <w:color w:val="auto"/>
        </w:rPr>
      </w:pPr>
    </w:p>
    <w:p>
      <w:pPr>
        <w:ind w:left="76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5274310</wp:posOffset>
            </wp:positionH>
            <wp:positionV relativeFrom="paragraph">
              <wp:posOffset>24765</wp:posOffset>
            </wp:positionV>
            <wp:extent cx="198247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82470" cy="7620"/>
                    </a:xfrm>
                    <a:prstGeom prst="rect">
                      <a:avLst/>
                    </a:prstGeom>
                    <a:noFill/>
                  </pic:spPr>
                </pic:pic>
              </a:graphicData>
            </a:graphic>
          </wp:anchor>
        </w:drawing>
      </w:r>
    </w:p>
    <w:p>
      <w:pPr>
        <w:spacing w:after="0" w:line="25" w:lineRule="exact"/>
        <w:rPr>
          <w:sz w:val="20"/>
          <w:szCs w:val="20"/>
          <w:color w:val="auto"/>
        </w:rPr>
      </w:pPr>
    </w:p>
    <w:p>
      <w:pPr>
        <w:ind w:left="76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5274310</wp:posOffset>
            </wp:positionH>
            <wp:positionV relativeFrom="paragraph">
              <wp:posOffset>24765</wp:posOffset>
            </wp:positionV>
            <wp:extent cx="198247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8247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Swing Line Loan Notice</w:t>
      </w:r>
    </w:p>
    <w:p>
      <w:pPr>
        <w:sectPr>
          <w:pgSz w:w="11900" w:h="16838" w:orient="portrait"/>
          <w:cols w:equalWidth="0" w:num="1">
            <w:col w:w="11420"/>
          </w:cols>
          <w:pgMar w:left="240" w:top="558"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20"/>
          <w:szCs w:val="20"/>
          <w:b w:val="1"/>
          <w:bCs w:val="1"/>
          <w:i w:val="1"/>
          <w:iCs w:val="1"/>
          <w:color w:val="auto"/>
        </w:rPr>
        <w:t>EXHIBIT C-1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REVOLVING CREDIT NOTE</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the undersigned (the “</w:t>
      </w:r>
      <w:r>
        <w:rPr>
          <w:rFonts w:ascii="Arial" w:cs="Arial" w:eastAsia="Arial" w:hAnsi="Arial"/>
          <w:sz w:val="16"/>
          <w:szCs w:val="16"/>
          <w:u w:val="single" w:color="auto"/>
          <w:color w:val="auto"/>
        </w:rPr>
        <w:t>Borrower</w:t>
      </w:r>
      <w:r>
        <w:rPr>
          <w:rFonts w:ascii="Arial" w:cs="Arial" w:eastAsia="Arial" w:hAnsi="Arial"/>
          <w:sz w:val="16"/>
          <w:szCs w:val="16"/>
          <w:color w:val="auto"/>
        </w:rPr>
        <w:t>”), hereby promises to pay to _____________________ or its registered assigns (the “</w:t>
      </w:r>
      <w:r>
        <w:rPr>
          <w:rFonts w:ascii="Arial" w:cs="Arial" w:eastAsia="Arial" w:hAnsi="Arial"/>
          <w:sz w:val="16"/>
          <w:szCs w:val="16"/>
          <w:u w:val="single" w:color="auto"/>
          <w:color w:val="auto"/>
        </w:rPr>
        <w:t>Lender</w:t>
      </w:r>
      <w:r>
        <w:rPr>
          <w:rFonts w:ascii="Arial" w:cs="Arial" w:eastAsia="Arial" w:hAnsi="Arial"/>
          <w:sz w:val="16"/>
          <w:szCs w:val="16"/>
          <w:color w:val="auto"/>
        </w:rPr>
        <w:t>”),</w:t>
      </w:r>
    </w:p>
    <w:p>
      <w:pPr>
        <w:spacing w:after="0" w:line="4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accordance with the provisions of the Agreement (as hereinafter defined), the principal amount of each Revolving Credit Loan from time to time made by the Lender to the Borrower under that certain Second Amended and Restated Credit Agreement, dated as of January 9, 2018 (as amended, restated, extended, supplemented or otherwise modified in writing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the terms defined therein being used herein as therein defined), among American Assets Trust, Inc., a Maryland corporation, the Borrower, the Lenders, L/C Issuers and Swing Line Lenders from time to time party thereto, and Bank of America, N.A., as Administrative Agent.</w:t>
      </w:r>
    </w:p>
    <w:p>
      <w:pPr>
        <w:spacing w:after="0" w:line="17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Borrower promises to pay interest on the unpaid principal amount of each Revolving Credit Loan made by the Lender to the Borrower from the date of such Revolving Credit Loan until such principal amount is paid in full, at such interest rates and at such times as provided in the Agreement. All payments of principal and interest shall be made to the Administrative Agent for the account of the Lender in Dollars in immediately available funds at the Administrative Agent’s Office. If any amount is not paid in full when due hereunder, such unpaid amount shall bear interest, to be paid upon demand, from the due date thereof until the date of actual payment (and before as well as after judgment) computed at the per annum rate set forth in the Agreement.</w:t>
      </w:r>
    </w:p>
    <w:p>
      <w:pPr>
        <w:spacing w:after="0" w:line="13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Revolving Credit Note is one of the Revolving Credit Notes referred to in the Agreement, is entitled to the benefits thereof and may be prepaid in whole or in part subject to the terms and conditions provided therein. This Revolving Credit Note is also entitled to the benefits of the Guaranty Agreement. Upon the occurrence and continuation of one or more of the Events of Default specified in the Agreement, all amounts then remaining unpaid on this Revolving Credit Note shall become, or may be declared to be, immediately due and payable all as provided in the Agreement. Revolving Credit Loans made by the Lender shall be evidenced by one or more loan accounts or records maintained by the Lender in the ordinary course of business. The Lender may also attach schedules to this Revolving Credit Note and endorse thereon the date, amount and maturity of its Revolving Credit Loans and payments with respect thereto.</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Borrower, for itself, its successors and assigns, hereby waives diligence, presentment, protest and demand and notice of protest, demand, dishonor and non-payment of this Revolving Credit Note.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C-1-1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Revolving Credit Note</w:t>
      </w:r>
    </w:p>
    <w:p>
      <w:pPr>
        <w:sectPr>
          <w:pgSz w:w="11900" w:h="16838" w:orient="portrait"/>
          <w:cols w:equalWidth="0" w:num="1">
            <w:col w:w="11420"/>
          </w:cols>
          <w:pgMar w:left="240" w:top="558" w:right="239" w:bottom="1440" w:gutter="0" w:footer="0" w:header="0"/>
        </w:sectPr>
      </w:pPr>
    </w:p>
    <w:bookmarkStart w:id="169" w:name="page170"/>
    <w:bookmarkEnd w:id="169"/>
    <w:p>
      <w:pPr>
        <w:spacing w:after="0" w:line="272" w:lineRule="auto"/>
        <w:rPr>
          <w:sz w:val="20"/>
          <w:szCs w:val="20"/>
          <w:color w:val="auto"/>
        </w:rPr>
      </w:pPr>
      <w:r>
        <w:rPr>
          <w:rFonts w:ascii="Arial" w:cs="Arial" w:eastAsia="Arial" w:hAnsi="Arial"/>
          <w:sz w:val="20"/>
          <w:szCs w:val="20"/>
          <w:color w:val="auto"/>
        </w:rPr>
        <w:t>THIS REVOLVING CREDIT NOTE SHALL BE GOVERNED BY AND CONSTRUED IN ACCORDANCE WITH THE LAW OF THE STATE OF NEW YORK (WITHOUT GIVING EFFECT TO THE CONFLICTS OF LAW PROVISIONS THEREOF).</w:t>
      </w:r>
    </w:p>
    <w:p>
      <w:pPr>
        <w:spacing w:after="0" w:line="200" w:lineRule="exact"/>
        <w:rPr>
          <w:sz w:val="20"/>
          <w:szCs w:val="20"/>
          <w:color w:val="auto"/>
        </w:rPr>
      </w:pPr>
    </w:p>
    <w:p>
      <w:pPr>
        <w:spacing w:after="0" w:line="334" w:lineRule="exact"/>
        <w:rPr>
          <w:sz w:val="20"/>
          <w:szCs w:val="20"/>
          <w:color w:val="auto"/>
        </w:rPr>
      </w:pPr>
    </w:p>
    <w:p>
      <w:pPr>
        <w:ind w:left="7600"/>
        <w:spacing w:after="0"/>
        <w:rPr>
          <w:sz w:val="20"/>
          <w:szCs w:val="20"/>
          <w:color w:val="auto"/>
        </w:rPr>
      </w:pPr>
      <w:r>
        <w:rPr>
          <w:rFonts w:ascii="Arial" w:cs="Arial" w:eastAsia="Arial" w:hAnsi="Arial"/>
          <w:sz w:val="20"/>
          <w:szCs w:val="20"/>
          <w:b w:val="1"/>
          <w:bCs w:val="1"/>
          <w:color w:val="auto"/>
        </w:rPr>
        <w:t>AMERICAN ASSETS TRUST, L.P.</w:t>
      </w:r>
    </w:p>
    <w:p>
      <w:pPr>
        <w:spacing w:after="0" w:line="51" w:lineRule="exact"/>
        <w:rPr>
          <w:sz w:val="20"/>
          <w:szCs w:val="20"/>
          <w:color w:val="auto"/>
        </w:rPr>
      </w:pPr>
    </w:p>
    <w:p>
      <w:pPr>
        <w:ind w:left="7600"/>
        <w:spacing w:after="0"/>
        <w:tabs>
          <w:tab w:leader="none" w:pos="83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AMERICAN ASSETS TRUST INC.,</w:t>
      </w:r>
    </w:p>
    <w:p>
      <w:pPr>
        <w:spacing w:after="0" w:line="56" w:lineRule="exact"/>
        <w:rPr>
          <w:sz w:val="20"/>
          <w:szCs w:val="20"/>
          <w:color w:val="auto"/>
        </w:rPr>
      </w:pPr>
    </w:p>
    <w:p>
      <w:pPr>
        <w:ind w:left="8340"/>
        <w:spacing w:after="0"/>
        <w:rPr>
          <w:sz w:val="20"/>
          <w:szCs w:val="20"/>
          <w:color w:val="auto"/>
        </w:rPr>
      </w:pPr>
      <w:r>
        <w:rPr>
          <w:rFonts w:ascii="Arial" w:cs="Arial" w:eastAsia="Arial" w:hAnsi="Arial"/>
          <w:sz w:val="20"/>
          <w:szCs w:val="20"/>
          <w:color w:val="auto"/>
        </w:rPr>
        <w:t>its General Partner</w:t>
      </w:r>
    </w:p>
    <w:p>
      <w:pPr>
        <w:spacing w:after="0" w:line="345" w:lineRule="exact"/>
        <w:rPr>
          <w:sz w:val="20"/>
          <w:szCs w:val="20"/>
          <w:color w:val="auto"/>
        </w:rPr>
      </w:pPr>
    </w:p>
    <w:p>
      <w:pPr>
        <w:ind w:left="76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5274310</wp:posOffset>
            </wp:positionH>
            <wp:positionV relativeFrom="paragraph">
              <wp:posOffset>24765</wp:posOffset>
            </wp:positionV>
            <wp:extent cx="198247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82470" cy="7620"/>
                    </a:xfrm>
                    <a:prstGeom prst="rect">
                      <a:avLst/>
                    </a:prstGeom>
                    <a:noFill/>
                  </pic:spPr>
                </pic:pic>
              </a:graphicData>
            </a:graphic>
          </wp:anchor>
        </w:drawing>
      </w:r>
    </w:p>
    <w:p>
      <w:pPr>
        <w:spacing w:after="0" w:line="25" w:lineRule="exact"/>
        <w:rPr>
          <w:sz w:val="20"/>
          <w:szCs w:val="20"/>
          <w:color w:val="auto"/>
        </w:rPr>
      </w:pPr>
    </w:p>
    <w:p>
      <w:pPr>
        <w:ind w:left="76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5274310</wp:posOffset>
            </wp:positionH>
            <wp:positionV relativeFrom="paragraph">
              <wp:posOffset>24765</wp:posOffset>
            </wp:positionV>
            <wp:extent cx="198247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82470" cy="7620"/>
                    </a:xfrm>
                    <a:prstGeom prst="rect">
                      <a:avLst/>
                    </a:prstGeom>
                    <a:noFill/>
                  </pic:spPr>
                </pic:pic>
              </a:graphicData>
            </a:graphic>
          </wp:anchor>
        </w:drawing>
      </w:r>
    </w:p>
    <w:p>
      <w:pPr>
        <w:spacing w:after="0" w:line="25" w:lineRule="exact"/>
        <w:rPr>
          <w:sz w:val="20"/>
          <w:szCs w:val="20"/>
          <w:color w:val="auto"/>
        </w:rPr>
      </w:pPr>
    </w:p>
    <w:p>
      <w:pPr>
        <w:ind w:left="76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5274310</wp:posOffset>
            </wp:positionH>
            <wp:positionV relativeFrom="paragraph">
              <wp:posOffset>24765</wp:posOffset>
            </wp:positionV>
            <wp:extent cx="198247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82470" cy="7620"/>
                    </a:xfrm>
                    <a:prstGeom prst="rect">
                      <a:avLst/>
                    </a:prstGeom>
                    <a:noFill/>
                  </pic:spPr>
                </pic:pic>
              </a:graphicData>
            </a:graphic>
          </wp:anchor>
        </w:drawing>
      </w:r>
    </w:p>
    <w:p>
      <w:pPr>
        <w:spacing w:after="0" w:line="312" w:lineRule="exact"/>
        <w:rPr>
          <w:sz w:val="20"/>
          <w:szCs w:val="20"/>
          <w:color w:val="auto"/>
        </w:rPr>
      </w:pPr>
    </w:p>
    <w:p>
      <w:pPr>
        <w:ind w:left="76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5274310</wp:posOffset>
            </wp:positionH>
            <wp:positionV relativeFrom="paragraph">
              <wp:posOffset>24765</wp:posOffset>
            </wp:positionV>
            <wp:extent cx="198247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82470" cy="7620"/>
                    </a:xfrm>
                    <a:prstGeom prst="rect">
                      <a:avLst/>
                    </a:prstGeom>
                    <a:noFill/>
                  </pic:spPr>
                </pic:pic>
              </a:graphicData>
            </a:graphic>
          </wp:anchor>
        </w:drawing>
      </w:r>
    </w:p>
    <w:p>
      <w:pPr>
        <w:spacing w:after="0" w:line="25" w:lineRule="exact"/>
        <w:rPr>
          <w:sz w:val="20"/>
          <w:szCs w:val="20"/>
          <w:color w:val="auto"/>
        </w:rPr>
      </w:pPr>
    </w:p>
    <w:p>
      <w:pPr>
        <w:ind w:left="76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5274310</wp:posOffset>
            </wp:positionH>
            <wp:positionV relativeFrom="paragraph">
              <wp:posOffset>24765</wp:posOffset>
            </wp:positionV>
            <wp:extent cx="198247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82470" cy="7620"/>
                    </a:xfrm>
                    <a:prstGeom prst="rect">
                      <a:avLst/>
                    </a:prstGeom>
                    <a:noFill/>
                  </pic:spPr>
                </pic:pic>
              </a:graphicData>
            </a:graphic>
          </wp:anchor>
        </w:drawing>
      </w:r>
    </w:p>
    <w:p>
      <w:pPr>
        <w:spacing w:after="0" w:line="25" w:lineRule="exact"/>
        <w:rPr>
          <w:sz w:val="20"/>
          <w:szCs w:val="20"/>
          <w:color w:val="auto"/>
        </w:rPr>
      </w:pPr>
    </w:p>
    <w:p>
      <w:pPr>
        <w:ind w:left="76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5274310</wp:posOffset>
            </wp:positionH>
            <wp:positionV relativeFrom="paragraph">
              <wp:posOffset>24765</wp:posOffset>
            </wp:positionV>
            <wp:extent cx="198247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82470" cy="7620"/>
                    </a:xfrm>
                    <a:prstGeom prst="rect">
                      <a:avLst/>
                    </a:prstGeom>
                    <a:noFill/>
                  </pic:spPr>
                </pic:pic>
              </a:graphicData>
            </a:graphic>
          </wp:anchor>
        </w:drawing>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C-1-2</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Revolving Credit Note</w:t>
      </w:r>
    </w:p>
    <w:p>
      <w:pPr>
        <w:sectPr>
          <w:pgSz w:w="11900" w:h="16838" w:orient="portrait"/>
          <w:cols w:equalWidth="0" w:num="1">
            <w:col w:w="11420"/>
          </w:cols>
          <w:pgMar w:left="240" w:top="970" w:right="239" w:bottom="1440" w:gutter="0" w:footer="0" w:header="0"/>
        </w:sectPr>
      </w:pPr>
    </w:p>
    <w:bookmarkStart w:id="170" w:name="page171"/>
    <w:bookmarkEnd w:id="170"/>
    <w:p>
      <w:pPr>
        <w:jc w:val="center"/>
        <w:ind w:right="20"/>
        <w:spacing w:after="0"/>
        <w:rPr>
          <w:sz w:val="20"/>
          <w:szCs w:val="20"/>
          <w:color w:val="auto"/>
        </w:rPr>
      </w:pPr>
      <w:r>
        <w:rPr>
          <w:rFonts w:ascii="Arial" w:cs="Arial" w:eastAsia="Arial" w:hAnsi="Arial"/>
          <w:sz w:val="20"/>
          <w:szCs w:val="20"/>
          <w:b w:val="1"/>
          <w:bCs w:val="1"/>
          <w:color w:val="auto"/>
        </w:rPr>
        <w:t>REVOLVING CREDIT LOANS AND PAYMENTS WITH RESPECT THERETO</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Type of</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Amount of</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Amount of</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2"/>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Revolving</w:t>
            </w: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Revolving</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Principal or</w:t>
            </w:r>
          </w:p>
        </w:tc>
        <w:tc>
          <w:tcPr>
            <w:tcW w:w="17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Outstanding</w:t>
            </w:r>
          </w:p>
        </w:tc>
        <w:tc>
          <w:tcPr>
            <w:tcW w:w="1340" w:type="dxa"/>
            <w:vAlign w:val="bottom"/>
          </w:tcPr>
          <w:p>
            <w:pPr>
              <w:spacing w:after="0"/>
              <w:rPr>
                <w:sz w:val="18"/>
                <w:szCs w:val="18"/>
                <w:color w:val="auto"/>
              </w:rPr>
            </w:pPr>
          </w:p>
        </w:tc>
      </w:tr>
      <w:tr>
        <w:trPr>
          <w:trHeight w:val="212"/>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Credit</w:t>
            </w: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Credit</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End of Interest</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Interest Paid This</w:t>
            </w:r>
          </w:p>
        </w:tc>
        <w:tc>
          <w:tcPr>
            <w:tcW w:w="17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Principal Balance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Notation Made</w:t>
            </w:r>
          </w:p>
        </w:tc>
      </w:tr>
      <w:tr>
        <w:trPr>
          <w:trHeight w:val="237"/>
        </w:trPr>
        <w:tc>
          <w:tcPr>
            <w:tcW w:w="1380" w:type="dxa"/>
            <w:vAlign w:val="bottom"/>
            <w:gridSpan w:val="2"/>
          </w:tcPr>
          <w:p>
            <w:pPr>
              <w:ind w:left="440"/>
              <w:spacing w:after="0"/>
              <w:rPr>
                <w:sz w:val="20"/>
                <w:szCs w:val="20"/>
                <w:color w:val="auto"/>
              </w:rPr>
            </w:pPr>
            <w:r>
              <w:rPr>
                <w:rFonts w:ascii="Arial" w:cs="Arial" w:eastAsia="Arial" w:hAnsi="Arial"/>
                <w:sz w:val="18"/>
                <w:szCs w:val="18"/>
                <w:b w:val="1"/>
                <w:bCs w:val="1"/>
                <w:color w:val="auto"/>
              </w:rPr>
              <w:t>Date</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Loan Made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Loan Made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Period</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This Date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By</w:t>
            </w:r>
          </w:p>
        </w:tc>
      </w:tr>
      <w:tr>
        <w:trPr>
          <w:trHeight w:val="96"/>
        </w:trPr>
        <w:tc>
          <w:tcPr>
            <w:tcW w:w="12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r>
      <w:tr>
        <w:trPr>
          <w:trHeight w:val="292"/>
        </w:trPr>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92"/>
        </w:trPr>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92"/>
        </w:trPr>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92"/>
        </w:trPr>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92"/>
        </w:trPr>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92"/>
        </w:trPr>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92"/>
        </w:trPr>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92"/>
        </w:trPr>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92"/>
        </w:trPr>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92"/>
        </w:trPr>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92"/>
        </w:trPr>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92"/>
        </w:trPr>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92"/>
        </w:trPr>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92"/>
        </w:trPr>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92"/>
        </w:trPr>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92"/>
        </w:trPr>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92"/>
        </w:trPr>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92"/>
        </w:trPr>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C-1-3</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Form of Revolving Credit Note</w:t>
      </w:r>
    </w:p>
    <w:p>
      <w:pPr>
        <w:sectPr>
          <w:pgSz w:w="11900" w:h="16838" w:orient="portrait"/>
          <w:cols w:equalWidth="0" w:num="1">
            <w:col w:w="10440"/>
          </w:cols>
          <w:pgMar w:left="740" w:top="552" w:right="71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i w:val="1"/>
          <w:iCs w:val="1"/>
          <w:color w:val="auto"/>
        </w:rPr>
        <w:t>EXHIBIT C-2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TERM NOTE</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the undersigned (the “</w:t>
      </w:r>
      <w:r>
        <w:rPr>
          <w:rFonts w:ascii="Arial" w:cs="Arial" w:eastAsia="Arial" w:hAnsi="Arial"/>
          <w:sz w:val="16"/>
          <w:szCs w:val="16"/>
          <w:u w:val="single" w:color="auto"/>
          <w:color w:val="auto"/>
        </w:rPr>
        <w:t>Borrower</w:t>
      </w:r>
      <w:r>
        <w:rPr>
          <w:rFonts w:ascii="Arial" w:cs="Arial" w:eastAsia="Arial" w:hAnsi="Arial"/>
          <w:sz w:val="16"/>
          <w:szCs w:val="16"/>
          <w:color w:val="auto"/>
        </w:rPr>
        <w:t>”), hereby promises to pay to _____________________ or its registered assigns (the “</w:t>
      </w:r>
      <w:r>
        <w:rPr>
          <w:rFonts w:ascii="Arial" w:cs="Arial" w:eastAsia="Arial" w:hAnsi="Arial"/>
          <w:sz w:val="16"/>
          <w:szCs w:val="16"/>
          <w:u w:val="single" w:color="auto"/>
          <w:color w:val="auto"/>
        </w:rPr>
        <w:t>Lender</w:t>
      </w:r>
      <w:r>
        <w:rPr>
          <w:rFonts w:ascii="Arial" w:cs="Arial" w:eastAsia="Arial" w:hAnsi="Arial"/>
          <w:sz w:val="16"/>
          <w:szCs w:val="16"/>
          <w:color w:val="auto"/>
        </w:rPr>
        <w:t>”),</w:t>
      </w:r>
    </w:p>
    <w:p>
      <w:pPr>
        <w:spacing w:after="0" w:line="4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accordance with the provisions of the Agreement (as hereinafter defined), the principal amount of the [Closing Date] [Tranche [•]] Term Loan made or continued by the Lender to the Borrower under that certain Second Amended and Restated Credit Agreement, dated as of January 9, 2018 (as amended, restated, extended, supplemented or otherwise modified in writing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the terms defined therein being used herein as therein defined), among American Assets Trust, Inc., a Maryland corporation, the Borrower, the Lenders, L/C Issuers and Swing Line Lenders from time to time party thereto, and Bank of America, N.A., as Administrative Agent.</w:t>
      </w:r>
    </w:p>
    <w:p>
      <w:pPr>
        <w:spacing w:after="0" w:line="17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Borrower promises to pay interest on the unpaid principal amount of the [Closing Date] [Tranche [•]] Term Loan made by the Lender to the Borrower from the date of such [Closing Date] [Tranche [•]] Term Loan until such principal amount is paid in full, at such interest rates and at such times as provided in the Agreement. All payments of principal and interest shall be made to the Administrative Agent for the account of the Lender in Dollars in immediately available funds at the Administrative Agent’s Office. If any amount is not paid in full when due hereunder, such unpaid amount shall bear interest, to be paid upon demand, from the due date thereof until the date of actual payment (and before as well as after judgment) computed at the per annum rate set forth in the Agreement.</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Term Note is one of the Term Notes referred to in the Agreement, is entitled to the benefits thereof and may be prepaid in whole or in part subject to the terms and conditions provided therein. This Term Note is also entitled to the benefits of the Guaranty Agreement. Upon the occurrence and continuation of one or more of the Events of Default specified in the Agreement, all amounts then remaining unpaid on this Term Note shall become, or may be declared to be, immediately due and payable all as provided in the Agreement. [Closing Date] [Tranche [•]] Term Loans made by the Lender shall be evidenced by one or more loan accounts or records maintained by the Lender in the ordinary course of business. The Lender may also attach schedules to this Term Note and endorse thereon the date, amount and maturity of its [Closing Date] [Tranche [•]] Term Loans and payments with respect thereto.</w:t>
      </w:r>
    </w:p>
    <w:p>
      <w:pPr>
        <w:spacing w:after="0" w:line="14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Borrower, for itself, its successors and assigns, hereby waives diligence, presentment, protest and demand and notice of protest, demand, dishonor and non-payment of this Term Note.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C-2-1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Term Note</w:t>
      </w:r>
    </w:p>
    <w:p>
      <w:pPr>
        <w:sectPr>
          <w:pgSz w:w="11900" w:h="16838" w:orient="portrait"/>
          <w:cols w:equalWidth="0" w:num="1">
            <w:col w:w="11420"/>
          </w:cols>
          <w:pgMar w:left="240" w:top="547" w:right="239" w:bottom="1440" w:gutter="0" w:footer="0" w:header="0"/>
        </w:sectPr>
      </w:pPr>
    </w:p>
    <w:bookmarkStart w:id="172" w:name="page173"/>
    <w:bookmarkEnd w:id="172"/>
    <w:p>
      <w:pPr>
        <w:spacing w:after="0" w:line="276" w:lineRule="auto"/>
        <w:rPr>
          <w:sz w:val="20"/>
          <w:szCs w:val="20"/>
          <w:color w:val="auto"/>
        </w:rPr>
      </w:pPr>
      <w:r>
        <w:rPr>
          <w:rFonts w:ascii="Arial" w:cs="Arial" w:eastAsia="Arial" w:hAnsi="Arial"/>
          <w:sz w:val="18"/>
          <w:szCs w:val="18"/>
          <w:color w:val="auto"/>
        </w:rPr>
        <w:t>THIS TERM NOTE SHALL BE GOVERNED BY AND CONSTRUED IN ACCORDANCE WITH THE LAW OF THE STATE OF NEW YORK (WITHOUT GIVING EFFECT TO THE CONFLICTS OF LAW PROVISIONS THEREOF).</w:t>
      </w:r>
    </w:p>
    <w:p>
      <w:pPr>
        <w:spacing w:after="0" w:line="390" w:lineRule="exact"/>
        <w:rPr>
          <w:sz w:val="20"/>
          <w:szCs w:val="20"/>
          <w:color w:val="auto"/>
        </w:rPr>
      </w:pPr>
    </w:p>
    <w:p>
      <w:pPr>
        <w:ind w:left="7600"/>
        <w:spacing w:after="0"/>
        <w:rPr>
          <w:sz w:val="20"/>
          <w:szCs w:val="20"/>
          <w:color w:val="auto"/>
        </w:rPr>
      </w:pPr>
      <w:r>
        <w:rPr>
          <w:rFonts w:ascii="Arial" w:cs="Arial" w:eastAsia="Arial" w:hAnsi="Arial"/>
          <w:sz w:val="20"/>
          <w:szCs w:val="20"/>
          <w:b w:val="1"/>
          <w:bCs w:val="1"/>
          <w:color w:val="auto"/>
        </w:rPr>
        <w:t>AMERICAN ASSETS TRUST, L.P.</w:t>
      </w:r>
    </w:p>
    <w:p>
      <w:pPr>
        <w:spacing w:after="0" w:line="51" w:lineRule="exact"/>
        <w:rPr>
          <w:sz w:val="20"/>
          <w:szCs w:val="20"/>
          <w:color w:val="auto"/>
        </w:rPr>
      </w:pPr>
    </w:p>
    <w:p>
      <w:pPr>
        <w:ind w:left="7600"/>
        <w:spacing w:after="0"/>
        <w:tabs>
          <w:tab w:leader="none" w:pos="83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AMERICAN ASSETS TRUST INC.,</w:t>
      </w:r>
    </w:p>
    <w:p>
      <w:pPr>
        <w:spacing w:after="0" w:line="56" w:lineRule="exact"/>
        <w:rPr>
          <w:sz w:val="20"/>
          <w:szCs w:val="20"/>
          <w:color w:val="auto"/>
        </w:rPr>
      </w:pPr>
    </w:p>
    <w:p>
      <w:pPr>
        <w:ind w:left="8340"/>
        <w:spacing w:after="0"/>
        <w:rPr>
          <w:sz w:val="20"/>
          <w:szCs w:val="20"/>
          <w:color w:val="auto"/>
        </w:rPr>
      </w:pPr>
      <w:r>
        <w:rPr>
          <w:rFonts w:ascii="Arial" w:cs="Arial" w:eastAsia="Arial" w:hAnsi="Arial"/>
          <w:sz w:val="20"/>
          <w:szCs w:val="20"/>
          <w:color w:val="auto"/>
        </w:rPr>
        <w:t>its General Partner</w:t>
      </w:r>
    </w:p>
    <w:p>
      <w:pPr>
        <w:spacing w:after="0" w:line="345" w:lineRule="exact"/>
        <w:rPr>
          <w:sz w:val="20"/>
          <w:szCs w:val="20"/>
          <w:color w:val="auto"/>
        </w:rPr>
      </w:pPr>
    </w:p>
    <w:p>
      <w:pPr>
        <w:ind w:left="76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5274310</wp:posOffset>
            </wp:positionH>
            <wp:positionV relativeFrom="paragraph">
              <wp:posOffset>24765</wp:posOffset>
            </wp:positionV>
            <wp:extent cx="198247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82470" cy="7620"/>
                    </a:xfrm>
                    <a:prstGeom prst="rect">
                      <a:avLst/>
                    </a:prstGeom>
                    <a:noFill/>
                  </pic:spPr>
                </pic:pic>
              </a:graphicData>
            </a:graphic>
          </wp:anchor>
        </w:drawing>
      </w:r>
    </w:p>
    <w:p>
      <w:pPr>
        <w:spacing w:after="0" w:line="25" w:lineRule="exact"/>
        <w:rPr>
          <w:sz w:val="20"/>
          <w:szCs w:val="20"/>
          <w:color w:val="auto"/>
        </w:rPr>
      </w:pPr>
    </w:p>
    <w:p>
      <w:pPr>
        <w:ind w:left="76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5274310</wp:posOffset>
            </wp:positionH>
            <wp:positionV relativeFrom="paragraph">
              <wp:posOffset>24765</wp:posOffset>
            </wp:positionV>
            <wp:extent cx="198247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82470" cy="7620"/>
                    </a:xfrm>
                    <a:prstGeom prst="rect">
                      <a:avLst/>
                    </a:prstGeom>
                    <a:noFill/>
                  </pic:spPr>
                </pic:pic>
              </a:graphicData>
            </a:graphic>
          </wp:anchor>
        </w:drawing>
      </w:r>
    </w:p>
    <w:p>
      <w:pPr>
        <w:spacing w:after="0" w:line="25" w:lineRule="exact"/>
        <w:rPr>
          <w:sz w:val="20"/>
          <w:szCs w:val="20"/>
          <w:color w:val="auto"/>
        </w:rPr>
      </w:pPr>
    </w:p>
    <w:p>
      <w:pPr>
        <w:ind w:left="76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5274310</wp:posOffset>
            </wp:positionH>
            <wp:positionV relativeFrom="paragraph">
              <wp:posOffset>24765</wp:posOffset>
            </wp:positionV>
            <wp:extent cx="198247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82470" cy="7620"/>
                    </a:xfrm>
                    <a:prstGeom prst="rect">
                      <a:avLst/>
                    </a:prstGeom>
                    <a:noFill/>
                  </pic:spPr>
                </pic:pic>
              </a:graphicData>
            </a:graphic>
          </wp:anchor>
        </w:drawing>
      </w:r>
    </w:p>
    <w:p>
      <w:pPr>
        <w:spacing w:after="0" w:line="312" w:lineRule="exact"/>
        <w:rPr>
          <w:sz w:val="20"/>
          <w:szCs w:val="20"/>
          <w:color w:val="auto"/>
        </w:rPr>
      </w:pPr>
    </w:p>
    <w:p>
      <w:pPr>
        <w:ind w:left="76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5274310</wp:posOffset>
            </wp:positionH>
            <wp:positionV relativeFrom="paragraph">
              <wp:posOffset>24765</wp:posOffset>
            </wp:positionV>
            <wp:extent cx="198247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82470" cy="7620"/>
                    </a:xfrm>
                    <a:prstGeom prst="rect">
                      <a:avLst/>
                    </a:prstGeom>
                    <a:noFill/>
                  </pic:spPr>
                </pic:pic>
              </a:graphicData>
            </a:graphic>
          </wp:anchor>
        </w:drawing>
      </w:r>
    </w:p>
    <w:p>
      <w:pPr>
        <w:spacing w:after="0" w:line="25" w:lineRule="exact"/>
        <w:rPr>
          <w:sz w:val="20"/>
          <w:szCs w:val="20"/>
          <w:color w:val="auto"/>
        </w:rPr>
      </w:pPr>
    </w:p>
    <w:p>
      <w:pPr>
        <w:ind w:left="76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5274310</wp:posOffset>
            </wp:positionH>
            <wp:positionV relativeFrom="paragraph">
              <wp:posOffset>24765</wp:posOffset>
            </wp:positionV>
            <wp:extent cx="198247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82470" cy="7620"/>
                    </a:xfrm>
                    <a:prstGeom prst="rect">
                      <a:avLst/>
                    </a:prstGeom>
                    <a:noFill/>
                  </pic:spPr>
                </pic:pic>
              </a:graphicData>
            </a:graphic>
          </wp:anchor>
        </w:drawing>
      </w:r>
    </w:p>
    <w:p>
      <w:pPr>
        <w:spacing w:after="0" w:line="25" w:lineRule="exact"/>
        <w:rPr>
          <w:sz w:val="20"/>
          <w:szCs w:val="20"/>
          <w:color w:val="auto"/>
        </w:rPr>
      </w:pPr>
    </w:p>
    <w:p>
      <w:pPr>
        <w:ind w:left="76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5274310</wp:posOffset>
            </wp:positionH>
            <wp:positionV relativeFrom="paragraph">
              <wp:posOffset>24765</wp:posOffset>
            </wp:positionV>
            <wp:extent cx="198247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82470" cy="7620"/>
                    </a:xfrm>
                    <a:prstGeom prst="rect">
                      <a:avLst/>
                    </a:prstGeom>
                    <a:noFill/>
                  </pic:spPr>
                </pic:pic>
              </a:graphicData>
            </a:graphic>
          </wp:anchor>
        </w:drawing>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C-2-2</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Term Note</w:t>
      </w:r>
    </w:p>
    <w:p>
      <w:pPr>
        <w:sectPr>
          <w:pgSz w:w="11900" w:h="16838" w:orient="portrait"/>
          <w:cols w:equalWidth="0" w:num="1">
            <w:col w:w="11420"/>
          </w:cols>
          <w:pgMar w:left="240" w:top="960" w:right="239" w:bottom="1440" w:gutter="0" w:footer="0" w:header="0"/>
        </w:sectPr>
      </w:pPr>
    </w:p>
    <w:bookmarkStart w:id="173" w:name="page174"/>
    <w:bookmarkEnd w:id="173"/>
    <w:p>
      <w:pPr>
        <w:jc w:val="center"/>
        <w:ind w:right="20"/>
        <w:spacing w:after="0"/>
        <w:rPr>
          <w:sz w:val="20"/>
          <w:szCs w:val="20"/>
          <w:color w:val="auto"/>
        </w:rPr>
      </w:pPr>
      <w:r>
        <w:rPr>
          <w:rFonts w:ascii="Arial" w:cs="Arial" w:eastAsia="Arial" w:hAnsi="Arial"/>
          <w:sz w:val="20"/>
          <w:szCs w:val="20"/>
          <w:b w:val="1"/>
          <w:bCs w:val="1"/>
          <w:color w:val="auto"/>
        </w:rPr>
        <w:t xml:space="preserve">[CLOSING DATE] [TRANCHE [•]] </w:t>
      </w:r>
      <w:r>
        <w:rPr>
          <w:rFonts w:ascii="Arial" w:cs="Arial" w:eastAsia="Arial" w:hAnsi="Arial"/>
          <w:sz w:val="18"/>
          <w:szCs w:val="18"/>
          <w:b w:val="1"/>
          <w:bCs w:val="1"/>
          <w:color w:val="auto"/>
        </w:rPr>
        <w:t>TERM LOANS AND PAYMENTS WITH RESPECT THERETO</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Type of</w:t>
            </w: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3"/>
              </w:rPr>
              <w:t>Amount of</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Amount of</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2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1"/>
              </w:rPr>
              <w:t>[Closing Date]</w:t>
            </w:r>
          </w:p>
        </w:tc>
        <w:tc>
          <w:tcPr>
            <w:tcW w:w="1640" w:type="dxa"/>
            <w:vAlign w:val="bottom"/>
            <w:gridSpan w:val="2"/>
            <w:vMerge w:val="continue"/>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4"/>
              </w:rPr>
              <w:t>Principal or</w:t>
            </w: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2"/>
              </w:rPr>
              <w:t>Outstanding</w:t>
            </w: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640" w:type="dxa"/>
            <w:vAlign w:val="bottom"/>
            <w:gridSpan w:val="2"/>
          </w:tcPr>
          <w:p>
            <w:pPr>
              <w:jc w:val="center"/>
              <w:ind w:right="120"/>
              <w:spacing w:after="0" w:line="183" w:lineRule="exact"/>
              <w:rPr>
                <w:sz w:val="20"/>
                <w:szCs w:val="20"/>
                <w:color w:val="auto"/>
              </w:rPr>
            </w:pPr>
            <w:r>
              <w:rPr>
                <w:rFonts w:ascii="Arial" w:cs="Arial" w:eastAsia="Arial" w:hAnsi="Arial"/>
                <w:sz w:val="18"/>
                <w:szCs w:val="18"/>
                <w:b w:val="1"/>
                <w:bCs w:val="1"/>
                <w:color w:val="auto"/>
                <w:w w:val="91"/>
              </w:rPr>
              <w:t>[Closing Date]</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[Tranche [•]] Term</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[Tranche [•]] Term</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End of Interest</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Interest Paid This</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Principal Balance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5"/>
              </w:rPr>
              <w:t>Notation Made</w:t>
            </w:r>
          </w:p>
        </w:tc>
        <w:tc>
          <w:tcPr>
            <w:tcW w:w="0" w:type="dxa"/>
            <w:vAlign w:val="bottom"/>
          </w:tcPr>
          <w:p>
            <w:pPr>
              <w:spacing w:after="0"/>
              <w:rPr>
                <w:sz w:val="1"/>
                <w:szCs w:val="1"/>
                <w:color w:val="auto"/>
              </w:rPr>
            </w:pPr>
          </w:p>
        </w:tc>
      </w:tr>
      <w:tr>
        <w:trPr>
          <w:trHeight w:val="266"/>
        </w:trPr>
        <w:tc>
          <w:tcPr>
            <w:tcW w:w="1320" w:type="dxa"/>
            <w:vAlign w:val="bottom"/>
            <w:gridSpan w:val="2"/>
          </w:tcPr>
          <w:p>
            <w:pPr>
              <w:ind w:left="400"/>
              <w:spacing w:after="0"/>
              <w:rPr>
                <w:sz w:val="20"/>
                <w:szCs w:val="20"/>
                <w:color w:val="auto"/>
              </w:rPr>
            </w:pPr>
            <w:r>
              <w:rPr>
                <w:rFonts w:ascii="Arial" w:cs="Arial" w:eastAsia="Arial" w:hAnsi="Arial"/>
                <w:sz w:val="18"/>
                <w:szCs w:val="18"/>
                <w:b w:val="1"/>
                <w:bCs w:val="1"/>
                <w:color w:val="auto"/>
              </w:rPr>
              <w:t>Date</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Loan Made</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Loan Made</w:t>
            </w: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Period</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This Date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5"/>
              </w:rPr>
              <w:t>By</w:t>
            </w:r>
          </w:p>
        </w:tc>
        <w:tc>
          <w:tcPr>
            <w:tcW w:w="0" w:type="dxa"/>
            <w:vAlign w:val="bottom"/>
          </w:tcPr>
          <w:p>
            <w:pPr>
              <w:spacing w:after="0"/>
              <w:rPr>
                <w:sz w:val="1"/>
                <w:szCs w:val="1"/>
                <w:color w:val="auto"/>
              </w:rPr>
            </w:pPr>
          </w:p>
        </w:tc>
      </w:tr>
      <w:tr>
        <w:trPr>
          <w:trHeight w:val="21"/>
        </w:trPr>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C-2-3</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Form of Term Note</w:t>
      </w:r>
    </w:p>
    <w:p>
      <w:pPr>
        <w:sectPr>
          <w:pgSz w:w="11900" w:h="16838" w:orient="portrait"/>
          <w:cols w:equalWidth="0" w:num="1">
            <w:col w:w="10840"/>
          </w:cols>
          <w:pgMar w:left="540" w:top="551" w:right="519" w:bottom="1440" w:gutter="0" w:footer="0" w:header="0"/>
        </w:sectPr>
      </w:pPr>
    </w:p>
    <w:bookmarkStart w:id="174" w:name="page175"/>
    <w:bookmarkEnd w:id="174"/>
    <w:p>
      <w:pPr>
        <w:jc w:val="right"/>
        <w:spacing w:after="0"/>
        <w:rPr>
          <w:sz w:val="20"/>
          <w:szCs w:val="20"/>
          <w:color w:val="auto"/>
        </w:rPr>
      </w:pPr>
      <w:r>
        <w:rPr>
          <w:rFonts w:ascii="Arial" w:cs="Arial" w:eastAsia="Arial" w:hAnsi="Arial"/>
          <w:sz w:val="20"/>
          <w:szCs w:val="20"/>
          <w:b w:val="1"/>
          <w:bCs w:val="1"/>
          <w:i w:val="1"/>
          <w:iCs w:val="1"/>
          <w:color w:val="auto"/>
        </w:rPr>
        <w:t>EXHIBIT 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COMPLIANCE CERTIFICATE</w:t>
      </w:r>
    </w:p>
    <w:p>
      <w:pPr>
        <w:spacing w:after="0" w:line="200" w:lineRule="exact"/>
        <w:rPr>
          <w:sz w:val="20"/>
          <w:szCs w:val="20"/>
          <w:color w:val="auto"/>
        </w:rPr>
      </w:pPr>
    </w:p>
    <w:p>
      <w:pPr>
        <w:spacing w:after="0" w:line="250" w:lineRule="exact"/>
        <w:rPr>
          <w:sz w:val="20"/>
          <w:szCs w:val="20"/>
          <w:color w:val="auto"/>
        </w:rPr>
      </w:pPr>
    </w:p>
    <w:p>
      <w:pPr>
        <w:ind w:left="9260"/>
        <w:spacing w:after="0"/>
        <w:rPr>
          <w:sz w:val="20"/>
          <w:szCs w:val="20"/>
          <w:color w:val="auto"/>
        </w:rPr>
      </w:pPr>
      <w:r>
        <w:rPr>
          <w:rFonts w:ascii="Arial" w:cs="Arial" w:eastAsia="Arial" w:hAnsi="Arial"/>
          <w:sz w:val="17"/>
          <w:szCs w:val="17"/>
          <w:color w:val="auto"/>
        </w:rPr>
        <w:t>Financial Statement Date: ,</w:t>
      </w:r>
    </w:p>
    <w:p>
      <w:pPr>
        <w:spacing w:after="0" w:line="58"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Bank of America, N.A., as Administrative Agent</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Reference is made to that certain Second Amended and Restated Credit Agreement, dated as of January 9, 2018 (as amended, restated, extended, supplemented or otherwise modified in writing from time to time, the “</w:t>
      </w:r>
      <w:r>
        <w:rPr>
          <w:rFonts w:ascii="Arial" w:cs="Arial" w:eastAsia="Arial" w:hAnsi="Arial"/>
          <w:sz w:val="20"/>
          <w:szCs w:val="20"/>
          <w:u w:val="single" w:color="auto"/>
          <w:color w:val="auto"/>
        </w:rPr>
        <w:t>Agreement</w:t>
      </w:r>
      <w:r>
        <w:rPr>
          <w:rFonts w:ascii="Arial" w:cs="Arial" w:eastAsia="Arial" w:hAnsi="Arial"/>
          <w:sz w:val="20"/>
          <w:szCs w:val="20"/>
          <w:color w:val="auto"/>
        </w:rPr>
        <w:t>;” the terms defined therein being used herein as therein defined), among American Assets Trust, Inc., a Maryland corporation (the “</w:t>
      </w:r>
      <w:r>
        <w:rPr>
          <w:rFonts w:ascii="Arial" w:cs="Arial" w:eastAsia="Arial" w:hAnsi="Arial"/>
          <w:sz w:val="20"/>
          <w:szCs w:val="20"/>
          <w:u w:val="single" w:color="auto"/>
          <w:color w:val="auto"/>
        </w:rPr>
        <w:t>REIT</w:t>
      </w:r>
      <w:r>
        <w:rPr>
          <w:rFonts w:ascii="Arial" w:cs="Arial" w:eastAsia="Arial" w:hAnsi="Arial"/>
          <w:sz w:val="20"/>
          <w:szCs w:val="20"/>
          <w:color w:val="auto"/>
        </w:rPr>
        <w:t>”), American Assets Trust, L.P., a Maryland limited partnership (the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L/C Issuers and Swing Line Lenders from time to time party thereto, and Bank of America, N.A., as Administrative Agent.</w:t>
      </w:r>
    </w:p>
    <w:p>
      <w:pPr>
        <w:spacing w:after="0" w:line="174"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 xml:space="preserve">The undersigned Responsible Officer of the REIT hereby certifies as of the date hereof that he/she is the </w:t>
      </w:r>
      <w:r>
        <w:rPr>
          <w:rFonts w:ascii="Arial" w:cs="Arial" w:eastAsia="Arial" w:hAnsi="Arial"/>
          <w:sz w:val="18"/>
          <w:szCs w:val="18"/>
          <w:u w:val="single" w:color="auto"/>
          <w:color w:val="auto"/>
        </w:rPr>
        <w:t>[CEO/CFO/Treasurer/Controller]</w:t>
      </w:r>
      <w:r>
        <w:rPr>
          <w:rFonts w:ascii="Arial" w:cs="Arial" w:eastAsia="Arial" w:hAnsi="Arial"/>
          <w:sz w:val="18"/>
          <w:szCs w:val="18"/>
          <w:color w:val="auto"/>
        </w:rPr>
        <w:t xml:space="preserve"> of the REIT, and that, as such, he/she is authorized to execute and deliver this Compliance Certificate to the Administrative Agent on behalf of the REIT, in his/her capacity as a Responsible Officer of the REIT (and not in any individual capacity), and that: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20"/>
          <w:szCs w:val="20"/>
          <w:i w:val="1"/>
          <w:iCs w:val="1"/>
          <w:color w:val="auto"/>
        </w:rPr>
        <w:t xml:space="preserve">[Use following paragraph 1 for fiscal </w:t>
      </w:r>
      <w:r>
        <w:rPr>
          <w:rFonts w:ascii="Arial" w:cs="Arial" w:eastAsia="Arial" w:hAnsi="Arial"/>
          <w:sz w:val="20"/>
          <w:szCs w:val="20"/>
          <w:b w:val="1"/>
          <w:bCs w:val="1"/>
          <w:i w:val="1"/>
          <w:iCs w:val="1"/>
          <w:color w:val="auto"/>
        </w:rPr>
        <w:t>year-end</w:t>
      </w:r>
      <w:r>
        <w:rPr>
          <w:rFonts w:ascii="Arial" w:cs="Arial" w:eastAsia="Arial" w:hAnsi="Arial"/>
          <w:sz w:val="20"/>
          <w:szCs w:val="20"/>
          <w:i w:val="1"/>
          <w:iCs w:val="1"/>
          <w:color w:val="auto"/>
        </w:rPr>
        <w:t xml:space="preserve"> financial statements]</w:t>
      </w:r>
    </w:p>
    <w:p>
      <w:pPr>
        <w:spacing w:after="0" w:line="207" w:lineRule="exact"/>
        <w:rPr>
          <w:sz w:val="20"/>
          <w:szCs w:val="20"/>
          <w:color w:val="auto"/>
        </w:rPr>
      </w:pPr>
    </w:p>
    <w:p>
      <w:pPr>
        <w:jc w:val="both"/>
        <w:spacing w:after="0" w:line="266" w:lineRule="auto"/>
        <w:tabs>
          <w:tab w:leader="none" w:pos="341" w:val="left"/>
        </w:tabs>
        <w:numPr>
          <w:ilvl w:val="0"/>
          <w:numId w:val="195"/>
        </w:numPr>
        <w:rPr>
          <w:rFonts w:ascii="Arial" w:cs="Arial" w:eastAsia="Arial" w:hAnsi="Arial"/>
          <w:sz w:val="20"/>
          <w:szCs w:val="20"/>
          <w:color w:val="auto"/>
        </w:rPr>
      </w:pPr>
      <w:r>
        <w:rPr>
          <w:rFonts w:ascii="Arial" w:cs="Arial" w:eastAsia="Arial" w:hAnsi="Arial"/>
          <w:sz w:val="20"/>
          <w:szCs w:val="20"/>
          <w:color w:val="auto"/>
        </w:rPr>
        <w:t xml:space="preserve">The Borrower has delivered the year-end audited financial statements required by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of the Agreement for the fiscal year of the REIT ended as of the above date, together with the report and opinion of an independent certified public accountant required by such section.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xml:space="preserve">[Use following paragraph 1 for fiscal </w:t>
      </w:r>
      <w:r>
        <w:rPr>
          <w:rFonts w:ascii="Arial" w:cs="Arial" w:eastAsia="Arial" w:hAnsi="Arial"/>
          <w:sz w:val="20"/>
          <w:szCs w:val="20"/>
          <w:b w:val="1"/>
          <w:bCs w:val="1"/>
          <w:i w:val="1"/>
          <w:iCs w:val="1"/>
          <w:color w:val="auto"/>
        </w:rPr>
        <w:t>quarter-end</w:t>
      </w:r>
      <w:r>
        <w:rPr>
          <w:rFonts w:ascii="Arial" w:cs="Arial" w:eastAsia="Arial" w:hAnsi="Arial"/>
          <w:sz w:val="20"/>
          <w:szCs w:val="20"/>
          <w:i w:val="1"/>
          <w:iCs w:val="1"/>
          <w:color w:val="auto"/>
        </w:rPr>
        <w:t xml:space="preserve"> financial statements]</w:t>
      </w:r>
    </w:p>
    <w:p>
      <w:pPr>
        <w:spacing w:after="0" w:line="207" w:lineRule="exact"/>
        <w:rPr>
          <w:sz w:val="20"/>
          <w:szCs w:val="20"/>
          <w:color w:val="auto"/>
        </w:rPr>
      </w:pPr>
    </w:p>
    <w:p>
      <w:pPr>
        <w:jc w:val="both"/>
        <w:spacing w:after="0" w:line="260" w:lineRule="auto"/>
        <w:tabs>
          <w:tab w:leader="none" w:pos="341" w:val="left"/>
        </w:tabs>
        <w:numPr>
          <w:ilvl w:val="0"/>
          <w:numId w:val="196"/>
        </w:numPr>
        <w:rPr>
          <w:rFonts w:ascii="Arial" w:cs="Arial" w:eastAsia="Arial" w:hAnsi="Arial"/>
          <w:sz w:val="20"/>
          <w:szCs w:val="20"/>
          <w:color w:val="auto"/>
        </w:rPr>
      </w:pPr>
      <w:r>
        <w:rPr>
          <w:rFonts w:ascii="Arial" w:cs="Arial" w:eastAsia="Arial" w:hAnsi="Arial"/>
          <w:sz w:val="20"/>
          <w:szCs w:val="20"/>
          <w:color w:val="auto"/>
        </w:rPr>
        <w:t xml:space="preserve">The Borrower has delivered the unaudited financial statements required by </w:t>
      </w:r>
      <w:r>
        <w:rPr>
          <w:rFonts w:ascii="Arial" w:cs="Arial" w:eastAsia="Arial" w:hAnsi="Arial"/>
          <w:sz w:val="20"/>
          <w:szCs w:val="20"/>
          <w:u w:val="single" w:color="auto"/>
          <w:color w:val="auto"/>
        </w:rPr>
        <w:t>Section 6.01(b)</w:t>
      </w:r>
      <w:r>
        <w:rPr>
          <w:rFonts w:ascii="Arial" w:cs="Arial" w:eastAsia="Arial" w:hAnsi="Arial"/>
          <w:sz w:val="20"/>
          <w:szCs w:val="20"/>
          <w:color w:val="auto"/>
        </w:rPr>
        <w:t xml:space="preserve"> of the Agreement for the fiscal quarter of the REIT ended as of the above date. Such financial statements fairly present the financial condition, results of operations, shareholder’s equity and cash flows of the Consolidated Group in accordance with GAAP as at such date and for such period, subject only to customary year-end audit adjustments and the absence of footnotes.</w:t>
      </w:r>
    </w:p>
    <w:p>
      <w:pPr>
        <w:spacing w:after="0" w:line="164" w:lineRule="exact"/>
        <w:rPr>
          <w:rFonts w:ascii="Arial" w:cs="Arial" w:eastAsia="Arial" w:hAnsi="Arial"/>
          <w:sz w:val="20"/>
          <w:szCs w:val="20"/>
          <w:color w:val="auto"/>
        </w:rPr>
      </w:pPr>
    </w:p>
    <w:p>
      <w:pPr>
        <w:jc w:val="both"/>
        <w:spacing w:after="0" w:line="266" w:lineRule="auto"/>
        <w:tabs>
          <w:tab w:leader="none" w:pos="379" w:val="left"/>
        </w:tabs>
        <w:numPr>
          <w:ilvl w:val="0"/>
          <w:numId w:val="196"/>
        </w:numPr>
        <w:rPr>
          <w:rFonts w:ascii="Arial" w:cs="Arial" w:eastAsia="Arial" w:hAnsi="Arial"/>
          <w:sz w:val="20"/>
          <w:szCs w:val="20"/>
          <w:color w:val="auto"/>
        </w:rPr>
      </w:pPr>
      <w:r>
        <w:rPr>
          <w:rFonts w:ascii="Arial" w:cs="Arial" w:eastAsia="Arial" w:hAnsi="Arial"/>
          <w:sz w:val="20"/>
          <w:szCs w:val="20"/>
          <w:color w:val="auto"/>
        </w:rPr>
        <w:t>The undersigned has reviewed and is familiar with the terms of the Agreement and has made, or has caused to be made under his/her supervision, a detailed review of the transactions and condition (financial or otherwise) of the Loan Parties during the accounting period covered by such financial statements.</w:t>
      </w:r>
    </w:p>
    <w:p>
      <w:pPr>
        <w:spacing w:after="0" w:line="159" w:lineRule="exact"/>
        <w:rPr>
          <w:rFonts w:ascii="Arial" w:cs="Arial" w:eastAsia="Arial" w:hAnsi="Arial"/>
          <w:sz w:val="20"/>
          <w:szCs w:val="20"/>
          <w:color w:val="auto"/>
        </w:rPr>
      </w:pPr>
    </w:p>
    <w:p>
      <w:pPr>
        <w:jc w:val="both"/>
        <w:spacing w:after="0" w:line="266" w:lineRule="auto"/>
        <w:tabs>
          <w:tab w:leader="none" w:pos="366" w:val="left"/>
        </w:tabs>
        <w:numPr>
          <w:ilvl w:val="0"/>
          <w:numId w:val="196"/>
        </w:numPr>
        <w:rPr>
          <w:rFonts w:ascii="Arial" w:cs="Arial" w:eastAsia="Arial" w:hAnsi="Arial"/>
          <w:sz w:val="20"/>
          <w:szCs w:val="20"/>
          <w:color w:val="auto"/>
        </w:rPr>
      </w:pPr>
      <w:r>
        <w:rPr>
          <w:rFonts w:ascii="Arial" w:cs="Arial" w:eastAsia="Arial" w:hAnsi="Arial"/>
          <w:sz w:val="20"/>
          <w:szCs w:val="20"/>
          <w:color w:val="auto"/>
        </w:rPr>
        <w:t>A review of the activities of the Loan Parties during such fiscal period has been made under the supervision of the undersigned with a view to determining whether during such fiscal period the Loan Parties performed and observed all their Obligations under the Loan Documents,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Compliance Certificate</w:t>
      </w:r>
    </w:p>
    <w:p>
      <w:pPr>
        <w:sectPr>
          <w:pgSz w:w="11900" w:h="16838" w:orient="portrait"/>
          <w:cols w:equalWidth="0" w:num="1">
            <w:col w:w="11420"/>
          </w:cols>
          <w:pgMar w:left="240" w:top="558" w:right="2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20"/>
          <w:szCs w:val="20"/>
          <w:b w:val="1"/>
          <w:bCs w:val="1"/>
          <w:i w:val="1"/>
          <w:iCs w:val="1"/>
          <w:color w:val="auto"/>
        </w:rPr>
        <w:t>[select one:]</w:t>
      </w:r>
    </w:p>
    <w:p>
      <w:pPr>
        <w:spacing w:after="0" w:line="201" w:lineRule="exact"/>
        <w:rPr>
          <w:sz w:val="20"/>
          <w:szCs w:val="20"/>
          <w:color w:val="auto"/>
        </w:rPr>
      </w:pPr>
    </w:p>
    <w:p>
      <w:pPr>
        <w:spacing w:after="0" w:line="259" w:lineRule="auto"/>
        <w:rPr>
          <w:sz w:val="20"/>
          <w:szCs w:val="20"/>
          <w:color w:val="auto"/>
        </w:rPr>
      </w:pPr>
      <w:r>
        <w:rPr>
          <w:rFonts w:ascii="Arial" w:cs="Arial" w:eastAsia="Arial" w:hAnsi="Arial"/>
          <w:sz w:val="20"/>
          <w:szCs w:val="20"/>
          <w:b w:val="1"/>
          <w:bCs w:val="1"/>
          <w:color w:val="auto"/>
        </w:rPr>
        <w:t>[during such fiscal period each of the Loan Parties performed and observed in all material respects each covenant and condition of the Loan Documents applicable to it, and no Default has occurred and is continuing.]</w:t>
      </w:r>
    </w:p>
    <w:p>
      <w:pPr>
        <w:jc w:val="center"/>
        <w:spacing w:after="0"/>
        <w:rPr>
          <w:sz w:val="20"/>
          <w:szCs w:val="20"/>
          <w:color w:val="auto"/>
        </w:rPr>
      </w:pPr>
      <w:r>
        <w:rPr>
          <w:rFonts w:ascii="Arial" w:cs="Arial" w:eastAsia="Arial" w:hAnsi="Arial"/>
          <w:sz w:val="20"/>
          <w:szCs w:val="20"/>
          <w:b w:val="1"/>
          <w:bCs w:val="1"/>
          <w:i w:val="1"/>
          <w:iCs w:val="1"/>
          <w:color w:val="auto"/>
        </w:rPr>
        <w:t>--or--</w:t>
      </w:r>
    </w:p>
    <w:p>
      <w:pPr>
        <w:spacing w:after="0" w:line="7" w:lineRule="exact"/>
        <w:rPr>
          <w:sz w:val="20"/>
          <w:szCs w:val="20"/>
          <w:color w:val="auto"/>
        </w:rPr>
      </w:pPr>
    </w:p>
    <w:p>
      <w:pPr>
        <w:spacing w:after="0" w:line="256" w:lineRule="auto"/>
        <w:rPr>
          <w:sz w:val="20"/>
          <w:szCs w:val="20"/>
          <w:color w:val="auto"/>
        </w:rPr>
      </w:pPr>
      <w:r>
        <w:rPr>
          <w:rFonts w:ascii="Arial" w:cs="Arial" w:eastAsia="Arial" w:hAnsi="Arial"/>
          <w:sz w:val="20"/>
          <w:szCs w:val="20"/>
          <w:b w:val="1"/>
          <w:bCs w:val="1"/>
          <w:color w:val="auto"/>
        </w:rPr>
        <w:t>[during such fiscal period the following covenants or conditions have not been performed or observed and the following is a list of each such Default and its nature and status:]</w:t>
      </w:r>
    </w:p>
    <w:p>
      <w:pPr>
        <w:spacing w:after="0" w:line="168" w:lineRule="exact"/>
        <w:rPr>
          <w:sz w:val="20"/>
          <w:szCs w:val="20"/>
          <w:color w:val="auto"/>
        </w:rPr>
      </w:pPr>
    </w:p>
    <w:p>
      <w:pPr>
        <w:spacing w:after="0" w:line="285" w:lineRule="auto"/>
        <w:tabs>
          <w:tab w:leader="none" w:pos="354" w:val="left"/>
        </w:tabs>
        <w:numPr>
          <w:ilvl w:val="0"/>
          <w:numId w:val="197"/>
        </w:numPr>
        <w:rPr>
          <w:rFonts w:ascii="Arial" w:cs="Arial" w:eastAsia="Arial" w:hAnsi="Arial"/>
          <w:sz w:val="20"/>
          <w:szCs w:val="20"/>
          <w:color w:val="auto"/>
        </w:rPr>
      </w:pPr>
      <w:r>
        <w:rPr>
          <w:rFonts w:ascii="Arial" w:cs="Arial" w:eastAsia="Arial" w:hAnsi="Arial"/>
          <w:sz w:val="20"/>
          <w:szCs w:val="20"/>
          <w:color w:val="auto"/>
        </w:rPr>
        <w:t xml:space="preserve">The financial covenant analyses and information set forth on </w:t>
      </w:r>
      <w:r>
        <w:rPr>
          <w:rFonts w:ascii="Arial" w:cs="Arial" w:eastAsia="Arial" w:hAnsi="Arial"/>
          <w:sz w:val="20"/>
          <w:szCs w:val="20"/>
          <w:u w:val="single" w:color="auto"/>
          <w:color w:val="auto"/>
        </w:rPr>
        <w:t>Schedule 1</w:t>
      </w:r>
      <w:r>
        <w:rPr>
          <w:rFonts w:ascii="Arial" w:cs="Arial" w:eastAsia="Arial" w:hAnsi="Arial"/>
          <w:sz w:val="20"/>
          <w:szCs w:val="20"/>
          <w:color w:val="auto"/>
        </w:rPr>
        <w:t xml:space="preserve"> attached hereto are true and accurate in all material respects on and as of the date of this Certificate.</w:t>
      </w: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IN WITNESS WHEREOF, </w:t>
      </w:r>
      <w:r>
        <w:rPr>
          <w:rFonts w:ascii="Arial" w:cs="Arial" w:eastAsia="Arial" w:hAnsi="Arial"/>
          <w:sz w:val="19"/>
          <w:szCs w:val="19"/>
          <w:color w:val="auto"/>
        </w:rPr>
        <w:t>the undersigned has executed this Certificate as of ____________________________, ____________.</w:t>
      </w:r>
    </w:p>
    <w:p>
      <w:pPr>
        <w:spacing w:after="0" w:line="250" w:lineRule="exact"/>
        <w:rPr>
          <w:sz w:val="20"/>
          <w:szCs w:val="20"/>
          <w:color w:val="auto"/>
        </w:rPr>
      </w:pPr>
    </w:p>
    <w:p>
      <w:pPr>
        <w:ind w:left="7600"/>
        <w:spacing w:after="0"/>
        <w:rPr>
          <w:sz w:val="20"/>
          <w:szCs w:val="20"/>
          <w:color w:val="auto"/>
        </w:rPr>
      </w:pPr>
      <w:r>
        <w:rPr>
          <w:rFonts w:ascii="Arial" w:cs="Arial" w:eastAsia="Arial" w:hAnsi="Arial"/>
          <w:sz w:val="20"/>
          <w:szCs w:val="20"/>
          <w:b w:val="1"/>
          <w:bCs w:val="1"/>
          <w:color w:val="auto"/>
        </w:rPr>
        <w:t>AMERICAN ASSETS TRUST, INC.</w:t>
      </w:r>
    </w:p>
    <w:p>
      <w:pPr>
        <w:spacing w:after="0" w:line="351" w:lineRule="exact"/>
        <w:rPr>
          <w:sz w:val="20"/>
          <w:szCs w:val="20"/>
          <w:color w:val="auto"/>
        </w:rPr>
      </w:pPr>
    </w:p>
    <w:p>
      <w:pPr>
        <w:ind w:left="76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5274310</wp:posOffset>
            </wp:positionH>
            <wp:positionV relativeFrom="paragraph">
              <wp:posOffset>24765</wp:posOffset>
            </wp:positionV>
            <wp:extent cx="198247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82470" cy="7620"/>
                    </a:xfrm>
                    <a:prstGeom prst="rect">
                      <a:avLst/>
                    </a:prstGeom>
                    <a:noFill/>
                  </pic:spPr>
                </pic:pic>
              </a:graphicData>
            </a:graphic>
          </wp:anchor>
        </w:drawing>
      </w:r>
    </w:p>
    <w:p>
      <w:pPr>
        <w:spacing w:after="0" w:line="25" w:lineRule="exact"/>
        <w:rPr>
          <w:sz w:val="20"/>
          <w:szCs w:val="20"/>
          <w:color w:val="auto"/>
        </w:rPr>
      </w:pPr>
    </w:p>
    <w:p>
      <w:pPr>
        <w:ind w:left="76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5274310</wp:posOffset>
            </wp:positionH>
            <wp:positionV relativeFrom="paragraph">
              <wp:posOffset>24765</wp:posOffset>
            </wp:positionV>
            <wp:extent cx="198247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82470" cy="7620"/>
                    </a:xfrm>
                    <a:prstGeom prst="rect">
                      <a:avLst/>
                    </a:prstGeom>
                    <a:noFill/>
                  </pic:spPr>
                </pic:pic>
              </a:graphicData>
            </a:graphic>
          </wp:anchor>
        </w:drawing>
      </w:r>
    </w:p>
    <w:p>
      <w:pPr>
        <w:spacing w:after="0" w:line="25" w:lineRule="exact"/>
        <w:rPr>
          <w:sz w:val="20"/>
          <w:szCs w:val="20"/>
          <w:color w:val="auto"/>
        </w:rPr>
      </w:pPr>
    </w:p>
    <w:p>
      <w:pPr>
        <w:ind w:left="76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5274310</wp:posOffset>
            </wp:positionH>
            <wp:positionV relativeFrom="paragraph">
              <wp:posOffset>24765</wp:posOffset>
            </wp:positionV>
            <wp:extent cx="198247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82470" cy="7620"/>
                    </a:xfrm>
                    <a:prstGeom prst="rect">
                      <a:avLst/>
                    </a:prstGeom>
                    <a:noFill/>
                  </pic:spPr>
                </pic:pic>
              </a:graphicData>
            </a:graphic>
          </wp:anchor>
        </w:drawing>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D-2</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Compliance Certificate</w:t>
      </w:r>
    </w:p>
    <w:p>
      <w:pPr>
        <w:sectPr>
          <w:pgSz w:w="11900" w:h="16838" w:orient="portrait"/>
          <w:cols w:equalWidth="0" w:num="1">
            <w:col w:w="11420"/>
          </w:cols>
          <w:pgMar w:left="240" w:top="795" w:right="239" w:bottom="1440" w:gutter="0" w:footer="0" w:header="0"/>
        </w:sectPr>
      </w:pPr>
    </w:p>
    <w:bookmarkStart w:id="176" w:name="page177"/>
    <w:bookmarkEnd w:id="176"/>
    <w:p>
      <w:pPr>
        <w:spacing w:after="0"/>
        <w:rPr>
          <w:sz w:val="20"/>
          <w:szCs w:val="20"/>
          <w:color w:val="auto"/>
        </w:rPr>
      </w:pPr>
      <w:r>
        <w:rPr>
          <w:rFonts w:ascii="Arial" w:cs="Arial" w:eastAsia="Arial" w:hAnsi="Arial"/>
          <w:sz w:val="20"/>
          <w:szCs w:val="20"/>
          <w:color w:val="auto"/>
        </w:rPr>
        <w:t>For the Quarter/Year ended ___________________(“Statement Date”)</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the Compliance Certificate</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in 000’s)</w:t>
      </w:r>
    </w:p>
    <w:p>
      <w:pPr>
        <w:sectPr>
          <w:pgSz w:w="11900" w:h="16838" w:orient="portrait"/>
          <w:cols w:equalWidth="0" w:num="1">
            <w:col w:w="11140"/>
          </w:cols>
          <w:pgMar w:left="380" w:top="795" w:right="379" w:bottom="1440" w:gutter="0" w:footer="0" w:header="0"/>
        </w:sectPr>
      </w:pPr>
    </w:p>
    <w:p>
      <w:pPr>
        <w:spacing w:after="0" w:line="339" w:lineRule="exact"/>
        <w:rPr>
          <w:sz w:val="20"/>
          <w:szCs w:val="20"/>
          <w:color w:val="auto"/>
        </w:rPr>
      </w:pPr>
    </w:p>
    <w:p>
      <w:pPr>
        <w:ind w:left="460" w:hanging="450"/>
        <w:spacing w:after="0"/>
        <w:tabs>
          <w:tab w:leader="none" w:pos="4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7.02(b) – Aggregate Amount of Recourse Indebtedness (other than Pari Passu Obligations)</w:t>
      </w:r>
    </w:p>
    <w:p>
      <w:pPr>
        <w:spacing w:after="0" w:line="73" w:lineRule="exact"/>
        <w:rPr>
          <w:rFonts w:ascii="Arial" w:cs="Arial" w:eastAsia="Arial" w:hAnsi="Arial"/>
          <w:sz w:val="18"/>
          <w:szCs w:val="18"/>
          <w:b w:val="1"/>
          <w:bCs w:val="1"/>
          <w:color w:val="auto"/>
        </w:rPr>
      </w:pPr>
    </w:p>
    <w:p>
      <w:pPr>
        <w:ind w:left="1020" w:hanging="561"/>
        <w:spacing w:after="0"/>
        <w:tabs>
          <w:tab w:leader="none" w:pos="102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Aggregate amount of Recourse Indebtedness (other than Pari Passu Obligations) at Statement Date</w:t>
      </w:r>
    </w:p>
    <w:p>
      <w:pPr>
        <w:spacing w:after="0" w:line="67" w:lineRule="exact"/>
        <w:rPr>
          <w:rFonts w:ascii="Arial" w:cs="Arial" w:eastAsia="Arial" w:hAnsi="Arial"/>
          <w:sz w:val="18"/>
          <w:szCs w:val="18"/>
          <w:color w:val="auto"/>
        </w:rPr>
      </w:pPr>
    </w:p>
    <w:p>
      <w:pPr>
        <w:ind w:left="1580" w:hanging="559"/>
        <w:spacing w:after="0" w:line="289" w:lineRule="auto"/>
        <w:tabs>
          <w:tab w:leader="none" w:pos="158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Aggregate amount of Secured Recourse Indebtedness owed by the Borrower or any Guarantor to Persons that are not members of the Consolidated Group as of the Statement Date:</w:t>
      </w:r>
    </w:p>
    <w:p>
      <w:pPr>
        <w:spacing w:after="0" w:line="1" w:lineRule="exact"/>
        <w:rPr>
          <w:rFonts w:ascii="Arial" w:cs="Arial" w:eastAsia="Arial" w:hAnsi="Arial"/>
          <w:sz w:val="18"/>
          <w:szCs w:val="18"/>
          <w:color w:val="auto"/>
        </w:rPr>
      </w:pPr>
    </w:p>
    <w:p>
      <w:pPr>
        <w:ind w:left="1580" w:right="420" w:hanging="559"/>
        <w:spacing w:after="0" w:line="247" w:lineRule="auto"/>
        <w:tabs>
          <w:tab w:leader="none" w:pos="1580" w:val="left"/>
        </w:tabs>
        <w:numPr>
          <w:ilvl w:val="2"/>
          <w:numId w:val="198"/>
        </w:numPr>
        <w:rPr>
          <w:rFonts w:ascii="Arial" w:cs="Arial" w:eastAsia="Arial" w:hAnsi="Arial"/>
          <w:sz w:val="20"/>
          <w:szCs w:val="20"/>
          <w:color w:val="auto"/>
        </w:rPr>
      </w:pPr>
      <w:r>
        <w:rPr>
          <w:rFonts w:ascii="Arial" w:cs="Arial" w:eastAsia="Arial" w:hAnsi="Arial"/>
          <w:sz w:val="20"/>
          <w:szCs w:val="20"/>
          <w:color w:val="auto"/>
        </w:rPr>
        <w:t>Aggregate amount of Recourse Indebtedness (other than Pari Passu Obligations) owed by Subsidiaries of the Borrower that are not Guarantors to Persons that are not members of the Consolidated Group as of the Statement Date:</w:t>
      </w:r>
    </w:p>
    <w:p>
      <w:pPr>
        <w:spacing w:after="0" w:line="14" w:lineRule="exact"/>
        <w:rPr>
          <w:rFonts w:ascii="Arial" w:cs="Arial" w:eastAsia="Arial" w:hAnsi="Arial"/>
          <w:sz w:val="20"/>
          <w:szCs w:val="20"/>
          <w:color w:val="auto"/>
        </w:rPr>
      </w:pPr>
    </w:p>
    <w:p>
      <w:pPr>
        <w:ind w:left="1580" w:right="140" w:hanging="559"/>
        <w:spacing w:after="0" w:line="259" w:lineRule="auto"/>
        <w:tabs>
          <w:tab w:leader="none" w:pos="1580" w:val="left"/>
        </w:tabs>
        <w:numPr>
          <w:ilvl w:val="2"/>
          <w:numId w:val="198"/>
        </w:numPr>
        <w:rPr>
          <w:rFonts w:ascii="Arial" w:cs="Arial" w:eastAsia="Arial" w:hAnsi="Arial"/>
          <w:sz w:val="20"/>
          <w:szCs w:val="20"/>
          <w:color w:val="auto"/>
        </w:rPr>
      </w:pPr>
      <w:r>
        <w:rPr>
          <w:rFonts w:ascii="Arial" w:cs="Arial" w:eastAsia="Arial" w:hAnsi="Arial"/>
          <w:sz w:val="20"/>
          <w:szCs w:val="20"/>
          <w:color w:val="auto"/>
        </w:rPr>
        <w:t>Aggregate amount of Recourse Indebtedness (other than Pari Passu Obligations) (Line I.A.1. + Line I.A.2.):</w:t>
      </w:r>
    </w:p>
    <w:p>
      <w:pPr>
        <w:spacing w:after="0" w:line="3" w:lineRule="exact"/>
        <w:rPr>
          <w:rFonts w:ascii="Arial" w:cs="Arial" w:eastAsia="Arial" w:hAnsi="Arial"/>
          <w:sz w:val="20"/>
          <w:szCs w:val="20"/>
          <w:color w:val="auto"/>
        </w:rPr>
      </w:pPr>
    </w:p>
    <w:p>
      <w:pPr>
        <w:ind w:left="1020" w:hanging="561"/>
        <w:spacing w:after="0"/>
        <w:tabs>
          <w:tab w:leader="none" w:pos="1020" w:val="left"/>
        </w:tabs>
        <w:numPr>
          <w:ilvl w:val="1"/>
          <w:numId w:val="198"/>
        </w:numPr>
        <w:rPr>
          <w:rFonts w:ascii="Arial" w:cs="Arial" w:eastAsia="Arial" w:hAnsi="Arial"/>
          <w:sz w:val="20"/>
          <w:szCs w:val="20"/>
          <w:color w:val="auto"/>
        </w:rPr>
      </w:pPr>
      <w:r>
        <w:rPr>
          <w:rFonts w:ascii="Arial" w:cs="Arial" w:eastAsia="Arial" w:hAnsi="Arial"/>
          <w:sz w:val="20"/>
          <w:szCs w:val="20"/>
          <w:color w:val="auto"/>
        </w:rPr>
        <w:t>Total Asset Value at Statement Date (Line II.B.15.):</w:t>
      </w:r>
    </w:p>
    <w:p>
      <w:pPr>
        <w:spacing w:after="0" w:line="51" w:lineRule="exact"/>
        <w:rPr>
          <w:sz w:val="20"/>
          <w:szCs w:val="20"/>
          <w:color w:val="auto"/>
        </w:rPr>
      </w:pPr>
    </w:p>
    <w:p>
      <w:pPr>
        <w:ind w:left="460" w:right="100"/>
        <w:spacing w:after="0" w:line="260" w:lineRule="auto"/>
        <w:rPr>
          <w:sz w:val="20"/>
          <w:szCs w:val="20"/>
          <w:color w:val="auto"/>
        </w:rPr>
      </w:pPr>
      <w:r>
        <w:rPr>
          <w:rFonts w:ascii="Arial" w:cs="Arial" w:eastAsia="Arial" w:hAnsi="Arial"/>
          <w:sz w:val="20"/>
          <w:szCs w:val="20"/>
          <w:b w:val="1"/>
          <w:bCs w:val="1"/>
          <w:color w:val="auto"/>
        </w:rPr>
        <w:t>Ratio of Recourse Indebtedness (other than Pari Passu Obligations) to Total Asset Value (Line I.A.3. as a percentage of Line I.B.):</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Maximum Permitted Aggregate Amount of Recourse Indebtedness (other than Pari Passu Obligations):</w:t>
      </w:r>
    </w:p>
    <w:p>
      <w:pPr>
        <w:spacing w:after="0" w:line="393" w:lineRule="exact"/>
        <w:rPr>
          <w:sz w:val="20"/>
          <w:szCs w:val="20"/>
          <w:color w:val="auto"/>
        </w:rPr>
      </w:pPr>
    </w:p>
    <w:p>
      <w:pPr>
        <w:ind w:left="460" w:hanging="450"/>
        <w:spacing w:after="0"/>
        <w:tabs>
          <w:tab w:leader="none" w:pos="460" w:val="left"/>
        </w:tabs>
        <w:numPr>
          <w:ilvl w:val="0"/>
          <w:numId w:val="19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Section 7.11(a) – Consolidated Secured Leverage Ratio</w:t>
      </w:r>
    </w:p>
    <w:p>
      <w:pPr>
        <w:spacing w:after="0" w:line="50" w:lineRule="exact"/>
        <w:rPr>
          <w:rFonts w:ascii="Arial" w:cs="Arial" w:eastAsia="Arial" w:hAnsi="Arial"/>
          <w:sz w:val="20"/>
          <w:szCs w:val="20"/>
          <w:b w:val="1"/>
          <w:bCs w:val="1"/>
          <w:color w:val="auto"/>
        </w:rPr>
      </w:pPr>
    </w:p>
    <w:p>
      <w:pPr>
        <w:ind w:left="1020" w:hanging="561"/>
        <w:spacing w:after="0"/>
        <w:tabs>
          <w:tab w:leader="none" w:pos="1020" w:val="left"/>
        </w:tabs>
        <w:numPr>
          <w:ilvl w:val="1"/>
          <w:numId w:val="199"/>
        </w:numPr>
        <w:rPr>
          <w:rFonts w:ascii="Arial" w:cs="Arial" w:eastAsia="Arial" w:hAnsi="Arial"/>
          <w:sz w:val="20"/>
          <w:szCs w:val="20"/>
          <w:color w:val="auto"/>
        </w:rPr>
      </w:pPr>
      <w:r>
        <w:rPr>
          <w:rFonts w:ascii="Arial" w:cs="Arial" w:eastAsia="Arial" w:hAnsi="Arial"/>
          <w:sz w:val="20"/>
          <w:szCs w:val="20"/>
          <w:color w:val="auto"/>
        </w:rPr>
        <w:t>Consolidated Total Secured Indebtedness at Statement Date:</w:t>
      </w:r>
    </w:p>
    <w:p>
      <w:pPr>
        <w:spacing w:after="0" w:line="44" w:lineRule="exact"/>
        <w:rPr>
          <w:rFonts w:ascii="Arial" w:cs="Arial" w:eastAsia="Arial" w:hAnsi="Arial"/>
          <w:sz w:val="20"/>
          <w:szCs w:val="20"/>
          <w:color w:val="auto"/>
        </w:rPr>
      </w:pPr>
    </w:p>
    <w:p>
      <w:pPr>
        <w:jc w:val="both"/>
        <w:ind w:left="1580" w:right="240" w:hanging="559"/>
        <w:spacing w:after="0" w:line="270" w:lineRule="auto"/>
        <w:tabs>
          <w:tab w:leader="none" w:pos="1580" w:val="left"/>
        </w:tabs>
        <w:numPr>
          <w:ilvl w:val="2"/>
          <w:numId w:val="199"/>
        </w:numPr>
        <w:rPr>
          <w:rFonts w:ascii="Arial" w:cs="Arial" w:eastAsia="Arial" w:hAnsi="Arial"/>
          <w:sz w:val="17"/>
          <w:szCs w:val="17"/>
          <w:color w:val="auto"/>
        </w:rPr>
      </w:pPr>
      <w:r>
        <w:rPr>
          <w:rFonts w:ascii="Arial" w:cs="Arial" w:eastAsia="Arial" w:hAnsi="Arial"/>
          <w:sz w:val="17"/>
          <w:szCs w:val="17"/>
          <w:color w:val="auto"/>
        </w:rPr>
        <w:t>Aggregate amount of all Secured Indebtedness</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owed by members of the Consolidated Group (excluding in any event Indebtedness outstanding under the Credit Agreement) that would be reflected on a consolidated balance sheet of the Consolidated Group as of the Statement Date:</w:t>
      </w:r>
    </w:p>
    <w:p>
      <w:pPr>
        <w:ind w:left="1580" w:hanging="559"/>
        <w:spacing w:after="0" w:line="247" w:lineRule="auto"/>
        <w:tabs>
          <w:tab w:leader="none" w:pos="1580" w:val="left"/>
        </w:tabs>
        <w:numPr>
          <w:ilvl w:val="2"/>
          <w:numId w:val="199"/>
        </w:numPr>
        <w:rPr>
          <w:rFonts w:ascii="Arial" w:cs="Arial" w:eastAsia="Arial" w:hAnsi="Arial"/>
          <w:sz w:val="20"/>
          <w:szCs w:val="20"/>
          <w:color w:val="auto"/>
        </w:rPr>
      </w:pPr>
      <w:r>
        <w:rPr>
          <w:rFonts w:ascii="Arial" w:cs="Arial" w:eastAsia="Arial" w:hAnsi="Arial"/>
          <w:sz w:val="20"/>
          <w:szCs w:val="20"/>
          <w:color w:val="auto"/>
        </w:rPr>
        <w:t>Consolidated Group Pro Rata Share of the aggregate amount of all Secured Indebtedness of each Unconsolidated Affiliate that would be reflected on a balance sheet of such Unconsolidated Affiliate as of the Statement Date:</w:t>
      </w:r>
    </w:p>
    <w:p>
      <w:pPr>
        <w:spacing w:after="0" w:line="14" w:lineRule="exact"/>
        <w:rPr>
          <w:rFonts w:ascii="Arial" w:cs="Arial" w:eastAsia="Arial" w:hAnsi="Arial"/>
          <w:sz w:val="20"/>
          <w:szCs w:val="20"/>
          <w:color w:val="auto"/>
        </w:rPr>
      </w:pPr>
    </w:p>
    <w:p>
      <w:pPr>
        <w:ind w:left="1580" w:hanging="559"/>
        <w:spacing w:after="0"/>
        <w:tabs>
          <w:tab w:leader="none" w:pos="1580" w:val="left"/>
        </w:tabs>
        <w:numPr>
          <w:ilvl w:val="2"/>
          <w:numId w:val="199"/>
        </w:numPr>
        <w:rPr>
          <w:rFonts w:ascii="Arial" w:cs="Arial" w:eastAsia="Arial" w:hAnsi="Arial"/>
          <w:sz w:val="20"/>
          <w:szCs w:val="20"/>
          <w:color w:val="auto"/>
        </w:rPr>
      </w:pPr>
      <w:r>
        <w:rPr>
          <w:rFonts w:ascii="Arial" w:cs="Arial" w:eastAsia="Arial" w:hAnsi="Arial"/>
          <w:sz w:val="20"/>
          <w:szCs w:val="20"/>
          <w:u w:val="single" w:color="auto"/>
          <w:color w:val="auto"/>
        </w:rPr>
        <w:t>Consolidated Total Secured Indebtedness</w:t>
      </w:r>
      <w:r>
        <w:rPr>
          <w:rFonts w:ascii="Arial" w:cs="Arial" w:eastAsia="Arial" w:hAnsi="Arial"/>
          <w:sz w:val="20"/>
          <w:szCs w:val="20"/>
          <w:color w:val="auto"/>
        </w:rPr>
        <w:t xml:space="preserve"> (Line II.A.1. + Line II.A.2.):</w:t>
      </w:r>
    </w:p>
    <w:p>
      <w:pPr>
        <w:spacing w:after="0" w:line="57" w:lineRule="exact"/>
        <w:rPr>
          <w:rFonts w:ascii="Arial" w:cs="Arial" w:eastAsia="Arial" w:hAnsi="Arial"/>
          <w:sz w:val="20"/>
          <w:szCs w:val="20"/>
          <w:color w:val="auto"/>
        </w:rPr>
      </w:pPr>
    </w:p>
    <w:p>
      <w:pPr>
        <w:ind w:left="1020" w:hanging="561"/>
        <w:spacing w:after="0"/>
        <w:tabs>
          <w:tab w:leader="none" w:pos="1020" w:val="left"/>
        </w:tabs>
        <w:numPr>
          <w:ilvl w:val="1"/>
          <w:numId w:val="199"/>
        </w:numPr>
        <w:rPr>
          <w:rFonts w:ascii="Arial" w:cs="Arial" w:eastAsia="Arial" w:hAnsi="Arial"/>
          <w:sz w:val="20"/>
          <w:szCs w:val="20"/>
          <w:color w:val="auto"/>
        </w:rPr>
      </w:pPr>
      <w:r>
        <w:rPr>
          <w:rFonts w:ascii="Arial" w:cs="Arial" w:eastAsia="Arial" w:hAnsi="Arial"/>
          <w:sz w:val="20"/>
          <w:szCs w:val="20"/>
          <w:color w:val="auto"/>
        </w:rPr>
        <w:t>Secured Total Asset Value at Statement Date:</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20"/>
          <w:szCs w:val="20"/>
          <w:u w:val="single" w:color="auto"/>
          <w:color w:val="auto"/>
        </w:rPr>
        <w:t>Total Asset Value:</w:t>
      </w:r>
    </w:p>
    <w:p>
      <w:pPr>
        <w:spacing w:after="0" w:line="45" w:lineRule="exact"/>
        <w:rPr>
          <w:sz w:val="20"/>
          <w:szCs w:val="20"/>
          <w:color w:val="auto"/>
        </w:rPr>
      </w:pPr>
    </w:p>
    <w:p>
      <w:pPr>
        <w:ind w:left="1580" w:right="100" w:hanging="559"/>
        <w:spacing w:after="0" w:line="271" w:lineRule="auto"/>
        <w:tabs>
          <w:tab w:leader="none" w:pos="15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Amount equal to (i) the sum of the Portfolio Property Net Operating Income of each Portfolio Property (excluding each Disposed Portfolio Property, each Newly-Acquired Portfolio Property and each Non-Stabilized Portfolio Property) owned, or ground leased pursuant to an Eligible Ground Lease, by the Consolidated Group for the fiscal quarter ending on above date (“Subject Period”)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the Applicable Capitalization Rate for each such Portfolio Property (see Annex I attached hereto for calculation),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(ii)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192405</wp:posOffset>
            </wp:positionV>
            <wp:extent cx="709803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28575</wp:posOffset>
            </wp:positionV>
            <wp:extent cx="11341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3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28575</wp:posOffset>
            </wp:positionV>
            <wp:extent cx="11341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48" w:lineRule="exact"/>
        <w:rPr>
          <w:sz w:val="20"/>
          <w:szCs w:val="20"/>
          <w:color w:val="auto"/>
        </w:rPr>
      </w:pPr>
    </w:p>
    <w:p>
      <w:pPr>
        <w:sectPr>
          <w:pgSz w:w="11900" w:h="16838" w:orient="portrait"/>
          <w:cols w:equalWidth="0" w:num="2">
            <w:col w:w="9320" w:space="80"/>
            <w:col w:w="1740"/>
          </w:cols>
          <w:pgMar w:left="380" w:top="795" w:right="379" w:bottom="1440" w:gutter="0" w:footer="0" w:header="0"/>
          <w:type w:val="continuous"/>
        </w:sectPr>
      </w:pPr>
    </w:p>
    <w:p>
      <w:pPr>
        <w:spacing w:after="0" w:line="124" w:lineRule="exact"/>
        <w:rPr>
          <w:sz w:val="20"/>
          <w:szCs w:val="20"/>
          <w:color w:val="auto"/>
        </w:rPr>
      </w:pPr>
    </w:p>
    <w:p>
      <w:pPr>
        <w:ind w:left="460" w:right="400" w:hanging="450"/>
        <w:spacing w:after="0" w:line="251" w:lineRule="auto"/>
        <w:tabs>
          <w:tab w:leader="none" w:pos="460" w:val="left"/>
        </w:tabs>
        <w:numPr>
          <w:ilvl w:val="0"/>
          <w:numId w:val="201"/>
        </w:numPr>
        <w:rPr>
          <w:rFonts w:ascii="Arial" w:cs="Arial" w:eastAsia="Arial" w:hAnsi="Arial"/>
          <w:sz w:val="13"/>
          <w:szCs w:val="13"/>
          <w:b w:val="1"/>
          <w:bCs w:val="1"/>
          <w:color w:val="auto"/>
        </w:rPr>
      </w:pPr>
      <w:r>
        <w:rPr>
          <w:rFonts w:ascii="Arial" w:cs="Arial" w:eastAsia="Arial" w:hAnsi="Arial"/>
          <w:sz w:val="13"/>
          <w:szCs w:val="13"/>
          <w:color w:val="auto"/>
        </w:rPr>
        <w:t>"Secured Indebtedness” means, with respect to any Person, all Indebtedness of such Person that is secured by a mortgage, deed of trust, lien, pledge, encumbrance, security interest or other Lien (excluding in any event Indebtedness outstanding under the Credit Agreement).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D-3</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Compliance Certificate</w:t>
      </w:r>
    </w:p>
    <w:p>
      <w:pPr>
        <w:sectPr>
          <w:pgSz w:w="11900" w:h="16838" w:orient="portrait"/>
          <w:cols w:equalWidth="0" w:num="1">
            <w:col w:w="11140"/>
          </w:cols>
          <w:pgMar w:left="380" w:top="795" w:right="379" w:bottom="1440" w:gutter="0" w:footer="0" w:header="0"/>
          <w:type w:val="continuous"/>
        </w:sectPr>
      </w:pPr>
    </w:p>
    <w:bookmarkStart w:id="177" w:name="page178"/>
    <w:bookmarkEnd w:id="177"/>
    <w:tbl>
      <w:tblPr>
        <w:tblLayout w:type="fixed"/>
        <w:tblInd w:w="1020" w:type="dxa"/>
        <w:tblCellMar>
          <w:top w:w="0" w:type="dxa"/>
          <w:left w:w="0" w:type="dxa"/>
          <w:bottom w:w="0" w:type="dxa"/>
          <w:right w:w="0" w:type="dxa"/>
        </w:tblCellMar>
      </w:tblPr>
      <w:tr>
        <w:trPr>
          <w:trHeight w:val="230"/>
        </w:trPr>
        <w:tc>
          <w:tcPr>
            <w:tcW w:w="360" w:type="dxa"/>
            <w:vAlign w:val="bottom"/>
          </w:tcPr>
          <w:p>
            <w:pPr>
              <w:jc w:val="right"/>
              <w:ind w:right="100"/>
              <w:spacing w:after="0"/>
              <w:rPr>
                <w:sz w:val="20"/>
                <w:szCs w:val="20"/>
                <w:color w:val="auto"/>
              </w:rPr>
            </w:pPr>
            <w:r>
              <w:rPr>
                <w:rFonts w:ascii="Arial" w:cs="Arial" w:eastAsia="Arial" w:hAnsi="Arial"/>
                <w:sz w:val="20"/>
                <w:szCs w:val="20"/>
                <w:color w:val="auto"/>
                <w:w w:val="83"/>
              </w:rPr>
              <w:t>2.</w:t>
            </w:r>
          </w:p>
        </w:tc>
        <w:tc>
          <w:tcPr>
            <w:tcW w:w="7560" w:type="dxa"/>
            <w:vAlign w:val="bottom"/>
          </w:tcPr>
          <w:p>
            <w:pPr>
              <w:ind w:left="200"/>
              <w:spacing w:after="0"/>
              <w:rPr>
                <w:sz w:val="20"/>
                <w:szCs w:val="20"/>
                <w:color w:val="auto"/>
              </w:rPr>
            </w:pPr>
            <w:r>
              <w:rPr>
                <w:rFonts w:ascii="Arial" w:cs="Arial" w:eastAsia="Arial" w:hAnsi="Arial"/>
                <w:sz w:val="20"/>
                <w:szCs w:val="20"/>
                <w:color w:val="auto"/>
                <w:w w:val="98"/>
              </w:rPr>
              <w:t>Aggregate acquisition cost paid by Consolidated Group for Newly-Acquired Portfolio</w:t>
            </w:r>
          </w:p>
        </w:tc>
        <w:tc>
          <w:tcPr>
            <w:tcW w:w="5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4"/>
        </w:trPr>
        <w:tc>
          <w:tcPr>
            <w:tcW w:w="360" w:type="dxa"/>
            <w:vAlign w:val="bottom"/>
          </w:tcPr>
          <w:p>
            <w:pPr>
              <w:spacing w:after="0"/>
              <w:rPr>
                <w:sz w:val="22"/>
                <w:szCs w:val="22"/>
                <w:color w:val="auto"/>
              </w:rPr>
            </w:pPr>
          </w:p>
        </w:tc>
        <w:tc>
          <w:tcPr>
            <w:tcW w:w="7560" w:type="dxa"/>
            <w:vAlign w:val="bottom"/>
          </w:tcPr>
          <w:p>
            <w:pPr>
              <w:ind w:left="200"/>
              <w:spacing w:after="0"/>
              <w:rPr>
                <w:sz w:val="20"/>
                <w:szCs w:val="20"/>
                <w:color w:val="auto"/>
              </w:rPr>
            </w:pPr>
            <w:r>
              <w:rPr>
                <w:rFonts w:ascii="Arial" w:cs="Arial" w:eastAsia="Arial" w:hAnsi="Arial"/>
                <w:sz w:val="20"/>
                <w:szCs w:val="20"/>
                <w:color w:val="auto"/>
              </w:rPr>
              <w:t>Properties:</w:t>
            </w:r>
          </w:p>
        </w:tc>
        <w:tc>
          <w:tcPr>
            <w:tcW w:w="5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9525</wp:posOffset>
            </wp:positionV>
            <wp:extent cx="113411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1" w:lineRule="exact"/>
        <w:rPr>
          <w:sz w:val="20"/>
          <w:szCs w:val="20"/>
          <w:color w:val="auto"/>
        </w:rPr>
      </w:pPr>
    </w:p>
    <w:p>
      <w:pPr>
        <w:ind w:left="1580" w:hanging="559"/>
        <w:spacing w:after="0"/>
        <w:tabs>
          <w:tab w:leader="none" w:pos="158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Aggregate book value of all Permitted Investments owned by Consolidated Group at Statement</w:t>
      </w:r>
    </w:p>
    <w:p>
      <w:pPr>
        <w:spacing w:after="0" w:line="11" w:lineRule="exact"/>
        <w:rPr>
          <w:sz w:val="20"/>
          <w:szCs w:val="20"/>
          <w:color w:val="auto"/>
        </w:rPr>
      </w:pPr>
    </w:p>
    <w:p>
      <w:pPr>
        <w:ind w:left="1580"/>
        <w:spacing w:after="0"/>
        <w:tabs>
          <w:tab w:leader="none" w:pos="938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14605</wp:posOffset>
            </wp:positionV>
            <wp:extent cx="113411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9" w:lineRule="exact"/>
        <w:rPr>
          <w:sz w:val="20"/>
          <w:szCs w:val="20"/>
          <w:color w:val="auto"/>
        </w:rPr>
      </w:pPr>
    </w:p>
    <w:p>
      <w:pPr>
        <w:ind w:left="1580" w:hanging="559"/>
        <w:spacing w:after="0"/>
        <w:tabs>
          <w:tab w:leader="none" w:pos="158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Aggregate undepreciated book value of all Qualified Development Properties and all Non-</w:t>
      </w:r>
    </w:p>
    <w:p>
      <w:pPr>
        <w:spacing w:after="0" w:line="11" w:lineRule="exact"/>
        <w:rPr>
          <w:sz w:val="20"/>
          <w:szCs w:val="20"/>
          <w:color w:val="auto"/>
        </w:rPr>
      </w:pPr>
    </w:p>
    <w:tbl>
      <w:tblPr>
        <w:tblLayout w:type="fixed"/>
        <w:tblInd w:w="1020" w:type="dxa"/>
        <w:tblCellMar>
          <w:top w:w="0" w:type="dxa"/>
          <w:left w:w="0" w:type="dxa"/>
          <w:bottom w:w="0" w:type="dxa"/>
          <w:right w:w="0" w:type="dxa"/>
        </w:tblCellMar>
      </w:tblPr>
      <w:tr>
        <w:trPr>
          <w:trHeight w:val="253"/>
        </w:trPr>
        <w:tc>
          <w:tcPr>
            <w:tcW w:w="360" w:type="dxa"/>
            <w:vAlign w:val="bottom"/>
          </w:tcPr>
          <w:p>
            <w:pPr>
              <w:spacing w:after="0"/>
              <w:rPr>
                <w:sz w:val="22"/>
                <w:szCs w:val="22"/>
                <w:color w:val="auto"/>
              </w:rPr>
            </w:pPr>
          </w:p>
        </w:tc>
        <w:tc>
          <w:tcPr>
            <w:tcW w:w="8000" w:type="dxa"/>
            <w:vAlign w:val="bottom"/>
          </w:tcPr>
          <w:p>
            <w:pPr>
              <w:ind w:left="200"/>
              <w:spacing w:after="0"/>
              <w:rPr>
                <w:sz w:val="20"/>
                <w:szCs w:val="20"/>
                <w:color w:val="auto"/>
              </w:rPr>
            </w:pPr>
            <w:r>
              <w:rPr>
                <w:rFonts w:ascii="Arial" w:cs="Arial" w:eastAsia="Arial" w:hAnsi="Arial"/>
                <w:sz w:val="20"/>
                <w:szCs w:val="20"/>
                <w:color w:val="auto"/>
              </w:rPr>
              <w:t>Stabilized Portfolio Properties at Statement Date:</w:t>
            </w:r>
          </w:p>
        </w:tc>
        <w:tc>
          <w:tcPr>
            <w:tcW w:w="1780" w:type="dxa"/>
            <w:vAlign w:val="bottom"/>
            <w:tcBorders>
              <w:bottom w:val="single" w:sz="8" w:color="auto"/>
            </w:tcBorders>
          </w:tcPr>
          <w:p>
            <w:pPr>
              <w:jc w:val="right"/>
              <w:ind w:right="1560"/>
              <w:spacing w:after="0"/>
              <w:rPr>
                <w:sz w:val="20"/>
                <w:szCs w:val="20"/>
                <w:color w:val="auto"/>
              </w:rPr>
            </w:pPr>
            <w:r>
              <w:rPr>
                <w:rFonts w:ascii="Arial" w:cs="Arial" w:eastAsia="Arial" w:hAnsi="Arial"/>
                <w:sz w:val="20"/>
                <w:szCs w:val="20"/>
                <w:color w:val="auto"/>
                <w:w w:val="89"/>
              </w:rPr>
              <w:t>$</w:t>
            </w:r>
          </w:p>
        </w:tc>
      </w:tr>
      <w:tr>
        <w:trPr>
          <w:trHeight w:val="252"/>
        </w:trPr>
        <w:tc>
          <w:tcPr>
            <w:tcW w:w="360" w:type="dxa"/>
            <w:vAlign w:val="bottom"/>
          </w:tcPr>
          <w:p>
            <w:pPr>
              <w:jc w:val="right"/>
              <w:ind w:right="100"/>
              <w:spacing w:after="0"/>
              <w:rPr>
                <w:sz w:val="20"/>
                <w:szCs w:val="20"/>
                <w:color w:val="auto"/>
              </w:rPr>
            </w:pPr>
            <w:r>
              <w:rPr>
                <w:rFonts w:ascii="Arial" w:cs="Arial" w:eastAsia="Arial" w:hAnsi="Arial"/>
                <w:sz w:val="20"/>
                <w:szCs w:val="20"/>
                <w:color w:val="auto"/>
                <w:w w:val="83"/>
              </w:rPr>
              <w:t>5.</w:t>
            </w:r>
          </w:p>
        </w:tc>
        <w:tc>
          <w:tcPr>
            <w:tcW w:w="8000" w:type="dxa"/>
            <w:vAlign w:val="bottom"/>
          </w:tcPr>
          <w:p>
            <w:pPr>
              <w:ind w:left="200"/>
              <w:spacing w:after="0"/>
              <w:rPr>
                <w:sz w:val="20"/>
                <w:szCs w:val="20"/>
                <w:color w:val="auto"/>
              </w:rPr>
            </w:pPr>
            <w:r>
              <w:rPr>
                <w:rFonts w:ascii="Arial" w:cs="Arial" w:eastAsia="Arial" w:hAnsi="Arial"/>
                <w:sz w:val="20"/>
                <w:szCs w:val="20"/>
                <w:color w:val="auto"/>
              </w:rPr>
              <w:t>Line II.B.1. + Line II.B.2. + Line II.B.3. + Line II.B.4:</w:t>
            </w:r>
          </w:p>
        </w:tc>
        <w:tc>
          <w:tcPr>
            <w:tcW w:w="1780" w:type="dxa"/>
            <w:vAlign w:val="bottom"/>
          </w:tcPr>
          <w:p>
            <w:pPr>
              <w:jc w:val="right"/>
              <w:ind w:right="1560"/>
              <w:spacing w:after="0"/>
              <w:rPr>
                <w:sz w:val="20"/>
                <w:szCs w:val="20"/>
                <w:color w:val="auto"/>
              </w:rPr>
            </w:pPr>
            <w:r>
              <w:rPr>
                <w:rFonts w:ascii="Arial" w:cs="Arial" w:eastAsia="Arial" w:hAnsi="Arial"/>
                <w:sz w:val="20"/>
                <w:szCs w:val="20"/>
                <w:color w:val="auto"/>
                <w:w w:val="8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9525</wp:posOffset>
            </wp:positionV>
            <wp:extent cx="113411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1" w:lineRule="exact"/>
        <w:rPr>
          <w:sz w:val="20"/>
          <w:szCs w:val="20"/>
          <w:color w:val="auto"/>
        </w:rPr>
      </w:pPr>
    </w:p>
    <w:p>
      <w:pPr>
        <w:ind w:left="1580" w:right="1920" w:hanging="559"/>
        <w:spacing w:after="0" w:line="269" w:lineRule="auto"/>
        <w:tabs>
          <w:tab w:leader="none" w:pos="15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Consolidated Group Pro Rata Share of items referenced in Lines II.B.1. through II.B.4. (and the components thereof) to the extent relating to Portfolio Properties, Permitted Investments,</w:t>
      </w:r>
    </w:p>
    <w:p>
      <w:pPr>
        <w:ind w:left="1580"/>
        <w:spacing w:after="0" w:line="236" w:lineRule="auto"/>
        <w:rPr>
          <w:sz w:val="20"/>
          <w:szCs w:val="20"/>
          <w:color w:val="auto"/>
        </w:rPr>
      </w:pPr>
      <w:r>
        <w:rPr>
          <w:rFonts w:ascii="Arial" w:cs="Arial" w:eastAsia="Arial" w:hAnsi="Arial"/>
          <w:sz w:val="20"/>
          <w:szCs w:val="20"/>
          <w:color w:val="auto"/>
        </w:rPr>
        <w:t>Qualified Development Properties or Non-Stabilized Portfolio Properties, as applicable, owned</w:t>
      </w:r>
    </w:p>
    <w:p>
      <w:pPr>
        <w:ind w:left="1580"/>
        <w:spacing w:after="0"/>
        <w:tabs>
          <w:tab w:leader="none" w:pos="9380" w:val="left"/>
        </w:tabs>
        <w:rPr>
          <w:sz w:val="20"/>
          <w:szCs w:val="20"/>
          <w:color w:val="auto"/>
        </w:rPr>
      </w:pPr>
      <w:r>
        <w:rPr>
          <w:rFonts w:ascii="Arial" w:cs="Arial" w:eastAsia="Arial" w:hAnsi="Arial"/>
          <w:sz w:val="20"/>
          <w:szCs w:val="20"/>
          <w:color w:val="auto"/>
        </w:rPr>
        <w:t>by Unconsolidated Affiliates: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14605</wp:posOffset>
            </wp:positionV>
            <wp:extent cx="113411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9" w:lineRule="exact"/>
        <w:rPr>
          <w:sz w:val="20"/>
          <w:szCs w:val="20"/>
          <w:color w:val="auto"/>
        </w:rPr>
      </w:pPr>
    </w:p>
    <w:p>
      <w:pPr>
        <w:ind w:left="1580" w:hanging="559"/>
        <w:spacing w:after="0"/>
        <w:tabs>
          <w:tab w:leader="none" w:pos="158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Cash and Cash Equivalents owned by members of the Consolidated Group on the Statement</w:t>
      </w:r>
    </w:p>
    <w:p>
      <w:pPr>
        <w:spacing w:after="0" w:line="11" w:lineRule="exact"/>
        <w:rPr>
          <w:sz w:val="20"/>
          <w:szCs w:val="20"/>
          <w:color w:val="auto"/>
        </w:rPr>
      </w:pPr>
    </w:p>
    <w:p>
      <w:pPr>
        <w:ind w:left="1580"/>
        <w:spacing w:after="0"/>
        <w:tabs>
          <w:tab w:leader="none" w:pos="938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14605</wp:posOffset>
            </wp:positionV>
            <wp:extent cx="113411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9" w:lineRule="exact"/>
        <w:rPr>
          <w:sz w:val="20"/>
          <w:szCs w:val="20"/>
          <w:color w:val="auto"/>
        </w:rPr>
      </w:pPr>
    </w:p>
    <w:p>
      <w:pPr>
        <w:ind w:left="1580" w:hanging="559"/>
        <w:spacing w:after="0"/>
        <w:tabs>
          <w:tab w:leader="none" w:pos="158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Line II.B.5. + Line II.B.6. + Line II.B.7.:</w:t>
      </w:r>
    </w:p>
    <w:p>
      <w:pPr>
        <w:spacing w:after="0" w:line="11" w:lineRule="exact"/>
        <w:rPr>
          <w:sz w:val="20"/>
          <w:szCs w:val="20"/>
          <w:color w:val="auto"/>
        </w:rPr>
      </w:pPr>
    </w:p>
    <w:p>
      <w:pPr>
        <w:ind w:left="940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14605</wp:posOffset>
            </wp:positionV>
            <wp:extent cx="113411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9" w:lineRule="exact"/>
        <w:rPr>
          <w:sz w:val="20"/>
          <w:szCs w:val="20"/>
          <w:color w:val="auto"/>
        </w:rPr>
      </w:pPr>
    </w:p>
    <w:p>
      <w:pPr>
        <w:ind w:left="1580" w:hanging="559"/>
        <w:spacing w:after="0"/>
        <w:tabs>
          <w:tab w:leader="none" w:pos="1580" w:val="left"/>
        </w:tabs>
        <w:numPr>
          <w:ilvl w:val="0"/>
          <w:numId w:val="207"/>
        </w:numPr>
        <w:rPr>
          <w:rFonts w:ascii="Arial" w:cs="Arial" w:eastAsia="Arial" w:hAnsi="Arial"/>
          <w:sz w:val="20"/>
          <w:szCs w:val="20"/>
          <w:color w:val="auto"/>
        </w:rPr>
      </w:pPr>
      <w:r>
        <w:rPr>
          <w:rFonts w:ascii="Arial" w:cs="Arial" w:eastAsia="Arial" w:hAnsi="Arial"/>
          <w:sz w:val="20"/>
          <w:szCs w:val="20"/>
          <w:color w:val="auto"/>
        </w:rPr>
        <w:t>Percentage of Line II.B.8. attributable to costs to construct Portfolio Properties (i.e.,</w:t>
      </w:r>
    </w:p>
    <w:p>
      <w:pPr>
        <w:spacing w:after="0" w:line="10" w:lineRule="exact"/>
        <w:rPr>
          <w:sz w:val="20"/>
          <w:szCs w:val="20"/>
          <w:color w:val="auto"/>
        </w:rPr>
      </w:pPr>
    </w:p>
    <w:p>
      <w:pPr>
        <w:ind w:left="1580"/>
        <w:spacing w:after="0"/>
        <w:tabs>
          <w:tab w:leader="none" w:pos="10920" w:val="left"/>
        </w:tabs>
        <w:rPr>
          <w:sz w:val="20"/>
          <w:szCs w:val="20"/>
          <w:color w:val="auto"/>
        </w:rPr>
      </w:pPr>
      <w:r>
        <w:rPr>
          <w:rFonts w:ascii="Arial" w:cs="Arial" w:eastAsia="Arial" w:hAnsi="Arial"/>
          <w:sz w:val="20"/>
          <w:szCs w:val="20"/>
          <w:color w:val="auto"/>
        </w:rPr>
        <w:t>construction-in-progress) and real property assets under development</w:t>
      </w:r>
      <w:r>
        <w:rPr>
          <w:rFonts w:ascii="Arial" w:cs="Arial" w:eastAsia="Arial" w:hAnsi="Arial"/>
          <w:sz w:val="23"/>
          <w:szCs w:val="23"/>
          <w:color w:val="auto"/>
          <w:vertAlign w:val="superscript"/>
        </w:rPr>
        <w:t>2</w:t>
      </w:r>
      <w:r>
        <w:rPr>
          <w:sz w:val="20"/>
          <w:szCs w:val="20"/>
          <w:color w:val="auto"/>
        </w:rPr>
        <w:tab/>
      </w: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-6350</wp:posOffset>
            </wp:positionV>
            <wp:extent cx="113411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ind w:left="1580" w:hanging="559"/>
        <w:spacing w:after="0"/>
        <w:tabs>
          <w:tab w:leader="none" w:pos="158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Percentage of Line II.B.8. attributable to unimproved land holdings (excluding, for the</w:t>
      </w:r>
    </w:p>
    <w:p>
      <w:pPr>
        <w:ind w:left="1580"/>
        <w:spacing w:after="0"/>
        <w:tabs>
          <w:tab w:leader="none" w:pos="10920" w:val="left"/>
        </w:tabs>
        <w:rPr>
          <w:sz w:val="20"/>
          <w:szCs w:val="20"/>
          <w:color w:val="auto"/>
        </w:rPr>
      </w:pPr>
      <w:r>
        <w:rPr>
          <w:rFonts w:ascii="Arial" w:cs="Arial" w:eastAsia="Arial" w:hAnsi="Arial"/>
          <w:sz w:val="20"/>
          <w:szCs w:val="20"/>
          <w:color w:val="auto"/>
        </w:rPr>
        <w:t>avoidance of doubt, Investments accounted for in Line II.B.9):</w:t>
      </w:r>
      <w:r>
        <w:rPr>
          <w:rFonts w:ascii="Arial" w:cs="Arial" w:eastAsia="Arial" w:hAnsi="Arial"/>
          <w:sz w:val="26"/>
          <w:szCs w:val="26"/>
          <w:color w:val="auto"/>
          <w:vertAlign w:val="superscript"/>
        </w:rPr>
        <w:t>3</w:t>
      </w:r>
      <w:r>
        <w:rPr>
          <w:sz w:val="20"/>
          <w:szCs w:val="20"/>
          <w:color w:val="auto"/>
        </w:rPr>
        <w:tab/>
      </w: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-12700</wp:posOffset>
            </wp:positionV>
            <wp:extent cx="113411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ind w:left="1580" w:hanging="559"/>
        <w:spacing w:after="0" w:line="232" w:lineRule="auto"/>
        <w:tabs>
          <w:tab w:leader="none" w:pos="158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Percentage of Line II.B.8. attributable to commercial mortgage loans and commercial real estate-</w:t>
      </w:r>
    </w:p>
    <w:tbl>
      <w:tblPr>
        <w:tblLayout w:type="fixed"/>
        <w:tblInd w:w="1020" w:type="dxa"/>
        <w:tblCellMar>
          <w:top w:w="0" w:type="dxa"/>
          <w:left w:w="0" w:type="dxa"/>
          <w:bottom w:w="0" w:type="dxa"/>
          <w:right w:w="0" w:type="dxa"/>
        </w:tblCellMar>
      </w:tblPr>
      <w:tr>
        <w:trPr>
          <w:trHeight w:val="257"/>
        </w:trPr>
        <w:tc>
          <w:tcPr>
            <w:tcW w:w="560" w:type="dxa"/>
            <w:vAlign w:val="bottom"/>
          </w:tcPr>
          <w:p>
            <w:pPr>
              <w:spacing w:after="0"/>
              <w:rPr>
                <w:sz w:val="22"/>
                <w:szCs w:val="22"/>
                <w:color w:val="auto"/>
              </w:rPr>
            </w:pPr>
          </w:p>
        </w:tc>
        <w:tc>
          <w:tcPr>
            <w:tcW w:w="7800" w:type="dxa"/>
            <w:vAlign w:val="bottom"/>
            <w:gridSpan w:val="2"/>
          </w:tcPr>
          <w:p>
            <w:pPr>
              <w:spacing w:after="0" w:line="257" w:lineRule="exact"/>
              <w:rPr>
                <w:sz w:val="20"/>
                <w:szCs w:val="20"/>
                <w:color w:val="auto"/>
              </w:rPr>
            </w:pPr>
            <w:r>
              <w:rPr>
                <w:rFonts w:ascii="Arial" w:cs="Arial" w:eastAsia="Arial" w:hAnsi="Arial"/>
                <w:sz w:val="20"/>
                <w:szCs w:val="20"/>
                <w:color w:val="auto"/>
              </w:rPr>
              <w:t>related mezzanine loans:</w:t>
            </w:r>
            <w:r>
              <w:rPr>
                <w:rFonts w:ascii="Arial" w:cs="Arial" w:eastAsia="Arial" w:hAnsi="Arial"/>
                <w:sz w:val="26"/>
                <w:szCs w:val="26"/>
                <w:color w:val="auto"/>
                <w:vertAlign w:val="superscript"/>
              </w:rPr>
              <w:t>4</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r>
      <w:tr>
        <w:trPr>
          <w:trHeight w:val="267"/>
        </w:trPr>
        <w:tc>
          <w:tcPr>
            <w:tcW w:w="560" w:type="dxa"/>
            <w:vAlign w:val="bottom"/>
          </w:tcPr>
          <w:p>
            <w:pPr>
              <w:jc w:val="right"/>
              <w:ind w:right="200"/>
              <w:spacing w:after="0"/>
              <w:rPr>
                <w:sz w:val="20"/>
                <w:szCs w:val="20"/>
                <w:color w:val="auto"/>
              </w:rPr>
            </w:pPr>
            <w:r>
              <w:rPr>
                <w:rFonts w:ascii="Arial" w:cs="Arial" w:eastAsia="Arial" w:hAnsi="Arial"/>
                <w:sz w:val="20"/>
                <w:szCs w:val="20"/>
                <w:color w:val="auto"/>
                <w:w w:val="86"/>
              </w:rPr>
              <w:t>12.</w:t>
            </w:r>
          </w:p>
        </w:tc>
        <w:tc>
          <w:tcPr>
            <w:tcW w:w="7800" w:type="dxa"/>
            <w:vAlign w:val="bottom"/>
            <w:gridSpan w:val="2"/>
          </w:tcPr>
          <w:p>
            <w:pPr>
              <w:spacing w:after="0"/>
              <w:rPr>
                <w:sz w:val="20"/>
                <w:szCs w:val="20"/>
                <w:color w:val="auto"/>
              </w:rPr>
            </w:pPr>
            <w:r>
              <w:rPr>
                <w:rFonts w:ascii="Arial" w:cs="Arial" w:eastAsia="Arial" w:hAnsi="Arial"/>
                <w:sz w:val="20"/>
                <w:szCs w:val="20"/>
                <w:color w:val="auto"/>
              </w:rPr>
              <w:t xml:space="preserve">Percentage of Line II.B.8. attributable to Investments in Unconsolidated Affiliates: </w:t>
            </w:r>
            <w:r>
              <w:rPr>
                <w:rFonts w:ascii="Arial" w:cs="Arial" w:eastAsia="Arial" w:hAnsi="Arial"/>
                <w:sz w:val="23"/>
                <w:szCs w:val="23"/>
                <w:color w:val="auto"/>
                <w:vertAlign w:val="superscript"/>
              </w:rPr>
              <w:t>5</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r>
      <w:tr>
        <w:trPr>
          <w:trHeight w:val="267"/>
        </w:trPr>
        <w:tc>
          <w:tcPr>
            <w:tcW w:w="560" w:type="dxa"/>
            <w:vAlign w:val="bottom"/>
          </w:tcPr>
          <w:p>
            <w:pPr>
              <w:jc w:val="right"/>
              <w:ind w:right="200"/>
              <w:spacing w:after="0"/>
              <w:rPr>
                <w:sz w:val="20"/>
                <w:szCs w:val="20"/>
                <w:color w:val="auto"/>
              </w:rPr>
            </w:pPr>
            <w:r>
              <w:rPr>
                <w:rFonts w:ascii="Arial" w:cs="Arial" w:eastAsia="Arial" w:hAnsi="Arial"/>
                <w:sz w:val="20"/>
                <w:szCs w:val="20"/>
                <w:color w:val="auto"/>
                <w:w w:val="86"/>
              </w:rPr>
              <w:t>13.</w:t>
            </w:r>
          </w:p>
        </w:tc>
        <w:tc>
          <w:tcPr>
            <w:tcW w:w="7800" w:type="dxa"/>
            <w:vAlign w:val="bottom"/>
            <w:gridSpan w:val="2"/>
          </w:tcPr>
          <w:p>
            <w:pPr>
              <w:spacing w:after="0"/>
              <w:rPr>
                <w:sz w:val="20"/>
                <w:szCs w:val="20"/>
                <w:color w:val="auto"/>
              </w:rPr>
            </w:pPr>
            <w:r>
              <w:rPr>
                <w:rFonts w:ascii="Arial" w:cs="Arial" w:eastAsia="Arial" w:hAnsi="Arial"/>
                <w:sz w:val="20"/>
                <w:szCs w:val="20"/>
                <w:color w:val="auto"/>
              </w:rPr>
              <w:t>Percentage of Line II.B.8. attributable to Specified Investments:</w:t>
            </w:r>
            <w:r>
              <w:rPr>
                <w:rFonts w:ascii="Arial" w:cs="Arial" w:eastAsia="Arial" w:hAnsi="Arial"/>
                <w:sz w:val="23"/>
                <w:szCs w:val="23"/>
                <w:color w:val="auto"/>
                <w:vertAlign w:val="superscript"/>
              </w:rPr>
              <w:t>6</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r>
      <w:tr>
        <w:trPr>
          <w:trHeight w:val="260"/>
        </w:trPr>
        <w:tc>
          <w:tcPr>
            <w:tcW w:w="560" w:type="dxa"/>
            <w:vAlign w:val="bottom"/>
          </w:tcPr>
          <w:p>
            <w:pPr>
              <w:jc w:val="right"/>
              <w:ind w:right="200"/>
              <w:spacing w:after="0"/>
              <w:rPr>
                <w:sz w:val="20"/>
                <w:szCs w:val="20"/>
                <w:color w:val="auto"/>
              </w:rPr>
            </w:pPr>
            <w:r>
              <w:rPr>
                <w:rFonts w:ascii="Arial" w:cs="Arial" w:eastAsia="Arial" w:hAnsi="Arial"/>
                <w:sz w:val="20"/>
                <w:szCs w:val="20"/>
                <w:color w:val="auto"/>
                <w:w w:val="86"/>
              </w:rPr>
              <w:t>14.</w:t>
            </w:r>
          </w:p>
        </w:tc>
        <w:tc>
          <w:tcPr>
            <w:tcW w:w="7800" w:type="dxa"/>
            <w:vAlign w:val="bottom"/>
            <w:gridSpan w:val="2"/>
          </w:tcPr>
          <w:p>
            <w:pPr>
              <w:spacing w:after="0"/>
              <w:rPr>
                <w:sz w:val="20"/>
                <w:szCs w:val="20"/>
                <w:color w:val="auto"/>
              </w:rPr>
            </w:pPr>
            <w:r>
              <w:rPr>
                <w:rFonts w:ascii="Arial" w:cs="Arial" w:eastAsia="Arial" w:hAnsi="Arial"/>
                <w:sz w:val="20"/>
                <w:szCs w:val="20"/>
                <w:color w:val="auto"/>
              </w:rPr>
              <w:t>Adjustment (if any) to reflect limitations referenced in Line II.B.9. through Line II.B.13.:</w:t>
            </w:r>
          </w:p>
        </w:tc>
        <w:tc>
          <w:tcPr>
            <w:tcW w:w="17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 )</w:t>
            </w:r>
          </w:p>
        </w:tc>
      </w:tr>
      <w:tr>
        <w:trPr>
          <w:trHeight w:val="200"/>
        </w:trPr>
        <w:tc>
          <w:tcPr>
            <w:tcW w:w="560" w:type="dxa"/>
            <w:vAlign w:val="bottom"/>
          </w:tcPr>
          <w:p>
            <w:pPr>
              <w:jc w:val="right"/>
              <w:ind w:right="200"/>
              <w:spacing w:after="0" w:line="180" w:lineRule="exact"/>
              <w:rPr>
                <w:sz w:val="20"/>
                <w:szCs w:val="20"/>
                <w:color w:val="auto"/>
              </w:rPr>
            </w:pPr>
            <w:r>
              <w:rPr>
                <w:rFonts w:ascii="Arial" w:cs="Arial" w:eastAsia="Arial" w:hAnsi="Arial"/>
                <w:sz w:val="20"/>
                <w:szCs w:val="20"/>
                <w:color w:val="auto"/>
                <w:w w:val="86"/>
              </w:rPr>
              <w:t>15.</w:t>
            </w:r>
          </w:p>
        </w:tc>
        <w:tc>
          <w:tcPr>
            <w:tcW w:w="7800" w:type="dxa"/>
            <w:vAlign w:val="bottom"/>
            <w:gridSpan w:val="2"/>
          </w:tcPr>
          <w:p>
            <w:pPr>
              <w:spacing w:after="0" w:line="180" w:lineRule="exact"/>
              <w:rPr>
                <w:sz w:val="20"/>
                <w:szCs w:val="20"/>
                <w:color w:val="auto"/>
              </w:rPr>
            </w:pPr>
            <w:r>
              <w:rPr>
                <w:rFonts w:ascii="Arial" w:cs="Arial" w:eastAsia="Arial" w:hAnsi="Arial"/>
                <w:sz w:val="20"/>
                <w:szCs w:val="20"/>
                <w:color w:val="auto"/>
              </w:rPr>
              <w:t>Total Asset Value (Line II.B.8. - Line II.B.14.):</w:t>
            </w:r>
          </w:p>
        </w:tc>
        <w:tc>
          <w:tcPr>
            <w:tcW w:w="1780" w:type="dxa"/>
            <w:vAlign w:val="bottom"/>
          </w:tcPr>
          <w:p>
            <w:pPr>
              <w:ind w:left="20"/>
              <w:spacing w:after="0" w:line="180" w:lineRule="exact"/>
              <w:rPr>
                <w:sz w:val="20"/>
                <w:szCs w:val="20"/>
                <w:color w:val="auto"/>
              </w:rPr>
            </w:pPr>
            <w:r>
              <w:rPr>
                <w:rFonts w:ascii="Arial" w:cs="Arial" w:eastAsia="Arial" w:hAnsi="Arial"/>
                <w:sz w:val="20"/>
                <w:szCs w:val="20"/>
                <w:color w:val="auto"/>
              </w:rPr>
              <w:t>$</w:t>
            </w:r>
          </w:p>
        </w:tc>
      </w:tr>
      <w:tr>
        <w:trPr>
          <w:trHeight w:val="20"/>
        </w:trPr>
        <w:tc>
          <w:tcPr>
            <w:tcW w:w="5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39370</wp:posOffset>
            </wp:positionV>
            <wp:extent cx="11341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48" w:lineRule="exact"/>
        <w:rPr>
          <w:sz w:val="20"/>
          <w:szCs w:val="20"/>
          <w:color w:val="auto"/>
        </w:rPr>
      </w:pPr>
    </w:p>
    <w:p>
      <w:pPr>
        <w:ind w:left="1580" w:right="2180" w:hanging="559"/>
        <w:spacing w:after="0" w:line="259" w:lineRule="auto"/>
        <w:tabs>
          <w:tab w:leader="none" w:pos="1580" w:val="left"/>
        </w:tabs>
        <w:numPr>
          <w:ilvl w:val="0"/>
          <w:numId w:val="210"/>
        </w:numPr>
        <w:rPr>
          <w:rFonts w:ascii="Arial" w:cs="Arial" w:eastAsia="Arial" w:hAnsi="Arial"/>
          <w:sz w:val="20"/>
          <w:szCs w:val="20"/>
          <w:color w:val="auto"/>
        </w:rPr>
      </w:pPr>
      <w:r>
        <w:rPr>
          <w:rFonts w:ascii="Arial" w:cs="Arial" w:eastAsia="Arial" w:hAnsi="Arial"/>
          <w:sz w:val="20"/>
          <w:szCs w:val="20"/>
          <w:color w:val="auto"/>
        </w:rPr>
        <w:t>Consolidated Group Pro Rata Share of cash and Cash Equivalents owned by Unconsolidated Affiliates on the Statement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-1270</wp:posOffset>
            </wp:positionV>
            <wp:extent cx="113411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ectPr>
          <w:pgSz w:w="11900" w:h="16838" w:orient="portrait"/>
          <w:cols w:equalWidth="0" w:num="1">
            <w:col w:w="11160"/>
          </w:cols>
          <w:pgMar w:left="380" w:top="790" w:right="359" w:bottom="1440" w:gutter="0" w:footer="0" w:header="0"/>
        </w:sectPr>
      </w:pPr>
    </w:p>
    <w:p>
      <w:pPr>
        <w:spacing w:after="0" w:line="3" w:lineRule="exact"/>
        <w:rPr>
          <w:sz w:val="20"/>
          <w:szCs w:val="20"/>
          <w:color w:val="auto"/>
        </w:rPr>
      </w:pPr>
    </w:p>
    <w:p>
      <w:pPr>
        <w:jc w:val="both"/>
        <w:ind w:left="1020"/>
        <w:spacing w:after="0"/>
        <w:tabs>
          <w:tab w:leader="none" w:pos="1560" w:val="left"/>
          <w:tab w:leader="none" w:pos="938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20"/>
          <w:szCs w:val="20"/>
          <w:u w:val="single" w:color="auto"/>
          <w:color w:val="auto"/>
        </w:rPr>
        <w:t>Secured Total Asset Value</w:t>
      </w:r>
      <w:r>
        <w:rPr>
          <w:rFonts w:ascii="Arial" w:cs="Arial" w:eastAsia="Arial" w:hAnsi="Arial"/>
          <w:sz w:val="20"/>
          <w:szCs w:val="20"/>
          <w:color w:val="auto"/>
        </w:rPr>
        <w:t>: (Line II.B.15. + Line II.B.16):</w:t>
      </w:r>
      <w:r>
        <w:rPr>
          <w:sz w:val="20"/>
          <w:szCs w:val="20"/>
          <w:color w:val="auto"/>
        </w:rPr>
        <w:tab/>
      </w:r>
      <w:r>
        <w:rPr>
          <w:rFonts w:ascii="Arial" w:cs="Arial" w:eastAsia="Arial" w:hAnsi="Arial"/>
          <w:sz w:val="17"/>
          <w:szCs w:val="17"/>
          <w:color w:val="auto"/>
        </w:rPr>
        <w: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Consolidated Secured Leverage Ratio (Line II.A.3. as a percentage of Line II.B.17):</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Maximum Permitted Consolidated Secured 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234950</wp:posOffset>
            </wp:positionV>
            <wp:extent cx="709803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371" w:lineRule="exact"/>
        <w:rPr>
          <w:sz w:val="20"/>
          <w:szCs w:val="20"/>
          <w:color w:val="auto"/>
        </w:rPr>
      </w:pPr>
    </w:p>
    <w:p>
      <w:pPr>
        <w:ind w:left="460" w:hanging="450"/>
        <w:spacing w:after="0"/>
        <w:tabs>
          <w:tab w:leader="none" w:pos="460" w:val="left"/>
        </w:tabs>
        <w:numPr>
          <w:ilvl w:val="0"/>
          <w:numId w:val="211"/>
        </w:numPr>
        <w:rPr>
          <w:rFonts w:ascii="Arial" w:cs="Arial" w:eastAsia="Arial" w:hAnsi="Arial"/>
          <w:sz w:val="12"/>
          <w:szCs w:val="12"/>
          <w:b w:val="1"/>
          <w:bCs w:val="1"/>
          <w:color w:val="auto"/>
        </w:rPr>
      </w:pPr>
      <w:r>
        <w:rPr>
          <w:rFonts w:ascii="Arial" w:cs="Arial" w:eastAsia="Arial" w:hAnsi="Arial"/>
          <w:sz w:val="12"/>
          <w:szCs w:val="12"/>
          <w:color w:val="auto"/>
        </w:rPr>
        <w:t>Not more than 25% of the TAV may be attributable to costs to construct Portfolio Properties (i.e., construction-in-progress) and real property assets under development</w:t>
      </w:r>
    </w:p>
    <w:p>
      <w:pPr>
        <w:spacing w:after="0" w:line="45"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3"/>
          <w:szCs w:val="13"/>
          <w:b w:val="1"/>
          <w:bCs w:val="1"/>
          <w:color w:val="auto"/>
        </w:rPr>
        <w:t>3</w:t>
      </w:r>
      <w:r>
        <w:rPr>
          <w:rFonts w:ascii="Arial" w:cs="Arial" w:eastAsia="Arial" w:hAnsi="Arial"/>
          <w:sz w:val="12"/>
          <w:szCs w:val="12"/>
          <w:color w:val="auto"/>
        </w:rPr>
        <w:t>Not more than 5% of the TAV may be may be attributable to unimproved land holdings</w:t>
      </w:r>
    </w:p>
    <w:p>
      <w:pPr>
        <w:spacing w:after="0" w:line="37"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3"/>
          <w:szCs w:val="13"/>
          <w:b w:val="1"/>
          <w:bCs w:val="1"/>
          <w:color w:val="auto"/>
        </w:rPr>
        <w:t>4</w:t>
      </w:r>
      <w:r>
        <w:rPr>
          <w:rFonts w:ascii="Arial" w:cs="Arial" w:eastAsia="Arial" w:hAnsi="Arial"/>
          <w:sz w:val="12"/>
          <w:szCs w:val="12"/>
          <w:color w:val="auto"/>
        </w:rPr>
        <w:t>Not more than 10% of the TAV may be attributable to commercial mortgage loans and commercial real estate-related mezzanine loans</w:t>
      </w:r>
    </w:p>
    <w:p>
      <w:pPr>
        <w:spacing w:after="0" w:line="37"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3"/>
          <w:szCs w:val="13"/>
          <w:b w:val="1"/>
          <w:bCs w:val="1"/>
          <w:color w:val="auto"/>
        </w:rPr>
        <w:t>5</w:t>
      </w:r>
      <w:r>
        <w:rPr>
          <w:rFonts w:ascii="Arial" w:cs="Arial" w:eastAsia="Arial" w:hAnsi="Arial"/>
          <w:sz w:val="12"/>
          <w:szCs w:val="12"/>
          <w:color w:val="auto"/>
        </w:rPr>
        <w:t>Not more than 20% of the TAV may be attributable to Investments in Unconsolidated Affiliates</w:t>
      </w:r>
    </w:p>
    <w:p>
      <w:pPr>
        <w:spacing w:after="0" w:line="37"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3"/>
          <w:szCs w:val="13"/>
          <w:b w:val="1"/>
          <w:bCs w:val="1"/>
          <w:color w:val="auto"/>
        </w:rPr>
        <w:t>6</w:t>
      </w:r>
      <w:r>
        <w:rPr>
          <w:rFonts w:ascii="Arial" w:cs="Arial" w:eastAsia="Arial" w:hAnsi="Arial"/>
          <w:sz w:val="12"/>
          <w:szCs w:val="12"/>
          <w:color w:val="auto"/>
        </w:rPr>
        <w:t>Not more than 25% of the TAV may be attributable to Specified Investments</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right"/>
        <w:ind w:right="20"/>
        <w:spacing w:after="0"/>
        <w:rPr>
          <w:sz w:val="20"/>
          <w:szCs w:val="20"/>
          <w:color w:val="auto"/>
        </w:rPr>
      </w:pP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-864870</wp:posOffset>
            </wp:positionH>
            <wp:positionV relativeFrom="paragraph">
              <wp:posOffset>28575</wp:posOffset>
            </wp:positionV>
            <wp:extent cx="113411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34110" cy="7620"/>
                    </a:xfrm>
                    <a:prstGeom prst="rect">
                      <a:avLst/>
                    </a:prstGeom>
                    <a:noFill/>
                  </pic:spPr>
                </pic:pic>
              </a:graphicData>
            </a:graphic>
          </wp:anchor>
        </w:drawing>
        <w:drawing>
          <wp:anchor simplePos="0" relativeHeight="251657728" behindDoc="1" locked="0" layoutInCell="0" allowOverlap="1">
            <wp:simplePos x="0" y="0"/>
            <wp:positionH relativeFrom="column">
              <wp:posOffset>-864870</wp:posOffset>
            </wp:positionH>
            <wp:positionV relativeFrom="paragraph">
              <wp:posOffset>-153035</wp:posOffset>
            </wp:positionV>
            <wp:extent cx="113411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37" w:lineRule="exact"/>
        <w:rPr>
          <w:sz w:val="20"/>
          <w:szCs w:val="20"/>
          <w:color w:val="auto"/>
        </w:rPr>
      </w:pPr>
    </w:p>
    <w:p>
      <w:pPr>
        <w:jc w:val="right"/>
        <w:ind w:right="20"/>
        <w:spacing w:after="0"/>
        <w:rPr>
          <w:sz w:val="20"/>
          <w:szCs w:val="20"/>
          <w:color w:val="auto"/>
        </w:rPr>
      </w:pPr>
      <w:r>
        <w:rPr>
          <w:rFonts w:ascii="Arial" w:cs="Arial" w:eastAsia="Arial" w:hAnsi="Arial"/>
          <w:sz w:val="19"/>
          <w:szCs w:val="19"/>
          <w:b w:val="1"/>
          <w:bCs w:val="1"/>
          <w:color w:val="auto"/>
        </w:rPr>
        <w:t>40%</w:t>
      </w:r>
    </w:p>
    <w:p>
      <w:pPr>
        <w:spacing w:after="0" w:line="1484" w:lineRule="exact"/>
        <w:rPr>
          <w:sz w:val="20"/>
          <w:szCs w:val="20"/>
          <w:color w:val="auto"/>
        </w:rPr>
      </w:pPr>
    </w:p>
    <w:p>
      <w:pPr>
        <w:sectPr>
          <w:pgSz w:w="11900" w:h="16838" w:orient="portrait"/>
          <w:cols w:equalWidth="0" w:num="2">
            <w:col w:w="10020" w:space="720"/>
            <w:col w:w="420"/>
          </w:cols>
          <w:pgMar w:left="380" w:top="79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D-4</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Form of Compliance Certificate</w:t>
      </w:r>
    </w:p>
    <w:p>
      <w:pPr>
        <w:sectPr>
          <w:pgSz w:w="11900" w:h="16838" w:orient="portrait"/>
          <w:cols w:equalWidth="0" w:num="1">
            <w:col w:w="11160"/>
          </w:cols>
          <w:pgMar w:left="380" w:top="790" w:right="359" w:bottom="1440" w:gutter="0" w:footer="0" w:header="0"/>
          <w:type w:val="continuous"/>
        </w:sectPr>
      </w:pPr>
    </w:p>
    <w:bookmarkStart w:id="178" w:name="page179"/>
    <w:bookmarkEnd w:id="178"/>
    <w:p>
      <w:pPr>
        <w:ind w:left="460" w:hanging="450"/>
        <w:spacing w:after="0"/>
        <w:tabs>
          <w:tab w:leader="none" w:pos="460" w:val="left"/>
        </w:tabs>
        <w:numPr>
          <w:ilvl w:val="0"/>
          <w:numId w:val="21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Section 7.11(b) – Consolidated Total Leverage Ratio</w:t>
      </w:r>
    </w:p>
    <w:p>
      <w:pPr>
        <w:spacing w:after="0" w:line="50" w:lineRule="exact"/>
        <w:rPr>
          <w:rFonts w:ascii="Arial" w:cs="Arial" w:eastAsia="Arial" w:hAnsi="Arial"/>
          <w:sz w:val="20"/>
          <w:szCs w:val="20"/>
          <w:b w:val="1"/>
          <w:bCs w:val="1"/>
          <w:color w:val="auto"/>
        </w:rPr>
      </w:pPr>
    </w:p>
    <w:p>
      <w:pPr>
        <w:ind w:left="1020" w:hanging="561"/>
        <w:spacing w:after="0"/>
        <w:tabs>
          <w:tab w:leader="none" w:pos="1020" w:val="left"/>
        </w:tabs>
        <w:numPr>
          <w:ilvl w:val="1"/>
          <w:numId w:val="212"/>
        </w:numPr>
        <w:rPr>
          <w:rFonts w:ascii="Arial" w:cs="Arial" w:eastAsia="Arial" w:hAnsi="Arial"/>
          <w:sz w:val="20"/>
          <w:szCs w:val="20"/>
          <w:color w:val="auto"/>
        </w:rPr>
      </w:pPr>
      <w:r>
        <w:rPr>
          <w:rFonts w:ascii="Arial" w:cs="Arial" w:eastAsia="Arial" w:hAnsi="Arial"/>
          <w:sz w:val="20"/>
          <w:szCs w:val="20"/>
          <w:color w:val="auto"/>
        </w:rPr>
        <w:t>Consolidated Total Indebtedness at Statement Date:</w:t>
      </w:r>
    </w:p>
    <w:p>
      <w:pPr>
        <w:spacing w:after="0" w:line="44" w:lineRule="exact"/>
        <w:rPr>
          <w:rFonts w:ascii="Arial" w:cs="Arial" w:eastAsia="Arial" w:hAnsi="Arial"/>
          <w:sz w:val="20"/>
          <w:szCs w:val="20"/>
          <w:color w:val="auto"/>
        </w:rPr>
      </w:pPr>
    </w:p>
    <w:p>
      <w:pPr>
        <w:ind w:left="1580" w:hanging="559"/>
        <w:spacing w:after="0" w:line="274" w:lineRule="auto"/>
        <w:tabs>
          <w:tab w:leader="none" w:pos="1580" w:val="left"/>
        </w:tabs>
        <w:numPr>
          <w:ilvl w:val="2"/>
          <w:numId w:val="212"/>
        </w:numPr>
        <w:rPr>
          <w:rFonts w:ascii="Arial" w:cs="Arial" w:eastAsia="Arial" w:hAnsi="Arial"/>
          <w:sz w:val="19"/>
          <w:szCs w:val="19"/>
          <w:color w:val="auto"/>
        </w:rPr>
      </w:pPr>
      <w:r>
        <w:rPr>
          <w:rFonts w:ascii="Arial" w:cs="Arial" w:eastAsia="Arial" w:hAnsi="Arial"/>
          <w:sz w:val="19"/>
          <w:szCs w:val="19"/>
          <w:color w:val="auto"/>
        </w:rPr>
        <w:t>Aggregate amount of all Indebtedness of the Consolidated Group that would be reflected on a consolidated balance sheet of the Consolidated Group as of Statement Date:</w:t>
      </w:r>
    </w:p>
    <w:p>
      <w:pPr>
        <w:ind w:left="1580" w:right="180" w:hanging="559"/>
        <w:spacing w:after="0" w:line="247" w:lineRule="auto"/>
        <w:tabs>
          <w:tab w:leader="none" w:pos="1580" w:val="left"/>
        </w:tabs>
        <w:numPr>
          <w:ilvl w:val="2"/>
          <w:numId w:val="212"/>
        </w:numPr>
        <w:rPr>
          <w:rFonts w:ascii="Arial" w:cs="Arial" w:eastAsia="Arial" w:hAnsi="Arial"/>
          <w:sz w:val="20"/>
          <w:szCs w:val="20"/>
          <w:color w:val="auto"/>
        </w:rPr>
      </w:pPr>
      <w:r>
        <w:rPr>
          <w:rFonts w:ascii="Arial" w:cs="Arial" w:eastAsia="Arial" w:hAnsi="Arial"/>
          <w:sz w:val="20"/>
          <w:szCs w:val="20"/>
          <w:color w:val="auto"/>
        </w:rPr>
        <w:t>Consolidated Group Pro Rata Share of the aggregate amount of all Indebtedness of each Unconsolidated Affiliate that would be reflected on a balance sheet of such Unconsolidated Affiliate as of Statement Date:</w:t>
      </w:r>
    </w:p>
    <w:p>
      <w:pPr>
        <w:spacing w:after="0" w:line="14" w:lineRule="exact"/>
        <w:rPr>
          <w:rFonts w:ascii="Arial" w:cs="Arial" w:eastAsia="Arial" w:hAnsi="Arial"/>
          <w:sz w:val="20"/>
          <w:szCs w:val="20"/>
          <w:color w:val="auto"/>
        </w:rPr>
      </w:pPr>
    </w:p>
    <w:p>
      <w:pPr>
        <w:ind w:left="1580" w:hanging="559"/>
        <w:spacing w:after="0"/>
        <w:tabs>
          <w:tab w:leader="none" w:pos="1580" w:val="left"/>
        </w:tabs>
        <w:numPr>
          <w:ilvl w:val="2"/>
          <w:numId w:val="212"/>
        </w:numPr>
        <w:rPr>
          <w:rFonts w:ascii="Arial" w:cs="Arial" w:eastAsia="Arial" w:hAnsi="Arial"/>
          <w:sz w:val="20"/>
          <w:szCs w:val="20"/>
          <w:color w:val="auto"/>
        </w:rPr>
      </w:pPr>
      <w:r>
        <w:rPr>
          <w:rFonts w:ascii="Arial" w:cs="Arial" w:eastAsia="Arial" w:hAnsi="Arial"/>
          <w:sz w:val="20"/>
          <w:szCs w:val="20"/>
          <w:u w:val="single" w:color="auto"/>
          <w:color w:val="auto"/>
        </w:rPr>
        <w:t>Consolidated Total Indebtedness</w:t>
      </w:r>
      <w:r>
        <w:rPr>
          <w:rFonts w:ascii="Arial" w:cs="Arial" w:eastAsia="Arial" w:hAnsi="Arial"/>
          <w:sz w:val="20"/>
          <w:szCs w:val="20"/>
          <w:color w:val="auto"/>
        </w:rPr>
        <w:t xml:space="preserve"> (Line III.A.1. + Line III.A.2.):</w:t>
      </w:r>
    </w:p>
    <w:p>
      <w:pPr>
        <w:spacing w:after="0" w:line="57" w:lineRule="exact"/>
        <w:rPr>
          <w:rFonts w:ascii="Arial" w:cs="Arial" w:eastAsia="Arial" w:hAnsi="Arial"/>
          <w:sz w:val="20"/>
          <w:szCs w:val="20"/>
          <w:color w:val="auto"/>
        </w:rPr>
      </w:pPr>
    </w:p>
    <w:p>
      <w:pPr>
        <w:ind w:left="1020" w:hanging="561"/>
        <w:spacing w:after="0"/>
        <w:tabs>
          <w:tab w:leader="none" w:pos="1020" w:val="left"/>
        </w:tabs>
        <w:numPr>
          <w:ilvl w:val="1"/>
          <w:numId w:val="212"/>
        </w:numPr>
        <w:rPr>
          <w:rFonts w:ascii="Arial" w:cs="Arial" w:eastAsia="Arial" w:hAnsi="Arial"/>
          <w:sz w:val="20"/>
          <w:szCs w:val="20"/>
          <w:color w:val="auto"/>
        </w:rPr>
      </w:pPr>
      <w:r>
        <w:rPr>
          <w:rFonts w:ascii="Arial" w:cs="Arial" w:eastAsia="Arial" w:hAnsi="Arial"/>
          <w:sz w:val="20"/>
          <w:szCs w:val="20"/>
          <w:color w:val="auto"/>
        </w:rPr>
        <w:t>Unrestricted Cash Amount at Statement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354" w:lineRule="exact"/>
        <w:rPr>
          <w:sz w:val="20"/>
          <w:szCs w:val="20"/>
          <w:color w:val="auto"/>
        </w:rPr>
      </w:pPr>
    </w:p>
    <w:p>
      <w:pPr>
        <w:sectPr>
          <w:pgSz w:w="11900" w:h="16838" w:orient="portrait"/>
          <w:cols w:equalWidth="0" w:num="2">
            <w:col w:w="9080" w:space="320"/>
            <w:col w:w="1740"/>
          </w:cols>
          <w:pgMar w:left="380" w:top="789" w:right="379" w:bottom="1440" w:gutter="0" w:footer="0" w:header="0"/>
        </w:sectPr>
      </w:pPr>
    </w:p>
    <w:p>
      <w:pPr>
        <w:jc w:val="both"/>
        <w:ind w:left="1580" w:right="100" w:hanging="559"/>
        <w:spacing w:after="0" w:line="265" w:lineRule="auto"/>
        <w:tabs>
          <w:tab w:leader="none" w:pos="1580" w:val="left"/>
        </w:tabs>
        <w:numPr>
          <w:ilvl w:val="0"/>
          <w:numId w:val="213"/>
        </w:numPr>
        <w:rPr>
          <w:rFonts w:ascii="Arial" w:cs="Arial" w:eastAsia="Arial" w:hAnsi="Arial"/>
          <w:sz w:val="19"/>
          <w:szCs w:val="19"/>
          <w:color w:val="auto"/>
        </w:rPr>
      </w:pPr>
      <w:r>
        <w:rPr>
          <w:rFonts w:ascii="Arial" w:cs="Arial" w:eastAsia="Arial" w:hAnsi="Arial"/>
          <w:sz w:val="19"/>
          <w:szCs w:val="19"/>
          <w:color w:val="auto"/>
        </w:rPr>
        <w:t>Aggregate amount of cash and Cash Equivalents of the Consolidated Group on Statement Date that are not subject to any pledge, Lien or control agreement (excluding statutory Liens in favor of any depositary bank where such cash is maintained):</w:t>
      </w:r>
    </w:p>
    <w:p>
      <w:pPr>
        <w:spacing w:after="0" w:line="1" w:lineRule="exact"/>
        <w:rPr>
          <w:sz w:val="20"/>
          <w:szCs w:val="20"/>
          <w:color w:val="auto"/>
        </w:rPr>
      </w:pPr>
    </w:p>
    <w:p>
      <w:pPr>
        <w:ind w:left="1580" w:hanging="559"/>
        <w:spacing w:after="0" w:line="256" w:lineRule="auto"/>
        <w:tabs>
          <w:tab w:leader="none" w:pos="1580" w:val="left"/>
        </w:tabs>
        <w:numPr>
          <w:ilvl w:val="1"/>
          <w:numId w:val="214"/>
        </w:numPr>
        <w:rPr>
          <w:rFonts w:ascii="Arial" w:cs="Arial" w:eastAsia="Arial" w:hAnsi="Arial"/>
          <w:sz w:val="19"/>
          <w:szCs w:val="19"/>
          <w:color w:val="auto"/>
        </w:rPr>
      </w:pPr>
      <w:r>
        <w:rPr>
          <w:rFonts w:ascii="Arial" w:cs="Arial" w:eastAsia="Arial" w:hAnsi="Arial"/>
          <w:sz w:val="19"/>
          <w:szCs w:val="19"/>
          <w:color w:val="auto"/>
        </w:rPr>
        <w:t>Amounts included in Line III.B.1. above that are held in the name of, or in the possession or control of a Person (other than any possession or control by such Person arising solely from such Person acting in its capacity as a depository or financial intermediary for, or on behalf of, a member of the Consolidated Group) that is not the REIT, the Borrower or any their respective Subsidiaries as deposits or security for contractual obligations:</w:t>
      </w:r>
    </w:p>
    <w:p>
      <w:pPr>
        <w:spacing w:after="0" w:line="8" w:lineRule="exact"/>
        <w:rPr>
          <w:rFonts w:ascii="Arial" w:cs="Arial" w:eastAsia="Arial" w:hAnsi="Arial"/>
          <w:sz w:val="19"/>
          <w:szCs w:val="19"/>
          <w:color w:val="auto"/>
        </w:rPr>
      </w:pPr>
    </w:p>
    <w:p>
      <w:pPr>
        <w:ind w:left="1580" w:hanging="559"/>
        <w:spacing w:after="0"/>
        <w:tabs>
          <w:tab w:leader="none" w:pos="1580" w:val="left"/>
        </w:tabs>
        <w:numPr>
          <w:ilvl w:val="1"/>
          <w:numId w:val="214"/>
        </w:numPr>
        <w:rPr>
          <w:rFonts w:ascii="Arial" w:cs="Arial" w:eastAsia="Arial" w:hAnsi="Arial"/>
          <w:sz w:val="20"/>
          <w:szCs w:val="20"/>
          <w:color w:val="auto"/>
        </w:rPr>
      </w:pPr>
      <w:r>
        <w:rPr>
          <w:rFonts w:ascii="Arial" w:cs="Arial" w:eastAsia="Arial" w:hAnsi="Arial"/>
          <w:sz w:val="20"/>
          <w:szCs w:val="20"/>
          <w:color w:val="auto"/>
        </w:rPr>
        <w:t>Total Revolving Credit Outstandings on Statement Date:</w:t>
      </w:r>
    </w:p>
    <w:p>
      <w:pPr>
        <w:spacing w:after="0" w:line="57" w:lineRule="exact"/>
        <w:rPr>
          <w:rFonts w:ascii="Arial" w:cs="Arial" w:eastAsia="Arial" w:hAnsi="Arial"/>
          <w:sz w:val="20"/>
          <w:szCs w:val="20"/>
          <w:color w:val="auto"/>
        </w:rPr>
      </w:pPr>
    </w:p>
    <w:p>
      <w:pPr>
        <w:ind w:left="1580" w:right="20" w:hanging="559"/>
        <w:spacing w:after="0" w:line="259" w:lineRule="auto"/>
        <w:tabs>
          <w:tab w:leader="none" w:pos="1580" w:val="left"/>
        </w:tabs>
        <w:numPr>
          <w:ilvl w:val="1"/>
          <w:numId w:val="214"/>
        </w:numPr>
        <w:rPr>
          <w:rFonts w:ascii="Arial" w:cs="Arial" w:eastAsia="Arial" w:hAnsi="Arial"/>
          <w:sz w:val="20"/>
          <w:szCs w:val="20"/>
          <w:color w:val="auto"/>
        </w:rPr>
      </w:pPr>
      <w:r>
        <w:rPr>
          <w:rFonts w:ascii="Arial" w:cs="Arial" w:eastAsia="Arial" w:hAnsi="Arial"/>
          <w:sz w:val="20"/>
          <w:szCs w:val="20"/>
          <w:u w:val="single" w:color="auto"/>
          <w:color w:val="auto"/>
        </w:rPr>
        <w:t>Unrestricted Cash Amount</w:t>
      </w:r>
      <w:r>
        <w:rPr>
          <w:rFonts w:ascii="Arial" w:cs="Arial" w:eastAsia="Arial" w:hAnsi="Arial"/>
          <w:sz w:val="20"/>
          <w:szCs w:val="20"/>
          <w:color w:val="auto"/>
        </w:rPr>
        <w:t xml:space="preserve"> (Greater of (x) Line III.B.1. - (the sum of $15,000,000 + Line III.B.2. + Line III.B.3.) and (y) $0):</w:t>
      </w:r>
    </w:p>
    <w:p>
      <w:pPr>
        <w:spacing w:after="0" w:line="3" w:lineRule="exact"/>
        <w:rPr>
          <w:rFonts w:ascii="Arial" w:cs="Arial" w:eastAsia="Arial" w:hAnsi="Arial"/>
          <w:sz w:val="20"/>
          <w:szCs w:val="20"/>
          <w:color w:val="auto"/>
        </w:rPr>
      </w:pPr>
    </w:p>
    <w:p>
      <w:pPr>
        <w:ind w:left="1020" w:hanging="561"/>
        <w:spacing w:after="0"/>
        <w:tabs>
          <w:tab w:leader="none" w:pos="1020" w:val="left"/>
        </w:tabs>
        <w:numPr>
          <w:ilvl w:val="0"/>
          <w:numId w:val="215"/>
        </w:numPr>
        <w:rPr>
          <w:rFonts w:ascii="Arial" w:cs="Arial" w:eastAsia="Arial" w:hAnsi="Arial"/>
          <w:sz w:val="20"/>
          <w:szCs w:val="20"/>
          <w:color w:val="auto"/>
        </w:rPr>
      </w:pPr>
      <w:r>
        <w:rPr>
          <w:rFonts w:ascii="Arial" w:cs="Arial" w:eastAsia="Arial" w:hAnsi="Arial"/>
          <w:sz w:val="20"/>
          <w:szCs w:val="20"/>
          <w:u w:val="single" w:color="auto"/>
          <w:color w:val="auto"/>
        </w:rPr>
        <w:t>Total Asset Value at Statement Date</w:t>
      </w:r>
      <w:r>
        <w:rPr>
          <w:rFonts w:ascii="Arial" w:cs="Arial" w:eastAsia="Arial" w:hAnsi="Arial"/>
          <w:sz w:val="20"/>
          <w:szCs w:val="20"/>
          <w:color w:val="auto"/>
        </w:rPr>
        <w:t>: (Line II.B.15.):</w:t>
      </w:r>
    </w:p>
    <w:p>
      <w:pPr>
        <w:spacing w:after="0" w:line="144" w:lineRule="exact"/>
        <w:rPr>
          <w:rFonts w:ascii="Arial" w:cs="Arial" w:eastAsia="Arial" w:hAnsi="Arial"/>
          <w:sz w:val="20"/>
          <w:szCs w:val="20"/>
          <w:color w:val="auto"/>
        </w:rPr>
      </w:pPr>
    </w:p>
    <w:p>
      <w:pPr>
        <w:ind w:left="1020" w:hanging="561"/>
        <w:spacing w:after="0"/>
        <w:tabs>
          <w:tab w:leader="none" w:pos="1020" w:val="left"/>
        </w:tabs>
        <w:numPr>
          <w:ilvl w:val="0"/>
          <w:numId w:val="215"/>
        </w:numPr>
        <w:rPr>
          <w:rFonts w:ascii="Arial" w:cs="Arial" w:eastAsia="Arial" w:hAnsi="Arial"/>
          <w:sz w:val="19"/>
          <w:szCs w:val="19"/>
          <w:color w:val="auto"/>
        </w:rPr>
      </w:pPr>
      <w:r>
        <w:rPr>
          <w:rFonts w:ascii="Arial" w:cs="Arial" w:eastAsia="Arial" w:hAnsi="Arial"/>
          <w:sz w:val="19"/>
          <w:szCs w:val="19"/>
          <w:color w:val="auto"/>
        </w:rPr>
        <w:t>Consolidated Total Indebtedness minus Unrestricted Cash Amount (Line III.A.3. – Line III.B.4.):</w:t>
      </w:r>
    </w:p>
    <w:p>
      <w:pPr>
        <w:spacing w:after="0" w:line="62" w:lineRule="exact"/>
        <w:rPr>
          <w:rFonts w:ascii="Arial" w:cs="Arial" w:eastAsia="Arial" w:hAnsi="Arial"/>
          <w:sz w:val="19"/>
          <w:szCs w:val="19"/>
          <w:color w:val="auto"/>
        </w:rPr>
      </w:pPr>
    </w:p>
    <w:p>
      <w:pPr>
        <w:ind w:left="460" w:right="2320"/>
        <w:spacing w:after="0" w:line="299" w:lineRule="auto"/>
        <w:rPr>
          <w:rFonts w:ascii="Arial" w:cs="Arial" w:eastAsia="Arial" w:hAnsi="Arial"/>
          <w:sz w:val="19"/>
          <w:szCs w:val="19"/>
          <w:color w:val="auto"/>
        </w:rPr>
      </w:pPr>
      <w:r>
        <w:rPr>
          <w:rFonts w:ascii="Arial" w:cs="Arial" w:eastAsia="Arial" w:hAnsi="Arial"/>
          <w:sz w:val="20"/>
          <w:szCs w:val="20"/>
          <w:b w:val="1"/>
          <w:bCs w:val="1"/>
          <w:color w:val="auto"/>
        </w:rPr>
        <w:t>Consolidated Total Leverage Ratio (Line III.D as a percentage of Line III.C): Maximum Permitted Consolidated Total Leverage Ratio:</w:t>
      </w:r>
    </w:p>
    <w:p>
      <w:pPr>
        <w:spacing w:after="0" w:line="1" w:lineRule="exact"/>
        <w:rPr>
          <w:rFonts w:ascii="Arial" w:cs="Arial" w:eastAsia="Arial" w:hAnsi="Arial"/>
          <w:sz w:val="19"/>
          <w:szCs w:val="19"/>
          <w:color w:val="auto"/>
        </w:rPr>
      </w:pPr>
    </w:p>
    <w:p>
      <w:pPr>
        <w:ind w:left="460"/>
        <w:spacing w:after="0"/>
        <w:rPr>
          <w:rFonts w:ascii="Arial" w:cs="Arial" w:eastAsia="Arial" w:hAnsi="Arial"/>
          <w:sz w:val="19"/>
          <w:szCs w:val="19"/>
          <w:color w:val="auto"/>
        </w:rPr>
      </w:pPr>
      <w:r>
        <w:rPr>
          <w:rFonts w:ascii="Arial" w:cs="Arial" w:eastAsia="Arial" w:hAnsi="Arial"/>
          <w:sz w:val="20"/>
          <w:szCs w:val="20"/>
          <w:b w:val="1"/>
          <w:bCs w:val="1"/>
          <w:color w:val="auto"/>
        </w:rPr>
        <w:t>[Pricing Level under the Leveraged-Based Applicable Rate [I][II][III][IV][V][VI]]</w:t>
      </w:r>
      <w:r>
        <w:rPr>
          <w:rFonts w:ascii="Arial" w:cs="Arial" w:eastAsia="Arial" w:hAnsi="Arial"/>
          <w:sz w:val="26"/>
          <w:szCs w:val="26"/>
          <w:b w:val="1"/>
          <w:bCs w:val="1"/>
          <w:color w:val="auto"/>
          <w:vertAlign w:val="superscript"/>
        </w:rPr>
        <w:t>7</w:t>
      </w:r>
    </w:p>
    <w:p>
      <w:pPr>
        <w:spacing w:after="0" w:line="27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IV.</w:t>
      </w:r>
      <w:r>
        <w:rPr>
          <w:sz w:val="20"/>
          <w:szCs w:val="20"/>
          <w:color w:val="auto"/>
        </w:rPr>
        <w:tab/>
      </w:r>
      <w:r>
        <w:rPr>
          <w:rFonts w:ascii="Arial" w:cs="Arial" w:eastAsia="Arial" w:hAnsi="Arial"/>
          <w:sz w:val="17"/>
          <w:szCs w:val="17"/>
          <w:b w:val="1"/>
          <w:bCs w:val="1"/>
          <w:u w:val="single" w:color="auto"/>
          <w:color w:val="auto"/>
        </w:rPr>
        <w:t>Section 7.11(c) – Consolidated Fixed Charge Coverage Ratio</w:t>
      </w:r>
    </w:p>
    <w:p>
      <w:pPr>
        <w:spacing w:after="0" w:line="51" w:lineRule="exact"/>
        <w:rPr>
          <w:sz w:val="20"/>
          <w:szCs w:val="20"/>
          <w:color w:val="auto"/>
        </w:rPr>
      </w:pPr>
    </w:p>
    <w:p>
      <w:pPr>
        <w:ind w:left="1020" w:right="220" w:hanging="561"/>
        <w:spacing w:after="0" w:line="259" w:lineRule="auto"/>
        <w:tabs>
          <w:tab w:leader="none" w:pos="102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Consolidated EBITDA for the four consecutive fiscal quarters of the REIT ending on Statement Date (“</w:t>
      </w:r>
      <w:r>
        <w:rPr>
          <w:rFonts w:ascii="Arial" w:cs="Arial" w:eastAsia="Arial" w:hAnsi="Arial"/>
          <w:sz w:val="20"/>
          <w:szCs w:val="20"/>
          <w:u w:val="single" w:color="auto"/>
          <w:color w:val="auto"/>
        </w:rPr>
        <w:t>4 Quarter Subject Period</w:t>
      </w:r>
      <w:r>
        <w:rPr>
          <w:rFonts w:ascii="Arial" w:cs="Arial" w:eastAsia="Arial" w:hAnsi="Arial"/>
          <w:sz w:val="20"/>
          <w:szCs w:val="20"/>
          <w:color w:val="auto"/>
        </w:rPr>
        <w:t>”):</w:t>
      </w:r>
    </w:p>
    <w:p>
      <w:pPr>
        <w:spacing w:after="0" w:line="3" w:lineRule="exact"/>
        <w:rPr>
          <w:rFonts w:ascii="Arial" w:cs="Arial" w:eastAsia="Arial" w:hAnsi="Arial"/>
          <w:sz w:val="20"/>
          <w:szCs w:val="20"/>
          <w:color w:val="auto"/>
        </w:rPr>
      </w:pPr>
    </w:p>
    <w:p>
      <w:pPr>
        <w:ind w:left="1580" w:hanging="559"/>
        <w:spacing w:after="0"/>
        <w:tabs>
          <w:tab w:leader="none" w:pos="1580" w:val="left"/>
        </w:tabs>
        <w:numPr>
          <w:ilvl w:val="1"/>
          <w:numId w:val="216"/>
        </w:numPr>
        <w:rPr>
          <w:rFonts w:ascii="Arial" w:cs="Arial" w:eastAsia="Arial" w:hAnsi="Arial"/>
          <w:sz w:val="20"/>
          <w:szCs w:val="20"/>
          <w:color w:val="auto"/>
        </w:rPr>
      </w:pPr>
      <w:r>
        <w:rPr>
          <w:rFonts w:ascii="Arial" w:cs="Arial" w:eastAsia="Arial" w:hAnsi="Arial"/>
          <w:sz w:val="20"/>
          <w:szCs w:val="20"/>
          <w:color w:val="auto"/>
        </w:rPr>
        <w:t>Consolidated Net Income for 4 Quarter Subject Period:</w:t>
      </w:r>
    </w:p>
    <w:p>
      <w:pPr>
        <w:spacing w:after="0" w:line="44" w:lineRule="exact"/>
        <w:rPr>
          <w:rFonts w:ascii="Arial" w:cs="Arial" w:eastAsia="Arial" w:hAnsi="Arial"/>
          <w:sz w:val="20"/>
          <w:szCs w:val="20"/>
          <w:color w:val="auto"/>
        </w:rPr>
      </w:pPr>
    </w:p>
    <w:p>
      <w:pPr>
        <w:ind w:left="1580" w:right="280" w:firstLine="4"/>
        <w:spacing w:after="0" w:line="247" w:lineRule="auto"/>
        <w:tabs>
          <w:tab w:leader="none" w:pos="1768" w:val="left"/>
        </w:tabs>
        <w:numPr>
          <w:ilvl w:val="2"/>
          <w:numId w:val="216"/>
        </w:numPr>
        <w:rPr>
          <w:rFonts w:ascii="Arial" w:cs="Arial" w:eastAsia="Arial" w:hAnsi="Arial"/>
          <w:sz w:val="20"/>
          <w:szCs w:val="20"/>
          <w:color w:val="auto"/>
        </w:rPr>
      </w:pPr>
      <w:r>
        <w:rPr>
          <w:rFonts w:ascii="Arial" w:cs="Arial" w:eastAsia="Arial" w:hAnsi="Arial"/>
          <w:sz w:val="20"/>
          <w:szCs w:val="20"/>
          <w:color w:val="auto"/>
        </w:rPr>
        <w:t>The net income (or loss) of the Consolidated Group (including the Consolidated Group Pro Rata Share of the net income (or loss) of each Unconsolidated Affiliate), computed in accordance with GAAP for 4 Quarter Subject Period:</w:t>
      </w:r>
    </w:p>
    <w:p>
      <w:pPr>
        <w:spacing w:after="0" w:line="14" w:lineRule="exact"/>
        <w:rPr>
          <w:rFonts w:ascii="Arial" w:cs="Arial" w:eastAsia="Arial" w:hAnsi="Arial"/>
          <w:sz w:val="20"/>
          <w:szCs w:val="20"/>
          <w:color w:val="auto"/>
        </w:rPr>
      </w:pPr>
    </w:p>
    <w:p>
      <w:pPr>
        <w:ind w:left="1580" w:right="460" w:firstLine="4"/>
        <w:spacing w:after="0" w:line="242" w:lineRule="auto"/>
        <w:tabs>
          <w:tab w:leader="none" w:pos="1780" w:val="left"/>
        </w:tabs>
        <w:numPr>
          <w:ilvl w:val="2"/>
          <w:numId w:val="216"/>
        </w:numPr>
        <w:rPr>
          <w:rFonts w:ascii="Arial" w:cs="Arial" w:eastAsia="Arial" w:hAnsi="Arial"/>
          <w:sz w:val="20"/>
          <w:szCs w:val="20"/>
          <w:color w:val="auto"/>
        </w:rPr>
      </w:pPr>
      <w:r>
        <w:rPr>
          <w:rFonts w:ascii="Arial" w:cs="Arial" w:eastAsia="Arial" w:hAnsi="Arial"/>
          <w:sz w:val="20"/>
          <w:szCs w:val="20"/>
          <w:color w:val="auto"/>
        </w:rPr>
        <w:t>Any extraordinary or non-recurring gain realized during 4 Quarter Subject Period by any member of Consolidated Group (including Consolidated Group Pro Rata Share of any extraordinary or non-recurring gain realized during 4 Quarter Subject Period by any Unconsolidated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208280</wp:posOffset>
            </wp:positionV>
            <wp:extent cx="709803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3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28575</wp:posOffset>
            </wp:positionV>
            <wp:extent cx="113411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9340" w:space="60"/>
            <w:col w:w="1740"/>
          </w:cols>
          <w:pgMar w:left="380" w:top="789" w:right="379" w:bottom="1440" w:gutter="0" w:footer="0" w:header="0"/>
          <w:type w:val="continuous"/>
        </w:sectPr>
      </w:pPr>
    </w:p>
    <w:p>
      <w:pPr>
        <w:spacing w:after="0" w:line="149" w:lineRule="exact"/>
        <w:rPr>
          <w:sz w:val="20"/>
          <w:szCs w:val="20"/>
          <w:color w:val="auto"/>
        </w:rPr>
      </w:pPr>
    </w:p>
    <w:p>
      <w:pPr>
        <w:ind w:left="460" w:hanging="450"/>
        <w:spacing w:after="0"/>
        <w:tabs>
          <w:tab w:leader="none" w:pos="460" w:val="left"/>
        </w:tabs>
        <w:numPr>
          <w:ilvl w:val="0"/>
          <w:numId w:val="217"/>
        </w:numPr>
        <w:rPr>
          <w:rFonts w:ascii="Arial" w:cs="Arial" w:eastAsia="Arial" w:hAnsi="Arial"/>
          <w:sz w:val="13"/>
          <w:szCs w:val="13"/>
          <w:b w:val="1"/>
          <w:bCs w:val="1"/>
          <w:color w:val="auto"/>
        </w:rPr>
      </w:pPr>
      <w:r>
        <w:rPr>
          <w:rFonts w:ascii="Arial" w:cs="Arial" w:eastAsia="Arial" w:hAnsi="Arial"/>
          <w:sz w:val="13"/>
          <w:szCs w:val="13"/>
          <w:color w:val="auto"/>
        </w:rPr>
        <w:t>Applicable only prior to Investment Grade Pricing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D-5</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Form of Compliance Certificate</w:t>
      </w:r>
    </w:p>
    <w:p>
      <w:pPr>
        <w:sectPr>
          <w:pgSz w:w="11900" w:h="16838" w:orient="portrait"/>
          <w:cols w:equalWidth="0" w:num="1">
            <w:col w:w="11140"/>
          </w:cols>
          <w:pgMar w:left="380" w:top="789" w:right="379" w:bottom="1440" w:gutter="0" w:footer="0" w:header="0"/>
          <w:type w:val="continuous"/>
        </w:sectPr>
      </w:pPr>
    </w:p>
    <w:bookmarkStart w:id="179" w:name="page180"/>
    <w:bookmarkEnd w:id="179"/>
    <w:p>
      <w:pPr>
        <w:ind w:left="559" w:right="500"/>
        <w:spacing w:after="0" w:line="242" w:lineRule="auto"/>
        <w:rPr>
          <w:sz w:val="20"/>
          <w:szCs w:val="20"/>
          <w:color w:val="auto"/>
        </w:rPr>
      </w:pPr>
      <w:r>
        <w:rPr>
          <w:rFonts w:ascii="Arial" w:cs="Arial" w:eastAsia="Arial" w:hAnsi="Arial"/>
          <w:sz w:val="20"/>
          <w:szCs w:val="20"/>
          <w:color w:val="auto"/>
        </w:rPr>
        <w:t>c. Any extraordinary or non-recurring loss realized during 4 Quarter Subject Period by any member of Consolidated Group (including Consolidated Group Pro Rata Share of any extraordinary or non-recurring loss realized during 4 Quarter Subject Period by any Unconsolidated Affiliate):</w:t>
      </w:r>
    </w:p>
    <w:p>
      <w:pPr>
        <w:spacing w:after="0" w:line="22" w:lineRule="exact"/>
        <w:rPr>
          <w:sz w:val="20"/>
          <w:szCs w:val="20"/>
          <w:color w:val="auto"/>
        </w:rPr>
      </w:pPr>
    </w:p>
    <w:p>
      <w:pPr>
        <w:ind w:left="559"/>
        <w:spacing w:after="0"/>
        <w:rPr>
          <w:sz w:val="20"/>
          <w:szCs w:val="20"/>
          <w:color w:val="auto"/>
        </w:rPr>
      </w:pPr>
      <w:r>
        <w:rPr>
          <w:rFonts w:ascii="Arial" w:cs="Arial" w:eastAsia="Arial" w:hAnsi="Arial"/>
          <w:sz w:val="20"/>
          <w:szCs w:val="20"/>
          <w:color w:val="auto"/>
        </w:rPr>
        <w:t>d. Consolidated Net Income (Line IV.A.1.a. - Line IV.A.1.b. + Line IV.A.1.c.):</w:t>
      </w:r>
    </w:p>
    <w:p>
      <w:pPr>
        <w:spacing w:after="0" w:line="57" w:lineRule="exact"/>
        <w:rPr>
          <w:sz w:val="20"/>
          <w:szCs w:val="20"/>
          <w:color w:val="auto"/>
        </w:rPr>
      </w:pPr>
    </w:p>
    <w:p>
      <w:pPr>
        <w:ind w:left="559" w:right="120" w:hanging="559"/>
        <w:spacing w:after="0" w:line="238" w:lineRule="auto"/>
        <w:tabs>
          <w:tab w:leader="none" w:pos="559" w:val="left"/>
        </w:tabs>
        <w:numPr>
          <w:ilvl w:val="0"/>
          <w:numId w:val="218"/>
        </w:numPr>
        <w:rPr>
          <w:rFonts w:ascii="Arial" w:cs="Arial" w:eastAsia="Arial" w:hAnsi="Arial"/>
          <w:sz w:val="20"/>
          <w:szCs w:val="20"/>
          <w:color w:val="auto"/>
        </w:rPr>
      </w:pPr>
      <w:r>
        <w:rPr>
          <w:rFonts w:ascii="Arial" w:cs="Arial" w:eastAsia="Arial" w:hAnsi="Arial"/>
          <w:sz w:val="20"/>
          <w:szCs w:val="20"/>
          <w:color w:val="auto"/>
        </w:rPr>
        <w:t>Total cash interest expense (including, for the avoidance of doubt, capitalized interest) of the Consolidated Group for 4 Quarter Subject Period determined on a consolidated basis in accordance with GAAP (including the Consolidated Group Pro Rata Share of total cash interest expense (including, for the avoidance of doubt, capitalized interest) of each Unconsolidated Affiliated for 4 Quarter Subject Period determined in accordance with GAAP) (plus, to the extent not already included in such total cash interest expense, amortization of deferred financing costs):</w:t>
      </w:r>
    </w:p>
    <w:p>
      <w:pPr>
        <w:spacing w:after="0" w:line="252" w:lineRule="exact"/>
        <w:rPr>
          <w:rFonts w:ascii="Arial" w:cs="Arial" w:eastAsia="Arial" w:hAnsi="Arial"/>
          <w:sz w:val="20"/>
          <w:szCs w:val="20"/>
          <w:color w:val="auto"/>
        </w:rPr>
      </w:pPr>
    </w:p>
    <w:p>
      <w:pPr>
        <w:ind w:left="559" w:right="40" w:hanging="559"/>
        <w:spacing w:after="0" w:line="265" w:lineRule="auto"/>
        <w:tabs>
          <w:tab w:leader="none" w:pos="559" w:val="left"/>
        </w:tabs>
        <w:numPr>
          <w:ilvl w:val="0"/>
          <w:numId w:val="218"/>
        </w:numPr>
        <w:rPr>
          <w:rFonts w:ascii="Arial" w:cs="Arial" w:eastAsia="Arial" w:hAnsi="Arial"/>
          <w:sz w:val="19"/>
          <w:szCs w:val="19"/>
          <w:color w:val="auto"/>
        </w:rPr>
      </w:pPr>
      <w:r>
        <w:rPr>
          <w:rFonts w:ascii="Arial" w:cs="Arial" w:eastAsia="Arial" w:hAnsi="Arial"/>
          <w:sz w:val="19"/>
          <w:szCs w:val="19"/>
          <w:color w:val="auto"/>
        </w:rPr>
        <w:t>Provision for federal, state, local and foreign income taxes of the Consolidated Group (including the Consolidated Group Pro Rata Share of the provision for federal, state, local and foreign income taxes of each Unconsolidated Affiliate) for 4 Quarter Subject Period:</w:t>
      </w:r>
    </w:p>
    <w:p>
      <w:pPr>
        <w:ind w:left="559" w:right="180" w:hanging="559"/>
        <w:spacing w:after="0" w:line="289" w:lineRule="auto"/>
        <w:tabs>
          <w:tab w:leader="none" w:pos="559"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Non-cash charges of the Consolidated Group for 4 Quarter Subject Period (excluding any non-cash charge that results in an accrual of a reserve for a cash charge in any future period):</w:t>
      </w:r>
    </w:p>
    <w:p>
      <w:pPr>
        <w:spacing w:after="0" w:line="1" w:lineRule="exact"/>
        <w:rPr>
          <w:rFonts w:ascii="Arial" w:cs="Arial" w:eastAsia="Arial" w:hAnsi="Arial"/>
          <w:sz w:val="18"/>
          <w:szCs w:val="18"/>
          <w:color w:val="auto"/>
        </w:rPr>
      </w:pPr>
    </w:p>
    <w:p>
      <w:pPr>
        <w:ind w:left="559" w:right="80" w:hanging="559"/>
        <w:spacing w:after="0" w:line="247" w:lineRule="auto"/>
        <w:tabs>
          <w:tab w:leader="none" w:pos="559" w:val="left"/>
        </w:tabs>
        <w:numPr>
          <w:ilvl w:val="0"/>
          <w:numId w:val="218"/>
        </w:numPr>
        <w:rPr>
          <w:rFonts w:ascii="Arial" w:cs="Arial" w:eastAsia="Arial" w:hAnsi="Arial"/>
          <w:sz w:val="20"/>
          <w:szCs w:val="20"/>
          <w:color w:val="auto"/>
        </w:rPr>
      </w:pPr>
      <w:r>
        <w:rPr>
          <w:rFonts w:ascii="Arial" w:cs="Arial" w:eastAsia="Arial" w:hAnsi="Arial"/>
          <w:sz w:val="20"/>
          <w:szCs w:val="20"/>
          <w:color w:val="auto"/>
        </w:rPr>
        <w:t>Consolidated Group Pro Rata Share of non-cash charges of Unconsolidated Affiliates for 4 Quarter Subject Period (excluding any non-cash charge that results in an accrual of a reserve for a cash charge in any future period):</w:t>
      </w:r>
    </w:p>
    <w:p>
      <w:pPr>
        <w:spacing w:after="0" w:line="14" w:lineRule="exact"/>
        <w:rPr>
          <w:rFonts w:ascii="Arial" w:cs="Arial" w:eastAsia="Arial" w:hAnsi="Arial"/>
          <w:sz w:val="20"/>
          <w:szCs w:val="20"/>
          <w:color w:val="auto"/>
        </w:rPr>
      </w:pPr>
    </w:p>
    <w:p>
      <w:pPr>
        <w:ind w:left="559" w:right="180" w:hanging="559"/>
        <w:spacing w:after="0" w:line="242" w:lineRule="auto"/>
        <w:tabs>
          <w:tab w:leader="none" w:pos="559" w:val="left"/>
        </w:tabs>
        <w:numPr>
          <w:ilvl w:val="0"/>
          <w:numId w:val="218"/>
        </w:numPr>
        <w:rPr>
          <w:rFonts w:ascii="Arial" w:cs="Arial" w:eastAsia="Arial" w:hAnsi="Arial"/>
          <w:sz w:val="20"/>
          <w:szCs w:val="20"/>
          <w:color w:val="auto"/>
        </w:rPr>
      </w:pPr>
      <w:r>
        <w:rPr>
          <w:rFonts w:ascii="Arial" w:cs="Arial" w:eastAsia="Arial" w:hAnsi="Arial"/>
          <w:sz w:val="20"/>
          <w:szCs w:val="20"/>
          <w:color w:val="auto"/>
        </w:rPr>
        <w:t>Acquisition closing costs of the Consolidated Group that were capitalized prior to FAS 141-R reducing Consolidated Net Income (including the Consolidated Group Pro Rata Share of acquisition closing costs of Unconsolidated Affiliates that were capitalized prior to FAS 141-R reducing Consolidated Net Income):</w:t>
      </w:r>
    </w:p>
    <w:p>
      <w:pPr>
        <w:spacing w:after="0" w:line="21" w:lineRule="exact"/>
        <w:rPr>
          <w:rFonts w:ascii="Arial" w:cs="Arial" w:eastAsia="Arial" w:hAnsi="Arial"/>
          <w:sz w:val="20"/>
          <w:szCs w:val="20"/>
          <w:color w:val="auto"/>
        </w:rPr>
      </w:pPr>
    </w:p>
    <w:p>
      <w:pPr>
        <w:ind w:left="559" w:right="180" w:hanging="559"/>
        <w:spacing w:after="0" w:line="247" w:lineRule="auto"/>
        <w:tabs>
          <w:tab w:leader="none" w:pos="559" w:val="left"/>
        </w:tabs>
        <w:numPr>
          <w:ilvl w:val="0"/>
          <w:numId w:val="218"/>
        </w:numPr>
        <w:rPr>
          <w:rFonts w:ascii="Arial" w:cs="Arial" w:eastAsia="Arial" w:hAnsi="Arial"/>
          <w:sz w:val="20"/>
          <w:szCs w:val="20"/>
          <w:color w:val="auto"/>
        </w:rPr>
      </w:pPr>
      <w:r>
        <w:rPr>
          <w:rFonts w:ascii="Arial" w:cs="Arial" w:eastAsia="Arial" w:hAnsi="Arial"/>
          <w:sz w:val="20"/>
          <w:szCs w:val="20"/>
          <w:color w:val="auto"/>
        </w:rPr>
        <w:t>Depreciation and amortization expense of the Consolidated Group (including the Consolidated Group Pro Rata Share of depreciation and amortization expense of each Unconsolidated Affiliate) for 4 Quarter Subject Period:</w:t>
      </w:r>
    </w:p>
    <w:p>
      <w:pPr>
        <w:spacing w:after="0" w:line="14" w:lineRule="exact"/>
        <w:rPr>
          <w:rFonts w:ascii="Arial" w:cs="Arial" w:eastAsia="Arial" w:hAnsi="Arial"/>
          <w:sz w:val="20"/>
          <w:szCs w:val="20"/>
          <w:color w:val="auto"/>
        </w:rPr>
      </w:pPr>
    </w:p>
    <w:p>
      <w:pPr>
        <w:ind w:left="559" w:right="40" w:hanging="559"/>
        <w:spacing w:after="0" w:line="279" w:lineRule="auto"/>
        <w:tabs>
          <w:tab w:leader="none" w:pos="559" w:val="left"/>
        </w:tabs>
        <w:numPr>
          <w:ilvl w:val="0"/>
          <w:numId w:val="218"/>
        </w:numPr>
        <w:rPr>
          <w:rFonts w:ascii="Arial" w:cs="Arial" w:eastAsia="Arial" w:hAnsi="Arial"/>
          <w:sz w:val="18"/>
          <w:szCs w:val="18"/>
          <w:color w:val="auto"/>
        </w:rPr>
      </w:pPr>
      <w:r>
        <w:rPr>
          <w:rFonts w:ascii="Arial" w:cs="Arial" w:eastAsia="Arial" w:hAnsi="Arial"/>
          <w:sz w:val="18"/>
          <w:szCs w:val="18"/>
          <w:color w:val="auto"/>
        </w:rPr>
        <w:t>One-time costs and expenses relating to the effectiveness of the credit facilities evidenced by the Agreement and the transactions relating thereto, to the extent such fees and expenses are incurred on or prior to the date that is ninety-days following the Restatement Effective Date:</w:t>
      </w:r>
    </w:p>
    <w:p>
      <w:pPr>
        <w:spacing w:after="0" w:line="2" w:lineRule="exact"/>
        <w:rPr>
          <w:rFonts w:ascii="Arial" w:cs="Arial" w:eastAsia="Arial" w:hAnsi="Arial"/>
          <w:sz w:val="18"/>
          <w:szCs w:val="18"/>
          <w:color w:val="auto"/>
        </w:rPr>
      </w:pPr>
    </w:p>
    <w:p>
      <w:pPr>
        <w:jc w:val="both"/>
        <w:ind w:left="559" w:right="40" w:hanging="559"/>
        <w:spacing w:after="0" w:line="279" w:lineRule="auto"/>
        <w:tabs>
          <w:tab w:leader="none" w:pos="559"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Non-cash items of the Consolidated Group for 4 Quarter Subject Period increasing Consolidated Net Income (other than the reversal of any accrual of a reserve referred to in the parenthetical in Line IV.A.4. above, except to the extent such reversal results from a cash payment):</w:t>
      </w:r>
    </w:p>
    <w:p>
      <w:pPr>
        <w:spacing w:after="0" w:line="2" w:lineRule="exact"/>
        <w:rPr>
          <w:rFonts w:ascii="Arial" w:cs="Arial" w:eastAsia="Arial" w:hAnsi="Arial"/>
          <w:sz w:val="18"/>
          <w:szCs w:val="18"/>
          <w:color w:val="auto"/>
        </w:rPr>
      </w:pPr>
    </w:p>
    <w:p>
      <w:pPr>
        <w:ind w:left="559" w:hanging="559"/>
        <w:spacing w:after="0" w:line="242" w:lineRule="auto"/>
        <w:tabs>
          <w:tab w:leader="none" w:pos="559" w:val="left"/>
        </w:tabs>
        <w:numPr>
          <w:ilvl w:val="0"/>
          <w:numId w:val="218"/>
        </w:numPr>
        <w:rPr>
          <w:rFonts w:ascii="Arial" w:cs="Arial" w:eastAsia="Arial" w:hAnsi="Arial"/>
          <w:sz w:val="20"/>
          <w:szCs w:val="20"/>
          <w:color w:val="auto"/>
        </w:rPr>
      </w:pPr>
      <w:r>
        <w:rPr>
          <w:rFonts w:ascii="Arial" w:cs="Arial" w:eastAsia="Arial" w:hAnsi="Arial"/>
          <w:sz w:val="20"/>
          <w:szCs w:val="20"/>
          <w:color w:val="auto"/>
        </w:rPr>
        <w:t>Consolidated Group Pro Rata Share of non-cash items of Unconsolidated Affiliates for 4 Quarter Subject Period increasing Consolidated Net Income (other than the reversal of any accrual of a reserve referred to in the parenthetical in Line IV.A.5. above, except to the extent such reversal results from a cash payment):</w:t>
      </w:r>
    </w:p>
    <w:p>
      <w:pPr>
        <w:spacing w:after="0" w:line="21" w:lineRule="exact"/>
        <w:rPr>
          <w:rFonts w:ascii="Arial" w:cs="Arial" w:eastAsia="Arial" w:hAnsi="Arial"/>
          <w:sz w:val="20"/>
          <w:szCs w:val="20"/>
          <w:color w:val="auto"/>
        </w:rPr>
      </w:pPr>
    </w:p>
    <w:p>
      <w:pPr>
        <w:ind w:left="559" w:right="380" w:hanging="559"/>
        <w:spacing w:after="0" w:line="286" w:lineRule="auto"/>
        <w:tabs>
          <w:tab w:leader="none" w:pos="559" w:val="left"/>
        </w:tabs>
        <w:numPr>
          <w:ilvl w:val="0"/>
          <w:numId w:val="218"/>
        </w:numPr>
        <w:rPr>
          <w:rFonts w:ascii="Arial" w:cs="Arial" w:eastAsia="Arial" w:hAnsi="Arial"/>
          <w:sz w:val="19"/>
          <w:szCs w:val="19"/>
          <w:color w:val="auto"/>
        </w:rPr>
      </w:pPr>
      <w:r>
        <w:rPr>
          <w:rFonts w:ascii="Arial" w:cs="Arial" w:eastAsia="Arial" w:hAnsi="Arial"/>
          <w:sz w:val="19"/>
          <w:szCs w:val="19"/>
          <w:u w:val="single" w:color="auto"/>
          <w:color w:val="auto"/>
        </w:rPr>
        <w:t>Consolidated EBITDA</w:t>
      </w:r>
      <w:r>
        <w:rPr>
          <w:rFonts w:ascii="Arial" w:cs="Arial" w:eastAsia="Arial" w:hAnsi="Arial"/>
          <w:sz w:val="19"/>
          <w:szCs w:val="19"/>
          <w:color w:val="auto"/>
        </w:rPr>
        <w:t xml:space="preserve"> (Lines IV.A.1.d. + Line IV.A.2. + Line IV.A.3. + Line IV.A.4. + Line IV.A.5. + Line IV.A.6. + Line IV.A.7. + Line IV.A.8. - Line IV.A.9. – Line IV.A.10.):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300" w:lineRule="exact"/>
        <w:rPr>
          <w:sz w:val="20"/>
          <w:szCs w:val="20"/>
          <w:color w:val="auto"/>
        </w:rPr>
      </w:pPr>
    </w:p>
    <w:p>
      <w:pPr>
        <w:sectPr>
          <w:pgSz w:w="11900" w:h="16838" w:orient="portrait"/>
          <w:cols w:equalWidth="0" w:num="2">
            <w:col w:w="8319" w:space="60"/>
            <w:col w:w="679"/>
          </w:cols>
          <w:pgMar w:left="1401" w:top="795"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38"/>
        <w:spacing w:after="0"/>
        <w:rPr>
          <w:sz w:val="20"/>
          <w:szCs w:val="20"/>
          <w:color w:val="auto"/>
        </w:rPr>
      </w:pPr>
      <w:r>
        <w:rPr>
          <w:rFonts w:ascii="Arial" w:cs="Arial" w:eastAsia="Arial" w:hAnsi="Arial"/>
          <w:sz w:val="17"/>
          <w:szCs w:val="17"/>
          <w:color w:val="auto"/>
        </w:rPr>
        <w:t>D-6</w:t>
      </w:r>
    </w:p>
    <w:p>
      <w:pPr>
        <w:spacing w:after="0" w:line="17" w:lineRule="exact"/>
        <w:rPr>
          <w:sz w:val="20"/>
          <w:szCs w:val="20"/>
          <w:color w:val="auto"/>
        </w:rPr>
      </w:pPr>
    </w:p>
    <w:p>
      <w:pPr>
        <w:jc w:val="center"/>
        <w:ind w:right="-38"/>
        <w:spacing w:after="0"/>
        <w:rPr>
          <w:sz w:val="20"/>
          <w:szCs w:val="20"/>
          <w:color w:val="auto"/>
        </w:rPr>
      </w:pPr>
      <w:r>
        <w:rPr>
          <w:rFonts w:ascii="Arial" w:cs="Arial" w:eastAsia="Arial" w:hAnsi="Arial"/>
          <w:sz w:val="15"/>
          <w:szCs w:val="15"/>
          <w:color w:val="auto"/>
        </w:rPr>
        <w:t>Form of Compliance Certificate</w:t>
      </w:r>
    </w:p>
    <w:p>
      <w:pPr>
        <w:sectPr>
          <w:pgSz w:w="11900" w:h="16838" w:orient="portrait"/>
          <w:cols w:equalWidth="0" w:num="1">
            <w:col w:w="9058"/>
          </w:cols>
          <w:pgMar w:left="1401" w:top="795" w:right="1440" w:bottom="1440" w:gutter="0" w:footer="0" w:header="0"/>
          <w:type w:val="continuous"/>
        </w:sectPr>
      </w:pPr>
    </w:p>
    <w:bookmarkStart w:id="180" w:name="page181"/>
    <w:bookmarkEnd w:id="180"/>
    <w:p>
      <w:pPr>
        <w:ind w:left="1010" w:hanging="561"/>
        <w:spacing w:after="0"/>
        <w:tabs>
          <w:tab w:leader="none" w:pos="1010" w:val="left"/>
        </w:tabs>
        <w:numPr>
          <w:ilvl w:val="1"/>
          <w:numId w:val="219"/>
        </w:numPr>
        <w:rPr>
          <w:rFonts w:ascii="Arial" w:cs="Arial" w:eastAsia="Arial" w:hAnsi="Arial"/>
          <w:sz w:val="20"/>
          <w:szCs w:val="20"/>
          <w:color w:val="auto"/>
        </w:rPr>
      </w:pPr>
      <w:r>
        <w:rPr>
          <w:rFonts w:ascii="Arial" w:cs="Arial" w:eastAsia="Arial" w:hAnsi="Arial"/>
          <w:sz w:val="20"/>
          <w:szCs w:val="20"/>
          <w:color w:val="auto"/>
        </w:rPr>
        <w:t>Consolidated Fixed Charges for 4 Quarter Subject Period:</w:t>
      </w:r>
    </w:p>
    <w:p>
      <w:pPr>
        <w:spacing w:after="0" w:line="44" w:lineRule="exact"/>
        <w:rPr>
          <w:rFonts w:ascii="Arial" w:cs="Arial" w:eastAsia="Arial" w:hAnsi="Arial"/>
          <w:sz w:val="20"/>
          <w:szCs w:val="20"/>
          <w:color w:val="auto"/>
        </w:rPr>
      </w:pPr>
    </w:p>
    <w:p>
      <w:pPr>
        <w:ind w:left="1570" w:right="80" w:hanging="559"/>
        <w:spacing w:after="0" w:line="272" w:lineRule="auto"/>
        <w:tabs>
          <w:tab w:leader="none" w:pos="1570" w:val="left"/>
        </w:tabs>
        <w:numPr>
          <w:ilvl w:val="2"/>
          <w:numId w:val="219"/>
        </w:numPr>
        <w:rPr>
          <w:rFonts w:ascii="Arial" w:cs="Arial" w:eastAsia="Arial" w:hAnsi="Arial"/>
          <w:sz w:val="18"/>
          <w:szCs w:val="18"/>
          <w:color w:val="auto"/>
        </w:rPr>
      </w:pPr>
      <w:r>
        <w:rPr>
          <w:rFonts w:ascii="Arial" w:cs="Arial" w:eastAsia="Arial" w:hAnsi="Arial"/>
          <w:sz w:val="18"/>
          <w:szCs w:val="18"/>
          <w:color w:val="auto"/>
        </w:rPr>
        <w:t>Total cash interest expense (including, for the avoidance of doubt, capitalized interest) of the Consolidated Group for 4 Quarter Subject Period determined on a consolidated basis in accordance with GAAP (including the Consolidated Group Pro Rata Share of total cash interest expense (including, for the avoidance of doubt, capitalized interest) of each Unconsolidated Affiliated for 4 Quarter Subject Period determined in accordance with GAAP):</w:t>
      </w:r>
    </w:p>
    <w:p>
      <w:pPr>
        <w:spacing w:after="0" w:line="1" w:lineRule="exact"/>
        <w:rPr>
          <w:rFonts w:ascii="Arial" w:cs="Arial" w:eastAsia="Arial" w:hAnsi="Arial"/>
          <w:sz w:val="18"/>
          <w:szCs w:val="18"/>
          <w:color w:val="auto"/>
        </w:rPr>
      </w:pPr>
    </w:p>
    <w:p>
      <w:pPr>
        <w:ind w:left="1570" w:right="520" w:hanging="559"/>
        <w:spacing w:after="0" w:line="259" w:lineRule="auto"/>
        <w:tabs>
          <w:tab w:leader="none" w:pos="1570" w:val="left"/>
        </w:tabs>
        <w:numPr>
          <w:ilvl w:val="2"/>
          <w:numId w:val="219"/>
        </w:numPr>
        <w:rPr>
          <w:rFonts w:ascii="Arial" w:cs="Arial" w:eastAsia="Arial" w:hAnsi="Arial"/>
          <w:sz w:val="20"/>
          <w:szCs w:val="20"/>
          <w:color w:val="auto"/>
        </w:rPr>
      </w:pPr>
      <w:r>
        <w:rPr>
          <w:rFonts w:ascii="Arial" w:cs="Arial" w:eastAsia="Arial" w:hAnsi="Arial"/>
          <w:sz w:val="20"/>
          <w:szCs w:val="20"/>
          <w:color w:val="auto"/>
        </w:rPr>
        <w:t>Scheduled payments of principal on Consolidated Total Debt for 4 Quarter Subject Period (excluding balloon payments payable on maturity):</w:t>
      </w:r>
    </w:p>
    <w:p>
      <w:pPr>
        <w:spacing w:after="0" w:line="3" w:lineRule="exact"/>
        <w:rPr>
          <w:rFonts w:ascii="Arial" w:cs="Arial" w:eastAsia="Arial" w:hAnsi="Arial"/>
          <w:sz w:val="20"/>
          <w:szCs w:val="20"/>
          <w:color w:val="auto"/>
        </w:rPr>
      </w:pPr>
    </w:p>
    <w:p>
      <w:pPr>
        <w:ind w:left="1570" w:hanging="559"/>
        <w:spacing w:after="0" w:line="259" w:lineRule="auto"/>
        <w:tabs>
          <w:tab w:leader="none" w:pos="1570" w:val="left"/>
        </w:tabs>
        <w:numPr>
          <w:ilvl w:val="2"/>
          <w:numId w:val="219"/>
        </w:numPr>
        <w:rPr>
          <w:rFonts w:ascii="Arial" w:cs="Arial" w:eastAsia="Arial" w:hAnsi="Arial"/>
          <w:sz w:val="19"/>
          <w:szCs w:val="19"/>
          <w:color w:val="auto"/>
        </w:rPr>
      </w:pPr>
      <w:r>
        <w:rPr>
          <w:rFonts w:ascii="Arial" w:cs="Arial" w:eastAsia="Arial" w:hAnsi="Arial"/>
          <w:sz w:val="19"/>
          <w:szCs w:val="19"/>
          <w:color w:val="auto"/>
        </w:rPr>
        <w:t>The amount of dividends or distributions paid or required to be paid by any member of the Consolidated Group (other than to another member of the Consolidated Group) during 4 Quarter Subject Period in respect of its preferred Equity Interests (excluding any balloon payments payable on maturity or redemption in whole of such Equity Interests) :</w:t>
      </w:r>
    </w:p>
    <w:p>
      <w:pPr>
        <w:spacing w:after="0" w:line="6" w:lineRule="exact"/>
        <w:rPr>
          <w:rFonts w:ascii="Arial" w:cs="Arial" w:eastAsia="Arial" w:hAnsi="Arial"/>
          <w:sz w:val="19"/>
          <w:szCs w:val="19"/>
          <w:color w:val="auto"/>
        </w:rPr>
      </w:pPr>
    </w:p>
    <w:p>
      <w:pPr>
        <w:ind w:left="1570" w:right="40" w:hanging="559"/>
        <w:spacing w:after="0" w:line="253" w:lineRule="auto"/>
        <w:tabs>
          <w:tab w:leader="none" w:pos="1570" w:val="left"/>
        </w:tabs>
        <w:numPr>
          <w:ilvl w:val="2"/>
          <w:numId w:val="219"/>
        </w:numPr>
        <w:rPr>
          <w:rFonts w:ascii="Arial" w:cs="Arial" w:eastAsia="Arial" w:hAnsi="Arial"/>
          <w:sz w:val="19"/>
          <w:szCs w:val="19"/>
          <w:color w:val="auto"/>
        </w:rPr>
      </w:pPr>
      <w:r>
        <w:rPr>
          <w:rFonts w:ascii="Arial" w:cs="Arial" w:eastAsia="Arial" w:hAnsi="Arial"/>
          <w:sz w:val="19"/>
          <w:szCs w:val="19"/>
          <w:color w:val="auto"/>
        </w:rPr>
        <w:t>The Consolidated Group Pro Rata Share of the amount of dividends or distributions paid or required to be paid by any Unconsolidated Affiliate (to Persons other than (x) a member of the Consolidated Group or (y) an Unconsolidated Affiliate in which the percentage of Equity Interests of such Unconsolidated Affiliate owned by the Consolidated Group is greater than or equal to the percentage of Equity Interests owned by the Consolidated Group in the Unconsolidated Affiliate paying the dividend or distribution) during 4 Quarter Subject Period in respect of its preferred Equity Interests:</w:t>
      </w:r>
    </w:p>
    <w:p>
      <w:pPr>
        <w:spacing w:after="0" w:line="11" w:lineRule="exact"/>
        <w:rPr>
          <w:rFonts w:ascii="Arial" w:cs="Arial" w:eastAsia="Arial" w:hAnsi="Arial"/>
          <w:sz w:val="19"/>
          <w:szCs w:val="19"/>
          <w:color w:val="auto"/>
        </w:rPr>
      </w:pPr>
    </w:p>
    <w:p>
      <w:pPr>
        <w:ind w:left="1570" w:hanging="559"/>
        <w:spacing w:after="0"/>
        <w:tabs>
          <w:tab w:leader="none" w:pos="1570" w:val="left"/>
        </w:tabs>
        <w:numPr>
          <w:ilvl w:val="2"/>
          <w:numId w:val="219"/>
        </w:numPr>
        <w:rPr>
          <w:rFonts w:ascii="Arial" w:cs="Arial" w:eastAsia="Arial" w:hAnsi="Arial"/>
          <w:sz w:val="20"/>
          <w:szCs w:val="20"/>
          <w:color w:val="auto"/>
        </w:rPr>
      </w:pPr>
      <w:r>
        <w:rPr>
          <w:rFonts w:ascii="Arial" w:cs="Arial" w:eastAsia="Arial" w:hAnsi="Arial"/>
          <w:sz w:val="20"/>
          <w:szCs w:val="20"/>
          <w:color w:val="auto"/>
        </w:rPr>
        <w:t>Consolidated Fixed Charges (Line IV.B.1. + Line IV.B.2. + Line IV.B.3. + Line IV.B.4.):</w:t>
      </w:r>
    </w:p>
    <w:p>
      <w:pPr>
        <w:spacing w:after="0" w:line="51" w:lineRule="exact"/>
        <w:rPr>
          <w:rFonts w:ascii="Arial" w:cs="Arial" w:eastAsia="Arial" w:hAnsi="Arial"/>
          <w:sz w:val="20"/>
          <w:szCs w:val="20"/>
          <w:color w:val="auto"/>
        </w:rPr>
      </w:pPr>
    </w:p>
    <w:p>
      <w:pPr>
        <w:ind w:left="450" w:right="2540"/>
        <w:spacing w:after="0" w:line="331" w:lineRule="auto"/>
        <w:rPr>
          <w:rFonts w:ascii="Arial" w:cs="Arial" w:eastAsia="Arial" w:hAnsi="Arial"/>
          <w:sz w:val="20"/>
          <w:szCs w:val="20"/>
          <w:color w:val="auto"/>
        </w:rPr>
      </w:pPr>
      <w:r>
        <w:rPr>
          <w:rFonts w:ascii="Arial" w:cs="Arial" w:eastAsia="Arial" w:hAnsi="Arial"/>
          <w:sz w:val="20"/>
          <w:szCs w:val="20"/>
          <w:b w:val="1"/>
          <w:bCs w:val="1"/>
          <w:color w:val="auto"/>
        </w:rPr>
        <w:t>Consolidated Fixed Charge Coverage Ratio (Line IV.A.11. ÷ Line IV.B.5.): Minimum Required Fixed Charge Coverage Ratio:</w:t>
      </w:r>
    </w:p>
    <w:p>
      <w:pPr>
        <w:spacing w:after="0" w:line="227" w:lineRule="exact"/>
        <w:rPr>
          <w:rFonts w:ascii="Arial" w:cs="Arial" w:eastAsia="Arial" w:hAnsi="Arial"/>
          <w:sz w:val="20"/>
          <w:szCs w:val="20"/>
          <w:color w:val="auto"/>
        </w:rPr>
      </w:pPr>
    </w:p>
    <w:p>
      <w:pPr>
        <w:ind w:left="450" w:hanging="450"/>
        <w:spacing w:after="0"/>
        <w:tabs>
          <w:tab w:leader="none" w:pos="450" w:val="left"/>
        </w:tabs>
        <w:numPr>
          <w:ilvl w:val="0"/>
          <w:numId w:val="22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Section 7.11(d) – Consolidated Unsecured Interest Coverage Ratio</w:t>
      </w:r>
    </w:p>
    <w:p>
      <w:pPr>
        <w:spacing w:after="0" w:line="50" w:lineRule="exact"/>
        <w:rPr>
          <w:rFonts w:ascii="Arial" w:cs="Arial" w:eastAsia="Arial" w:hAnsi="Arial"/>
          <w:sz w:val="20"/>
          <w:szCs w:val="20"/>
          <w:b w:val="1"/>
          <w:bCs w:val="1"/>
          <w:color w:val="auto"/>
        </w:rPr>
      </w:pPr>
    </w:p>
    <w:p>
      <w:pPr>
        <w:ind w:left="1010" w:right="280" w:hanging="561"/>
        <w:spacing w:after="0" w:line="289" w:lineRule="auto"/>
        <w:tabs>
          <w:tab w:leader="none" w:pos="101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Sum of Unencumbered Property NOI of each Unencumbered Eligible Property for the fiscal quarter ending on Statement Date (“</w:t>
      </w:r>
      <w:r>
        <w:rPr>
          <w:rFonts w:ascii="Arial" w:cs="Arial" w:eastAsia="Arial" w:hAnsi="Arial"/>
          <w:sz w:val="18"/>
          <w:szCs w:val="18"/>
          <w:u w:val="single" w:color="auto"/>
          <w:color w:val="auto"/>
        </w:rPr>
        <w:t>Subject Period</w:t>
      </w:r>
      <w:r>
        <w:rPr>
          <w:rFonts w:ascii="Arial" w:cs="Arial" w:eastAsia="Arial" w:hAnsi="Arial"/>
          <w:sz w:val="18"/>
          <w:szCs w:val="18"/>
          <w:color w:val="auto"/>
        </w:rPr>
        <w:t>”)(see Annex II attached hereto for calculation):</w:t>
      </w:r>
    </w:p>
    <w:p>
      <w:pPr>
        <w:spacing w:after="0" w:line="1" w:lineRule="exact"/>
        <w:rPr>
          <w:rFonts w:ascii="Arial" w:cs="Arial" w:eastAsia="Arial" w:hAnsi="Arial"/>
          <w:sz w:val="18"/>
          <w:szCs w:val="18"/>
          <w:color w:val="auto"/>
        </w:rPr>
      </w:pPr>
    </w:p>
    <w:p>
      <w:pPr>
        <w:ind w:left="1010" w:right="40" w:hanging="561"/>
        <w:spacing w:after="0" w:line="247" w:lineRule="auto"/>
        <w:tabs>
          <w:tab w:leader="none" w:pos="1010" w:val="left"/>
        </w:tabs>
        <w:numPr>
          <w:ilvl w:val="1"/>
          <w:numId w:val="220"/>
        </w:numPr>
        <w:rPr>
          <w:rFonts w:ascii="Arial" w:cs="Arial" w:eastAsia="Arial" w:hAnsi="Arial"/>
          <w:sz w:val="20"/>
          <w:szCs w:val="20"/>
          <w:color w:val="auto"/>
        </w:rPr>
      </w:pPr>
      <w:r>
        <w:rPr>
          <w:rFonts w:ascii="Arial" w:cs="Arial" w:eastAsia="Arial" w:hAnsi="Arial"/>
          <w:sz w:val="20"/>
          <w:szCs w:val="20"/>
          <w:color w:val="auto"/>
        </w:rPr>
        <w:t>Consolidated Unsecured Interest Expense for Subject Period (the portion of Consolidated Interest Expense for Subject Period that is incurred in respect of Unsecured Indebtedness of any member of the Consolidated Group or an Unconsolidated Affiliate):</w:t>
      </w:r>
    </w:p>
    <w:p>
      <w:pPr>
        <w:spacing w:after="0" w:line="8" w:lineRule="exact"/>
        <w:rPr>
          <w:sz w:val="20"/>
          <w:szCs w:val="20"/>
          <w:color w:val="auto"/>
        </w:rPr>
      </w:pPr>
    </w:p>
    <w:p>
      <w:pPr>
        <w:ind w:left="450"/>
        <w:spacing w:after="0"/>
        <w:rPr>
          <w:sz w:val="20"/>
          <w:szCs w:val="20"/>
          <w:color w:val="auto"/>
        </w:rPr>
      </w:pPr>
      <w:r>
        <w:rPr>
          <w:rFonts w:ascii="Arial" w:cs="Arial" w:eastAsia="Arial" w:hAnsi="Arial"/>
          <w:sz w:val="20"/>
          <w:szCs w:val="20"/>
          <w:b w:val="1"/>
          <w:bCs w:val="1"/>
          <w:color w:val="auto"/>
        </w:rPr>
        <w:t>Consolidated Unsecured Interest Coverage Ratio (Line V.A.÷ Line V.B.):</w:t>
      </w:r>
    </w:p>
    <w:p>
      <w:pPr>
        <w:spacing w:after="0" w:line="57" w:lineRule="exact"/>
        <w:rPr>
          <w:sz w:val="20"/>
          <w:szCs w:val="20"/>
          <w:color w:val="auto"/>
        </w:rPr>
      </w:pPr>
    </w:p>
    <w:p>
      <w:pPr>
        <w:ind w:left="450"/>
        <w:spacing w:after="0"/>
        <w:rPr>
          <w:sz w:val="20"/>
          <w:szCs w:val="20"/>
          <w:color w:val="auto"/>
        </w:rPr>
      </w:pPr>
      <w:r>
        <w:rPr>
          <w:rFonts w:ascii="Arial" w:cs="Arial" w:eastAsia="Arial" w:hAnsi="Arial"/>
          <w:sz w:val="20"/>
          <w:szCs w:val="20"/>
          <w:b w:val="1"/>
          <w:bCs w:val="1"/>
          <w:color w:val="auto"/>
        </w:rPr>
        <w:t>Minimum Required Consolidated Unsecured Interest Coverage: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 to 1.00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1.50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 to 1.00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1.75 to 1.00</w:t>
      </w:r>
    </w:p>
    <w:p>
      <w:pPr>
        <w:spacing w:after="0" w:line="222" w:lineRule="exact"/>
        <w:rPr>
          <w:sz w:val="20"/>
          <w:szCs w:val="20"/>
          <w:color w:val="auto"/>
        </w:rPr>
      </w:pPr>
    </w:p>
    <w:p>
      <w:pPr>
        <w:sectPr>
          <w:pgSz w:w="11900" w:h="16838" w:orient="portrait"/>
          <w:cols w:equalWidth="0" w:num="2">
            <w:col w:w="9290" w:space="100"/>
            <w:col w:w="1020"/>
          </w:cols>
          <w:pgMar w:left="390" w:top="7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09"/>
        <w:spacing w:after="0"/>
        <w:rPr>
          <w:sz w:val="20"/>
          <w:szCs w:val="20"/>
          <w:color w:val="auto"/>
        </w:rPr>
      </w:pPr>
      <w:r>
        <w:rPr>
          <w:rFonts w:ascii="Arial" w:cs="Arial" w:eastAsia="Arial" w:hAnsi="Arial"/>
          <w:sz w:val="17"/>
          <w:szCs w:val="17"/>
          <w:color w:val="auto"/>
        </w:rPr>
        <w:t>D-7</w:t>
      </w:r>
    </w:p>
    <w:p>
      <w:pPr>
        <w:spacing w:after="0" w:line="17" w:lineRule="exact"/>
        <w:rPr>
          <w:sz w:val="20"/>
          <w:szCs w:val="20"/>
          <w:color w:val="auto"/>
        </w:rPr>
      </w:pPr>
    </w:p>
    <w:p>
      <w:pPr>
        <w:jc w:val="center"/>
        <w:ind w:right="-709"/>
        <w:spacing w:after="0"/>
        <w:rPr>
          <w:sz w:val="20"/>
          <w:szCs w:val="20"/>
          <w:color w:val="auto"/>
        </w:rPr>
      </w:pPr>
      <w:r>
        <w:rPr>
          <w:rFonts w:ascii="Arial" w:cs="Arial" w:eastAsia="Arial" w:hAnsi="Arial"/>
          <w:sz w:val="15"/>
          <w:szCs w:val="15"/>
          <w:color w:val="auto"/>
        </w:rPr>
        <w:t>Form of Compliance Certificate</w:t>
      </w:r>
    </w:p>
    <w:p>
      <w:pPr>
        <w:sectPr>
          <w:pgSz w:w="11900" w:h="16838" w:orient="portrait"/>
          <w:cols w:equalWidth="0" w:num="1">
            <w:col w:w="10410"/>
          </w:cols>
          <w:pgMar w:left="390" w:top="795" w:right="1099" w:bottom="1440" w:gutter="0" w:footer="0" w:header="0"/>
          <w:type w:val="continuous"/>
        </w:sectPr>
      </w:pPr>
    </w:p>
    <w:bookmarkStart w:id="181" w:name="page182"/>
    <w:bookmarkEnd w:id="181"/>
    <w:p>
      <w:pPr>
        <w:spacing w:after="0"/>
        <w:tabs>
          <w:tab w:leader="none" w:pos="440" w:val="left"/>
        </w:tabs>
        <w:rPr>
          <w:sz w:val="20"/>
          <w:szCs w:val="20"/>
          <w:color w:val="auto"/>
        </w:rPr>
      </w:pPr>
      <w:r>
        <w:rPr>
          <w:rFonts w:ascii="Arial" w:cs="Arial" w:eastAsia="Arial" w:hAnsi="Arial"/>
          <w:sz w:val="20"/>
          <w:szCs w:val="20"/>
          <w:b w:val="1"/>
          <w:bCs w:val="1"/>
          <w:color w:val="auto"/>
        </w:rPr>
        <w:t>VI.</w:t>
      </w:r>
      <w:r>
        <w:rPr>
          <w:sz w:val="20"/>
          <w:szCs w:val="20"/>
          <w:color w:val="auto"/>
        </w:rPr>
        <w:tab/>
      </w:r>
      <w:r>
        <w:rPr>
          <w:rFonts w:ascii="Arial" w:cs="Arial" w:eastAsia="Arial" w:hAnsi="Arial"/>
          <w:sz w:val="17"/>
          <w:szCs w:val="17"/>
          <w:b w:val="1"/>
          <w:bCs w:val="1"/>
          <w:u w:val="single" w:color="auto"/>
          <w:color w:val="auto"/>
        </w:rPr>
        <w:t>Section 7.11(e) – Consolidated Unsecured Leverage Ratio</w:t>
      </w:r>
    </w:p>
    <w:p>
      <w:pPr>
        <w:spacing w:after="0" w:line="51" w:lineRule="exact"/>
        <w:rPr>
          <w:sz w:val="20"/>
          <w:szCs w:val="20"/>
          <w:color w:val="auto"/>
        </w:rPr>
      </w:pPr>
    </w:p>
    <w:p>
      <w:pPr>
        <w:ind w:left="1020" w:hanging="561"/>
        <w:spacing w:after="0"/>
        <w:tabs>
          <w:tab w:leader="none" w:pos="102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Consolidated Total Unsecured Indebtedness at Statement Date:</w:t>
      </w:r>
    </w:p>
    <w:p>
      <w:pPr>
        <w:spacing w:after="0" w:line="44" w:lineRule="exact"/>
        <w:rPr>
          <w:rFonts w:ascii="Arial" w:cs="Arial" w:eastAsia="Arial" w:hAnsi="Arial"/>
          <w:sz w:val="20"/>
          <w:szCs w:val="20"/>
          <w:color w:val="auto"/>
        </w:rPr>
      </w:pPr>
    </w:p>
    <w:p>
      <w:pPr>
        <w:ind w:left="1580" w:right="580" w:hanging="559"/>
        <w:spacing w:after="0" w:line="233" w:lineRule="auto"/>
        <w:tabs>
          <w:tab w:leader="none" w:pos="1580" w:val="left"/>
        </w:tabs>
        <w:numPr>
          <w:ilvl w:val="1"/>
          <w:numId w:val="221"/>
        </w:numPr>
        <w:rPr>
          <w:rFonts w:ascii="Arial" w:cs="Arial" w:eastAsia="Arial" w:hAnsi="Arial"/>
          <w:sz w:val="19"/>
          <w:szCs w:val="19"/>
          <w:color w:val="auto"/>
        </w:rPr>
      </w:pPr>
      <w:r>
        <w:rPr>
          <w:rFonts w:ascii="Arial" w:cs="Arial" w:eastAsia="Arial" w:hAnsi="Arial"/>
          <w:sz w:val="19"/>
          <w:szCs w:val="19"/>
          <w:color w:val="auto"/>
        </w:rPr>
        <w:t>Aggregate amount of all Unsecured Indebtedness</w:t>
      </w:r>
      <w:r>
        <w:rPr>
          <w:rFonts w:ascii="Arial" w:cs="Arial" w:eastAsia="Arial" w:hAnsi="Arial"/>
          <w:sz w:val="25"/>
          <w:szCs w:val="25"/>
          <w:color w:val="auto"/>
          <w:vertAlign w:val="superscript"/>
        </w:rPr>
        <w:t>8</w:t>
      </w:r>
      <w:r>
        <w:rPr>
          <w:rFonts w:ascii="Arial" w:cs="Arial" w:eastAsia="Arial" w:hAnsi="Arial"/>
          <w:sz w:val="19"/>
          <w:szCs w:val="19"/>
          <w:color w:val="auto"/>
        </w:rPr>
        <w:t xml:space="preserve"> of the Consolidated Group (including Indebtedness outstanding under the Agreement) that would be reflected on a consolidated balance sheet of the Consolidated Group as of Statement Date:</w:t>
      </w:r>
    </w:p>
    <w:p>
      <w:pPr>
        <w:spacing w:after="0" w:line="21" w:lineRule="exact"/>
        <w:rPr>
          <w:rFonts w:ascii="Arial" w:cs="Arial" w:eastAsia="Arial" w:hAnsi="Arial"/>
          <w:sz w:val="19"/>
          <w:szCs w:val="19"/>
          <w:color w:val="auto"/>
        </w:rPr>
      </w:pPr>
    </w:p>
    <w:p>
      <w:pPr>
        <w:ind w:left="1580" w:hanging="559"/>
        <w:spacing w:after="0" w:line="247" w:lineRule="auto"/>
        <w:tabs>
          <w:tab w:leader="none" w:pos="1580" w:val="left"/>
        </w:tabs>
        <w:numPr>
          <w:ilvl w:val="1"/>
          <w:numId w:val="221"/>
        </w:numPr>
        <w:rPr>
          <w:rFonts w:ascii="Arial" w:cs="Arial" w:eastAsia="Arial" w:hAnsi="Arial"/>
          <w:sz w:val="20"/>
          <w:szCs w:val="20"/>
          <w:color w:val="auto"/>
        </w:rPr>
      </w:pPr>
      <w:r>
        <w:rPr>
          <w:rFonts w:ascii="Arial" w:cs="Arial" w:eastAsia="Arial" w:hAnsi="Arial"/>
          <w:sz w:val="20"/>
          <w:szCs w:val="20"/>
          <w:color w:val="auto"/>
        </w:rPr>
        <w:t>Consolidated Group Pro Rata Share of the aggregate amount of all Unsecured Indebtedness of each Unconsolidated Affiliate that would be reflected on a balance sheet of such Unconsolidated Affiliate as of Statement Date:</w:t>
      </w:r>
    </w:p>
    <w:p>
      <w:pPr>
        <w:spacing w:after="0" w:line="14" w:lineRule="exact"/>
        <w:rPr>
          <w:rFonts w:ascii="Arial" w:cs="Arial" w:eastAsia="Arial" w:hAnsi="Arial"/>
          <w:sz w:val="20"/>
          <w:szCs w:val="20"/>
          <w:color w:val="auto"/>
        </w:rPr>
      </w:pPr>
    </w:p>
    <w:p>
      <w:pPr>
        <w:ind w:left="1580" w:hanging="559"/>
        <w:spacing w:after="0"/>
        <w:tabs>
          <w:tab w:leader="none" w:pos="1580" w:val="left"/>
        </w:tabs>
        <w:numPr>
          <w:ilvl w:val="1"/>
          <w:numId w:val="221"/>
        </w:numPr>
        <w:rPr>
          <w:rFonts w:ascii="Arial" w:cs="Arial" w:eastAsia="Arial" w:hAnsi="Arial"/>
          <w:sz w:val="20"/>
          <w:szCs w:val="20"/>
          <w:color w:val="auto"/>
        </w:rPr>
      </w:pPr>
      <w:r>
        <w:rPr>
          <w:rFonts w:ascii="Arial" w:cs="Arial" w:eastAsia="Arial" w:hAnsi="Arial"/>
          <w:sz w:val="20"/>
          <w:szCs w:val="20"/>
          <w:u w:val="single" w:color="auto"/>
          <w:color w:val="auto"/>
        </w:rPr>
        <w:t>Consolidated Total Unsecured Indebtedness</w:t>
      </w:r>
      <w:r>
        <w:rPr>
          <w:rFonts w:ascii="Arial" w:cs="Arial" w:eastAsia="Arial" w:hAnsi="Arial"/>
          <w:sz w:val="20"/>
          <w:szCs w:val="20"/>
          <w:color w:val="auto"/>
        </w:rPr>
        <w:t xml:space="preserve"> (Line VI.A.1 + Line IV.A.2.):</w:t>
      </w:r>
    </w:p>
    <w:p>
      <w:pPr>
        <w:spacing w:after="0" w:line="57" w:lineRule="exact"/>
        <w:rPr>
          <w:rFonts w:ascii="Arial" w:cs="Arial" w:eastAsia="Arial" w:hAnsi="Arial"/>
          <w:sz w:val="20"/>
          <w:szCs w:val="20"/>
          <w:color w:val="auto"/>
        </w:rPr>
      </w:pPr>
    </w:p>
    <w:p>
      <w:pPr>
        <w:ind w:left="1020" w:hanging="561"/>
        <w:spacing w:after="0"/>
        <w:tabs>
          <w:tab w:leader="none" w:pos="102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Unrestricted Cash Amount at Statement Date (Line III.B.4.):</w:t>
      </w:r>
    </w:p>
    <w:p>
      <w:pPr>
        <w:spacing w:after="0" w:line="44" w:lineRule="exact"/>
        <w:rPr>
          <w:rFonts w:ascii="Arial" w:cs="Arial" w:eastAsia="Arial" w:hAnsi="Arial"/>
          <w:sz w:val="20"/>
          <w:szCs w:val="20"/>
          <w:color w:val="auto"/>
        </w:rPr>
      </w:pPr>
    </w:p>
    <w:p>
      <w:pPr>
        <w:ind w:left="1020" w:hanging="561"/>
        <w:spacing w:after="0"/>
        <w:tabs>
          <w:tab w:leader="none" w:pos="102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Unencumbered Asset Value at Statement Date</w:t>
      </w:r>
    </w:p>
    <w:p>
      <w:pPr>
        <w:spacing w:after="0" w:line="44" w:lineRule="exact"/>
        <w:rPr>
          <w:rFonts w:ascii="Arial" w:cs="Arial" w:eastAsia="Arial" w:hAnsi="Arial"/>
          <w:sz w:val="20"/>
          <w:szCs w:val="20"/>
          <w:color w:val="auto"/>
        </w:rPr>
      </w:pPr>
    </w:p>
    <w:p>
      <w:pPr>
        <w:ind w:left="1580" w:right="60" w:hanging="559"/>
        <w:spacing w:after="0" w:line="239" w:lineRule="auto"/>
        <w:tabs>
          <w:tab w:leader="none" w:pos="1580" w:val="left"/>
        </w:tabs>
        <w:numPr>
          <w:ilvl w:val="1"/>
          <w:numId w:val="221"/>
        </w:numPr>
        <w:rPr>
          <w:rFonts w:ascii="Arial" w:cs="Arial" w:eastAsia="Arial" w:hAnsi="Arial"/>
          <w:sz w:val="20"/>
          <w:szCs w:val="20"/>
          <w:color w:val="auto"/>
        </w:rPr>
      </w:pPr>
      <w:r>
        <w:rPr>
          <w:rFonts w:ascii="Arial" w:cs="Arial" w:eastAsia="Arial" w:hAnsi="Arial"/>
          <w:sz w:val="20"/>
          <w:szCs w:val="20"/>
          <w:color w:val="auto"/>
        </w:rPr>
        <w:t>Unencumbered Property NOI of each Unencumbered Eligible Property (excluding Disposed Portfolio Properties, Newly-Acquired Portfolio Properties and Non-Stabilized Portfolio Properties) owned or ground leased under an Eligible Ground Lease by the Consolidated Group for the fiscal quarter ending on the Statement Date (“</w:t>
      </w:r>
      <w:r>
        <w:rPr>
          <w:rFonts w:ascii="Arial" w:cs="Arial" w:eastAsia="Arial" w:hAnsi="Arial"/>
          <w:sz w:val="20"/>
          <w:szCs w:val="20"/>
          <w:u w:val="single" w:color="auto"/>
          <w:color w:val="auto"/>
        </w:rPr>
        <w:t>Subject Period</w:t>
      </w:r>
      <w:r>
        <w:rPr>
          <w:rFonts w:ascii="Arial" w:cs="Arial" w:eastAsia="Arial" w:hAnsi="Arial"/>
          <w:sz w:val="20"/>
          <w:szCs w:val="20"/>
          <w:color w:val="auto"/>
        </w:rPr>
        <w:t xml:space="preserve">”) </w:t>
      </w:r>
      <w:r>
        <w:rPr>
          <w:rFonts w:ascii="Arial" w:cs="Arial" w:eastAsia="Arial" w:hAnsi="Arial"/>
          <w:sz w:val="20"/>
          <w:szCs w:val="20"/>
          <w:i w:val="1"/>
          <w:iCs w:val="1"/>
          <w:color w:val="auto"/>
        </w:rPr>
        <w:t>divided by</w:t>
      </w:r>
      <w:r>
        <w:rPr>
          <w:rFonts w:ascii="Arial" w:cs="Arial" w:eastAsia="Arial" w:hAnsi="Arial"/>
          <w:sz w:val="20"/>
          <w:szCs w:val="20"/>
          <w:color w:val="auto"/>
        </w:rPr>
        <w:t xml:space="preserve"> the Applicable Capitalization Rate for each such Unencumbered Eligible Property (See Annex III attached hereto):</w:t>
      </w:r>
    </w:p>
    <w:p>
      <w:pPr>
        <w:spacing w:after="0" w:line="24" w:lineRule="exact"/>
        <w:rPr>
          <w:rFonts w:ascii="Arial" w:cs="Arial" w:eastAsia="Arial" w:hAnsi="Arial"/>
          <w:sz w:val="20"/>
          <w:szCs w:val="20"/>
          <w:color w:val="auto"/>
        </w:rPr>
      </w:pPr>
    </w:p>
    <w:p>
      <w:pPr>
        <w:jc w:val="both"/>
        <w:ind w:left="1580" w:right="880" w:hanging="559"/>
        <w:spacing w:after="0" w:line="289" w:lineRule="auto"/>
        <w:tabs>
          <w:tab w:leader="none" w:pos="158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Undepreciated book value of all Unencumbered Eligible Properties that are Qualified Development Properties or Non-Stabilized Properties (see Annex III attached hereto):</w:t>
      </w:r>
    </w:p>
    <w:p>
      <w:pPr>
        <w:spacing w:after="0" w:line="1" w:lineRule="exact"/>
        <w:rPr>
          <w:rFonts w:ascii="Arial" w:cs="Arial" w:eastAsia="Arial" w:hAnsi="Arial"/>
          <w:sz w:val="18"/>
          <w:szCs w:val="18"/>
          <w:color w:val="auto"/>
        </w:rPr>
      </w:pPr>
    </w:p>
    <w:p>
      <w:pPr>
        <w:ind w:left="1580" w:right="380" w:hanging="559"/>
        <w:spacing w:after="0" w:line="259" w:lineRule="auto"/>
        <w:tabs>
          <w:tab w:leader="none" w:pos="1580" w:val="left"/>
        </w:tabs>
        <w:numPr>
          <w:ilvl w:val="1"/>
          <w:numId w:val="221"/>
        </w:numPr>
        <w:rPr>
          <w:rFonts w:ascii="Arial" w:cs="Arial" w:eastAsia="Arial" w:hAnsi="Arial"/>
          <w:sz w:val="20"/>
          <w:szCs w:val="20"/>
          <w:color w:val="auto"/>
        </w:rPr>
      </w:pPr>
      <w:r>
        <w:rPr>
          <w:rFonts w:ascii="Arial" w:cs="Arial" w:eastAsia="Arial" w:hAnsi="Arial"/>
          <w:sz w:val="20"/>
          <w:szCs w:val="20"/>
          <w:color w:val="auto"/>
        </w:rPr>
        <w:t>Acquisition cost paid by Consolidated Group for Unencumbered Eligible Properties that are Newly-Acquired Portfolio Properties (See Annex III attached hereto):</w:t>
      </w:r>
    </w:p>
    <w:p>
      <w:pPr>
        <w:spacing w:after="0" w:line="3" w:lineRule="exact"/>
        <w:rPr>
          <w:rFonts w:ascii="Arial" w:cs="Arial" w:eastAsia="Arial" w:hAnsi="Arial"/>
          <w:sz w:val="20"/>
          <w:szCs w:val="20"/>
          <w:color w:val="auto"/>
        </w:rPr>
      </w:pPr>
    </w:p>
    <w:p>
      <w:pPr>
        <w:ind w:left="1580" w:hanging="559"/>
        <w:spacing w:after="0"/>
        <w:tabs>
          <w:tab w:leader="none" w:pos="1580" w:val="left"/>
        </w:tabs>
        <w:numPr>
          <w:ilvl w:val="1"/>
          <w:numId w:val="221"/>
        </w:numPr>
        <w:rPr>
          <w:rFonts w:ascii="Arial" w:cs="Arial" w:eastAsia="Arial" w:hAnsi="Arial"/>
          <w:sz w:val="20"/>
          <w:szCs w:val="20"/>
          <w:color w:val="auto"/>
        </w:rPr>
      </w:pPr>
      <w:r>
        <w:rPr>
          <w:rFonts w:ascii="Arial" w:cs="Arial" w:eastAsia="Arial" w:hAnsi="Arial"/>
          <w:sz w:val="20"/>
          <w:szCs w:val="20"/>
          <w:color w:val="auto"/>
        </w:rPr>
        <w:t>(Line VI.C.1. * 4) + Line VII.B. + Line VII.C.:</w:t>
      </w:r>
    </w:p>
    <w:p>
      <w:pPr>
        <w:spacing w:after="0" w:line="57" w:lineRule="exact"/>
        <w:rPr>
          <w:rFonts w:ascii="Arial" w:cs="Arial" w:eastAsia="Arial" w:hAnsi="Arial"/>
          <w:sz w:val="20"/>
          <w:szCs w:val="20"/>
          <w:color w:val="auto"/>
        </w:rPr>
      </w:pPr>
    </w:p>
    <w:p>
      <w:pPr>
        <w:ind w:left="1580" w:right="220" w:hanging="559"/>
        <w:spacing w:after="0" w:line="233" w:lineRule="auto"/>
        <w:tabs>
          <w:tab w:leader="none" w:pos="1580" w:val="left"/>
        </w:tabs>
        <w:numPr>
          <w:ilvl w:val="1"/>
          <w:numId w:val="221"/>
        </w:numPr>
        <w:rPr>
          <w:rFonts w:ascii="Arial" w:cs="Arial" w:eastAsia="Arial" w:hAnsi="Arial"/>
          <w:sz w:val="20"/>
          <w:szCs w:val="20"/>
          <w:color w:val="auto"/>
        </w:rPr>
      </w:pPr>
      <w:r>
        <w:rPr>
          <w:rFonts w:ascii="Arial" w:cs="Arial" w:eastAsia="Arial" w:hAnsi="Arial"/>
          <w:sz w:val="20"/>
          <w:szCs w:val="20"/>
          <w:color w:val="auto"/>
        </w:rPr>
        <w:t>Percentage of Line VI.C.4. derived from Unencumbered Eligibe Properties that are not office, retail or multi-family properties:</w:t>
      </w:r>
      <w:r>
        <w:rPr>
          <w:rFonts w:ascii="Arial" w:cs="Arial" w:eastAsia="Arial" w:hAnsi="Arial"/>
          <w:sz w:val="26"/>
          <w:szCs w:val="26"/>
          <w:color w:val="auto"/>
          <w:vertAlign w:val="superscript"/>
        </w:rPr>
        <w:t>9</w:t>
      </w:r>
    </w:p>
    <w:p>
      <w:pPr>
        <w:spacing w:after="0" w:line="2" w:lineRule="exact"/>
        <w:rPr>
          <w:rFonts w:ascii="Arial" w:cs="Arial" w:eastAsia="Arial" w:hAnsi="Arial"/>
          <w:sz w:val="20"/>
          <w:szCs w:val="20"/>
          <w:color w:val="auto"/>
        </w:rPr>
      </w:pPr>
    </w:p>
    <w:p>
      <w:pPr>
        <w:ind w:left="1580" w:right="60" w:hanging="559"/>
        <w:spacing w:after="0" w:line="236" w:lineRule="auto"/>
        <w:tabs>
          <w:tab w:leader="none" w:pos="1580" w:val="left"/>
        </w:tabs>
        <w:numPr>
          <w:ilvl w:val="1"/>
          <w:numId w:val="221"/>
        </w:numPr>
        <w:rPr>
          <w:rFonts w:ascii="Arial" w:cs="Arial" w:eastAsia="Arial" w:hAnsi="Arial"/>
          <w:sz w:val="19"/>
          <w:szCs w:val="19"/>
          <w:color w:val="auto"/>
        </w:rPr>
      </w:pPr>
      <w:r>
        <w:rPr>
          <w:rFonts w:ascii="Arial" w:cs="Arial" w:eastAsia="Arial" w:hAnsi="Arial"/>
          <w:sz w:val="19"/>
          <w:szCs w:val="19"/>
          <w:color w:val="auto"/>
        </w:rPr>
        <w:t>Percentage of Line VI.C.4. derived from Unencumbered Eligible Properties that are owned by a Controlled Joint Venture or ground leased under an Eligible Ground Lease:</w:t>
      </w:r>
      <w:r>
        <w:rPr>
          <w:rFonts w:ascii="Arial" w:cs="Arial" w:eastAsia="Arial" w:hAnsi="Arial"/>
          <w:sz w:val="25"/>
          <w:szCs w:val="25"/>
          <w:color w:val="auto"/>
          <w:vertAlign w:val="superscript"/>
        </w:rPr>
        <w:t>10</w:t>
      </w:r>
    </w:p>
    <w:p>
      <w:pPr>
        <w:spacing w:after="0" w:line="2" w:lineRule="exact"/>
        <w:rPr>
          <w:rFonts w:ascii="Arial" w:cs="Arial" w:eastAsia="Arial" w:hAnsi="Arial"/>
          <w:sz w:val="19"/>
          <w:szCs w:val="19"/>
          <w:color w:val="auto"/>
        </w:rPr>
      </w:pPr>
    </w:p>
    <w:p>
      <w:pPr>
        <w:ind w:left="1580" w:right="500" w:hanging="559"/>
        <w:spacing w:after="0" w:line="226" w:lineRule="auto"/>
        <w:tabs>
          <w:tab w:leader="none" w:pos="1580" w:val="left"/>
        </w:tabs>
        <w:numPr>
          <w:ilvl w:val="1"/>
          <w:numId w:val="221"/>
        </w:numPr>
        <w:rPr>
          <w:rFonts w:ascii="Arial" w:cs="Arial" w:eastAsia="Arial" w:hAnsi="Arial"/>
          <w:sz w:val="20"/>
          <w:szCs w:val="20"/>
          <w:color w:val="auto"/>
        </w:rPr>
      </w:pPr>
      <w:r>
        <w:rPr>
          <w:rFonts w:ascii="Arial" w:cs="Arial" w:eastAsia="Arial" w:hAnsi="Arial"/>
          <w:sz w:val="20"/>
          <w:szCs w:val="20"/>
          <w:color w:val="auto"/>
        </w:rPr>
        <w:t>Percentage of Line VI.C.4. derived from Unencumbered Eligible Properties that constitute Qualified Development Properties:</w:t>
      </w:r>
      <w:r>
        <w:rPr>
          <w:rFonts w:ascii="Arial" w:cs="Arial" w:eastAsia="Arial" w:hAnsi="Arial"/>
          <w:sz w:val="26"/>
          <w:szCs w:val="26"/>
          <w:color w:val="auto"/>
          <w:vertAlign w:val="superscript"/>
        </w:rPr>
        <w:t>11</w:t>
      </w:r>
    </w:p>
    <w:p>
      <w:pPr>
        <w:spacing w:after="0" w:line="1" w:lineRule="exact"/>
        <w:rPr>
          <w:rFonts w:ascii="Arial" w:cs="Arial" w:eastAsia="Arial" w:hAnsi="Arial"/>
          <w:sz w:val="20"/>
          <w:szCs w:val="20"/>
          <w:color w:val="auto"/>
        </w:rPr>
      </w:pPr>
    </w:p>
    <w:p>
      <w:pPr>
        <w:ind w:left="1580" w:right="60" w:hanging="559"/>
        <w:spacing w:after="0" w:line="229" w:lineRule="auto"/>
        <w:tabs>
          <w:tab w:leader="none" w:pos="1580" w:val="left"/>
        </w:tabs>
        <w:numPr>
          <w:ilvl w:val="1"/>
          <w:numId w:val="221"/>
        </w:numPr>
        <w:rPr>
          <w:rFonts w:ascii="Arial" w:cs="Arial" w:eastAsia="Arial" w:hAnsi="Arial"/>
          <w:sz w:val="20"/>
          <w:szCs w:val="20"/>
          <w:color w:val="auto"/>
        </w:rPr>
      </w:pPr>
      <w:r>
        <w:rPr>
          <w:rFonts w:ascii="Arial" w:cs="Arial" w:eastAsia="Arial" w:hAnsi="Arial"/>
          <w:sz w:val="20"/>
          <w:szCs w:val="20"/>
          <w:color w:val="auto"/>
        </w:rPr>
        <w:t>Percentage of Line VI.C.4. derived from Unencumbered Eligible Properties that are owned by a Controlled Joint Venture or ground leased under an Eligible Ground Lease or that constitute Qualified Development Properties:</w:t>
      </w:r>
      <w:r>
        <w:rPr>
          <w:rFonts w:ascii="Arial" w:cs="Arial" w:eastAsia="Arial" w:hAnsi="Arial"/>
          <w:sz w:val="26"/>
          <w:szCs w:val="26"/>
          <w:color w:val="auto"/>
          <w:vertAlign w:val="superscript"/>
        </w:rPr>
        <w:t>12</w:t>
      </w:r>
    </w:p>
    <w:p>
      <w:pPr>
        <w:ind w:left="1580" w:right="40" w:hanging="559"/>
        <w:spacing w:after="0" w:line="243" w:lineRule="auto"/>
        <w:tabs>
          <w:tab w:leader="none" w:pos="1580" w:val="left"/>
        </w:tabs>
        <w:numPr>
          <w:ilvl w:val="1"/>
          <w:numId w:val="221"/>
        </w:numPr>
        <w:rPr>
          <w:rFonts w:ascii="Arial" w:cs="Arial" w:eastAsia="Arial" w:hAnsi="Arial"/>
          <w:sz w:val="20"/>
          <w:szCs w:val="20"/>
          <w:color w:val="auto"/>
        </w:rPr>
      </w:pPr>
      <w:r>
        <w:rPr>
          <w:rFonts w:ascii="Arial" w:cs="Arial" w:eastAsia="Arial" w:hAnsi="Arial"/>
          <w:sz w:val="20"/>
          <w:szCs w:val="20"/>
          <w:color w:val="auto"/>
        </w:rPr>
        <w:t>Adjustment (if any) to reflect limitations referenced in Lines VI.C.5., Line VI.C.6., Line VI.C.7. and Line VI.C.8.:</w:t>
      </w:r>
    </w:p>
    <w:p>
      <w:pPr>
        <w:spacing w:after="0" w:line="17" w:lineRule="exact"/>
        <w:rPr>
          <w:rFonts w:ascii="Arial" w:cs="Arial" w:eastAsia="Arial" w:hAnsi="Arial"/>
          <w:sz w:val="20"/>
          <w:szCs w:val="20"/>
          <w:color w:val="auto"/>
        </w:rPr>
      </w:pPr>
    </w:p>
    <w:p>
      <w:pPr>
        <w:ind w:left="1580" w:hanging="559"/>
        <w:spacing w:after="0"/>
        <w:tabs>
          <w:tab w:leader="none" w:pos="1580" w:val="left"/>
        </w:tabs>
        <w:numPr>
          <w:ilvl w:val="1"/>
          <w:numId w:val="221"/>
        </w:numPr>
        <w:rPr>
          <w:rFonts w:ascii="Arial" w:cs="Arial" w:eastAsia="Arial" w:hAnsi="Arial"/>
          <w:sz w:val="20"/>
          <w:szCs w:val="20"/>
          <w:color w:val="auto"/>
        </w:rPr>
      </w:pPr>
      <w:r>
        <w:rPr>
          <w:rFonts w:ascii="Arial" w:cs="Arial" w:eastAsia="Arial" w:hAnsi="Arial"/>
          <w:sz w:val="20"/>
          <w:szCs w:val="20"/>
          <w:u w:val="single" w:color="auto"/>
          <w:color w:val="auto"/>
        </w:rPr>
        <w:t>Unencumbered Asset Value</w:t>
      </w:r>
      <w:r>
        <w:rPr>
          <w:rFonts w:ascii="Arial" w:cs="Arial" w:eastAsia="Arial" w:hAnsi="Arial"/>
          <w:sz w:val="20"/>
          <w:szCs w:val="20"/>
          <w:color w:val="auto"/>
        </w:rPr>
        <w:t>: Line VI.C.4. - Line VI.C.9: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231140</wp:posOffset>
            </wp:positionV>
            <wp:extent cx="709803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320" w:space="80"/>
            <w:col w:w="1740"/>
          </w:cols>
          <w:pgMar w:left="380" w:top="789" w:right="379" w:bottom="1440" w:gutter="0" w:footer="0" w:header="0"/>
        </w:sectPr>
      </w:pPr>
    </w:p>
    <w:p>
      <w:pPr>
        <w:spacing w:after="0" w:line="185" w:lineRule="exact"/>
        <w:rPr>
          <w:sz w:val="20"/>
          <w:szCs w:val="20"/>
          <w:color w:val="auto"/>
        </w:rPr>
      </w:pPr>
    </w:p>
    <w:p>
      <w:pPr>
        <w:ind w:left="460" w:right="320" w:hanging="450"/>
        <w:spacing w:after="0" w:line="251" w:lineRule="auto"/>
        <w:tabs>
          <w:tab w:leader="none" w:pos="460" w:val="left"/>
        </w:tabs>
        <w:numPr>
          <w:ilvl w:val="0"/>
          <w:numId w:val="222"/>
        </w:numPr>
        <w:rPr>
          <w:rFonts w:ascii="Arial" w:cs="Arial" w:eastAsia="Arial" w:hAnsi="Arial"/>
          <w:sz w:val="13"/>
          <w:szCs w:val="13"/>
          <w:color w:val="auto"/>
        </w:rPr>
      </w:pPr>
      <w:r>
        <w:rPr>
          <w:rFonts w:ascii="Arial" w:cs="Arial" w:eastAsia="Arial" w:hAnsi="Arial"/>
          <w:sz w:val="13"/>
          <w:szCs w:val="13"/>
          <w:color w:val="auto"/>
        </w:rPr>
        <w:t>“Unsecured Indebtedness” means, with respect to any Person, all Indebtedness of such Person that is not Secured Indebtedness; provided, however, that any Indebtedness that is secured only by a pledge of Equity Interests shall be deemed to be Unsecured Indebtedness.</w:t>
      </w:r>
    </w:p>
    <w:p>
      <w:pPr>
        <w:spacing w:after="0" w:line="12" w:lineRule="exact"/>
        <w:rPr>
          <w:sz w:val="20"/>
          <w:szCs w:val="20"/>
          <w:color w:val="auto"/>
        </w:rPr>
      </w:pPr>
    </w:p>
    <w:p>
      <w:pPr>
        <w:ind w:left="460" w:right="20" w:hanging="450"/>
        <w:spacing w:after="0" w:line="237" w:lineRule="auto"/>
        <w:tabs>
          <w:tab w:leader="none" w:pos="460" w:val="left"/>
        </w:tabs>
        <w:numPr>
          <w:ilvl w:val="0"/>
          <w:numId w:val="223"/>
        </w:numPr>
        <w:rPr>
          <w:rFonts w:ascii="Arial" w:cs="Arial" w:eastAsia="Arial" w:hAnsi="Arial"/>
          <w:sz w:val="13"/>
          <w:szCs w:val="13"/>
          <w:color w:val="auto"/>
        </w:rPr>
      </w:pPr>
      <w:r>
        <w:rPr>
          <w:rFonts w:ascii="Arial" w:cs="Arial" w:eastAsia="Arial" w:hAnsi="Arial"/>
          <w:sz w:val="13"/>
          <w:szCs w:val="13"/>
          <w:color w:val="auto"/>
        </w:rPr>
        <w:t>Not more than 20% of the UAV may be in respect of Unencumbered Eligible Properties that are not office, retail or multi-family properties (and, for purposes of determiningcompliance with such 20% limitation, if an Unencumbered Eligible Property is considered “multi-use”, the Borrower shall be permitted to include the Unencumbered Property NOI of such Unencumbered Eligible Property’s office, retail or multi-family component without limitation under this Line VI.C.5.)</w:t>
      </w:r>
    </w:p>
    <w:p>
      <w:pPr>
        <w:spacing w:after="0" w:line="19" w:lineRule="exact"/>
        <w:rPr>
          <w:sz w:val="20"/>
          <w:szCs w:val="20"/>
          <w:color w:val="auto"/>
        </w:rPr>
      </w:pPr>
    </w:p>
    <w:p>
      <w:pPr>
        <w:ind w:left="460" w:hanging="450"/>
        <w:spacing w:after="0"/>
        <w:tabs>
          <w:tab w:leader="none" w:pos="460" w:val="left"/>
        </w:tabs>
        <w:numPr>
          <w:ilvl w:val="0"/>
          <w:numId w:val="224"/>
        </w:numPr>
        <w:rPr>
          <w:rFonts w:ascii="Arial" w:cs="Arial" w:eastAsia="Arial" w:hAnsi="Arial"/>
          <w:sz w:val="12"/>
          <w:szCs w:val="12"/>
          <w:color w:val="auto"/>
        </w:rPr>
      </w:pPr>
      <w:r>
        <w:rPr>
          <w:rFonts w:ascii="Arial" w:cs="Arial" w:eastAsia="Arial" w:hAnsi="Arial"/>
          <w:sz w:val="12"/>
          <w:szCs w:val="12"/>
          <w:color w:val="auto"/>
        </w:rPr>
        <w:t>Not more than 20% of the UAV may be in respect of Unencumbered Eligible Properties that are either owned by a Controlled Joint Venture or ground leased under an Eligible Ground Lease</w:t>
      </w:r>
    </w:p>
    <w:p>
      <w:pPr>
        <w:spacing w:after="0" w:line="49" w:lineRule="exact"/>
        <w:rPr>
          <w:rFonts w:ascii="Arial" w:cs="Arial" w:eastAsia="Arial" w:hAnsi="Arial"/>
          <w:sz w:val="12"/>
          <w:szCs w:val="12"/>
          <w:color w:val="auto"/>
        </w:rPr>
      </w:pPr>
    </w:p>
    <w:p>
      <w:pPr>
        <w:ind w:left="460" w:hanging="450"/>
        <w:spacing w:after="0"/>
        <w:tabs>
          <w:tab w:leader="none" w:pos="460" w:val="left"/>
        </w:tabs>
        <w:numPr>
          <w:ilvl w:val="0"/>
          <w:numId w:val="224"/>
        </w:numPr>
        <w:rPr>
          <w:rFonts w:ascii="Arial" w:cs="Arial" w:eastAsia="Arial" w:hAnsi="Arial"/>
          <w:sz w:val="13"/>
          <w:szCs w:val="13"/>
          <w:color w:val="auto"/>
        </w:rPr>
      </w:pPr>
      <w:r>
        <w:rPr>
          <w:rFonts w:ascii="Arial" w:cs="Arial" w:eastAsia="Arial" w:hAnsi="Arial"/>
          <w:sz w:val="13"/>
          <w:szCs w:val="13"/>
          <w:color w:val="auto"/>
        </w:rPr>
        <w:t>Not more than 10% of the UAV may be in respect of Unencumbered Eligible Properties that constitute Qualified Development Properties</w:t>
      </w:r>
    </w:p>
    <w:p>
      <w:pPr>
        <w:spacing w:after="0" w:line="37" w:lineRule="exact"/>
        <w:rPr>
          <w:rFonts w:ascii="Arial" w:cs="Arial" w:eastAsia="Arial" w:hAnsi="Arial"/>
          <w:sz w:val="13"/>
          <w:szCs w:val="13"/>
          <w:color w:val="auto"/>
        </w:rPr>
      </w:pPr>
    </w:p>
    <w:p>
      <w:pPr>
        <w:ind w:left="460" w:hanging="450"/>
        <w:spacing w:after="0" w:line="251" w:lineRule="auto"/>
        <w:tabs>
          <w:tab w:leader="none" w:pos="460" w:val="left"/>
        </w:tabs>
        <w:numPr>
          <w:ilvl w:val="0"/>
          <w:numId w:val="224"/>
        </w:numPr>
        <w:rPr>
          <w:rFonts w:ascii="Arial" w:cs="Arial" w:eastAsia="Arial" w:hAnsi="Arial"/>
          <w:sz w:val="13"/>
          <w:szCs w:val="13"/>
          <w:color w:val="auto"/>
        </w:rPr>
      </w:pPr>
      <w:r>
        <w:rPr>
          <w:rFonts w:ascii="Arial" w:cs="Arial" w:eastAsia="Arial" w:hAnsi="Arial"/>
          <w:sz w:val="13"/>
          <w:szCs w:val="13"/>
          <w:color w:val="auto"/>
        </w:rPr>
        <w:t>Not more than 20% of the UAV may be in respect of Unencumbered Eligible Properties that are owned by a Controlled Joint Venture or ground leased under an Eligible Ground Lease or that constitute Qualified Development Properties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D-8</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Form of Compliance Certificate</w:t>
      </w:r>
    </w:p>
    <w:p>
      <w:pPr>
        <w:sectPr>
          <w:pgSz w:w="11900" w:h="16838" w:orient="portrait"/>
          <w:cols w:equalWidth="0" w:num="1">
            <w:col w:w="11140"/>
          </w:cols>
          <w:pgMar w:left="380" w:top="789" w:right="379" w:bottom="1440" w:gutter="0" w:footer="0" w:header="0"/>
          <w:type w:val="continuous"/>
        </w:sectPr>
      </w:pPr>
    </w:p>
    <w:bookmarkStart w:id="182" w:name="page183"/>
    <w:bookmarkEnd w:id="182"/>
    <w:p>
      <w:pPr>
        <w:ind w:left="561" w:hanging="561"/>
        <w:spacing w:after="0"/>
        <w:tabs>
          <w:tab w:leader="none" w:pos="561" w:val="left"/>
        </w:tabs>
        <w:numPr>
          <w:ilvl w:val="0"/>
          <w:numId w:val="225"/>
        </w:numPr>
        <w:rPr>
          <w:rFonts w:ascii="Arial" w:cs="Arial" w:eastAsia="Arial" w:hAnsi="Arial"/>
          <w:sz w:val="20"/>
          <w:szCs w:val="20"/>
          <w:color w:val="auto"/>
        </w:rPr>
      </w:pPr>
      <w:r>
        <w:rPr>
          <w:rFonts w:ascii="Arial" w:cs="Arial" w:eastAsia="Arial" w:hAnsi="Arial"/>
          <w:sz w:val="20"/>
          <w:szCs w:val="20"/>
          <w:color w:val="auto"/>
        </w:rPr>
        <w:t>Consolidated Total Unsecured Indebtedness minus Unrestricted Cash Amount (Line VI.A.3. - Line</w:t>
      </w:r>
    </w:p>
    <w:p>
      <w:pPr>
        <w:spacing w:after="0" w:line="11" w:lineRule="exact"/>
        <w:rPr>
          <w:sz w:val="20"/>
          <w:szCs w:val="20"/>
          <w:color w:val="auto"/>
        </w:rPr>
      </w:pPr>
    </w:p>
    <w:tbl>
      <w:tblPr>
        <w:tblLayout w:type="fixed"/>
        <w:tblInd w:w="1" w:type="dxa"/>
        <w:tblCellMar>
          <w:top w:w="0" w:type="dxa"/>
          <w:left w:w="0" w:type="dxa"/>
          <w:bottom w:w="0" w:type="dxa"/>
          <w:right w:w="0" w:type="dxa"/>
        </w:tblCellMar>
      </w:tblPr>
      <w:tr>
        <w:trPr>
          <w:trHeight w:val="253"/>
        </w:trPr>
        <w:tc>
          <w:tcPr>
            <w:tcW w:w="8920" w:type="dxa"/>
            <w:vAlign w:val="bottom"/>
          </w:tcPr>
          <w:p>
            <w:pPr>
              <w:ind w:left="560"/>
              <w:spacing w:after="0"/>
              <w:rPr>
                <w:sz w:val="20"/>
                <w:szCs w:val="20"/>
                <w:color w:val="auto"/>
              </w:rPr>
            </w:pPr>
            <w:r>
              <w:rPr>
                <w:rFonts w:ascii="Arial" w:cs="Arial" w:eastAsia="Arial" w:hAnsi="Arial"/>
                <w:sz w:val="20"/>
                <w:szCs w:val="20"/>
                <w:color w:val="auto"/>
              </w:rPr>
              <w:t>VI.B.):</w:t>
            </w:r>
          </w:p>
        </w:tc>
        <w:tc>
          <w:tcPr>
            <w:tcW w:w="1780" w:type="dxa"/>
            <w:vAlign w:val="bottom"/>
            <w:tcBorders>
              <w:bottom w:val="single" w:sz="8" w:color="auto"/>
            </w:tcBorders>
          </w:tcPr>
          <w:p>
            <w:pPr>
              <w:jc w:val="right"/>
              <w:ind w:right="1560"/>
              <w:spacing w:after="0"/>
              <w:rPr>
                <w:sz w:val="20"/>
                <w:szCs w:val="20"/>
                <w:color w:val="auto"/>
              </w:rPr>
            </w:pPr>
            <w:r>
              <w:rPr>
                <w:rFonts w:ascii="Arial" w:cs="Arial" w:eastAsia="Arial" w:hAnsi="Arial"/>
                <w:sz w:val="20"/>
                <w:szCs w:val="20"/>
                <w:color w:val="auto"/>
                <w:w w:val="89"/>
              </w:rPr>
              <w:t>$</w:t>
            </w:r>
          </w:p>
        </w:tc>
      </w:tr>
      <w:tr>
        <w:trPr>
          <w:trHeight w:val="260"/>
        </w:trPr>
        <w:tc>
          <w:tcPr>
            <w:tcW w:w="8920" w:type="dxa"/>
            <w:vAlign w:val="bottom"/>
          </w:tcPr>
          <w:p>
            <w:pPr>
              <w:spacing w:after="0"/>
              <w:rPr>
                <w:sz w:val="20"/>
                <w:szCs w:val="20"/>
                <w:color w:val="auto"/>
              </w:rPr>
            </w:pPr>
            <w:r>
              <w:rPr>
                <w:rFonts w:ascii="Arial" w:cs="Arial" w:eastAsia="Arial" w:hAnsi="Arial"/>
                <w:sz w:val="20"/>
                <w:szCs w:val="20"/>
                <w:b w:val="1"/>
                <w:bCs w:val="1"/>
                <w:color w:val="auto"/>
              </w:rPr>
              <w:t>Consolidated Unsecured Leverage Ratio (Line VI.D. as a percentage of Line VI.C.10):</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r>
      <w:tr>
        <w:trPr>
          <w:trHeight w:val="260"/>
        </w:trPr>
        <w:tc>
          <w:tcPr>
            <w:tcW w:w="8920" w:type="dxa"/>
            <w:vAlign w:val="bottom"/>
          </w:tcPr>
          <w:p>
            <w:pPr>
              <w:spacing w:after="0"/>
              <w:rPr>
                <w:sz w:val="20"/>
                <w:szCs w:val="20"/>
                <w:color w:val="auto"/>
              </w:rPr>
            </w:pPr>
            <w:r>
              <w:rPr>
                <w:rFonts w:ascii="Arial" w:cs="Arial" w:eastAsia="Arial" w:hAnsi="Arial"/>
                <w:sz w:val="20"/>
                <w:szCs w:val="20"/>
                <w:b w:val="1"/>
                <w:bCs w:val="1"/>
                <w:color w:val="auto"/>
              </w:rPr>
              <w:t>Maximum Permitted Consolidated Unsecured Leverage Ratio:</w:t>
            </w:r>
          </w:p>
        </w:tc>
        <w:tc>
          <w:tcPr>
            <w:tcW w:w="1780" w:type="dxa"/>
            <w:vAlign w:val="bottom"/>
          </w:tcPr>
          <w:p>
            <w:pPr>
              <w:jc w:val="right"/>
              <w:ind w:right="580"/>
              <w:spacing w:after="0"/>
              <w:rPr>
                <w:sz w:val="20"/>
                <w:szCs w:val="20"/>
                <w:color w:val="auto"/>
              </w:rPr>
            </w:pPr>
            <w:r>
              <w:rPr>
                <w:rFonts w:ascii="Arial" w:cs="Arial" w:eastAsia="Arial" w:hAnsi="Arial"/>
                <w:sz w:val="20"/>
                <w:szCs w:val="20"/>
                <w:b w:val="1"/>
                <w:bCs w:val="1"/>
                <w:color w:val="auto"/>
              </w:rPr>
              <w:t>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D-9</w:t>
      </w:r>
    </w:p>
    <w:p>
      <w:pPr>
        <w:spacing w:after="0" w:line="1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Form of Compliance Certificate</w:t>
      </w:r>
    </w:p>
    <w:p>
      <w:pPr>
        <w:sectPr>
          <w:pgSz w:w="11900" w:h="16838" w:orient="portrait"/>
          <w:cols w:equalWidth="0" w:num="1">
            <w:col w:w="10701"/>
          </w:cols>
          <w:pgMar w:left="839" w:top="795" w:right="359" w:bottom="1440" w:gutter="0" w:footer="0" w:header="0"/>
        </w:sectPr>
      </w:pPr>
    </w:p>
    <w:bookmarkStart w:id="183" w:name="page184"/>
    <w:bookmarkEnd w:id="183"/>
    <w:p>
      <w:pPr>
        <w:jc w:val="center"/>
        <w:spacing w:after="0"/>
        <w:rPr>
          <w:sz w:val="20"/>
          <w:szCs w:val="20"/>
          <w:color w:val="auto"/>
        </w:rPr>
      </w:pPr>
      <w:r>
        <w:rPr>
          <w:rFonts w:ascii="Arial" w:cs="Arial" w:eastAsia="Arial" w:hAnsi="Arial"/>
          <w:sz w:val="20"/>
          <w:szCs w:val="20"/>
          <w:b w:val="1"/>
          <w:bCs w:val="1"/>
          <w:color w:val="auto"/>
        </w:rPr>
        <w:t>Annex I</w:t>
      </w:r>
    </w:p>
    <w:p>
      <w:pPr>
        <w:spacing w:after="0" w:line="207" w:lineRule="exact"/>
        <w:rPr>
          <w:sz w:val="20"/>
          <w:szCs w:val="20"/>
          <w:color w:val="auto"/>
        </w:rPr>
      </w:pPr>
    </w:p>
    <w:p>
      <w:pPr>
        <w:jc w:val="center"/>
        <w:spacing w:after="0" w:line="258" w:lineRule="auto"/>
        <w:rPr>
          <w:sz w:val="20"/>
          <w:szCs w:val="20"/>
          <w:color w:val="auto"/>
        </w:rPr>
      </w:pPr>
      <w:r>
        <w:rPr>
          <w:rFonts w:ascii="Arial" w:cs="Arial" w:eastAsia="Arial" w:hAnsi="Arial"/>
          <w:sz w:val="20"/>
          <w:szCs w:val="20"/>
          <w:b w:val="1"/>
          <w:bCs w:val="1"/>
          <w:color w:val="auto"/>
        </w:rPr>
        <w:t xml:space="preserve">Calculation of the sum of the Portfolio Property Net Operating Income of each Portfolio Property (excluding each Disposed Portfolio Property, each Newly-Acquired Portfolio Property, each Qualified Development Property and each Non-Stabilized Portfolio Property) owned or ground leased pursuant to an Eligible Ground Lease by the Consolidated Group for Subject Period </w:t>
      </w:r>
      <w:r>
        <w:rPr>
          <w:rFonts w:ascii="Arial" w:cs="Arial" w:eastAsia="Arial" w:hAnsi="Arial"/>
          <w:sz w:val="20"/>
          <w:szCs w:val="20"/>
          <w:b w:val="1"/>
          <w:bCs w:val="1"/>
          <w:i w:val="1"/>
          <w:iCs w:val="1"/>
          <w:color w:val="auto"/>
        </w:rPr>
        <w:t>divided by</w:t>
      </w:r>
      <w:r>
        <w:rPr>
          <w:rFonts w:ascii="Arial" w:cs="Arial" w:eastAsia="Arial" w:hAnsi="Arial"/>
          <w:sz w:val="20"/>
          <w:szCs w:val="20"/>
          <w:b w:val="1"/>
          <w:bCs w:val="1"/>
          <w:color w:val="auto"/>
        </w:rPr>
        <w:t xml:space="preserve"> the Applicable Capitalization Rate for each such Portfolio Property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Calculation Attached Hereto]</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D-10</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Compliance Certificate</w:t>
      </w:r>
    </w:p>
    <w:p>
      <w:pPr>
        <w:sectPr>
          <w:pgSz w:w="11900" w:h="16838" w:orient="portrait"/>
          <w:cols w:equalWidth="0" w:num="1">
            <w:col w:w="11420"/>
          </w:cols>
          <w:pgMar w:left="240" w:top="552" w:right="2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20"/>
          <w:szCs w:val="20"/>
          <w:b w:val="1"/>
          <w:bCs w:val="1"/>
          <w:color w:val="auto"/>
        </w:rPr>
        <w:t>Annex II</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 of Unencumbered Property NOI of each Unencumbered Eligible Property for the fiscal quarter ending on Statement Date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Calculation Attached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D-11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Compliance Certificate</w:t>
      </w:r>
    </w:p>
    <w:p>
      <w:pPr>
        <w:sectPr>
          <w:pgSz w:w="11900" w:h="16838" w:orient="portrait"/>
          <w:cols w:equalWidth="0" w:num="1">
            <w:col w:w="10800"/>
          </w:cols>
          <w:pgMar w:left="560" w:top="551" w:right="539" w:bottom="1440" w:gutter="0" w:footer="0" w:header="0"/>
        </w:sectPr>
      </w:pPr>
    </w:p>
    <w:bookmarkStart w:id="185" w:name="page186"/>
    <w:bookmarkEnd w:id="185"/>
    <w:p>
      <w:pPr>
        <w:jc w:val="center"/>
        <w:ind w:right="20"/>
        <w:spacing w:after="0"/>
        <w:rPr>
          <w:sz w:val="20"/>
          <w:szCs w:val="20"/>
          <w:color w:val="auto"/>
        </w:rPr>
      </w:pPr>
      <w:r>
        <w:rPr>
          <w:rFonts w:ascii="Arial" w:cs="Arial" w:eastAsia="Arial" w:hAnsi="Arial"/>
          <w:sz w:val="20"/>
          <w:szCs w:val="20"/>
          <w:b w:val="1"/>
          <w:bCs w:val="1"/>
          <w:color w:val="auto"/>
        </w:rPr>
        <w:t>Annex III</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Unencumbered Eligible Properties</w:t>
      </w:r>
    </w:p>
    <w:p>
      <w:pPr>
        <w:spacing w:after="0" w:line="362" w:lineRule="exact"/>
        <w:rPr>
          <w:sz w:val="20"/>
          <w:szCs w:val="20"/>
          <w:color w:val="auto"/>
        </w:rPr>
      </w:pPr>
    </w:p>
    <w:tbl>
      <w:tblPr>
        <w:tblLayout w:type="fixed"/>
        <w:tblInd w:w="10" w:type="dxa"/>
        <w:tblCellMar>
          <w:top w:w="0" w:type="dxa"/>
          <w:left w:w="0" w:type="dxa"/>
          <w:bottom w:w="0" w:type="dxa"/>
          <w:right w:w="0" w:type="dxa"/>
        </w:tblCellMar>
      </w:tblPr>
      <w:tr>
        <w:trPr>
          <w:trHeight w:val="155"/>
        </w:trPr>
        <w:tc>
          <w:tcPr>
            <w:tcW w:w="840" w:type="dxa"/>
            <w:vAlign w:val="bottom"/>
            <w:tcBorders>
              <w:top w:val="single" w:sz="8" w:color="00000A"/>
              <w:left w:val="single" w:sz="8" w:color="00000A"/>
              <w:right w:val="single" w:sz="8" w:color="00000A"/>
            </w:tcBorders>
          </w:tcPr>
          <w:p>
            <w:pPr>
              <w:ind w:left="160"/>
              <w:spacing w:after="0"/>
              <w:rPr>
                <w:sz w:val="20"/>
                <w:szCs w:val="20"/>
                <w:color w:val="auto"/>
              </w:rPr>
            </w:pPr>
            <w:r>
              <w:rPr>
                <w:rFonts w:ascii="Arial" w:cs="Arial" w:eastAsia="Arial" w:hAnsi="Arial"/>
                <w:sz w:val="13"/>
                <w:szCs w:val="13"/>
                <w:b w:val="1"/>
                <w:bCs w:val="1"/>
                <w:color w:val="auto"/>
              </w:rPr>
              <w:t>Property</w:t>
            </w:r>
          </w:p>
        </w:tc>
        <w:tc>
          <w:tcPr>
            <w:tcW w:w="6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3"/>
                <w:szCs w:val="13"/>
                <w:b w:val="1"/>
                <w:bCs w:val="1"/>
                <w:color w:val="auto"/>
                <w:w w:val="97"/>
              </w:rPr>
              <w:t>Property</w:t>
            </w:r>
          </w:p>
        </w:tc>
        <w:tc>
          <w:tcPr>
            <w:tcW w:w="9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3"/>
                <w:szCs w:val="13"/>
                <w:b w:val="1"/>
                <w:bCs w:val="1"/>
                <w:color w:val="auto"/>
                <w:w w:val="96"/>
              </w:rPr>
              <w:t>Qualified</w:t>
            </w:r>
          </w:p>
        </w:tc>
        <w:tc>
          <w:tcPr>
            <w:tcW w:w="5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3"/>
                <w:szCs w:val="13"/>
                <w:b w:val="1"/>
                <w:bCs w:val="1"/>
                <w:color w:val="auto"/>
                <w:w w:val="92"/>
              </w:rPr>
              <w:t>Owned</w:t>
            </w:r>
          </w:p>
        </w:tc>
        <w:tc>
          <w:tcPr>
            <w:tcW w:w="10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3"/>
                <w:szCs w:val="13"/>
                <w:b w:val="1"/>
                <w:bCs w:val="1"/>
                <w:color w:val="auto"/>
                <w:w w:val="96"/>
              </w:rPr>
              <w:t>Owner/Ground</w:t>
            </w:r>
          </w:p>
        </w:tc>
        <w:tc>
          <w:tcPr>
            <w:tcW w:w="9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3"/>
                <w:szCs w:val="13"/>
                <w:b w:val="1"/>
                <w:bCs w:val="1"/>
                <w:color w:val="auto"/>
                <w:w w:val="94"/>
              </w:rPr>
              <w:t>Applicable</w:t>
            </w:r>
          </w:p>
        </w:tc>
        <w:tc>
          <w:tcPr>
            <w:tcW w:w="8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3"/>
                <w:szCs w:val="13"/>
                <w:b w:val="1"/>
                <w:bCs w:val="1"/>
                <w:color w:val="auto"/>
                <w:w w:val="91"/>
              </w:rPr>
              <w:t>Occupancy</w:t>
            </w:r>
          </w:p>
        </w:tc>
        <w:tc>
          <w:tcPr>
            <w:tcW w:w="9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3"/>
                <w:szCs w:val="13"/>
                <w:b w:val="1"/>
                <w:bCs w:val="1"/>
                <w:color w:val="auto"/>
                <w:w w:val="95"/>
              </w:rPr>
              <w:t>Annual</w:t>
            </w:r>
          </w:p>
        </w:tc>
        <w:tc>
          <w:tcPr>
            <w:tcW w:w="10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3"/>
                <w:szCs w:val="13"/>
                <w:b w:val="1"/>
                <w:bCs w:val="1"/>
                <w:color w:val="auto"/>
                <w:w w:val="92"/>
              </w:rPr>
              <w:t>Unencumbered</w:t>
            </w:r>
          </w:p>
        </w:tc>
        <w:tc>
          <w:tcPr>
            <w:tcW w:w="16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3"/>
                <w:szCs w:val="13"/>
                <w:b w:val="1"/>
                <w:bCs w:val="1"/>
                <w:color w:val="auto"/>
                <w:w w:val="93"/>
              </w:rPr>
              <w:t>Acquisition</w:t>
            </w:r>
          </w:p>
        </w:tc>
        <w:tc>
          <w:tcPr>
            <w:tcW w:w="21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3"/>
                <w:szCs w:val="13"/>
                <w:b w:val="1"/>
                <w:bCs w:val="1"/>
                <w:color w:val="auto"/>
                <w:w w:val="92"/>
              </w:rPr>
              <w:t>Undepreciated</w:t>
            </w:r>
          </w:p>
        </w:tc>
      </w:tr>
      <w:tr>
        <w:trPr>
          <w:trHeight w:val="137"/>
        </w:trPr>
        <w:tc>
          <w:tcPr>
            <w:tcW w:w="840" w:type="dxa"/>
            <w:vAlign w:val="bottom"/>
            <w:tcBorders>
              <w:left w:val="single" w:sz="8" w:color="00000A"/>
              <w:right w:val="single" w:sz="8" w:color="00000A"/>
            </w:tcBorders>
          </w:tcPr>
          <w:p>
            <w:pPr>
              <w:spacing w:after="0"/>
              <w:rPr>
                <w:sz w:val="11"/>
                <w:szCs w:val="11"/>
                <w:color w:val="auto"/>
              </w:rPr>
            </w:pPr>
          </w:p>
        </w:tc>
        <w:tc>
          <w:tcPr>
            <w:tcW w:w="68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b w:val="1"/>
                <w:bCs w:val="1"/>
                <w:color w:val="auto"/>
                <w:w w:val="92"/>
              </w:rPr>
              <w:t>Type</w:t>
            </w:r>
          </w:p>
        </w:tc>
        <w:tc>
          <w:tcPr>
            <w:tcW w:w="92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b w:val="1"/>
                <w:bCs w:val="1"/>
                <w:color w:val="auto"/>
                <w:w w:val="90"/>
              </w:rPr>
              <w:t>Development</w:t>
            </w:r>
          </w:p>
        </w:tc>
        <w:tc>
          <w:tcPr>
            <w:tcW w:w="58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b w:val="1"/>
                <w:bCs w:val="1"/>
                <w:color w:val="auto"/>
                <w:w w:val="91"/>
              </w:rPr>
              <w:t>or</w:t>
            </w:r>
          </w:p>
        </w:tc>
        <w:tc>
          <w:tcPr>
            <w:tcW w:w="102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b w:val="1"/>
                <w:bCs w:val="1"/>
                <w:color w:val="auto"/>
                <w:w w:val="81"/>
              </w:rPr>
              <w:t>Lessee</w:t>
            </w:r>
          </w:p>
        </w:tc>
        <w:tc>
          <w:tcPr>
            <w:tcW w:w="92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b w:val="1"/>
                <w:bCs w:val="1"/>
                <w:color w:val="auto"/>
                <w:w w:val="94"/>
              </w:rPr>
              <w:t>Capitalization</w:t>
            </w:r>
          </w:p>
        </w:tc>
        <w:tc>
          <w:tcPr>
            <w:tcW w:w="80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b w:val="1"/>
                <w:bCs w:val="1"/>
                <w:color w:val="auto"/>
                <w:w w:val="99"/>
              </w:rPr>
              <w:t>Rate</w:t>
            </w:r>
          </w:p>
        </w:tc>
        <w:tc>
          <w:tcPr>
            <w:tcW w:w="90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b w:val="1"/>
                <w:bCs w:val="1"/>
                <w:color w:val="auto"/>
                <w:w w:val="96"/>
              </w:rPr>
              <w:t>Capital</w:t>
            </w:r>
          </w:p>
        </w:tc>
        <w:tc>
          <w:tcPr>
            <w:tcW w:w="102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b w:val="1"/>
                <w:bCs w:val="1"/>
                <w:color w:val="auto"/>
                <w:w w:val="99"/>
              </w:rPr>
              <w:t>Property NOI</w:t>
            </w:r>
            <w:r>
              <w:rPr>
                <w:rFonts w:ascii="Arial" w:cs="Arial" w:eastAsia="Arial" w:hAnsi="Arial"/>
                <w:sz w:val="8"/>
                <w:szCs w:val="8"/>
                <w:b w:val="1"/>
                <w:bCs w:val="1"/>
                <w:color w:val="auto"/>
                <w:w w:val="99"/>
              </w:rPr>
              <w:t>1</w:t>
            </w:r>
          </w:p>
        </w:tc>
        <w:tc>
          <w:tcPr>
            <w:tcW w:w="160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b w:val="1"/>
                <w:bCs w:val="1"/>
                <w:color w:val="auto"/>
                <w:w w:val="89"/>
              </w:rPr>
              <w:t>Cost</w:t>
            </w:r>
          </w:p>
        </w:tc>
        <w:tc>
          <w:tcPr>
            <w:tcW w:w="216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b w:val="1"/>
                <w:bCs w:val="1"/>
                <w:color w:val="auto"/>
                <w:w w:val="93"/>
              </w:rPr>
              <w:t>Book Value</w:t>
            </w:r>
          </w:p>
        </w:tc>
      </w:tr>
      <w:tr>
        <w:trPr>
          <w:trHeight w:val="137"/>
        </w:trPr>
        <w:tc>
          <w:tcPr>
            <w:tcW w:w="840" w:type="dxa"/>
            <w:vAlign w:val="bottom"/>
            <w:tcBorders>
              <w:left w:val="single" w:sz="8" w:color="00000A"/>
              <w:right w:val="single" w:sz="8" w:color="00000A"/>
            </w:tcBorders>
          </w:tcPr>
          <w:p>
            <w:pPr>
              <w:spacing w:after="0"/>
              <w:rPr>
                <w:sz w:val="11"/>
                <w:szCs w:val="11"/>
                <w:color w:val="auto"/>
              </w:rPr>
            </w:pPr>
          </w:p>
        </w:tc>
        <w:tc>
          <w:tcPr>
            <w:tcW w:w="68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color w:val="auto"/>
                <w:w w:val="96"/>
              </w:rPr>
              <w:t>[i.e., Hotel,</w:t>
            </w:r>
          </w:p>
        </w:tc>
        <w:tc>
          <w:tcPr>
            <w:tcW w:w="92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b w:val="1"/>
                <w:bCs w:val="1"/>
                <w:color w:val="auto"/>
                <w:w w:val="94"/>
              </w:rPr>
              <w:t>Property or</w:t>
            </w:r>
          </w:p>
        </w:tc>
        <w:tc>
          <w:tcPr>
            <w:tcW w:w="58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b w:val="1"/>
                <w:bCs w:val="1"/>
                <w:color w:val="auto"/>
                <w:w w:val="93"/>
              </w:rPr>
              <w:t>Ground</w:t>
            </w:r>
          </w:p>
        </w:tc>
        <w:tc>
          <w:tcPr>
            <w:tcW w:w="102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color w:val="auto"/>
                <w:w w:val="95"/>
              </w:rPr>
              <w:t>(Controlled Joint</w:t>
            </w:r>
          </w:p>
        </w:tc>
        <w:tc>
          <w:tcPr>
            <w:tcW w:w="92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b w:val="1"/>
                <w:bCs w:val="1"/>
                <w:color w:val="auto"/>
                <w:w w:val="92"/>
              </w:rPr>
              <w:t>Rate</w:t>
            </w:r>
          </w:p>
        </w:tc>
        <w:tc>
          <w:tcPr>
            <w:tcW w:w="800" w:type="dxa"/>
            <w:vAlign w:val="bottom"/>
            <w:tcBorders>
              <w:right w:val="single" w:sz="8" w:color="00000A"/>
            </w:tcBorders>
          </w:tcPr>
          <w:p>
            <w:pPr>
              <w:spacing w:after="0"/>
              <w:rPr>
                <w:sz w:val="11"/>
                <w:szCs w:val="11"/>
                <w:color w:val="auto"/>
              </w:rPr>
            </w:pPr>
          </w:p>
        </w:tc>
        <w:tc>
          <w:tcPr>
            <w:tcW w:w="90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b w:val="1"/>
                <w:bCs w:val="1"/>
                <w:color w:val="auto"/>
                <w:w w:val="93"/>
              </w:rPr>
              <w:t>Expenditure</w:t>
            </w:r>
          </w:p>
        </w:tc>
        <w:tc>
          <w:tcPr>
            <w:tcW w:w="1020" w:type="dxa"/>
            <w:vAlign w:val="bottom"/>
            <w:tcBorders>
              <w:right w:val="single" w:sz="8" w:color="00000A"/>
            </w:tcBorders>
          </w:tcPr>
          <w:p>
            <w:pPr>
              <w:spacing w:after="0"/>
              <w:rPr>
                <w:sz w:val="11"/>
                <w:szCs w:val="11"/>
                <w:color w:val="auto"/>
              </w:rPr>
            </w:pPr>
          </w:p>
        </w:tc>
        <w:tc>
          <w:tcPr>
            <w:tcW w:w="160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color w:val="auto"/>
                <w:w w:val="97"/>
              </w:rPr>
              <w:t>(only for</w:t>
            </w:r>
          </w:p>
        </w:tc>
        <w:tc>
          <w:tcPr>
            <w:tcW w:w="216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color w:val="auto"/>
                <w:w w:val="97"/>
              </w:rPr>
              <w:t>(only for</w:t>
            </w:r>
          </w:p>
        </w:tc>
      </w:tr>
      <w:tr>
        <w:trPr>
          <w:trHeight w:val="137"/>
        </w:trPr>
        <w:tc>
          <w:tcPr>
            <w:tcW w:w="840" w:type="dxa"/>
            <w:vAlign w:val="bottom"/>
            <w:tcBorders>
              <w:left w:val="single" w:sz="8" w:color="00000A"/>
              <w:right w:val="single" w:sz="8" w:color="00000A"/>
            </w:tcBorders>
          </w:tcPr>
          <w:p>
            <w:pPr>
              <w:spacing w:after="0"/>
              <w:rPr>
                <w:sz w:val="11"/>
                <w:szCs w:val="11"/>
                <w:color w:val="auto"/>
              </w:rPr>
            </w:pPr>
          </w:p>
        </w:tc>
        <w:tc>
          <w:tcPr>
            <w:tcW w:w="68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color w:val="auto"/>
                <w:w w:val="95"/>
              </w:rPr>
              <w:t>Office,</w:t>
            </w:r>
          </w:p>
        </w:tc>
        <w:tc>
          <w:tcPr>
            <w:tcW w:w="92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b w:val="1"/>
                <w:bCs w:val="1"/>
                <w:color w:val="auto"/>
                <w:w w:val="92"/>
              </w:rPr>
              <w:t>Non-Stabilized</w:t>
            </w:r>
          </w:p>
        </w:tc>
        <w:tc>
          <w:tcPr>
            <w:tcW w:w="58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b w:val="1"/>
                <w:bCs w:val="1"/>
                <w:color w:val="auto"/>
                <w:w w:val="89"/>
              </w:rPr>
              <w:t>Leased</w:t>
            </w:r>
          </w:p>
        </w:tc>
        <w:tc>
          <w:tcPr>
            <w:tcW w:w="102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color w:val="auto"/>
                <w:w w:val="92"/>
              </w:rPr>
              <w:t>Venture or</w:t>
            </w:r>
          </w:p>
        </w:tc>
        <w:tc>
          <w:tcPr>
            <w:tcW w:w="920" w:type="dxa"/>
            <w:vAlign w:val="bottom"/>
            <w:tcBorders>
              <w:right w:val="single" w:sz="8" w:color="00000A"/>
            </w:tcBorders>
          </w:tcPr>
          <w:p>
            <w:pPr>
              <w:spacing w:after="0"/>
              <w:rPr>
                <w:sz w:val="11"/>
                <w:szCs w:val="11"/>
                <w:color w:val="auto"/>
              </w:rPr>
            </w:pPr>
          </w:p>
        </w:tc>
        <w:tc>
          <w:tcPr>
            <w:tcW w:w="800" w:type="dxa"/>
            <w:vAlign w:val="bottom"/>
            <w:tcBorders>
              <w:right w:val="single" w:sz="8" w:color="00000A"/>
            </w:tcBorders>
          </w:tcPr>
          <w:p>
            <w:pPr>
              <w:spacing w:after="0"/>
              <w:rPr>
                <w:sz w:val="11"/>
                <w:szCs w:val="11"/>
                <w:color w:val="auto"/>
              </w:rPr>
            </w:pPr>
          </w:p>
        </w:tc>
        <w:tc>
          <w:tcPr>
            <w:tcW w:w="90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b w:val="1"/>
                <w:bCs w:val="1"/>
                <w:color w:val="auto"/>
                <w:w w:val="95"/>
              </w:rPr>
              <w:t>Adjustment</w:t>
            </w:r>
          </w:p>
        </w:tc>
        <w:tc>
          <w:tcPr>
            <w:tcW w:w="1020" w:type="dxa"/>
            <w:vAlign w:val="bottom"/>
            <w:tcBorders>
              <w:right w:val="single" w:sz="8" w:color="00000A"/>
            </w:tcBorders>
          </w:tcPr>
          <w:p>
            <w:pPr>
              <w:spacing w:after="0"/>
              <w:rPr>
                <w:sz w:val="11"/>
                <w:szCs w:val="11"/>
                <w:color w:val="auto"/>
              </w:rPr>
            </w:pPr>
          </w:p>
        </w:tc>
        <w:tc>
          <w:tcPr>
            <w:tcW w:w="160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color w:val="auto"/>
                <w:w w:val="98"/>
              </w:rPr>
              <w:t>Newly-Acquired Portfolio</w:t>
            </w:r>
          </w:p>
        </w:tc>
        <w:tc>
          <w:tcPr>
            <w:tcW w:w="216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color w:val="auto"/>
                <w:w w:val="95"/>
              </w:rPr>
              <w:t>Qualified Development</w:t>
            </w:r>
          </w:p>
        </w:tc>
      </w:tr>
      <w:tr>
        <w:trPr>
          <w:trHeight w:val="137"/>
        </w:trPr>
        <w:tc>
          <w:tcPr>
            <w:tcW w:w="840" w:type="dxa"/>
            <w:vAlign w:val="bottom"/>
            <w:tcBorders>
              <w:left w:val="single" w:sz="8" w:color="00000A"/>
              <w:right w:val="single" w:sz="8" w:color="00000A"/>
            </w:tcBorders>
          </w:tcPr>
          <w:p>
            <w:pPr>
              <w:spacing w:after="0"/>
              <w:rPr>
                <w:sz w:val="11"/>
                <w:szCs w:val="11"/>
                <w:color w:val="auto"/>
              </w:rPr>
            </w:pPr>
          </w:p>
        </w:tc>
        <w:tc>
          <w:tcPr>
            <w:tcW w:w="68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color w:val="auto"/>
                <w:w w:val="97"/>
              </w:rPr>
              <w:t>Retail]</w:t>
            </w:r>
          </w:p>
        </w:tc>
        <w:tc>
          <w:tcPr>
            <w:tcW w:w="92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b w:val="1"/>
                <w:bCs w:val="1"/>
                <w:color w:val="auto"/>
                <w:w w:val="93"/>
              </w:rPr>
              <w:t>Portfolio</w:t>
            </w:r>
          </w:p>
        </w:tc>
        <w:tc>
          <w:tcPr>
            <w:tcW w:w="58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color w:val="auto"/>
              </w:rPr>
              <w:t>[O/GL]</w:t>
            </w:r>
          </w:p>
        </w:tc>
        <w:tc>
          <w:tcPr>
            <w:tcW w:w="102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color w:val="auto"/>
                <w:w w:val="97"/>
              </w:rPr>
              <w:t>Wholly Owned</w:t>
            </w:r>
          </w:p>
        </w:tc>
        <w:tc>
          <w:tcPr>
            <w:tcW w:w="920" w:type="dxa"/>
            <w:vAlign w:val="bottom"/>
            <w:tcBorders>
              <w:right w:val="single" w:sz="8" w:color="00000A"/>
            </w:tcBorders>
          </w:tcPr>
          <w:p>
            <w:pPr>
              <w:spacing w:after="0"/>
              <w:rPr>
                <w:sz w:val="11"/>
                <w:szCs w:val="11"/>
                <w:color w:val="auto"/>
              </w:rPr>
            </w:pPr>
          </w:p>
        </w:tc>
        <w:tc>
          <w:tcPr>
            <w:tcW w:w="800" w:type="dxa"/>
            <w:vAlign w:val="bottom"/>
            <w:tcBorders>
              <w:right w:val="single" w:sz="8" w:color="00000A"/>
            </w:tcBorders>
          </w:tcPr>
          <w:p>
            <w:pPr>
              <w:spacing w:after="0"/>
              <w:rPr>
                <w:sz w:val="11"/>
                <w:szCs w:val="11"/>
                <w:color w:val="auto"/>
              </w:rPr>
            </w:pPr>
          </w:p>
        </w:tc>
        <w:tc>
          <w:tcPr>
            <w:tcW w:w="900" w:type="dxa"/>
            <w:vAlign w:val="bottom"/>
            <w:tcBorders>
              <w:right w:val="single" w:sz="8" w:color="00000A"/>
            </w:tcBorders>
          </w:tcPr>
          <w:p>
            <w:pPr>
              <w:spacing w:after="0"/>
              <w:rPr>
                <w:sz w:val="11"/>
                <w:szCs w:val="11"/>
                <w:color w:val="auto"/>
              </w:rPr>
            </w:pPr>
          </w:p>
        </w:tc>
        <w:tc>
          <w:tcPr>
            <w:tcW w:w="1020" w:type="dxa"/>
            <w:vAlign w:val="bottom"/>
            <w:tcBorders>
              <w:right w:val="single" w:sz="8" w:color="00000A"/>
            </w:tcBorders>
          </w:tcPr>
          <w:p>
            <w:pPr>
              <w:spacing w:after="0"/>
              <w:rPr>
                <w:sz w:val="11"/>
                <w:szCs w:val="11"/>
                <w:color w:val="auto"/>
              </w:rPr>
            </w:pPr>
          </w:p>
        </w:tc>
        <w:tc>
          <w:tcPr>
            <w:tcW w:w="160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color w:val="auto"/>
                <w:w w:val="89"/>
              </w:rPr>
              <w:t>Properties that are</w:t>
            </w:r>
          </w:p>
        </w:tc>
        <w:tc>
          <w:tcPr>
            <w:tcW w:w="216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color w:val="auto"/>
                <w:w w:val="92"/>
              </w:rPr>
              <w:t>Properties and Non-Stabilized</w:t>
            </w:r>
          </w:p>
        </w:tc>
      </w:tr>
      <w:tr>
        <w:trPr>
          <w:trHeight w:val="141"/>
        </w:trPr>
        <w:tc>
          <w:tcPr>
            <w:tcW w:w="840" w:type="dxa"/>
            <w:vAlign w:val="bottom"/>
            <w:tcBorders>
              <w:left w:val="single" w:sz="8" w:color="00000A"/>
              <w:right w:val="single" w:sz="8" w:color="00000A"/>
            </w:tcBorders>
          </w:tcPr>
          <w:p>
            <w:pPr>
              <w:spacing w:after="0"/>
              <w:rPr>
                <w:sz w:val="12"/>
                <w:szCs w:val="12"/>
                <w:color w:val="auto"/>
              </w:rPr>
            </w:pPr>
          </w:p>
        </w:tc>
        <w:tc>
          <w:tcPr>
            <w:tcW w:w="680" w:type="dxa"/>
            <w:vAlign w:val="bottom"/>
            <w:tcBorders>
              <w:right w:val="single" w:sz="8" w:color="00000A"/>
            </w:tcBorders>
          </w:tcPr>
          <w:p>
            <w:pPr>
              <w:spacing w:after="0"/>
              <w:rPr>
                <w:sz w:val="12"/>
                <w:szCs w:val="12"/>
                <w:color w:val="auto"/>
              </w:rPr>
            </w:pPr>
          </w:p>
        </w:tc>
        <w:tc>
          <w:tcPr>
            <w:tcW w:w="920" w:type="dxa"/>
            <w:vAlign w:val="bottom"/>
            <w:tcBorders>
              <w:right w:val="single" w:sz="8" w:color="00000A"/>
            </w:tcBorders>
          </w:tcPr>
          <w:p>
            <w:pPr>
              <w:jc w:val="center"/>
              <w:spacing w:after="0" w:line="141" w:lineRule="exact"/>
              <w:rPr>
                <w:sz w:val="20"/>
                <w:szCs w:val="20"/>
                <w:color w:val="auto"/>
              </w:rPr>
            </w:pPr>
            <w:r>
              <w:rPr>
                <w:rFonts w:ascii="Arial" w:cs="Arial" w:eastAsia="Arial" w:hAnsi="Arial"/>
                <w:sz w:val="13"/>
                <w:szCs w:val="13"/>
                <w:b w:val="1"/>
                <w:bCs w:val="1"/>
                <w:color w:val="auto"/>
                <w:w w:val="94"/>
              </w:rPr>
              <w:t>Property?</w:t>
            </w:r>
          </w:p>
        </w:tc>
        <w:tc>
          <w:tcPr>
            <w:tcW w:w="580" w:type="dxa"/>
            <w:vAlign w:val="bottom"/>
            <w:tcBorders>
              <w:right w:val="single" w:sz="8" w:color="00000A"/>
            </w:tcBorders>
          </w:tcPr>
          <w:p>
            <w:pPr>
              <w:spacing w:after="0"/>
              <w:rPr>
                <w:sz w:val="12"/>
                <w:szCs w:val="12"/>
                <w:color w:val="auto"/>
              </w:rPr>
            </w:pPr>
          </w:p>
        </w:tc>
        <w:tc>
          <w:tcPr>
            <w:tcW w:w="1020" w:type="dxa"/>
            <w:vAlign w:val="bottom"/>
            <w:tcBorders>
              <w:right w:val="single" w:sz="8" w:color="00000A"/>
            </w:tcBorders>
          </w:tcPr>
          <w:p>
            <w:pPr>
              <w:jc w:val="center"/>
              <w:spacing w:after="0" w:line="141" w:lineRule="exact"/>
              <w:rPr>
                <w:sz w:val="20"/>
                <w:szCs w:val="20"/>
                <w:color w:val="auto"/>
              </w:rPr>
            </w:pPr>
            <w:r>
              <w:rPr>
                <w:rFonts w:ascii="Arial" w:cs="Arial" w:eastAsia="Arial" w:hAnsi="Arial"/>
                <w:sz w:val="13"/>
                <w:szCs w:val="13"/>
                <w:color w:val="auto"/>
                <w:w w:val="95"/>
              </w:rPr>
              <w:t>Subsidiary)</w:t>
            </w:r>
          </w:p>
        </w:tc>
        <w:tc>
          <w:tcPr>
            <w:tcW w:w="920" w:type="dxa"/>
            <w:vAlign w:val="bottom"/>
            <w:tcBorders>
              <w:right w:val="single" w:sz="8" w:color="00000A"/>
            </w:tcBorders>
          </w:tcPr>
          <w:p>
            <w:pPr>
              <w:spacing w:after="0"/>
              <w:rPr>
                <w:sz w:val="12"/>
                <w:szCs w:val="12"/>
                <w:color w:val="auto"/>
              </w:rPr>
            </w:pPr>
          </w:p>
        </w:tc>
        <w:tc>
          <w:tcPr>
            <w:tcW w:w="800" w:type="dxa"/>
            <w:vAlign w:val="bottom"/>
            <w:tcBorders>
              <w:right w:val="single" w:sz="8" w:color="00000A"/>
            </w:tcBorders>
          </w:tcPr>
          <w:p>
            <w:pPr>
              <w:spacing w:after="0"/>
              <w:rPr>
                <w:sz w:val="12"/>
                <w:szCs w:val="12"/>
                <w:color w:val="auto"/>
              </w:rPr>
            </w:pPr>
          </w:p>
        </w:tc>
        <w:tc>
          <w:tcPr>
            <w:tcW w:w="900" w:type="dxa"/>
            <w:vAlign w:val="bottom"/>
            <w:tcBorders>
              <w:right w:val="single" w:sz="8" w:color="00000A"/>
            </w:tcBorders>
          </w:tcPr>
          <w:p>
            <w:pPr>
              <w:spacing w:after="0"/>
              <w:rPr>
                <w:sz w:val="12"/>
                <w:szCs w:val="12"/>
                <w:color w:val="auto"/>
              </w:rPr>
            </w:pPr>
          </w:p>
        </w:tc>
        <w:tc>
          <w:tcPr>
            <w:tcW w:w="1020" w:type="dxa"/>
            <w:vAlign w:val="bottom"/>
            <w:tcBorders>
              <w:right w:val="single" w:sz="8" w:color="00000A"/>
            </w:tcBorders>
          </w:tcPr>
          <w:p>
            <w:pPr>
              <w:spacing w:after="0"/>
              <w:rPr>
                <w:sz w:val="12"/>
                <w:szCs w:val="12"/>
                <w:color w:val="auto"/>
              </w:rPr>
            </w:pPr>
          </w:p>
        </w:tc>
        <w:tc>
          <w:tcPr>
            <w:tcW w:w="1600" w:type="dxa"/>
            <w:vAlign w:val="bottom"/>
            <w:tcBorders>
              <w:right w:val="single" w:sz="8" w:color="00000A"/>
            </w:tcBorders>
          </w:tcPr>
          <w:p>
            <w:pPr>
              <w:jc w:val="center"/>
              <w:spacing w:after="0" w:line="141" w:lineRule="exact"/>
              <w:rPr>
                <w:sz w:val="20"/>
                <w:szCs w:val="20"/>
                <w:color w:val="auto"/>
              </w:rPr>
            </w:pPr>
            <w:r>
              <w:rPr>
                <w:rFonts w:ascii="Arial" w:cs="Arial" w:eastAsia="Arial" w:hAnsi="Arial"/>
                <w:sz w:val="13"/>
                <w:szCs w:val="13"/>
                <w:color w:val="auto"/>
                <w:w w:val="93"/>
              </w:rPr>
              <w:t>Unencumbered Eligible</w:t>
            </w:r>
          </w:p>
        </w:tc>
        <w:tc>
          <w:tcPr>
            <w:tcW w:w="2160" w:type="dxa"/>
            <w:vAlign w:val="bottom"/>
            <w:tcBorders>
              <w:right w:val="single" w:sz="8" w:color="00000A"/>
            </w:tcBorders>
          </w:tcPr>
          <w:p>
            <w:pPr>
              <w:jc w:val="center"/>
              <w:spacing w:after="0" w:line="141" w:lineRule="exact"/>
              <w:rPr>
                <w:sz w:val="20"/>
                <w:szCs w:val="20"/>
                <w:color w:val="auto"/>
              </w:rPr>
            </w:pPr>
            <w:r>
              <w:rPr>
                <w:rFonts w:ascii="Arial" w:cs="Arial" w:eastAsia="Arial" w:hAnsi="Arial"/>
                <w:sz w:val="13"/>
                <w:szCs w:val="13"/>
                <w:color w:val="auto"/>
                <w:w w:val="93"/>
              </w:rPr>
              <w:t>Portfolio Properties that are</w:t>
            </w:r>
          </w:p>
        </w:tc>
      </w:tr>
      <w:tr>
        <w:trPr>
          <w:trHeight w:val="174"/>
        </w:trPr>
        <w:tc>
          <w:tcPr>
            <w:tcW w:w="840" w:type="dxa"/>
            <w:vAlign w:val="bottom"/>
            <w:tcBorders>
              <w:left w:val="single" w:sz="8" w:color="00000A"/>
              <w:bottom w:val="single" w:sz="8" w:color="00000A"/>
              <w:right w:val="single" w:sz="8" w:color="00000A"/>
            </w:tcBorders>
          </w:tcPr>
          <w:p>
            <w:pPr>
              <w:spacing w:after="0"/>
              <w:rPr>
                <w:sz w:val="15"/>
                <w:szCs w:val="15"/>
                <w:color w:val="auto"/>
              </w:rPr>
            </w:pPr>
          </w:p>
        </w:tc>
        <w:tc>
          <w:tcPr>
            <w:tcW w:w="680" w:type="dxa"/>
            <w:vAlign w:val="bottom"/>
            <w:tcBorders>
              <w:bottom w:val="single" w:sz="8" w:color="00000A"/>
              <w:right w:val="single" w:sz="8" w:color="00000A"/>
            </w:tcBorders>
          </w:tcPr>
          <w:p>
            <w:pPr>
              <w:spacing w:after="0"/>
              <w:rPr>
                <w:sz w:val="15"/>
                <w:szCs w:val="15"/>
                <w:color w:val="auto"/>
              </w:rPr>
            </w:pPr>
          </w:p>
        </w:tc>
        <w:tc>
          <w:tcPr>
            <w:tcW w:w="9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color w:val="auto"/>
              </w:rPr>
              <w:t>[Y/N]</w:t>
            </w:r>
          </w:p>
        </w:tc>
        <w:tc>
          <w:tcPr>
            <w:tcW w:w="580" w:type="dxa"/>
            <w:vAlign w:val="bottom"/>
            <w:tcBorders>
              <w:bottom w:val="single" w:sz="8" w:color="00000A"/>
              <w:right w:val="single" w:sz="8" w:color="00000A"/>
            </w:tcBorders>
          </w:tcPr>
          <w:p>
            <w:pPr>
              <w:spacing w:after="0"/>
              <w:rPr>
                <w:sz w:val="15"/>
                <w:szCs w:val="15"/>
                <w:color w:val="auto"/>
              </w:rPr>
            </w:pPr>
          </w:p>
        </w:tc>
        <w:tc>
          <w:tcPr>
            <w:tcW w:w="10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color w:val="auto"/>
                <w:w w:val="96"/>
              </w:rPr>
              <w:t>[CJV/WO Sub]</w:t>
            </w:r>
          </w:p>
        </w:tc>
        <w:tc>
          <w:tcPr>
            <w:tcW w:w="920" w:type="dxa"/>
            <w:vAlign w:val="bottom"/>
            <w:tcBorders>
              <w:bottom w:val="single" w:sz="8" w:color="00000A"/>
              <w:right w:val="single" w:sz="8" w:color="00000A"/>
            </w:tcBorders>
          </w:tcPr>
          <w:p>
            <w:pPr>
              <w:spacing w:after="0"/>
              <w:rPr>
                <w:sz w:val="15"/>
                <w:szCs w:val="15"/>
                <w:color w:val="auto"/>
              </w:rPr>
            </w:pPr>
          </w:p>
        </w:tc>
        <w:tc>
          <w:tcPr>
            <w:tcW w:w="800" w:type="dxa"/>
            <w:vAlign w:val="bottom"/>
            <w:tcBorders>
              <w:bottom w:val="single" w:sz="8" w:color="00000A"/>
              <w:right w:val="single" w:sz="8" w:color="00000A"/>
            </w:tcBorders>
          </w:tcPr>
          <w:p>
            <w:pPr>
              <w:spacing w:after="0"/>
              <w:rPr>
                <w:sz w:val="15"/>
                <w:szCs w:val="15"/>
                <w:color w:val="auto"/>
              </w:rPr>
            </w:pPr>
          </w:p>
        </w:tc>
        <w:tc>
          <w:tcPr>
            <w:tcW w:w="900" w:type="dxa"/>
            <w:vAlign w:val="bottom"/>
            <w:tcBorders>
              <w:bottom w:val="single" w:sz="8" w:color="00000A"/>
              <w:right w:val="single" w:sz="8" w:color="00000A"/>
            </w:tcBorders>
          </w:tcPr>
          <w:p>
            <w:pPr>
              <w:spacing w:after="0"/>
              <w:rPr>
                <w:sz w:val="15"/>
                <w:szCs w:val="15"/>
                <w:color w:val="auto"/>
              </w:rPr>
            </w:pPr>
          </w:p>
        </w:tc>
        <w:tc>
          <w:tcPr>
            <w:tcW w:w="1020" w:type="dxa"/>
            <w:vAlign w:val="bottom"/>
            <w:tcBorders>
              <w:bottom w:val="single" w:sz="8" w:color="00000A"/>
              <w:right w:val="single" w:sz="8" w:color="00000A"/>
            </w:tcBorders>
          </w:tcPr>
          <w:p>
            <w:pPr>
              <w:spacing w:after="0"/>
              <w:rPr>
                <w:sz w:val="15"/>
                <w:szCs w:val="15"/>
                <w:color w:val="auto"/>
              </w:rPr>
            </w:pPr>
          </w:p>
        </w:tc>
        <w:tc>
          <w:tcPr>
            <w:tcW w:w="16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color w:val="auto"/>
                <w:w w:val="91"/>
              </w:rPr>
              <w:t>Properties)</w:t>
            </w:r>
          </w:p>
        </w:tc>
        <w:tc>
          <w:tcPr>
            <w:tcW w:w="21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color w:val="auto"/>
                <w:w w:val="93"/>
              </w:rPr>
              <w:t>Unencumbered Eligible Properties)</w:t>
            </w:r>
          </w:p>
        </w:tc>
      </w:tr>
      <w:tr>
        <w:trPr>
          <w:trHeight w:val="272"/>
        </w:trPr>
        <w:tc>
          <w:tcPr>
            <w:tcW w:w="840" w:type="dxa"/>
            <w:vAlign w:val="bottom"/>
            <w:tcBorders>
              <w:left w:val="single" w:sz="8" w:color="00000A"/>
              <w:bottom w:val="single" w:sz="8" w:color="00000A"/>
              <w:right w:val="single" w:sz="8" w:color="00000A"/>
            </w:tcBorders>
          </w:tcPr>
          <w:p>
            <w:pPr>
              <w:spacing w:after="0"/>
              <w:rPr>
                <w:sz w:val="23"/>
                <w:szCs w:val="23"/>
                <w:color w:val="auto"/>
              </w:rPr>
            </w:pPr>
          </w:p>
        </w:tc>
        <w:tc>
          <w:tcPr>
            <w:tcW w:w="680" w:type="dxa"/>
            <w:vAlign w:val="bottom"/>
            <w:tcBorders>
              <w:bottom w:val="single" w:sz="8" w:color="00000A"/>
              <w:right w:val="single" w:sz="8" w:color="00000A"/>
            </w:tcBorders>
          </w:tcPr>
          <w:p>
            <w:pPr>
              <w:spacing w:after="0"/>
              <w:rPr>
                <w:sz w:val="23"/>
                <w:szCs w:val="23"/>
                <w:color w:val="auto"/>
              </w:rPr>
            </w:pPr>
          </w:p>
        </w:tc>
        <w:tc>
          <w:tcPr>
            <w:tcW w:w="920" w:type="dxa"/>
            <w:vAlign w:val="bottom"/>
            <w:tcBorders>
              <w:bottom w:val="single" w:sz="8" w:color="00000A"/>
              <w:right w:val="single" w:sz="8" w:color="00000A"/>
            </w:tcBorders>
          </w:tcPr>
          <w:p>
            <w:pPr>
              <w:spacing w:after="0"/>
              <w:rPr>
                <w:sz w:val="23"/>
                <w:szCs w:val="23"/>
                <w:color w:val="auto"/>
              </w:rPr>
            </w:pPr>
          </w:p>
        </w:tc>
        <w:tc>
          <w:tcPr>
            <w:tcW w:w="580" w:type="dxa"/>
            <w:vAlign w:val="bottom"/>
            <w:tcBorders>
              <w:bottom w:val="single" w:sz="8" w:color="00000A"/>
              <w:right w:val="single" w:sz="8" w:color="00000A"/>
            </w:tcBorders>
          </w:tcPr>
          <w:p>
            <w:pPr>
              <w:spacing w:after="0"/>
              <w:rPr>
                <w:sz w:val="23"/>
                <w:szCs w:val="23"/>
                <w:color w:val="auto"/>
              </w:rPr>
            </w:pPr>
          </w:p>
        </w:tc>
        <w:tc>
          <w:tcPr>
            <w:tcW w:w="1020" w:type="dxa"/>
            <w:vAlign w:val="bottom"/>
            <w:tcBorders>
              <w:bottom w:val="single" w:sz="8" w:color="00000A"/>
              <w:right w:val="single" w:sz="8" w:color="00000A"/>
            </w:tcBorders>
          </w:tcPr>
          <w:p>
            <w:pPr>
              <w:spacing w:after="0"/>
              <w:rPr>
                <w:sz w:val="23"/>
                <w:szCs w:val="23"/>
                <w:color w:val="auto"/>
              </w:rPr>
            </w:pPr>
          </w:p>
        </w:tc>
        <w:tc>
          <w:tcPr>
            <w:tcW w:w="920" w:type="dxa"/>
            <w:vAlign w:val="bottom"/>
            <w:tcBorders>
              <w:bottom w:val="single" w:sz="8" w:color="00000A"/>
              <w:right w:val="single" w:sz="8" w:color="00000A"/>
            </w:tcBorders>
          </w:tcPr>
          <w:p>
            <w:pPr>
              <w:spacing w:after="0"/>
              <w:rPr>
                <w:sz w:val="23"/>
                <w:szCs w:val="23"/>
                <w:color w:val="auto"/>
              </w:rPr>
            </w:pPr>
          </w:p>
        </w:tc>
        <w:tc>
          <w:tcPr>
            <w:tcW w:w="800" w:type="dxa"/>
            <w:vAlign w:val="bottom"/>
            <w:tcBorders>
              <w:bottom w:val="single" w:sz="8" w:color="00000A"/>
              <w:right w:val="single" w:sz="8" w:color="00000A"/>
            </w:tcBorders>
          </w:tcPr>
          <w:p>
            <w:pPr>
              <w:spacing w:after="0"/>
              <w:rPr>
                <w:sz w:val="23"/>
                <w:szCs w:val="23"/>
                <w:color w:val="auto"/>
              </w:rPr>
            </w:pPr>
          </w:p>
        </w:tc>
        <w:tc>
          <w:tcPr>
            <w:tcW w:w="900" w:type="dxa"/>
            <w:vAlign w:val="bottom"/>
            <w:tcBorders>
              <w:bottom w:val="single" w:sz="8" w:color="00000A"/>
              <w:right w:val="single" w:sz="8" w:color="00000A"/>
            </w:tcBorders>
          </w:tcPr>
          <w:p>
            <w:pPr>
              <w:spacing w:after="0"/>
              <w:rPr>
                <w:sz w:val="23"/>
                <w:szCs w:val="23"/>
                <w:color w:val="auto"/>
              </w:rPr>
            </w:pPr>
          </w:p>
        </w:tc>
        <w:tc>
          <w:tcPr>
            <w:tcW w:w="1020" w:type="dxa"/>
            <w:vAlign w:val="bottom"/>
            <w:tcBorders>
              <w:bottom w:val="single" w:sz="8" w:color="00000A"/>
              <w:right w:val="single" w:sz="8" w:color="00000A"/>
            </w:tcBorders>
          </w:tcPr>
          <w:p>
            <w:pPr>
              <w:spacing w:after="0"/>
              <w:rPr>
                <w:sz w:val="23"/>
                <w:szCs w:val="23"/>
                <w:color w:val="auto"/>
              </w:rPr>
            </w:pPr>
          </w:p>
        </w:tc>
        <w:tc>
          <w:tcPr>
            <w:tcW w:w="1600" w:type="dxa"/>
            <w:vAlign w:val="bottom"/>
            <w:tcBorders>
              <w:bottom w:val="single" w:sz="8" w:color="00000A"/>
              <w:right w:val="single" w:sz="8" w:color="00000A"/>
            </w:tcBorders>
          </w:tcPr>
          <w:p>
            <w:pPr>
              <w:spacing w:after="0"/>
              <w:rPr>
                <w:sz w:val="23"/>
                <w:szCs w:val="23"/>
                <w:color w:val="auto"/>
              </w:rPr>
            </w:pPr>
          </w:p>
        </w:tc>
        <w:tc>
          <w:tcPr>
            <w:tcW w:w="2160" w:type="dxa"/>
            <w:vAlign w:val="bottom"/>
            <w:tcBorders>
              <w:bottom w:val="single" w:sz="8" w:color="00000A"/>
              <w:right w:val="single" w:sz="8" w:color="00000A"/>
            </w:tcBorders>
          </w:tcPr>
          <w:p>
            <w:pPr>
              <w:spacing w:after="0"/>
              <w:rPr>
                <w:sz w:val="23"/>
                <w:szCs w:val="23"/>
                <w:color w:val="auto"/>
              </w:rPr>
            </w:pPr>
          </w:p>
        </w:tc>
      </w:tr>
      <w:tr>
        <w:trPr>
          <w:trHeight w:val="267"/>
        </w:trPr>
        <w:tc>
          <w:tcPr>
            <w:tcW w:w="840" w:type="dxa"/>
            <w:vAlign w:val="bottom"/>
            <w:tcBorders>
              <w:left w:val="single" w:sz="8" w:color="00000A"/>
              <w:bottom w:val="single" w:sz="8" w:color="00000A"/>
              <w:right w:val="single" w:sz="8" w:color="00000A"/>
            </w:tcBorders>
          </w:tcPr>
          <w:p>
            <w:pPr>
              <w:spacing w:after="0"/>
              <w:rPr>
                <w:sz w:val="23"/>
                <w:szCs w:val="23"/>
                <w:color w:val="auto"/>
              </w:rPr>
            </w:pPr>
          </w:p>
        </w:tc>
        <w:tc>
          <w:tcPr>
            <w:tcW w:w="680" w:type="dxa"/>
            <w:vAlign w:val="bottom"/>
            <w:tcBorders>
              <w:bottom w:val="single" w:sz="8" w:color="00000A"/>
              <w:right w:val="single" w:sz="8" w:color="00000A"/>
            </w:tcBorders>
          </w:tcPr>
          <w:p>
            <w:pPr>
              <w:spacing w:after="0"/>
              <w:rPr>
                <w:sz w:val="23"/>
                <w:szCs w:val="23"/>
                <w:color w:val="auto"/>
              </w:rPr>
            </w:pPr>
          </w:p>
        </w:tc>
        <w:tc>
          <w:tcPr>
            <w:tcW w:w="920" w:type="dxa"/>
            <w:vAlign w:val="bottom"/>
            <w:tcBorders>
              <w:bottom w:val="single" w:sz="8" w:color="00000A"/>
              <w:right w:val="single" w:sz="8" w:color="00000A"/>
            </w:tcBorders>
          </w:tcPr>
          <w:p>
            <w:pPr>
              <w:spacing w:after="0"/>
              <w:rPr>
                <w:sz w:val="23"/>
                <w:szCs w:val="23"/>
                <w:color w:val="auto"/>
              </w:rPr>
            </w:pPr>
          </w:p>
        </w:tc>
        <w:tc>
          <w:tcPr>
            <w:tcW w:w="580" w:type="dxa"/>
            <w:vAlign w:val="bottom"/>
            <w:tcBorders>
              <w:bottom w:val="single" w:sz="8" w:color="00000A"/>
              <w:right w:val="single" w:sz="8" w:color="00000A"/>
            </w:tcBorders>
          </w:tcPr>
          <w:p>
            <w:pPr>
              <w:spacing w:after="0"/>
              <w:rPr>
                <w:sz w:val="23"/>
                <w:szCs w:val="23"/>
                <w:color w:val="auto"/>
              </w:rPr>
            </w:pPr>
          </w:p>
        </w:tc>
        <w:tc>
          <w:tcPr>
            <w:tcW w:w="1020" w:type="dxa"/>
            <w:vAlign w:val="bottom"/>
            <w:tcBorders>
              <w:bottom w:val="single" w:sz="8" w:color="00000A"/>
              <w:right w:val="single" w:sz="8" w:color="00000A"/>
            </w:tcBorders>
          </w:tcPr>
          <w:p>
            <w:pPr>
              <w:spacing w:after="0"/>
              <w:rPr>
                <w:sz w:val="23"/>
                <w:szCs w:val="23"/>
                <w:color w:val="auto"/>
              </w:rPr>
            </w:pPr>
          </w:p>
        </w:tc>
        <w:tc>
          <w:tcPr>
            <w:tcW w:w="920" w:type="dxa"/>
            <w:vAlign w:val="bottom"/>
            <w:tcBorders>
              <w:bottom w:val="single" w:sz="8" w:color="00000A"/>
              <w:right w:val="single" w:sz="8" w:color="00000A"/>
            </w:tcBorders>
          </w:tcPr>
          <w:p>
            <w:pPr>
              <w:spacing w:after="0"/>
              <w:rPr>
                <w:sz w:val="23"/>
                <w:szCs w:val="23"/>
                <w:color w:val="auto"/>
              </w:rPr>
            </w:pPr>
          </w:p>
        </w:tc>
        <w:tc>
          <w:tcPr>
            <w:tcW w:w="800" w:type="dxa"/>
            <w:vAlign w:val="bottom"/>
            <w:tcBorders>
              <w:bottom w:val="single" w:sz="8" w:color="00000A"/>
              <w:right w:val="single" w:sz="8" w:color="00000A"/>
            </w:tcBorders>
          </w:tcPr>
          <w:p>
            <w:pPr>
              <w:spacing w:after="0"/>
              <w:rPr>
                <w:sz w:val="23"/>
                <w:szCs w:val="23"/>
                <w:color w:val="auto"/>
              </w:rPr>
            </w:pPr>
          </w:p>
        </w:tc>
        <w:tc>
          <w:tcPr>
            <w:tcW w:w="900" w:type="dxa"/>
            <w:vAlign w:val="bottom"/>
            <w:tcBorders>
              <w:bottom w:val="single" w:sz="8" w:color="00000A"/>
              <w:right w:val="single" w:sz="8" w:color="00000A"/>
            </w:tcBorders>
          </w:tcPr>
          <w:p>
            <w:pPr>
              <w:spacing w:after="0"/>
              <w:rPr>
                <w:sz w:val="23"/>
                <w:szCs w:val="23"/>
                <w:color w:val="auto"/>
              </w:rPr>
            </w:pPr>
          </w:p>
        </w:tc>
        <w:tc>
          <w:tcPr>
            <w:tcW w:w="1020" w:type="dxa"/>
            <w:vAlign w:val="bottom"/>
            <w:tcBorders>
              <w:bottom w:val="single" w:sz="8" w:color="00000A"/>
              <w:right w:val="single" w:sz="8" w:color="00000A"/>
            </w:tcBorders>
          </w:tcPr>
          <w:p>
            <w:pPr>
              <w:spacing w:after="0"/>
              <w:rPr>
                <w:sz w:val="23"/>
                <w:szCs w:val="23"/>
                <w:color w:val="auto"/>
              </w:rPr>
            </w:pPr>
          </w:p>
        </w:tc>
        <w:tc>
          <w:tcPr>
            <w:tcW w:w="1600" w:type="dxa"/>
            <w:vAlign w:val="bottom"/>
            <w:tcBorders>
              <w:bottom w:val="single" w:sz="8" w:color="00000A"/>
              <w:right w:val="single" w:sz="8" w:color="00000A"/>
            </w:tcBorders>
          </w:tcPr>
          <w:p>
            <w:pPr>
              <w:spacing w:after="0"/>
              <w:rPr>
                <w:sz w:val="23"/>
                <w:szCs w:val="23"/>
                <w:color w:val="auto"/>
              </w:rPr>
            </w:pPr>
          </w:p>
        </w:tc>
        <w:tc>
          <w:tcPr>
            <w:tcW w:w="2160" w:type="dxa"/>
            <w:vAlign w:val="bottom"/>
            <w:tcBorders>
              <w:bottom w:val="single" w:sz="8" w:color="00000A"/>
              <w:right w:val="single" w:sz="8" w:color="00000A"/>
            </w:tcBorders>
          </w:tcPr>
          <w:p>
            <w:pPr>
              <w:spacing w:after="0"/>
              <w:rPr>
                <w:sz w:val="23"/>
                <w:szCs w:val="23"/>
                <w:color w:val="auto"/>
              </w:rPr>
            </w:pPr>
          </w:p>
        </w:tc>
      </w:tr>
      <w:tr>
        <w:trPr>
          <w:trHeight w:val="267"/>
        </w:trPr>
        <w:tc>
          <w:tcPr>
            <w:tcW w:w="840" w:type="dxa"/>
            <w:vAlign w:val="bottom"/>
            <w:tcBorders>
              <w:left w:val="single" w:sz="8" w:color="00000A"/>
              <w:bottom w:val="single" w:sz="8" w:color="00000A"/>
              <w:right w:val="single" w:sz="8" w:color="00000A"/>
            </w:tcBorders>
          </w:tcPr>
          <w:p>
            <w:pPr>
              <w:spacing w:after="0"/>
              <w:rPr>
                <w:sz w:val="23"/>
                <w:szCs w:val="23"/>
                <w:color w:val="auto"/>
              </w:rPr>
            </w:pPr>
          </w:p>
        </w:tc>
        <w:tc>
          <w:tcPr>
            <w:tcW w:w="680" w:type="dxa"/>
            <w:vAlign w:val="bottom"/>
            <w:tcBorders>
              <w:bottom w:val="single" w:sz="8" w:color="00000A"/>
              <w:right w:val="single" w:sz="8" w:color="00000A"/>
            </w:tcBorders>
          </w:tcPr>
          <w:p>
            <w:pPr>
              <w:spacing w:after="0"/>
              <w:rPr>
                <w:sz w:val="23"/>
                <w:szCs w:val="23"/>
                <w:color w:val="auto"/>
              </w:rPr>
            </w:pPr>
          </w:p>
        </w:tc>
        <w:tc>
          <w:tcPr>
            <w:tcW w:w="920" w:type="dxa"/>
            <w:vAlign w:val="bottom"/>
            <w:tcBorders>
              <w:bottom w:val="single" w:sz="8" w:color="00000A"/>
              <w:right w:val="single" w:sz="8" w:color="00000A"/>
            </w:tcBorders>
          </w:tcPr>
          <w:p>
            <w:pPr>
              <w:spacing w:after="0"/>
              <w:rPr>
                <w:sz w:val="23"/>
                <w:szCs w:val="23"/>
                <w:color w:val="auto"/>
              </w:rPr>
            </w:pPr>
          </w:p>
        </w:tc>
        <w:tc>
          <w:tcPr>
            <w:tcW w:w="580" w:type="dxa"/>
            <w:vAlign w:val="bottom"/>
            <w:tcBorders>
              <w:bottom w:val="single" w:sz="8" w:color="00000A"/>
              <w:right w:val="single" w:sz="8" w:color="00000A"/>
            </w:tcBorders>
          </w:tcPr>
          <w:p>
            <w:pPr>
              <w:spacing w:after="0"/>
              <w:rPr>
                <w:sz w:val="23"/>
                <w:szCs w:val="23"/>
                <w:color w:val="auto"/>
              </w:rPr>
            </w:pPr>
          </w:p>
        </w:tc>
        <w:tc>
          <w:tcPr>
            <w:tcW w:w="1020" w:type="dxa"/>
            <w:vAlign w:val="bottom"/>
            <w:tcBorders>
              <w:bottom w:val="single" w:sz="8" w:color="00000A"/>
              <w:right w:val="single" w:sz="8" w:color="00000A"/>
            </w:tcBorders>
          </w:tcPr>
          <w:p>
            <w:pPr>
              <w:spacing w:after="0"/>
              <w:rPr>
                <w:sz w:val="23"/>
                <w:szCs w:val="23"/>
                <w:color w:val="auto"/>
              </w:rPr>
            </w:pPr>
          </w:p>
        </w:tc>
        <w:tc>
          <w:tcPr>
            <w:tcW w:w="920" w:type="dxa"/>
            <w:vAlign w:val="bottom"/>
            <w:tcBorders>
              <w:bottom w:val="single" w:sz="8" w:color="00000A"/>
              <w:right w:val="single" w:sz="8" w:color="00000A"/>
            </w:tcBorders>
          </w:tcPr>
          <w:p>
            <w:pPr>
              <w:spacing w:after="0"/>
              <w:rPr>
                <w:sz w:val="23"/>
                <w:szCs w:val="23"/>
                <w:color w:val="auto"/>
              </w:rPr>
            </w:pPr>
          </w:p>
        </w:tc>
        <w:tc>
          <w:tcPr>
            <w:tcW w:w="800" w:type="dxa"/>
            <w:vAlign w:val="bottom"/>
            <w:tcBorders>
              <w:bottom w:val="single" w:sz="8" w:color="00000A"/>
              <w:right w:val="single" w:sz="8" w:color="00000A"/>
            </w:tcBorders>
          </w:tcPr>
          <w:p>
            <w:pPr>
              <w:spacing w:after="0"/>
              <w:rPr>
                <w:sz w:val="23"/>
                <w:szCs w:val="23"/>
                <w:color w:val="auto"/>
              </w:rPr>
            </w:pPr>
          </w:p>
        </w:tc>
        <w:tc>
          <w:tcPr>
            <w:tcW w:w="900" w:type="dxa"/>
            <w:vAlign w:val="bottom"/>
            <w:tcBorders>
              <w:bottom w:val="single" w:sz="8" w:color="00000A"/>
              <w:right w:val="single" w:sz="8" w:color="00000A"/>
            </w:tcBorders>
          </w:tcPr>
          <w:p>
            <w:pPr>
              <w:spacing w:after="0"/>
              <w:rPr>
                <w:sz w:val="23"/>
                <w:szCs w:val="23"/>
                <w:color w:val="auto"/>
              </w:rPr>
            </w:pPr>
          </w:p>
        </w:tc>
        <w:tc>
          <w:tcPr>
            <w:tcW w:w="1020" w:type="dxa"/>
            <w:vAlign w:val="bottom"/>
            <w:tcBorders>
              <w:bottom w:val="single" w:sz="8" w:color="00000A"/>
              <w:right w:val="single" w:sz="8" w:color="00000A"/>
            </w:tcBorders>
          </w:tcPr>
          <w:p>
            <w:pPr>
              <w:spacing w:after="0"/>
              <w:rPr>
                <w:sz w:val="23"/>
                <w:szCs w:val="23"/>
                <w:color w:val="auto"/>
              </w:rPr>
            </w:pPr>
          </w:p>
        </w:tc>
        <w:tc>
          <w:tcPr>
            <w:tcW w:w="1600" w:type="dxa"/>
            <w:vAlign w:val="bottom"/>
            <w:tcBorders>
              <w:bottom w:val="single" w:sz="8" w:color="00000A"/>
              <w:right w:val="single" w:sz="8" w:color="00000A"/>
            </w:tcBorders>
          </w:tcPr>
          <w:p>
            <w:pPr>
              <w:spacing w:after="0"/>
              <w:rPr>
                <w:sz w:val="23"/>
                <w:szCs w:val="23"/>
                <w:color w:val="auto"/>
              </w:rPr>
            </w:pPr>
          </w:p>
        </w:tc>
        <w:tc>
          <w:tcPr>
            <w:tcW w:w="2160" w:type="dxa"/>
            <w:vAlign w:val="bottom"/>
            <w:tcBorders>
              <w:bottom w:val="single" w:sz="8" w:color="00000A"/>
              <w:right w:val="single" w:sz="8" w:color="00000A"/>
            </w:tcBorders>
          </w:tcPr>
          <w:p>
            <w:pPr>
              <w:spacing w:after="0"/>
              <w:rPr>
                <w:sz w:val="23"/>
                <w:szCs w:val="23"/>
                <w:color w:val="auto"/>
              </w:rPr>
            </w:pPr>
          </w:p>
        </w:tc>
      </w:tr>
      <w:tr>
        <w:trPr>
          <w:trHeight w:val="267"/>
        </w:trPr>
        <w:tc>
          <w:tcPr>
            <w:tcW w:w="840" w:type="dxa"/>
            <w:vAlign w:val="bottom"/>
            <w:tcBorders>
              <w:left w:val="single" w:sz="8" w:color="00000A"/>
              <w:bottom w:val="single" w:sz="8" w:color="00000A"/>
              <w:right w:val="single" w:sz="8" w:color="00000A"/>
            </w:tcBorders>
          </w:tcPr>
          <w:p>
            <w:pPr>
              <w:spacing w:after="0"/>
              <w:rPr>
                <w:sz w:val="23"/>
                <w:szCs w:val="23"/>
                <w:color w:val="auto"/>
              </w:rPr>
            </w:pPr>
          </w:p>
        </w:tc>
        <w:tc>
          <w:tcPr>
            <w:tcW w:w="680" w:type="dxa"/>
            <w:vAlign w:val="bottom"/>
            <w:tcBorders>
              <w:bottom w:val="single" w:sz="8" w:color="00000A"/>
              <w:right w:val="single" w:sz="8" w:color="00000A"/>
            </w:tcBorders>
          </w:tcPr>
          <w:p>
            <w:pPr>
              <w:spacing w:after="0"/>
              <w:rPr>
                <w:sz w:val="23"/>
                <w:szCs w:val="23"/>
                <w:color w:val="auto"/>
              </w:rPr>
            </w:pPr>
          </w:p>
        </w:tc>
        <w:tc>
          <w:tcPr>
            <w:tcW w:w="920" w:type="dxa"/>
            <w:vAlign w:val="bottom"/>
            <w:tcBorders>
              <w:bottom w:val="single" w:sz="8" w:color="00000A"/>
              <w:right w:val="single" w:sz="8" w:color="00000A"/>
            </w:tcBorders>
          </w:tcPr>
          <w:p>
            <w:pPr>
              <w:spacing w:after="0"/>
              <w:rPr>
                <w:sz w:val="23"/>
                <w:szCs w:val="23"/>
                <w:color w:val="auto"/>
              </w:rPr>
            </w:pPr>
          </w:p>
        </w:tc>
        <w:tc>
          <w:tcPr>
            <w:tcW w:w="580" w:type="dxa"/>
            <w:vAlign w:val="bottom"/>
            <w:tcBorders>
              <w:bottom w:val="single" w:sz="8" w:color="00000A"/>
              <w:right w:val="single" w:sz="8" w:color="00000A"/>
            </w:tcBorders>
          </w:tcPr>
          <w:p>
            <w:pPr>
              <w:spacing w:after="0"/>
              <w:rPr>
                <w:sz w:val="23"/>
                <w:szCs w:val="23"/>
                <w:color w:val="auto"/>
              </w:rPr>
            </w:pPr>
          </w:p>
        </w:tc>
        <w:tc>
          <w:tcPr>
            <w:tcW w:w="1020" w:type="dxa"/>
            <w:vAlign w:val="bottom"/>
            <w:tcBorders>
              <w:bottom w:val="single" w:sz="8" w:color="00000A"/>
              <w:right w:val="single" w:sz="8" w:color="00000A"/>
            </w:tcBorders>
          </w:tcPr>
          <w:p>
            <w:pPr>
              <w:spacing w:after="0"/>
              <w:rPr>
                <w:sz w:val="23"/>
                <w:szCs w:val="23"/>
                <w:color w:val="auto"/>
              </w:rPr>
            </w:pPr>
          </w:p>
        </w:tc>
        <w:tc>
          <w:tcPr>
            <w:tcW w:w="920" w:type="dxa"/>
            <w:vAlign w:val="bottom"/>
            <w:tcBorders>
              <w:bottom w:val="single" w:sz="8" w:color="00000A"/>
              <w:right w:val="single" w:sz="8" w:color="00000A"/>
            </w:tcBorders>
          </w:tcPr>
          <w:p>
            <w:pPr>
              <w:spacing w:after="0"/>
              <w:rPr>
                <w:sz w:val="23"/>
                <w:szCs w:val="23"/>
                <w:color w:val="auto"/>
              </w:rPr>
            </w:pPr>
          </w:p>
        </w:tc>
        <w:tc>
          <w:tcPr>
            <w:tcW w:w="800" w:type="dxa"/>
            <w:vAlign w:val="bottom"/>
            <w:tcBorders>
              <w:bottom w:val="single" w:sz="8" w:color="00000A"/>
              <w:right w:val="single" w:sz="8" w:color="00000A"/>
            </w:tcBorders>
          </w:tcPr>
          <w:p>
            <w:pPr>
              <w:spacing w:after="0"/>
              <w:rPr>
                <w:sz w:val="23"/>
                <w:szCs w:val="23"/>
                <w:color w:val="auto"/>
              </w:rPr>
            </w:pPr>
          </w:p>
        </w:tc>
        <w:tc>
          <w:tcPr>
            <w:tcW w:w="900" w:type="dxa"/>
            <w:vAlign w:val="bottom"/>
            <w:tcBorders>
              <w:bottom w:val="single" w:sz="8" w:color="00000A"/>
              <w:right w:val="single" w:sz="8" w:color="00000A"/>
            </w:tcBorders>
          </w:tcPr>
          <w:p>
            <w:pPr>
              <w:spacing w:after="0"/>
              <w:rPr>
                <w:sz w:val="23"/>
                <w:szCs w:val="23"/>
                <w:color w:val="auto"/>
              </w:rPr>
            </w:pPr>
          </w:p>
        </w:tc>
        <w:tc>
          <w:tcPr>
            <w:tcW w:w="1020" w:type="dxa"/>
            <w:vAlign w:val="bottom"/>
            <w:tcBorders>
              <w:bottom w:val="single" w:sz="8" w:color="00000A"/>
              <w:right w:val="single" w:sz="8" w:color="00000A"/>
            </w:tcBorders>
          </w:tcPr>
          <w:p>
            <w:pPr>
              <w:spacing w:after="0"/>
              <w:rPr>
                <w:sz w:val="23"/>
                <w:szCs w:val="23"/>
                <w:color w:val="auto"/>
              </w:rPr>
            </w:pPr>
          </w:p>
        </w:tc>
        <w:tc>
          <w:tcPr>
            <w:tcW w:w="1600" w:type="dxa"/>
            <w:vAlign w:val="bottom"/>
            <w:tcBorders>
              <w:bottom w:val="single" w:sz="8" w:color="00000A"/>
              <w:right w:val="single" w:sz="8" w:color="00000A"/>
            </w:tcBorders>
          </w:tcPr>
          <w:p>
            <w:pPr>
              <w:spacing w:after="0"/>
              <w:rPr>
                <w:sz w:val="23"/>
                <w:szCs w:val="23"/>
                <w:color w:val="auto"/>
              </w:rPr>
            </w:pPr>
          </w:p>
        </w:tc>
        <w:tc>
          <w:tcPr>
            <w:tcW w:w="2160" w:type="dxa"/>
            <w:vAlign w:val="bottom"/>
            <w:tcBorders>
              <w:bottom w:val="single" w:sz="8" w:color="00000A"/>
              <w:right w:val="single" w:sz="8" w:color="00000A"/>
            </w:tcBorders>
          </w:tcPr>
          <w:p>
            <w:pPr>
              <w:spacing w:after="0"/>
              <w:rPr>
                <w:sz w:val="23"/>
                <w:szCs w:val="23"/>
                <w:color w:val="auto"/>
              </w:rPr>
            </w:pPr>
          </w:p>
        </w:tc>
      </w:tr>
    </w:tbl>
    <w:p>
      <w:pPr>
        <w:spacing w:after="0" w:line="200" w:lineRule="exact"/>
        <w:rPr>
          <w:sz w:val="20"/>
          <w:szCs w:val="20"/>
          <w:color w:val="auto"/>
        </w:rPr>
      </w:pPr>
    </w:p>
    <w:p>
      <w:pPr>
        <w:spacing w:after="0" w:line="262" w:lineRule="exact"/>
        <w:rPr>
          <w:sz w:val="20"/>
          <w:szCs w:val="20"/>
          <w:color w:val="auto"/>
        </w:rPr>
      </w:pPr>
    </w:p>
    <w:p>
      <w:pPr>
        <w:spacing w:after="0"/>
        <w:tabs>
          <w:tab w:leader="none" w:pos="8320" w:val="left"/>
        </w:tabs>
        <w:rPr>
          <w:sz w:val="20"/>
          <w:szCs w:val="20"/>
          <w:color w:val="auto"/>
        </w:rPr>
      </w:pPr>
      <w:r>
        <w:rPr>
          <w:rFonts w:ascii="Arial" w:cs="Arial" w:eastAsia="Arial" w:hAnsi="Arial"/>
          <w:sz w:val="20"/>
          <w:szCs w:val="20"/>
          <w:b w:val="1"/>
          <w:bCs w:val="1"/>
          <w:color w:val="auto"/>
        </w:rPr>
        <w:t>Occupancy Rate for all Unencumbered Eligible Properties (excluding Hotel Properties):</w:t>
      </w:r>
      <w:r>
        <w:rPr>
          <w:sz w:val="20"/>
          <w:szCs w:val="20"/>
          <w:color w:val="auto"/>
        </w:rPr>
        <w:tab/>
      </w:r>
      <w:r>
        <w:rPr>
          <w:rFonts w:ascii="Arial" w:cs="Arial" w:eastAsia="Arial" w:hAnsi="Arial"/>
          <w:sz w:val="19"/>
          <w:szCs w:val="19"/>
          <w:b w:val="1"/>
          <w:bCs w:val="1"/>
          <w:color w:val="auto"/>
        </w:rPr>
        <w:t>__%</w:t>
      </w:r>
    </w:p>
    <w:p>
      <w:pPr>
        <w:spacing w:after="0" w:line="29" w:lineRule="exact"/>
        <w:rPr>
          <w:sz w:val="20"/>
          <w:szCs w:val="20"/>
          <w:color w:val="auto"/>
        </w:rPr>
      </w:pPr>
    </w:p>
    <w:p>
      <w:pPr>
        <w:spacing w:after="0"/>
        <w:tabs>
          <w:tab w:leader="none" w:pos="9480" w:val="left"/>
        </w:tabs>
        <w:rPr>
          <w:sz w:val="20"/>
          <w:szCs w:val="20"/>
          <w:color w:val="auto"/>
        </w:rPr>
      </w:pPr>
      <w:r>
        <w:rPr>
          <w:rFonts w:ascii="Arial" w:cs="Arial" w:eastAsia="Arial" w:hAnsi="Arial"/>
          <w:sz w:val="19"/>
          <w:szCs w:val="19"/>
          <w:b w:val="1"/>
          <w:bCs w:val="1"/>
          <w:color w:val="auto"/>
        </w:rPr>
        <w:t>Minimum Permitted Occupancy Rate for all Unencumbered Eligible Properties (excluding Hotel Properties):</w:t>
        <w:tab/>
        <w:t>80%</w:t>
      </w:r>
    </w:p>
    <w:p>
      <w:pPr>
        <w:spacing w:after="0" w:line="200" w:lineRule="exact"/>
        <w:rPr>
          <w:sz w:val="20"/>
          <w:szCs w:val="20"/>
          <w:color w:val="auto"/>
        </w:rPr>
      </w:pPr>
    </w:p>
    <w:p>
      <w:pPr>
        <w:spacing w:after="0" w:line="271" w:lineRule="exact"/>
        <w:rPr>
          <w:sz w:val="20"/>
          <w:szCs w:val="20"/>
          <w:color w:val="auto"/>
        </w:rPr>
      </w:pPr>
    </w:p>
    <w:p>
      <w:pPr>
        <w:spacing w:after="0"/>
        <w:tabs>
          <w:tab w:leader="none" w:pos="2900" w:val="left"/>
        </w:tabs>
        <w:rPr>
          <w:sz w:val="20"/>
          <w:szCs w:val="20"/>
          <w:color w:val="auto"/>
        </w:rPr>
      </w:pPr>
      <w:r>
        <w:rPr>
          <w:rFonts w:ascii="Arial" w:cs="Arial" w:eastAsia="Arial" w:hAnsi="Arial"/>
          <w:sz w:val="20"/>
          <w:szCs w:val="20"/>
          <w:b w:val="1"/>
          <w:bCs w:val="1"/>
          <w:color w:val="auto"/>
        </w:rPr>
        <w:t>Aggregate Unencumbered NOI:</w:t>
      </w:r>
      <w:r>
        <w:rPr>
          <w:sz w:val="20"/>
          <w:szCs w:val="20"/>
          <w:color w:val="auto"/>
        </w:rPr>
        <w:tab/>
      </w:r>
      <w:r>
        <w:rPr>
          <w:rFonts w:ascii="Arial" w:cs="Arial" w:eastAsia="Arial" w:hAnsi="Arial"/>
          <w:sz w:val="17"/>
          <w:szCs w:val="17"/>
          <w:b w:val="1"/>
          <w:bCs w:val="1"/>
          <w:color w:val="auto"/>
        </w:rPr>
        <w:t>$___________</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Acquisition Costs for all Newly-Acquired Portfolio Properties that are Unencumbered Eligible Properties: $___________</w:t>
      </w:r>
      <w:r>
        <w:rPr>
          <w:rFonts w:ascii="Arial" w:cs="Arial" w:eastAsia="Arial" w:hAnsi="Arial"/>
          <w:sz w:val="23"/>
          <w:szCs w:val="23"/>
          <w:b w:val="1"/>
          <w:bCs w:val="1"/>
          <w:color w:val="auto"/>
          <w:vertAlign w:val="superscript"/>
        </w:rPr>
        <w:t>2</w:t>
      </w:r>
    </w:p>
    <w:p>
      <w:pPr>
        <w:spacing w:after="0" w:line="218" w:lineRule="exact"/>
        <w:rPr>
          <w:sz w:val="20"/>
          <w:szCs w:val="20"/>
          <w:color w:val="auto"/>
        </w:rPr>
      </w:pPr>
    </w:p>
    <w:p>
      <w:pPr>
        <w:ind w:right="380"/>
        <w:spacing w:after="0" w:line="279" w:lineRule="auto"/>
        <w:rPr>
          <w:sz w:val="20"/>
          <w:szCs w:val="20"/>
          <w:color w:val="auto"/>
        </w:rPr>
      </w:pPr>
      <w:r>
        <w:rPr>
          <w:rFonts w:ascii="Arial" w:cs="Arial" w:eastAsia="Arial" w:hAnsi="Arial"/>
          <w:sz w:val="20"/>
          <w:szCs w:val="20"/>
          <w:b w:val="1"/>
          <w:bCs w:val="1"/>
          <w:color w:val="auto"/>
        </w:rPr>
        <w:t>Aggregate Undepreciated Book Value of all Qualified Development Properties that are Unencumbered Eligible Properties or Non-Stabilized Portfolio Properties: $___________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1 Include only Loan Party Pro Rata Share of Unencumbered Property NOI for properties owned, or ground leased under Eligible Ground Leases, by Controlled Joint Ventures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2 Include only Loan Party Pro Rata Share of acquisition costs for properties acquired by Controlled Joint Ventures</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D-12</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Form of Compliance Certificate</w:t>
      </w:r>
    </w:p>
    <w:p>
      <w:pPr>
        <w:sectPr>
          <w:pgSz w:w="11900" w:h="16838" w:orient="portrait"/>
          <w:cols w:equalWidth="0" w:num="1">
            <w:col w:w="11440"/>
          </w:cols>
          <w:pgMar w:left="240" w:top="552" w:right="219" w:bottom="1440" w:gutter="0" w:footer="0" w:header="0"/>
        </w:sectPr>
      </w:pPr>
    </w:p>
    <w:bookmarkStart w:id="186" w:name="page187"/>
    <w:bookmarkEnd w:id="186"/>
    <w:p>
      <w:pPr>
        <w:jc w:val="right"/>
        <w:spacing w:after="0"/>
        <w:rPr>
          <w:sz w:val="20"/>
          <w:szCs w:val="20"/>
          <w:color w:val="auto"/>
        </w:rPr>
      </w:pPr>
      <w:r>
        <w:rPr>
          <w:rFonts w:ascii="Arial" w:cs="Arial" w:eastAsia="Arial" w:hAnsi="Arial"/>
          <w:sz w:val="20"/>
          <w:szCs w:val="20"/>
          <w:b w:val="1"/>
          <w:bCs w:val="1"/>
          <w:i w:val="1"/>
          <w:iCs w:val="1"/>
          <w:color w:val="auto"/>
        </w:rPr>
        <w:t>EXHIBIT E-1</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w:t>
      </w:r>
    </w:p>
    <w:p>
      <w:pPr>
        <w:spacing w:after="0" w:line="209"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This Assignment and Assumption (this “Assignment and Assumption”) is dated as of the Effective Date set forth below and is entered into by and between [the][each]</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Assignor identified in item 1 below ([the][each, an] “Assignor”) and [the][each]</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Assignee identified in item 2 below ([the][each, an] “Assignee”). [It is understood and agreed that the rights and obligations of [the Assignors][the Assignees]</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hereunder are several and not joint.]</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Capitalized terms used but not defined herein shall have the meanings given to them in the Second Amended and Restated Credit Agreement identified below (the “Credit Agreement”),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 [the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in the case of an assignment of the revolving credit facility, the Letters of Credit and the Swing Line Loans included in such revolving credit facility) and</w:t>
      </w:r>
    </w:p>
    <w:p>
      <w:pPr>
        <w:spacing w:after="0" w:line="5" w:lineRule="exact"/>
        <w:rPr>
          <w:sz w:val="20"/>
          <w:szCs w:val="20"/>
          <w:color w:val="auto"/>
        </w:rPr>
      </w:pPr>
    </w:p>
    <w:p>
      <w:pPr>
        <w:jc w:val="both"/>
        <w:spacing w:after="0" w:line="264" w:lineRule="auto"/>
        <w:tabs>
          <w:tab w:leader="none" w:pos="278"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7"/>
          <w:szCs w:val="17"/>
          <w:u w:val="single" w:color="auto"/>
          <w:color w:val="auto"/>
        </w:rPr>
        <w:t>Assigned Interest</w:t>
      </w:r>
      <w:r>
        <w:rPr>
          <w:rFonts w:ascii="Arial" w:cs="Arial" w:eastAsia="Arial" w:hAnsi="Arial"/>
          <w:sz w:val="17"/>
          <w:szCs w:val="17"/>
          <w:color w:val="auto"/>
        </w:rPr>
        <w:t>”). Each such sale and assignment is without recourse to [the][any] Assignor and, except as expressly provided in this Assignment and Assumption, without representation or warranty by [the][any] Assignor.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w:t>
      </w:r>
    </w:p>
    <w:p>
      <w:pPr>
        <w:spacing w:after="0" w:line="11" w:lineRule="exact"/>
        <w:rPr>
          <w:sz w:val="20"/>
          <w:szCs w:val="20"/>
          <w:color w:val="auto"/>
        </w:rPr>
      </w:pPr>
    </w:p>
    <w:p>
      <w:pPr>
        <w:ind w:left="80" w:right="220" w:hanging="80"/>
        <w:spacing w:after="0"/>
        <w:tabs>
          <w:tab w:leader="none" w:pos="67" w:val="left"/>
        </w:tabs>
        <w:numPr>
          <w:ilvl w:val="0"/>
          <w:numId w:val="227"/>
        </w:numPr>
        <w:rPr>
          <w:rFonts w:ascii="Arial" w:cs="Arial" w:eastAsia="Arial" w:hAnsi="Arial"/>
          <w:sz w:val="8"/>
          <w:szCs w:val="8"/>
          <w:color w:val="auto"/>
        </w:rPr>
      </w:pPr>
      <w:r>
        <w:rPr>
          <w:rFonts w:ascii="Arial" w:cs="Arial" w:eastAsia="Arial" w:hAnsi="Arial"/>
          <w:sz w:val="13"/>
          <w:szCs w:val="13"/>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1" w:lineRule="exact"/>
        <w:rPr>
          <w:sz w:val="20"/>
          <w:szCs w:val="20"/>
          <w:color w:val="auto"/>
        </w:rPr>
      </w:pPr>
    </w:p>
    <w:p>
      <w:pPr>
        <w:ind w:left="80" w:right="100" w:hanging="80"/>
        <w:spacing w:after="0"/>
        <w:tabs>
          <w:tab w:leader="none" w:pos="67" w:val="left"/>
        </w:tabs>
        <w:numPr>
          <w:ilvl w:val="0"/>
          <w:numId w:val="228"/>
        </w:numPr>
        <w:rPr>
          <w:rFonts w:ascii="Arial" w:cs="Arial" w:eastAsia="Arial" w:hAnsi="Arial"/>
          <w:sz w:val="8"/>
          <w:szCs w:val="8"/>
          <w:color w:val="auto"/>
        </w:rPr>
      </w:pPr>
      <w:r>
        <w:rPr>
          <w:rFonts w:ascii="Arial" w:cs="Arial" w:eastAsia="Arial" w:hAnsi="Arial"/>
          <w:sz w:val="13"/>
          <w:szCs w:val="13"/>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spacing w:after="0" w:line="1" w:lineRule="exact"/>
        <w:rPr>
          <w:sz w:val="20"/>
          <w:szCs w:val="20"/>
          <w:color w:val="auto"/>
        </w:rPr>
      </w:pPr>
    </w:p>
    <w:p>
      <w:pPr>
        <w:ind w:left="60" w:hanging="60"/>
        <w:spacing w:after="0"/>
        <w:tabs>
          <w:tab w:leader="none" w:pos="60" w:val="left"/>
        </w:tabs>
        <w:numPr>
          <w:ilvl w:val="0"/>
          <w:numId w:val="229"/>
        </w:numPr>
        <w:rPr>
          <w:rFonts w:ascii="Arial" w:cs="Arial" w:eastAsia="Arial" w:hAnsi="Arial"/>
          <w:sz w:val="8"/>
          <w:szCs w:val="8"/>
          <w:color w:val="auto"/>
        </w:rPr>
      </w:pPr>
      <w:r>
        <w:rPr>
          <w:rFonts w:ascii="Arial" w:cs="Arial" w:eastAsia="Arial" w:hAnsi="Arial"/>
          <w:sz w:val="13"/>
          <w:szCs w:val="13"/>
          <w:color w:val="auto"/>
        </w:rPr>
        <w:t>Select as appropriate.</w:t>
      </w:r>
    </w:p>
    <w:p>
      <w:pPr>
        <w:ind w:left="60" w:hanging="60"/>
        <w:spacing w:after="0"/>
        <w:tabs>
          <w:tab w:leader="none" w:pos="60" w:val="left"/>
        </w:tabs>
        <w:numPr>
          <w:ilvl w:val="0"/>
          <w:numId w:val="230"/>
        </w:numPr>
        <w:rPr>
          <w:rFonts w:ascii="Arial" w:cs="Arial" w:eastAsia="Arial" w:hAnsi="Arial"/>
          <w:sz w:val="8"/>
          <w:szCs w:val="8"/>
          <w:color w:val="auto"/>
        </w:rPr>
      </w:pPr>
      <w:r>
        <w:rPr>
          <w:rFonts w:ascii="Arial" w:cs="Arial" w:eastAsia="Arial" w:hAnsi="Arial"/>
          <w:sz w:val="13"/>
          <w:szCs w:val="13"/>
          <w:color w:val="auto"/>
        </w:rPr>
        <w:t>Include bracketed language if there are either multiple Assignors or multiple Assignees.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E-1-1</w:t>
      </w:r>
    </w:p>
    <w:p>
      <w:pPr>
        <w:sectPr>
          <w:pgSz w:w="11900" w:h="16838" w:orient="portrait"/>
          <w:cols w:equalWidth="0" w:num="1">
            <w:col w:w="11420"/>
          </w:cols>
          <w:pgMar w:left="240" w:top="558" w:right="239" w:bottom="1440" w:gutter="0" w:footer="0" w:header="0"/>
        </w:sectPr>
      </w:pPr>
    </w:p>
    <w:bookmarkStart w:id="187" w:name="page188"/>
    <w:bookmarkEnd w:id="187"/>
    <w:p>
      <w:pPr>
        <w:ind w:left="600" w:hanging="600"/>
        <w:spacing w:after="0"/>
        <w:tabs>
          <w:tab w:leader="none" w:pos="600" w:val="left"/>
        </w:tabs>
        <w:numPr>
          <w:ilvl w:val="0"/>
          <w:numId w:val="231"/>
        </w:numPr>
        <w:rPr>
          <w:rFonts w:ascii="Arial" w:cs="Arial" w:eastAsia="Arial" w:hAnsi="Arial"/>
          <w:sz w:val="19"/>
          <w:szCs w:val="19"/>
          <w:color w:val="auto"/>
        </w:rPr>
      </w:pPr>
      <w:r>
        <w:rPr>
          <w:rFonts w:ascii="Arial" w:cs="Arial" w:eastAsia="Arial" w:hAnsi="Arial"/>
          <w:sz w:val="19"/>
          <w:szCs w:val="19"/>
          <w:u w:val="single" w:color="auto"/>
          <w:color w:val="auto"/>
        </w:rPr>
        <w:t>Assignor[s]</w:t>
      </w:r>
      <w:r>
        <w:rPr>
          <w:rFonts w:ascii="Arial" w:cs="Arial" w:eastAsia="Arial" w:hAnsi="Arial"/>
          <w:sz w:val="19"/>
          <w:szCs w:val="19"/>
          <w:color w:val="auto"/>
        </w:rPr>
        <w:t>:  ______________________________</w:t>
      </w:r>
    </w:p>
    <w:p>
      <w:pPr>
        <w:spacing w:after="0" w:line="231" w:lineRule="exact"/>
        <w:rPr>
          <w:rFonts w:ascii="Arial" w:cs="Arial" w:eastAsia="Arial" w:hAnsi="Arial"/>
          <w:sz w:val="19"/>
          <w:szCs w:val="19"/>
          <w:color w:val="auto"/>
        </w:rPr>
      </w:pPr>
    </w:p>
    <w:p>
      <w:pPr>
        <w:ind w:left="2400"/>
        <w:spacing w:after="0"/>
        <w:rPr>
          <w:rFonts w:ascii="Arial" w:cs="Arial" w:eastAsia="Arial" w:hAnsi="Arial"/>
          <w:sz w:val="19"/>
          <w:szCs w:val="19"/>
          <w:color w:val="auto"/>
        </w:rPr>
      </w:pPr>
      <w:r>
        <w:rPr>
          <w:rFonts w:ascii="Arial" w:cs="Arial" w:eastAsia="Arial" w:hAnsi="Arial"/>
          <w:sz w:val="19"/>
          <w:szCs w:val="19"/>
          <w:color w:val="auto"/>
        </w:rPr>
        <w:t>______________________________</w:t>
      </w:r>
    </w:p>
    <w:p>
      <w:pPr>
        <w:spacing w:after="0" w:line="231"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[Assignor [is][is not] a Defaulting Lender</w:t>
      </w:r>
    </w:p>
    <w:p>
      <w:pPr>
        <w:spacing w:after="0" w:line="231" w:lineRule="exact"/>
        <w:rPr>
          <w:sz w:val="20"/>
          <w:szCs w:val="20"/>
          <w:color w:val="auto"/>
        </w:rPr>
      </w:pPr>
    </w:p>
    <w:p>
      <w:pPr>
        <w:ind w:left="600" w:hanging="600"/>
        <w:spacing w:after="0"/>
        <w:tabs>
          <w:tab w:leader="none" w:pos="600" w:val="left"/>
        </w:tabs>
        <w:numPr>
          <w:ilvl w:val="0"/>
          <w:numId w:val="232"/>
        </w:numPr>
        <w:rPr>
          <w:rFonts w:ascii="Arial" w:cs="Arial" w:eastAsia="Arial" w:hAnsi="Arial"/>
          <w:sz w:val="19"/>
          <w:szCs w:val="19"/>
          <w:color w:val="auto"/>
        </w:rPr>
      </w:pPr>
      <w:r>
        <w:rPr>
          <w:rFonts w:ascii="Arial" w:cs="Arial" w:eastAsia="Arial" w:hAnsi="Arial"/>
          <w:sz w:val="19"/>
          <w:szCs w:val="19"/>
          <w:u w:val="single" w:color="auto"/>
          <w:color w:val="auto"/>
        </w:rPr>
        <w:t>Assignee[s]</w:t>
      </w:r>
      <w:r>
        <w:rPr>
          <w:rFonts w:ascii="Arial" w:cs="Arial" w:eastAsia="Arial" w:hAnsi="Arial"/>
          <w:sz w:val="19"/>
          <w:szCs w:val="19"/>
          <w:color w:val="auto"/>
        </w:rPr>
        <w:t>:  ______________________________</w:t>
      </w:r>
    </w:p>
    <w:p>
      <w:pPr>
        <w:spacing w:after="0" w:line="231" w:lineRule="exact"/>
        <w:rPr>
          <w:sz w:val="20"/>
          <w:szCs w:val="20"/>
          <w:color w:val="auto"/>
        </w:rPr>
      </w:pPr>
    </w:p>
    <w:p>
      <w:pPr>
        <w:ind w:left="2400"/>
        <w:spacing w:after="0"/>
        <w:rPr>
          <w:sz w:val="20"/>
          <w:szCs w:val="20"/>
          <w:color w:val="auto"/>
        </w:rPr>
      </w:pPr>
      <w:r>
        <w:rPr>
          <w:rFonts w:ascii="Arial" w:cs="Arial" w:eastAsia="Arial" w:hAnsi="Arial"/>
          <w:sz w:val="19"/>
          <w:szCs w:val="19"/>
          <w:color w:val="auto"/>
        </w:rPr>
        <w:t>______________________________</w:t>
      </w:r>
    </w:p>
    <w:p>
      <w:pPr>
        <w:spacing w:after="0" w:line="22"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[for each Assignee, indicate [Affiliate][Approved Fund] of [</w:t>
      </w:r>
      <w:r>
        <w:rPr>
          <w:rFonts w:ascii="Arial" w:cs="Arial" w:eastAsia="Arial" w:hAnsi="Arial"/>
          <w:sz w:val="19"/>
          <w:szCs w:val="19"/>
          <w:i w:val="1"/>
          <w:iCs w:val="1"/>
          <w:color w:val="auto"/>
        </w:rPr>
        <w:t>identify Lender</w:t>
      </w:r>
      <w:r>
        <w:rPr>
          <w:rFonts w:ascii="Arial" w:cs="Arial" w:eastAsia="Arial" w:hAnsi="Arial"/>
          <w:sz w:val="19"/>
          <w:szCs w:val="19"/>
          <w:color w:val="auto"/>
        </w:rPr>
        <w:t>]]</w:t>
      </w:r>
    </w:p>
    <w:p>
      <w:pPr>
        <w:spacing w:after="0" w:line="215" w:lineRule="exact"/>
        <w:rPr>
          <w:sz w:val="20"/>
          <w:szCs w:val="20"/>
          <w:color w:val="auto"/>
        </w:rPr>
      </w:pPr>
    </w:p>
    <w:p>
      <w:pPr>
        <w:ind w:left="600" w:hanging="600"/>
        <w:spacing w:after="0"/>
        <w:tabs>
          <w:tab w:leader="none" w:pos="600" w:val="left"/>
        </w:tabs>
        <w:numPr>
          <w:ilvl w:val="0"/>
          <w:numId w:val="233"/>
        </w:numPr>
        <w:rPr>
          <w:rFonts w:ascii="Arial" w:cs="Arial" w:eastAsia="Arial" w:hAnsi="Arial"/>
          <w:sz w:val="19"/>
          <w:szCs w:val="19"/>
          <w:color w:val="auto"/>
        </w:rPr>
      </w:pPr>
      <w:r>
        <w:rPr>
          <w:rFonts w:ascii="Arial" w:cs="Arial" w:eastAsia="Arial" w:hAnsi="Arial"/>
          <w:sz w:val="19"/>
          <w:szCs w:val="19"/>
          <w:u w:val="single" w:color="auto"/>
          <w:color w:val="auto"/>
        </w:rPr>
        <w:t>Borrower</w:t>
      </w:r>
      <w:r>
        <w:rPr>
          <w:rFonts w:ascii="Arial" w:cs="Arial" w:eastAsia="Arial" w:hAnsi="Arial"/>
          <w:sz w:val="19"/>
          <w:szCs w:val="19"/>
          <w:color w:val="auto"/>
        </w:rPr>
        <w:t>:  American Assets Trust, L.P., a Maryland limited partnership</w:t>
      </w:r>
    </w:p>
    <w:p>
      <w:pPr>
        <w:spacing w:after="0" w:line="231" w:lineRule="exact"/>
        <w:rPr>
          <w:rFonts w:ascii="Arial" w:cs="Arial" w:eastAsia="Arial" w:hAnsi="Arial"/>
          <w:sz w:val="19"/>
          <w:szCs w:val="19"/>
          <w:color w:val="auto"/>
        </w:rPr>
      </w:pPr>
    </w:p>
    <w:p>
      <w:pPr>
        <w:ind w:left="600" w:hanging="600"/>
        <w:spacing w:after="0"/>
        <w:tabs>
          <w:tab w:leader="none" w:pos="600" w:val="left"/>
        </w:tabs>
        <w:numPr>
          <w:ilvl w:val="0"/>
          <w:numId w:val="233"/>
        </w:numPr>
        <w:rPr>
          <w:rFonts w:ascii="Arial" w:cs="Arial" w:eastAsia="Arial" w:hAnsi="Arial"/>
          <w:sz w:val="19"/>
          <w:szCs w:val="19"/>
          <w:color w:val="auto"/>
        </w:rPr>
      </w:pPr>
      <w:r>
        <w:rPr>
          <w:rFonts w:ascii="Arial" w:cs="Arial" w:eastAsia="Arial" w:hAnsi="Arial"/>
          <w:sz w:val="19"/>
          <w:szCs w:val="19"/>
          <w:u w:val="single" w:color="auto"/>
          <w:color w:val="auto"/>
        </w:rPr>
        <w:t>Administrative Agent</w:t>
      </w:r>
      <w:r>
        <w:rPr>
          <w:rFonts w:ascii="Arial" w:cs="Arial" w:eastAsia="Arial" w:hAnsi="Arial"/>
          <w:sz w:val="19"/>
          <w:szCs w:val="19"/>
          <w:color w:val="auto"/>
        </w:rPr>
        <w:t>:   Bank of America, N.A., as the administrative agent under the Credit Agreement</w:t>
      </w:r>
    </w:p>
    <w:p>
      <w:pPr>
        <w:spacing w:after="0" w:line="231" w:lineRule="exact"/>
        <w:rPr>
          <w:rFonts w:ascii="Arial" w:cs="Arial" w:eastAsia="Arial" w:hAnsi="Arial"/>
          <w:sz w:val="19"/>
          <w:szCs w:val="19"/>
          <w:color w:val="auto"/>
        </w:rPr>
      </w:pPr>
    </w:p>
    <w:p>
      <w:pPr>
        <w:jc w:val="both"/>
        <w:ind w:left="600" w:hanging="600"/>
        <w:spacing w:after="0" w:line="260" w:lineRule="auto"/>
        <w:tabs>
          <w:tab w:leader="none" w:pos="600" w:val="left"/>
        </w:tabs>
        <w:numPr>
          <w:ilvl w:val="0"/>
          <w:numId w:val="233"/>
        </w:numPr>
        <w:rPr>
          <w:rFonts w:ascii="Arial" w:cs="Arial" w:eastAsia="Arial" w:hAnsi="Arial"/>
          <w:sz w:val="19"/>
          <w:szCs w:val="19"/>
          <w:color w:val="auto"/>
        </w:rPr>
      </w:pPr>
      <w:r>
        <w:rPr>
          <w:rFonts w:ascii="Arial" w:cs="Arial" w:eastAsia="Arial" w:hAnsi="Arial"/>
          <w:sz w:val="19"/>
          <w:szCs w:val="19"/>
          <w:u w:val="single" w:color="auto"/>
          <w:color w:val="auto"/>
        </w:rPr>
        <w:t>Credit Agreement</w:t>
      </w:r>
      <w:r>
        <w:rPr>
          <w:rFonts w:ascii="Arial" w:cs="Arial" w:eastAsia="Arial" w:hAnsi="Arial"/>
          <w:sz w:val="19"/>
          <w:szCs w:val="19"/>
          <w:color w:val="auto"/>
        </w:rPr>
        <w:t>: Second Amended and Restated Credit Agreement, dated as of January 9, 2018, among American Assets Trust, Inc., the Borrower, the Lenders, L/C Issuers and Swing Line Lenders from time to time party thereto, and Bank of America, N.A., as Administrative Agent</w:t>
      </w:r>
    </w:p>
    <w:p>
      <w:pPr>
        <w:spacing w:after="0" w:line="189" w:lineRule="exact"/>
        <w:rPr>
          <w:rFonts w:ascii="Arial" w:cs="Arial" w:eastAsia="Arial" w:hAnsi="Arial"/>
          <w:sz w:val="19"/>
          <w:szCs w:val="19"/>
          <w:color w:val="auto"/>
        </w:rPr>
      </w:pPr>
    </w:p>
    <w:p>
      <w:pPr>
        <w:ind w:left="600" w:hanging="600"/>
        <w:spacing w:after="0"/>
        <w:tabs>
          <w:tab w:leader="none" w:pos="600" w:val="left"/>
        </w:tabs>
        <w:numPr>
          <w:ilvl w:val="0"/>
          <w:numId w:val="233"/>
        </w:numPr>
        <w:rPr>
          <w:rFonts w:ascii="Arial" w:cs="Arial" w:eastAsia="Arial" w:hAnsi="Arial"/>
          <w:sz w:val="19"/>
          <w:szCs w:val="19"/>
          <w:color w:val="auto"/>
        </w:rPr>
      </w:pPr>
      <w:r>
        <w:rPr>
          <w:rFonts w:ascii="Arial" w:cs="Arial" w:eastAsia="Arial" w:hAnsi="Arial"/>
          <w:sz w:val="19"/>
          <w:szCs w:val="19"/>
          <w:u w:val="single" w:color="auto"/>
          <w:color w:val="auto"/>
        </w:rPr>
        <w:t>Assigned Interest[s]</w:t>
      </w:r>
      <w:r>
        <w:rPr>
          <w:rFonts w:ascii="Arial" w:cs="Arial" w:eastAsia="Arial" w:hAnsi="Arial"/>
          <w:sz w:val="19"/>
          <w:szCs w:val="19"/>
          <w:color w:val="auto"/>
        </w:rPr>
        <w:t>:</w:t>
      </w:r>
    </w:p>
    <w:p>
      <w:pPr>
        <w:spacing w:after="0" w:line="348" w:lineRule="exact"/>
        <w:rPr>
          <w:sz w:val="20"/>
          <w:szCs w:val="20"/>
          <w:color w:val="auto"/>
        </w:rPr>
      </w:pPr>
    </w:p>
    <w:tbl>
      <w:tblPr>
        <w:tblLayout w:type="fixed"/>
        <w:tblInd w:w="10" w:type="dxa"/>
        <w:tblCellMar>
          <w:top w:w="0" w:type="dxa"/>
          <w:left w:w="0" w:type="dxa"/>
          <w:bottom w:w="0" w:type="dxa"/>
          <w:right w:w="0" w:type="dxa"/>
        </w:tblCellMar>
      </w:tblPr>
      <w:tr>
        <w:trPr>
          <w:trHeight w:val="159"/>
        </w:trPr>
        <w:tc>
          <w:tcPr>
            <w:tcW w:w="300" w:type="dxa"/>
            <w:vAlign w:val="bottom"/>
            <w:tcBorders>
              <w:top w:val="single" w:sz="8" w:color="00000A"/>
              <w:left w:val="single" w:sz="8" w:color="00000A"/>
            </w:tcBorders>
          </w:tcPr>
          <w:p>
            <w:pPr>
              <w:spacing w:after="0"/>
              <w:rPr>
                <w:sz w:val="13"/>
                <w:szCs w:val="13"/>
                <w:color w:val="auto"/>
              </w:rPr>
            </w:pPr>
          </w:p>
        </w:tc>
        <w:tc>
          <w:tcPr>
            <w:tcW w:w="100" w:type="dxa"/>
            <w:vAlign w:val="bottom"/>
            <w:tcBorders>
              <w:top w:val="single" w:sz="8" w:color="00000A"/>
            </w:tcBorders>
          </w:tcPr>
          <w:p>
            <w:pPr>
              <w:spacing w:after="0"/>
              <w:rPr>
                <w:sz w:val="13"/>
                <w:szCs w:val="13"/>
                <w:color w:val="auto"/>
              </w:rPr>
            </w:pPr>
          </w:p>
        </w:tc>
        <w:tc>
          <w:tcPr>
            <w:tcW w:w="200" w:type="dxa"/>
            <w:vAlign w:val="bottom"/>
            <w:tcBorders>
              <w:top w:val="single" w:sz="8" w:color="00000A"/>
            </w:tcBorders>
          </w:tcPr>
          <w:p>
            <w:pPr>
              <w:spacing w:after="0"/>
              <w:rPr>
                <w:sz w:val="13"/>
                <w:szCs w:val="13"/>
                <w:color w:val="auto"/>
              </w:rPr>
            </w:pPr>
          </w:p>
        </w:tc>
        <w:tc>
          <w:tcPr>
            <w:tcW w:w="420" w:type="dxa"/>
            <w:vAlign w:val="bottom"/>
            <w:tcBorders>
              <w:top w:val="single" w:sz="8" w:color="00000A"/>
            </w:tcBorders>
          </w:tcPr>
          <w:p>
            <w:pPr>
              <w:spacing w:after="0"/>
              <w:rPr>
                <w:sz w:val="13"/>
                <w:szCs w:val="13"/>
                <w:color w:val="auto"/>
              </w:rPr>
            </w:pPr>
          </w:p>
        </w:tc>
        <w:tc>
          <w:tcPr>
            <w:tcW w:w="420" w:type="dxa"/>
            <w:vAlign w:val="bottom"/>
            <w:tcBorders>
              <w:top w:val="single" w:sz="8" w:color="00000A"/>
            </w:tcBorders>
          </w:tcPr>
          <w:p>
            <w:pPr>
              <w:spacing w:after="0"/>
              <w:rPr>
                <w:sz w:val="13"/>
                <w:szCs w:val="13"/>
                <w:color w:val="auto"/>
              </w:rPr>
            </w:pPr>
          </w:p>
        </w:tc>
        <w:tc>
          <w:tcPr>
            <w:tcW w:w="40" w:type="dxa"/>
            <w:vAlign w:val="bottom"/>
            <w:tcBorders>
              <w:top w:val="single" w:sz="8" w:color="00000A"/>
              <w:right w:val="single" w:sz="8" w:color="00000A"/>
            </w:tcBorders>
          </w:tcPr>
          <w:p>
            <w:pPr>
              <w:spacing w:after="0"/>
              <w:rPr>
                <w:sz w:val="13"/>
                <w:szCs w:val="13"/>
                <w:color w:val="auto"/>
              </w:rPr>
            </w:pPr>
          </w:p>
        </w:tc>
        <w:tc>
          <w:tcPr>
            <w:tcW w:w="120" w:type="dxa"/>
            <w:vAlign w:val="bottom"/>
            <w:tcBorders>
              <w:top w:val="single" w:sz="8" w:color="00000A"/>
            </w:tcBorders>
          </w:tcPr>
          <w:p>
            <w:pPr>
              <w:spacing w:after="0"/>
              <w:rPr>
                <w:sz w:val="13"/>
                <w:szCs w:val="13"/>
                <w:color w:val="auto"/>
              </w:rPr>
            </w:pPr>
          </w:p>
        </w:tc>
        <w:tc>
          <w:tcPr>
            <w:tcW w:w="320" w:type="dxa"/>
            <w:vAlign w:val="bottom"/>
            <w:tcBorders>
              <w:top w:val="single" w:sz="8" w:color="00000A"/>
            </w:tcBorders>
          </w:tcPr>
          <w:p>
            <w:pPr>
              <w:spacing w:after="0"/>
              <w:rPr>
                <w:sz w:val="13"/>
                <w:szCs w:val="13"/>
                <w:color w:val="auto"/>
              </w:rPr>
            </w:pPr>
          </w:p>
        </w:tc>
        <w:tc>
          <w:tcPr>
            <w:tcW w:w="620" w:type="dxa"/>
            <w:vAlign w:val="bottom"/>
            <w:tcBorders>
              <w:top w:val="single" w:sz="8" w:color="00000A"/>
            </w:tcBorders>
          </w:tcPr>
          <w:p>
            <w:pPr>
              <w:spacing w:after="0"/>
              <w:rPr>
                <w:sz w:val="13"/>
                <w:szCs w:val="13"/>
                <w:color w:val="auto"/>
              </w:rPr>
            </w:pPr>
          </w:p>
        </w:tc>
        <w:tc>
          <w:tcPr>
            <w:tcW w:w="520" w:type="dxa"/>
            <w:vAlign w:val="bottom"/>
            <w:tcBorders>
              <w:top w:val="single" w:sz="8" w:color="00000A"/>
              <w:right w:val="single" w:sz="8" w:color="00000A"/>
            </w:tcBorders>
          </w:tcPr>
          <w:p>
            <w:pPr>
              <w:spacing w:after="0"/>
              <w:rPr>
                <w:sz w:val="13"/>
                <w:szCs w:val="13"/>
                <w:color w:val="auto"/>
              </w:rPr>
            </w:pPr>
          </w:p>
        </w:tc>
        <w:tc>
          <w:tcPr>
            <w:tcW w:w="480" w:type="dxa"/>
            <w:vAlign w:val="bottom"/>
            <w:tcBorders>
              <w:top w:val="single" w:sz="8" w:color="00000A"/>
            </w:tcBorders>
          </w:tcPr>
          <w:p>
            <w:pPr>
              <w:spacing w:after="0"/>
              <w:rPr>
                <w:sz w:val="13"/>
                <w:szCs w:val="13"/>
                <w:color w:val="auto"/>
              </w:rPr>
            </w:pPr>
          </w:p>
        </w:tc>
        <w:tc>
          <w:tcPr>
            <w:tcW w:w="500" w:type="dxa"/>
            <w:vAlign w:val="bottom"/>
            <w:tcBorders>
              <w:top w:val="single" w:sz="8" w:color="00000A"/>
            </w:tcBorders>
          </w:tcPr>
          <w:p>
            <w:pPr>
              <w:spacing w:after="0"/>
              <w:rPr>
                <w:sz w:val="13"/>
                <w:szCs w:val="13"/>
                <w:color w:val="auto"/>
              </w:rPr>
            </w:pPr>
          </w:p>
        </w:tc>
        <w:tc>
          <w:tcPr>
            <w:tcW w:w="580" w:type="dxa"/>
            <w:vAlign w:val="bottom"/>
            <w:tcBorders>
              <w:top w:val="single" w:sz="8" w:color="00000A"/>
              <w:right w:val="single" w:sz="8" w:color="00000A"/>
            </w:tcBorders>
          </w:tcPr>
          <w:p>
            <w:pPr>
              <w:spacing w:after="0"/>
              <w:rPr>
                <w:sz w:val="13"/>
                <w:szCs w:val="13"/>
                <w:color w:val="auto"/>
              </w:rPr>
            </w:pPr>
          </w:p>
        </w:tc>
        <w:tc>
          <w:tcPr>
            <w:tcW w:w="580" w:type="dxa"/>
            <w:vAlign w:val="bottom"/>
            <w:tcBorders>
              <w:top w:val="single" w:sz="8" w:color="00000A"/>
            </w:tcBorders>
          </w:tcPr>
          <w:p>
            <w:pPr>
              <w:spacing w:after="0"/>
              <w:rPr>
                <w:sz w:val="13"/>
                <w:szCs w:val="13"/>
                <w:color w:val="auto"/>
              </w:rPr>
            </w:pPr>
          </w:p>
        </w:tc>
        <w:tc>
          <w:tcPr>
            <w:tcW w:w="1420" w:type="dxa"/>
            <w:vAlign w:val="bottom"/>
            <w:tcBorders>
              <w:top w:val="single" w:sz="8" w:color="00000A"/>
              <w:right w:val="single" w:sz="8" w:color="00000A"/>
            </w:tcBorders>
            <w:gridSpan w:val="2"/>
          </w:tcPr>
          <w:p>
            <w:pPr>
              <w:jc w:val="center"/>
              <w:ind w:right="580"/>
              <w:spacing w:after="0"/>
              <w:rPr>
                <w:sz w:val="20"/>
                <w:szCs w:val="20"/>
                <w:color w:val="auto"/>
              </w:rPr>
            </w:pPr>
            <w:r>
              <w:rPr>
                <w:rFonts w:ascii="Arial" w:cs="Arial" w:eastAsia="Arial" w:hAnsi="Arial"/>
                <w:sz w:val="13"/>
                <w:szCs w:val="13"/>
                <w:color w:val="auto"/>
                <w:w w:val="93"/>
              </w:rPr>
              <w:t>Aggregate</w:t>
            </w:r>
          </w:p>
        </w:tc>
        <w:tc>
          <w:tcPr>
            <w:tcW w:w="580" w:type="dxa"/>
            <w:vAlign w:val="bottom"/>
            <w:tcBorders>
              <w:top w:val="single" w:sz="8" w:color="00000A"/>
            </w:tcBorders>
          </w:tcPr>
          <w:p>
            <w:pPr>
              <w:spacing w:after="0"/>
              <w:rPr>
                <w:sz w:val="13"/>
                <w:szCs w:val="13"/>
                <w:color w:val="auto"/>
              </w:rPr>
            </w:pPr>
          </w:p>
        </w:tc>
        <w:tc>
          <w:tcPr>
            <w:tcW w:w="500" w:type="dxa"/>
            <w:vAlign w:val="bottom"/>
            <w:tcBorders>
              <w:top w:val="single" w:sz="8" w:color="00000A"/>
            </w:tcBorders>
          </w:tcPr>
          <w:p>
            <w:pPr>
              <w:spacing w:after="0"/>
              <w:rPr>
                <w:sz w:val="13"/>
                <w:szCs w:val="13"/>
                <w:color w:val="auto"/>
              </w:rPr>
            </w:pPr>
          </w:p>
        </w:tc>
        <w:tc>
          <w:tcPr>
            <w:tcW w:w="580" w:type="dxa"/>
            <w:vAlign w:val="bottom"/>
            <w:tcBorders>
              <w:top w:val="single" w:sz="8" w:color="00000A"/>
              <w:right w:val="single" w:sz="8" w:color="00000A"/>
            </w:tcBorders>
          </w:tcPr>
          <w:p>
            <w:pPr>
              <w:spacing w:after="0"/>
              <w:rPr>
                <w:sz w:val="13"/>
                <w:szCs w:val="13"/>
                <w:color w:val="auto"/>
              </w:rPr>
            </w:pPr>
          </w:p>
        </w:tc>
        <w:tc>
          <w:tcPr>
            <w:tcW w:w="1660" w:type="dxa"/>
            <w:vAlign w:val="bottom"/>
            <w:tcBorders>
              <w:top w:val="single" w:sz="8" w:color="00000A"/>
              <w:right w:val="single" w:sz="8" w:color="00000A"/>
            </w:tcBorders>
            <w:gridSpan w:val="3"/>
          </w:tcPr>
          <w:p>
            <w:pPr>
              <w:jc w:val="center"/>
              <w:spacing w:after="0"/>
              <w:rPr>
                <w:sz w:val="20"/>
                <w:szCs w:val="20"/>
                <w:color w:val="auto"/>
              </w:rPr>
            </w:pPr>
            <w:r>
              <w:rPr>
                <w:rFonts w:ascii="Arial" w:cs="Arial" w:eastAsia="Arial" w:hAnsi="Arial"/>
                <w:sz w:val="13"/>
                <w:szCs w:val="13"/>
                <w:color w:val="auto"/>
                <w:w w:val="87"/>
              </w:rPr>
              <w:t>Percentage</w:t>
            </w:r>
          </w:p>
        </w:tc>
        <w:tc>
          <w:tcPr>
            <w:tcW w:w="380" w:type="dxa"/>
            <w:vAlign w:val="bottom"/>
            <w:tcBorders>
              <w:top w:val="single" w:sz="8" w:color="00000A"/>
            </w:tcBorders>
          </w:tcPr>
          <w:p>
            <w:pPr>
              <w:spacing w:after="0"/>
              <w:rPr>
                <w:sz w:val="13"/>
                <w:szCs w:val="13"/>
                <w:color w:val="auto"/>
              </w:rPr>
            </w:pPr>
          </w:p>
        </w:tc>
        <w:tc>
          <w:tcPr>
            <w:tcW w:w="440" w:type="dxa"/>
            <w:vAlign w:val="bottom"/>
            <w:tcBorders>
              <w:top w:val="single" w:sz="8" w:color="00000A"/>
            </w:tcBorders>
          </w:tcPr>
          <w:p>
            <w:pPr>
              <w:spacing w:after="0"/>
              <w:rPr>
                <w:sz w:val="13"/>
                <w:szCs w:val="13"/>
                <w:color w:val="auto"/>
              </w:rPr>
            </w:pPr>
          </w:p>
        </w:tc>
        <w:tc>
          <w:tcPr>
            <w:tcW w:w="420" w:type="dxa"/>
            <w:vAlign w:val="bottom"/>
            <w:tcBorders>
              <w:top w:val="single" w:sz="8" w:color="00000A"/>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00" w:type="dxa"/>
            <w:vAlign w:val="bottom"/>
            <w:tcBorders>
              <w:left w:val="single" w:sz="8" w:color="00000A"/>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Borders>
              <w:right w:val="single" w:sz="8" w:color="00000A"/>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Borders>
              <w:right w:val="single" w:sz="8" w:color="00000A"/>
            </w:tcBorders>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Borders>
              <w:right w:val="single" w:sz="8" w:color="00000A"/>
            </w:tcBorders>
            <w:gridSpan w:val="2"/>
            <w:vMerge w:val="restart"/>
          </w:tcPr>
          <w:p>
            <w:pPr>
              <w:ind w:left="60"/>
              <w:spacing w:after="0"/>
              <w:rPr>
                <w:sz w:val="20"/>
                <w:szCs w:val="20"/>
                <w:color w:val="auto"/>
              </w:rPr>
            </w:pPr>
            <w:r>
              <w:rPr>
                <w:rFonts w:ascii="Arial" w:cs="Arial" w:eastAsia="Arial" w:hAnsi="Arial"/>
                <w:sz w:val="13"/>
                <w:szCs w:val="13"/>
                <w:color w:val="auto"/>
              </w:rPr>
              <w:t>Facility</w:t>
            </w:r>
          </w:p>
        </w:tc>
        <w:tc>
          <w:tcPr>
            <w:tcW w:w="580" w:type="dxa"/>
            <w:vAlign w:val="bottom"/>
          </w:tcPr>
          <w:p>
            <w:pPr>
              <w:spacing w:after="0"/>
              <w:rPr>
                <w:sz w:val="11"/>
                <w:szCs w:val="11"/>
                <w:color w:val="auto"/>
              </w:rPr>
            </w:pPr>
          </w:p>
        </w:tc>
        <w:tc>
          <w:tcPr>
            <w:tcW w:w="1420" w:type="dxa"/>
            <w:vAlign w:val="bottom"/>
            <w:tcBorders>
              <w:right w:val="single" w:sz="8" w:color="00000A"/>
            </w:tcBorders>
            <w:gridSpan w:val="2"/>
          </w:tcPr>
          <w:p>
            <w:pPr>
              <w:jc w:val="center"/>
              <w:ind w:right="600"/>
              <w:spacing w:after="0" w:line="138" w:lineRule="exact"/>
              <w:rPr>
                <w:sz w:val="20"/>
                <w:szCs w:val="20"/>
                <w:color w:val="auto"/>
              </w:rPr>
            </w:pPr>
            <w:r>
              <w:rPr>
                <w:rFonts w:ascii="Arial" w:cs="Arial" w:eastAsia="Arial" w:hAnsi="Arial"/>
                <w:sz w:val="13"/>
                <w:szCs w:val="13"/>
                <w:color w:val="auto"/>
                <w:w w:val="97"/>
              </w:rPr>
              <w:t>Amount of</w:t>
            </w:r>
          </w:p>
        </w:tc>
        <w:tc>
          <w:tcPr>
            <w:tcW w:w="1660" w:type="dxa"/>
            <w:vAlign w:val="bottom"/>
            <w:tcBorders>
              <w:right w:val="single" w:sz="8" w:color="00000A"/>
            </w:tcBorders>
            <w:gridSpan w:val="3"/>
          </w:tcPr>
          <w:p>
            <w:pPr>
              <w:jc w:val="center"/>
              <w:spacing w:after="0" w:line="138" w:lineRule="exact"/>
              <w:rPr>
                <w:sz w:val="20"/>
                <w:szCs w:val="20"/>
                <w:color w:val="auto"/>
              </w:rPr>
            </w:pPr>
            <w:r>
              <w:rPr>
                <w:rFonts w:ascii="Arial" w:cs="Arial" w:eastAsia="Arial" w:hAnsi="Arial"/>
                <w:sz w:val="13"/>
                <w:szCs w:val="13"/>
                <w:color w:val="auto"/>
                <w:w w:val="97"/>
              </w:rPr>
              <w:t>Amount of</w:t>
            </w:r>
          </w:p>
        </w:tc>
        <w:tc>
          <w:tcPr>
            <w:tcW w:w="1660" w:type="dxa"/>
            <w:vAlign w:val="bottom"/>
            <w:tcBorders>
              <w:right w:val="single" w:sz="8" w:color="00000A"/>
            </w:tcBorders>
            <w:gridSpan w:val="3"/>
          </w:tcPr>
          <w:p>
            <w:pPr>
              <w:jc w:val="center"/>
              <w:ind w:right="20"/>
              <w:spacing w:after="0" w:line="138" w:lineRule="exact"/>
              <w:rPr>
                <w:sz w:val="20"/>
                <w:szCs w:val="20"/>
                <w:color w:val="auto"/>
              </w:rPr>
            </w:pPr>
            <w:r>
              <w:rPr>
                <w:rFonts w:ascii="Arial" w:cs="Arial" w:eastAsia="Arial" w:hAnsi="Arial"/>
                <w:sz w:val="13"/>
                <w:szCs w:val="13"/>
                <w:color w:val="auto"/>
                <w:w w:val="94"/>
              </w:rPr>
              <w:t>Assigned of</w:t>
            </w:r>
          </w:p>
        </w:tc>
        <w:tc>
          <w:tcPr>
            <w:tcW w:w="380" w:type="dxa"/>
            <w:vAlign w:val="bottom"/>
          </w:tcPr>
          <w:p>
            <w:pPr>
              <w:spacing w:after="0"/>
              <w:rPr>
                <w:sz w:val="11"/>
                <w:szCs w:val="11"/>
                <w:color w:val="auto"/>
              </w:rPr>
            </w:pPr>
          </w:p>
        </w:tc>
        <w:tc>
          <w:tcPr>
            <w:tcW w:w="860" w:type="dxa"/>
            <w:vAlign w:val="bottom"/>
            <w:tcBorders>
              <w:right w:val="single" w:sz="8" w:color="00000A"/>
            </w:tcBorders>
            <w:gridSpan w:val="2"/>
            <w:vMerge w:val="restart"/>
          </w:tcPr>
          <w:p>
            <w:pPr>
              <w:ind w:left="20"/>
              <w:spacing w:after="0"/>
              <w:rPr>
                <w:sz w:val="20"/>
                <w:szCs w:val="20"/>
                <w:color w:val="auto"/>
              </w:rPr>
            </w:pPr>
            <w:r>
              <w:rPr>
                <w:rFonts w:ascii="Arial" w:cs="Arial" w:eastAsia="Arial" w:hAnsi="Arial"/>
                <w:sz w:val="13"/>
                <w:szCs w:val="13"/>
                <w:color w:val="auto"/>
              </w:rPr>
              <w:t>CUSIP</w:t>
            </w:r>
          </w:p>
        </w:tc>
        <w:tc>
          <w:tcPr>
            <w:tcW w:w="0" w:type="dxa"/>
            <w:vAlign w:val="bottom"/>
          </w:tcPr>
          <w:p>
            <w:pPr>
              <w:spacing w:after="0"/>
              <w:rPr>
                <w:sz w:val="1"/>
                <w:szCs w:val="1"/>
                <w:color w:val="auto"/>
              </w:rPr>
            </w:pPr>
          </w:p>
        </w:tc>
      </w:tr>
      <w:tr>
        <w:trPr>
          <w:trHeight w:val="137"/>
        </w:trPr>
        <w:tc>
          <w:tcPr>
            <w:tcW w:w="300" w:type="dxa"/>
            <w:vAlign w:val="bottom"/>
            <w:tcBorders>
              <w:left w:val="single" w:sz="8" w:color="00000A"/>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Borders>
              <w:right w:val="single" w:sz="8" w:color="00000A"/>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Borders>
              <w:right w:val="single" w:sz="8" w:color="00000A"/>
            </w:tcBorders>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Borders>
              <w:right w:val="single" w:sz="8" w:color="00000A"/>
            </w:tcBorders>
            <w:gridSpan w:val="2"/>
            <w:vMerge w:val="continue"/>
          </w:tcPr>
          <w:p>
            <w:pPr>
              <w:spacing w:after="0"/>
              <w:rPr>
                <w:sz w:val="11"/>
                <w:szCs w:val="11"/>
                <w:color w:val="auto"/>
              </w:rPr>
            </w:pPr>
          </w:p>
        </w:tc>
        <w:tc>
          <w:tcPr>
            <w:tcW w:w="2000" w:type="dxa"/>
            <w:vAlign w:val="bottom"/>
            <w:tcBorders>
              <w:right w:val="single" w:sz="8" w:color="00000A"/>
            </w:tcBorders>
            <w:gridSpan w:val="3"/>
          </w:tcPr>
          <w:p>
            <w:pPr>
              <w:jc w:val="center"/>
              <w:ind w:right="20"/>
              <w:spacing w:after="0" w:line="138" w:lineRule="exact"/>
              <w:rPr>
                <w:sz w:val="20"/>
                <w:szCs w:val="20"/>
                <w:color w:val="auto"/>
              </w:rPr>
            </w:pPr>
            <w:r>
              <w:rPr>
                <w:rFonts w:ascii="Arial" w:cs="Arial" w:eastAsia="Arial" w:hAnsi="Arial"/>
                <w:sz w:val="13"/>
                <w:szCs w:val="13"/>
                <w:color w:val="auto"/>
                <w:w w:val="94"/>
              </w:rPr>
              <w:t>Commitment/Loans</w:t>
            </w:r>
          </w:p>
        </w:tc>
        <w:tc>
          <w:tcPr>
            <w:tcW w:w="1660" w:type="dxa"/>
            <w:vAlign w:val="bottom"/>
            <w:tcBorders>
              <w:right w:val="single" w:sz="8" w:color="00000A"/>
            </w:tcBorders>
            <w:gridSpan w:val="3"/>
          </w:tcPr>
          <w:p>
            <w:pPr>
              <w:jc w:val="center"/>
              <w:spacing w:after="0" w:line="138" w:lineRule="exact"/>
              <w:rPr>
                <w:sz w:val="20"/>
                <w:szCs w:val="20"/>
                <w:color w:val="auto"/>
              </w:rPr>
            </w:pPr>
            <w:r>
              <w:rPr>
                <w:rFonts w:ascii="Arial" w:cs="Arial" w:eastAsia="Arial" w:hAnsi="Arial"/>
                <w:sz w:val="13"/>
                <w:szCs w:val="13"/>
                <w:color w:val="auto"/>
                <w:w w:val="94"/>
              </w:rPr>
              <w:t>Commitment/Loans</w:t>
            </w:r>
          </w:p>
        </w:tc>
        <w:tc>
          <w:tcPr>
            <w:tcW w:w="1660" w:type="dxa"/>
            <w:vAlign w:val="bottom"/>
            <w:tcBorders>
              <w:right w:val="single" w:sz="8" w:color="00000A"/>
            </w:tcBorders>
            <w:gridSpan w:val="3"/>
          </w:tcPr>
          <w:p>
            <w:pPr>
              <w:jc w:val="center"/>
              <w:spacing w:after="0" w:line="138" w:lineRule="exact"/>
              <w:rPr>
                <w:sz w:val="20"/>
                <w:szCs w:val="20"/>
                <w:color w:val="auto"/>
              </w:rPr>
            </w:pPr>
            <w:r>
              <w:rPr>
                <w:rFonts w:ascii="Arial" w:cs="Arial" w:eastAsia="Arial" w:hAnsi="Arial"/>
                <w:sz w:val="13"/>
                <w:szCs w:val="13"/>
                <w:color w:val="auto"/>
                <w:w w:val="95"/>
              </w:rPr>
              <w:t>Commitment/</w:t>
            </w:r>
          </w:p>
        </w:tc>
        <w:tc>
          <w:tcPr>
            <w:tcW w:w="380" w:type="dxa"/>
            <w:vAlign w:val="bottom"/>
          </w:tcPr>
          <w:p>
            <w:pPr>
              <w:spacing w:after="0"/>
              <w:rPr>
                <w:sz w:val="11"/>
                <w:szCs w:val="11"/>
                <w:color w:val="auto"/>
              </w:rPr>
            </w:pPr>
          </w:p>
        </w:tc>
        <w:tc>
          <w:tcPr>
            <w:tcW w:w="860" w:type="dxa"/>
            <w:vAlign w:val="bottom"/>
            <w:tcBorders>
              <w:right w:val="single" w:sz="8" w:color="00000A"/>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00" w:type="dxa"/>
            <w:vAlign w:val="bottom"/>
            <w:tcBorders>
              <w:left w:val="single" w:sz="8" w:color="00000A"/>
            </w:tcBorders>
          </w:tcPr>
          <w:p>
            <w:pPr>
              <w:spacing w:after="0"/>
              <w:rPr>
                <w:sz w:val="12"/>
                <w:szCs w:val="12"/>
                <w:color w:val="auto"/>
              </w:rPr>
            </w:pPr>
          </w:p>
        </w:tc>
        <w:tc>
          <w:tcPr>
            <w:tcW w:w="1180" w:type="dxa"/>
            <w:vAlign w:val="bottom"/>
            <w:tcBorders>
              <w:right w:val="single" w:sz="8" w:color="00000A"/>
            </w:tcBorders>
            <w:gridSpan w:val="5"/>
          </w:tcPr>
          <w:p>
            <w:pPr>
              <w:ind w:left="100"/>
              <w:spacing w:after="0" w:line="141" w:lineRule="exact"/>
              <w:rPr>
                <w:sz w:val="20"/>
                <w:szCs w:val="20"/>
                <w:color w:val="auto"/>
              </w:rPr>
            </w:pPr>
            <w:r>
              <w:rPr>
                <w:rFonts w:ascii="Arial" w:cs="Arial" w:eastAsia="Arial" w:hAnsi="Arial"/>
                <w:sz w:val="13"/>
                <w:szCs w:val="13"/>
                <w:color w:val="auto"/>
              </w:rPr>
              <w:t>Assignor[s]</w:t>
            </w:r>
            <w:r>
              <w:rPr>
                <w:rFonts w:ascii="Arial" w:cs="Arial" w:eastAsia="Arial" w:hAnsi="Arial"/>
                <w:sz w:val="8"/>
                <w:szCs w:val="8"/>
                <w:color w:val="auto"/>
              </w:rPr>
              <w:t>5</w:t>
            </w:r>
          </w:p>
        </w:tc>
        <w:tc>
          <w:tcPr>
            <w:tcW w:w="120" w:type="dxa"/>
            <w:vAlign w:val="bottom"/>
          </w:tcPr>
          <w:p>
            <w:pPr>
              <w:spacing w:after="0"/>
              <w:rPr>
                <w:sz w:val="12"/>
                <w:szCs w:val="12"/>
                <w:color w:val="auto"/>
              </w:rPr>
            </w:pPr>
          </w:p>
        </w:tc>
        <w:tc>
          <w:tcPr>
            <w:tcW w:w="1460" w:type="dxa"/>
            <w:vAlign w:val="bottom"/>
            <w:tcBorders>
              <w:right w:val="single" w:sz="8" w:color="00000A"/>
            </w:tcBorders>
            <w:gridSpan w:val="3"/>
          </w:tcPr>
          <w:p>
            <w:pPr>
              <w:ind w:left="320"/>
              <w:spacing w:after="0" w:line="141" w:lineRule="exact"/>
              <w:rPr>
                <w:sz w:val="20"/>
                <w:szCs w:val="20"/>
                <w:color w:val="auto"/>
              </w:rPr>
            </w:pPr>
            <w:r>
              <w:rPr>
                <w:rFonts w:ascii="Arial" w:cs="Arial" w:eastAsia="Arial" w:hAnsi="Arial"/>
                <w:sz w:val="13"/>
                <w:szCs w:val="13"/>
                <w:color w:val="auto"/>
              </w:rPr>
              <w:t>Assignee[s]</w:t>
            </w:r>
            <w:r>
              <w:rPr>
                <w:rFonts w:ascii="Arial" w:cs="Arial" w:eastAsia="Arial" w:hAnsi="Arial"/>
                <w:sz w:val="8"/>
                <w:szCs w:val="8"/>
                <w:color w:val="auto"/>
              </w:rPr>
              <w:t>6</w:t>
            </w:r>
          </w:p>
        </w:tc>
        <w:tc>
          <w:tcPr>
            <w:tcW w:w="480" w:type="dxa"/>
            <w:vAlign w:val="bottom"/>
          </w:tcPr>
          <w:p>
            <w:pPr>
              <w:spacing w:after="0"/>
              <w:rPr>
                <w:sz w:val="12"/>
                <w:szCs w:val="12"/>
                <w:color w:val="auto"/>
              </w:rPr>
            </w:pPr>
          </w:p>
        </w:tc>
        <w:tc>
          <w:tcPr>
            <w:tcW w:w="1080" w:type="dxa"/>
            <w:vAlign w:val="bottom"/>
            <w:tcBorders>
              <w:right w:val="single" w:sz="8" w:color="00000A"/>
            </w:tcBorders>
            <w:gridSpan w:val="2"/>
          </w:tcPr>
          <w:p>
            <w:pPr>
              <w:spacing w:after="0" w:line="141" w:lineRule="exact"/>
              <w:rPr>
                <w:sz w:val="20"/>
                <w:szCs w:val="20"/>
                <w:color w:val="auto"/>
              </w:rPr>
            </w:pPr>
            <w:r>
              <w:rPr>
                <w:rFonts w:ascii="Arial" w:cs="Arial" w:eastAsia="Arial" w:hAnsi="Arial"/>
                <w:sz w:val="13"/>
                <w:szCs w:val="13"/>
                <w:color w:val="auto"/>
              </w:rPr>
              <w:t xml:space="preserve">Assigned </w:t>
            </w:r>
            <w:r>
              <w:rPr>
                <w:rFonts w:ascii="Arial" w:cs="Arial" w:eastAsia="Arial" w:hAnsi="Arial"/>
                <w:sz w:val="8"/>
                <w:szCs w:val="8"/>
                <w:color w:val="auto"/>
              </w:rPr>
              <w:t>7</w:t>
            </w:r>
          </w:p>
        </w:tc>
        <w:tc>
          <w:tcPr>
            <w:tcW w:w="580" w:type="dxa"/>
            <w:vAlign w:val="bottom"/>
          </w:tcPr>
          <w:p>
            <w:pPr>
              <w:spacing w:after="0"/>
              <w:rPr>
                <w:sz w:val="12"/>
                <w:szCs w:val="12"/>
                <w:color w:val="auto"/>
              </w:rPr>
            </w:pPr>
          </w:p>
        </w:tc>
        <w:tc>
          <w:tcPr>
            <w:tcW w:w="1420" w:type="dxa"/>
            <w:vAlign w:val="bottom"/>
            <w:tcBorders>
              <w:right w:val="single" w:sz="8" w:color="00000A"/>
            </w:tcBorders>
            <w:gridSpan w:val="2"/>
          </w:tcPr>
          <w:p>
            <w:pPr>
              <w:jc w:val="center"/>
              <w:ind w:right="600"/>
              <w:spacing w:after="0" w:line="141" w:lineRule="exact"/>
              <w:rPr>
                <w:sz w:val="20"/>
                <w:szCs w:val="20"/>
                <w:color w:val="auto"/>
              </w:rPr>
            </w:pPr>
            <w:r>
              <w:rPr>
                <w:rFonts w:ascii="Arial" w:cs="Arial" w:eastAsia="Arial" w:hAnsi="Arial"/>
                <w:sz w:val="13"/>
                <w:szCs w:val="13"/>
                <w:color w:val="auto"/>
                <w:w w:val="94"/>
              </w:rPr>
              <w:t>for all Lenders</w:t>
            </w:r>
            <w:r>
              <w:rPr>
                <w:rFonts w:ascii="Arial" w:cs="Arial" w:eastAsia="Arial" w:hAnsi="Arial"/>
                <w:sz w:val="8"/>
                <w:szCs w:val="8"/>
                <w:color w:val="auto"/>
                <w:w w:val="94"/>
              </w:rPr>
              <w:t>8</w:t>
            </w:r>
          </w:p>
        </w:tc>
        <w:tc>
          <w:tcPr>
            <w:tcW w:w="580" w:type="dxa"/>
            <w:vAlign w:val="bottom"/>
          </w:tcPr>
          <w:p>
            <w:pPr>
              <w:spacing w:after="0"/>
              <w:rPr>
                <w:sz w:val="12"/>
                <w:szCs w:val="12"/>
                <w:color w:val="auto"/>
              </w:rPr>
            </w:pPr>
          </w:p>
        </w:tc>
        <w:tc>
          <w:tcPr>
            <w:tcW w:w="1080" w:type="dxa"/>
            <w:vAlign w:val="bottom"/>
            <w:tcBorders>
              <w:right w:val="single" w:sz="8" w:color="00000A"/>
            </w:tcBorders>
            <w:gridSpan w:val="2"/>
          </w:tcPr>
          <w:p>
            <w:pPr>
              <w:jc w:val="center"/>
              <w:ind w:right="580"/>
              <w:spacing w:after="0" w:line="141" w:lineRule="exact"/>
              <w:rPr>
                <w:sz w:val="20"/>
                <w:szCs w:val="20"/>
                <w:color w:val="auto"/>
              </w:rPr>
            </w:pPr>
            <w:r>
              <w:rPr>
                <w:rFonts w:ascii="Arial" w:cs="Arial" w:eastAsia="Arial" w:hAnsi="Arial"/>
                <w:sz w:val="13"/>
                <w:szCs w:val="13"/>
                <w:color w:val="auto"/>
                <w:w w:val="93"/>
              </w:rPr>
              <w:t>Assigned</w:t>
            </w:r>
          </w:p>
        </w:tc>
        <w:tc>
          <w:tcPr>
            <w:tcW w:w="640" w:type="dxa"/>
            <w:vAlign w:val="bottom"/>
          </w:tcPr>
          <w:p>
            <w:pPr>
              <w:spacing w:after="0"/>
              <w:rPr>
                <w:sz w:val="12"/>
                <w:szCs w:val="12"/>
                <w:color w:val="auto"/>
              </w:rPr>
            </w:pPr>
          </w:p>
        </w:tc>
        <w:tc>
          <w:tcPr>
            <w:tcW w:w="1020" w:type="dxa"/>
            <w:vAlign w:val="bottom"/>
            <w:tcBorders>
              <w:right w:val="single" w:sz="8" w:color="00000A"/>
            </w:tcBorders>
            <w:gridSpan w:val="2"/>
          </w:tcPr>
          <w:p>
            <w:pPr>
              <w:jc w:val="center"/>
              <w:ind w:right="660"/>
              <w:spacing w:after="0" w:line="141" w:lineRule="exact"/>
              <w:rPr>
                <w:sz w:val="20"/>
                <w:szCs w:val="20"/>
                <w:color w:val="auto"/>
              </w:rPr>
            </w:pPr>
            <w:r>
              <w:rPr>
                <w:rFonts w:ascii="Arial" w:cs="Arial" w:eastAsia="Arial" w:hAnsi="Arial"/>
                <w:sz w:val="13"/>
                <w:szCs w:val="13"/>
                <w:color w:val="auto"/>
                <w:w w:val="90"/>
              </w:rPr>
              <w:t>Loans</w:t>
            </w:r>
            <w:r>
              <w:rPr>
                <w:rFonts w:ascii="Arial" w:cs="Arial" w:eastAsia="Arial" w:hAnsi="Arial"/>
                <w:sz w:val="8"/>
                <w:szCs w:val="8"/>
                <w:color w:val="auto"/>
                <w:w w:val="90"/>
              </w:rPr>
              <w:t>9</w:t>
            </w:r>
          </w:p>
        </w:tc>
        <w:tc>
          <w:tcPr>
            <w:tcW w:w="380" w:type="dxa"/>
            <w:vAlign w:val="bottom"/>
          </w:tcPr>
          <w:p>
            <w:pPr>
              <w:spacing w:after="0"/>
              <w:rPr>
                <w:sz w:val="12"/>
                <w:szCs w:val="12"/>
                <w:color w:val="auto"/>
              </w:rPr>
            </w:pPr>
          </w:p>
        </w:tc>
        <w:tc>
          <w:tcPr>
            <w:tcW w:w="860" w:type="dxa"/>
            <w:vAlign w:val="bottom"/>
            <w:tcBorders>
              <w:right w:val="single" w:sz="8" w:color="00000A"/>
            </w:tcBorders>
            <w:gridSpan w:val="2"/>
          </w:tcPr>
          <w:p>
            <w:pPr>
              <w:spacing w:after="0" w:line="141" w:lineRule="exact"/>
              <w:rPr>
                <w:sz w:val="20"/>
                <w:szCs w:val="20"/>
                <w:color w:val="auto"/>
              </w:rPr>
            </w:pPr>
            <w:r>
              <w:rPr>
                <w:rFonts w:ascii="Arial" w:cs="Arial" w:eastAsia="Arial" w:hAnsi="Arial"/>
                <w:sz w:val="13"/>
                <w:szCs w:val="13"/>
                <w:color w:val="auto"/>
              </w:rPr>
              <w:t>Number</w:t>
            </w:r>
          </w:p>
        </w:tc>
        <w:tc>
          <w:tcPr>
            <w:tcW w:w="0" w:type="dxa"/>
            <w:vAlign w:val="bottom"/>
          </w:tcPr>
          <w:p>
            <w:pPr>
              <w:spacing w:after="0"/>
              <w:rPr>
                <w:sz w:val="1"/>
                <w:szCs w:val="1"/>
                <w:color w:val="auto"/>
              </w:rPr>
            </w:pPr>
          </w:p>
        </w:tc>
      </w:tr>
      <w:tr>
        <w:trPr>
          <w:trHeight w:val="292"/>
        </w:trPr>
        <w:tc>
          <w:tcPr>
            <w:tcW w:w="300" w:type="dxa"/>
            <w:vAlign w:val="bottom"/>
            <w:tcBorders>
              <w:left w:val="single" w:sz="8" w:color="00000A"/>
              <w:bottom w:val="single" w:sz="8" w:color="00000A"/>
            </w:tcBorders>
          </w:tcPr>
          <w:p>
            <w:pPr>
              <w:spacing w:after="0"/>
              <w:rPr>
                <w:sz w:val="24"/>
                <w:szCs w:val="24"/>
                <w:color w:val="auto"/>
              </w:rPr>
            </w:pPr>
          </w:p>
        </w:tc>
        <w:tc>
          <w:tcPr>
            <w:tcW w:w="100" w:type="dxa"/>
            <w:vAlign w:val="bottom"/>
            <w:tcBorders>
              <w:bottom w:val="single" w:sz="8" w:color="00000A"/>
            </w:tcBorders>
          </w:tcPr>
          <w:p>
            <w:pPr>
              <w:spacing w:after="0"/>
              <w:rPr>
                <w:sz w:val="24"/>
                <w:szCs w:val="24"/>
                <w:color w:val="auto"/>
              </w:rPr>
            </w:pPr>
          </w:p>
        </w:tc>
        <w:tc>
          <w:tcPr>
            <w:tcW w:w="200" w:type="dxa"/>
            <w:vAlign w:val="bottom"/>
            <w:tcBorders>
              <w:top w:val="single" w:sz="8" w:color="auto"/>
              <w:bottom w:val="single" w:sz="8" w:color="00000A"/>
            </w:tcBorders>
          </w:tcPr>
          <w:p>
            <w:pPr>
              <w:spacing w:after="0"/>
              <w:rPr>
                <w:sz w:val="24"/>
                <w:szCs w:val="24"/>
                <w:color w:val="auto"/>
              </w:rPr>
            </w:pPr>
          </w:p>
        </w:tc>
        <w:tc>
          <w:tcPr>
            <w:tcW w:w="420" w:type="dxa"/>
            <w:vAlign w:val="bottom"/>
            <w:tcBorders>
              <w:top w:val="single" w:sz="8" w:color="auto"/>
              <w:bottom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40" w:type="dxa"/>
            <w:vAlign w:val="bottom"/>
            <w:tcBorders>
              <w:bottom w:val="single" w:sz="8" w:color="00000A"/>
              <w:right w:val="single" w:sz="8" w:color="00000A"/>
            </w:tcBorders>
          </w:tcPr>
          <w:p>
            <w:pPr>
              <w:spacing w:after="0"/>
              <w:rPr>
                <w:sz w:val="24"/>
                <w:szCs w:val="24"/>
                <w:color w:val="auto"/>
              </w:rPr>
            </w:pPr>
          </w:p>
        </w:tc>
        <w:tc>
          <w:tcPr>
            <w:tcW w:w="12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620" w:type="dxa"/>
            <w:vAlign w:val="bottom"/>
            <w:tcBorders>
              <w:top w:val="single" w:sz="8" w:color="auto"/>
              <w:bottom w:val="single" w:sz="8" w:color="00000A"/>
            </w:tcBorders>
          </w:tcPr>
          <w:p>
            <w:pPr>
              <w:spacing w:after="0"/>
              <w:rPr>
                <w:sz w:val="24"/>
                <w:szCs w:val="24"/>
                <w:color w:val="auto"/>
              </w:rPr>
            </w:pPr>
          </w:p>
        </w:tc>
        <w:tc>
          <w:tcPr>
            <w:tcW w:w="520" w:type="dxa"/>
            <w:vAlign w:val="bottom"/>
            <w:tcBorders>
              <w:bottom w:val="single" w:sz="8" w:color="00000A"/>
              <w:right w:val="single" w:sz="8" w:color="00000A"/>
            </w:tcBorders>
          </w:tcPr>
          <w:p>
            <w:pPr>
              <w:spacing w:after="0"/>
              <w:rPr>
                <w:sz w:val="24"/>
                <w:szCs w:val="24"/>
                <w:color w:val="auto"/>
              </w:rPr>
            </w:pPr>
          </w:p>
        </w:tc>
        <w:tc>
          <w:tcPr>
            <w:tcW w:w="480" w:type="dxa"/>
            <w:vAlign w:val="bottom"/>
            <w:tcBorders>
              <w:bottom w:val="single" w:sz="8" w:color="00000A"/>
            </w:tcBorders>
          </w:tcPr>
          <w:p>
            <w:pPr>
              <w:spacing w:after="0"/>
              <w:rPr>
                <w:sz w:val="24"/>
                <w:szCs w:val="24"/>
                <w:color w:val="auto"/>
              </w:rPr>
            </w:pPr>
          </w:p>
        </w:tc>
        <w:tc>
          <w:tcPr>
            <w:tcW w:w="500" w:type="dxa"/>
            <w:vAlign w:val="bottom"/>
            <w:tcBorders>
              <w:top w:val="single" w:sz="8" w:color="auto"/>
              <w:bottom w:val="single" w:sz="8" w:color="00000A"/>
            </w:tcBorders>
          </w:tcPr>
          <w:p>
            <w:pPr>
              <w:spacing w:after="0"/>
              <w:rPr>
                <w:sz w:val="24"/>
                <w:szCs w:val="24"/>
                <w:color w:val="auto"/>
              </w:rPr>
            </w:pPr>
          </w:p>
        </w:tc>
        <w:tc>
          <w:tcPr>
            <w:tcW w:w="580" w:type="dxa"/>
            <w:vAlign w:val="bottom"/>
            <w:tcBorders>
              <w:bottom w:val="single" w:sz="8" w:color="00000A"/>
              <w:right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780" w:type="dxa"/>
            <w:vAlign w:val="bottom"/>
            <w:tcBorders>
              <w:top w:val="single" w:sz="8" w:color="auto"/>
              <w:bottom w:val="single" w:sz="8" w:color="00000A"/>
            </w:tcBorders>
          </w:tcPr>
          <w:p>
            <w:pPr>
              <w:spacing w:after="0"/>
              <w:rPr>
                <w:sz w:val="24"/>
                <w:szCs w:val="24"/>
                <w:color w:val="auto"/>
              </w:rPr>
            </w:pPr>
          </w:p>
        </w:tc>
        <w:tc>
          <w:tcPr>
            <w:tcW w:w="640" w:type="dxa"/>
            <w:vAlign w:val="bottom"/>
            <w:tcBorders>
              <w:bottom w:val="single" w:sz="8" w:color="00000A"/>
              <w:right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500" w:type="dxa"/>
            <w:vAlign w:val="bottom"/>
            <w:tcBorders>
              <w:top w:val="single" w:sz="8" w:color="auto"/>
              <w:bottom w:val="single" w:sz="8" w:color="00000A"/>
            </w:tcBorders>
          </w:tcPr>
          <w:p>
            <w:pPr>
              <w:spacing w:after="0"/>
              <w:rPr>
                <w:sz w:val="24"/>
                <w:szCs w:val="24"/>
                <w:color w:val="auto"/>
              </w:rPr>
            </w:pPr>
          </w:p>
        </w:tc>
        <w:tc>
          <w:tcPr>
            <w:tcW w:w="580" w:type="dxa"/>
            <w:vAlign w:val="bottom"/>
            <w:tcBorders>
              <w:bottom w:val="single" w:sz="8" w:color="00000A"/>
              <w:right w:val="single" w:sz="8" w:color="00000A"/>
            </w:tcBorders>
          </w:tcPr>
          <w:p>
            <w:pPr>
              <w:spacing w:after="0"/>
              <w:rPr>
                <w:sz w:val="24"/>
                <w:szCs w:val="24"/>
                <w:color w:val="auto"/>
              </w:rPr>
            </w:pPr>
          </w:p>
        </w:tc>
        <w:tc>
          <w:tcPr>
            <w:tcW w:w="640" w:type="dxa"/>
            <w:vAlign w:val="bottom"/>
            <w:tcBorders>
              <w:bottom w:val="single" w:sz="8" w:color="00000A"/>
            </w:tcBorders>
          </w:tcPr>
          <w:p>
            <w:pPr>
              <w:spacing w:after="0"/>
              <w:rPr>
                <w:sz w:val="24"/>
                <w:szCs w:val="24"/>
                <w:color w:val="auto"/>
              </w:rPr>
            </w:pPr>
          </w:p>
        </w:tc>
        <w:tc>
          <w:tcPr>
            <w:tcW w:w="320" w:type="dxa"/>
            <w:vAlign w:val="bottom"/>
            <w:tcBorders>
              <w:top w:val="single" w:sz="8" w:color="auto"/>
              <w:bottom w:val="single" w:sz="8" w:color="00000A"/>
            </w:tcBorders>
          </w:tcPr>
          <w:p>
            <w:pPr>
              <w:spacing w:after="0"/>
              <w:rPr>
                <w:sz w:val="24"/>
                <w:szCs w:val="24"/>
                <w:color w:val="auto"/>
              </w:rPr>
            </w:pPr>
          </w:p>
        </w:tc>
        <w:tc>
          <w:tcPr>
            <w:tcW w:w="700" w:type="dxa"/>
            <w:vAlign w:val="bottom"/>
            <w:tcBorders>
              <w:bottom w:val="single" w:sz="8" w:color="00000A"/>
              <w:right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440" w:type="dxa"/>
            <w:vAlign w:val="bottom"/>
            <w:tcBorders>
              <w:top w:val="single" w:sz="8" w:color="auto"/>
              <w:bottom w:val="single" w:sz="8" w:color="00000A"/>
            </w:tcBorders>
          </w:tcPr>
          <w:p>
            <w:pPr>
              <w:spacing w:after="0"/>
              <w:rPr>
                <w:sz w:val="24"/>
                <w:szCs w:val="24"/>
                <w:color w:val="auto"/>
              </w:rPr>
            </w:pPr>
          </w:p>
        </w:tc>
        <w:tc>
          <w:tcPr>
            <w:tcW w:w="42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00" w:type="dxa"/>
            <w:vAlign w:val="bottom"/>
            <w:tcBorders>
              <w:left w:val="single" w:sz="8" w:color="00000A"/>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Borders>
              <w:right w:val="single" w:sz="8" w:color="00000A"/>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Borders>
              <w:right w:val="single" w:sz="8" w:color="00000A"/>
            </w:tcBorders>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Borders>
              <w:right w:val="single" w:sz="8" w:color="00000A"/>
            </w:tcBorders>
          </w:tcPr>
          <w:p>
            <w:pPr>
              <w:spacing w:after="0"/>
              <w:rPr>
                <w:sz w:val="14"/>
                <w:szCs w:val="14"/>
                <w:color w:val="auto"/>
              </w:rPr>
            </w:pPr>
          </w:p>
        </w:tc>
        <w:tc>
          <w:tcPr>
            <w:tcW w:w="2000" w:type="dxa"/>
            <w:vAlign w:val="bottom"/>
            <w:tcBorders>
              <w:right w:val="single" w:sz="8" w:color="00000A"/>
            </w:tcBorders>
            <w:gridSpan w:val="3"/>
          </w:tcPr>
          <w:p>
            <w:pPr>
              <w:jc w:val="center"/>
              <w:ind w:right="20"/>
              <w:spacing w:after="0"/>
              <w:rPr>
                <w:sz w:val="20"/>
                <w:szCs w:val="20"/>
                <w:color w:val="auto"/>
              </w:rPr>
            </w:pPr>
            <w:r>
              <w:rPr>
                <w:rFonts w:ascii="Arial" w:cs="Arial" w:eastAsia="Arial" w:hAnsi="Arial"/>
                <w:sz w:val="13"/>
                <w:szCs w:val="13"/>
                <w:color w:val="auto"/>
                <w:w w:val="92"/>
              </w:rPr>
              <w:t>$________________</w:t>
            </w:r>
          </w:p>
        </w:tc>
        <w:tc>
          <w:tcPr>
            <w:tcW w:w="1660" w:type="dxa"/>
            <w:vAlign w:val="bottom"/>
            <w:tcBorders>
              <w:right w:val="single" w:sz="8" w:color="00000A"/>
            </w:tcBorders>
            <w:gridSpan w:val="3"/>
          </w:tcPr>
          <w:p>
            <w:pPr>
              <w:jc w:val="center"/>
              <w:spacing w:after="0"/>
              <w:rPr>
                <w:sz w:val="20"/>
                <w:szCs w:val="20"/>
                <w:color w:val="auto"/>
              </w:rPr>
            </w:pPr>
            <w:r>
              <w:rPr>
                <w:rFonts w:ascii="Arial" w:cs="Arial" w:eastAsia="Arial" w:hAnsi="Arial"/>
                <w:sz w:val="13"/>
                <w:szCs w:val="13"/>
                <w:color w:val="auto"/>
                <w:w w:val="91"/>
              </w:rPr>
              <w:t>$_________</w:t>
            </w:r>
          </w:p>
        </w:tc>
        <w:tc>
          <w:tcPr>
            <w:tcW w:w="1660" w:type="dxa"/>
            <w:vAlign w:val="bottom"/>
            <w:tcBorders>
              <w:right w:val="single" w:sz="8" w:color="00000A"/>
            </w:tcBorders>
            <w:gridSpan w:val="3"/>
          </w:tcPr>
          <w:p>
            <w:pPr>
              <w:jc w:val="center"/>
              <w:spacing w:after="0"/>
              <w:rPr>
                <w:sz w:val="20"/>
                <w:szCs w:val="20"/>
                <w:color w:val="auto"/>
              </w:rPr>
            </w:pPr>
            <w:r>
              <w:rPr>
                <w:rFonts w:ascii="Arial" w:cs="Arial" w:eastAsia="Arial" w:hAnsi="Arial"/>
                <w:sz w:val="13"/>
                <w:szCs w:val="13"/>
                <w:color w:val="auto"/>
                <w:w w:val="91"/>
              </w:rPr>
              <w:t>____________%</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Borders>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300" w:type="dxa"/>
            <w:vAlign w:val="bottom"/>
            <w:tcBorders>
              <w:left w:val="single" w:sz="8" w:color="00000A"/>
              <w:bottom w:val="single" w:sz="8" w:color="00000A"/>
            </w:tcBorders>
          </w:tcPr>
          <w:p>
            <w:pPr>
              <w:spacing w:after="0"/>
              <w:rPr>
                <w:sz w:val="6"/>
                <w:szCs w:val="6"/>
                <w:color w:val="auto"/>
              </w:rPr>
            </w:pPr>
          </w:p>
        </w:tc>
        <w:tc>
          <w:tcPr>
            <w:tcW w:w="100" w:type="dxa"/>
            <w:vAlign w:val="bottom"/>
            <w:tcBorders>
              <w:bottom w:val="single" w:sz="8" w:color="00000A"/>
            </w:tcBorders>
          </w:tcPr>
          <w:p>
            <w:pPr>
              <w:spacing w:after="0"/>
              <w:rPr>
                <w:sz w:val="6"/>
                <w:szCs w:val="6"/>
                <w:color w:val="auto"/>
              </w:rPr>
            </w:pPr>
          </w:p>
        </w:tc>
        <w:tc>
          <w:tcPr>
            <w:tcW w:w="200" w:type="dxa"/>
            <w:vAlign w:val="bottom"/>
            <w:tcBorders>
              <w:bottom w:val="single" w:sz="8" w:color="00000A"/>
            </w:tcBorders>
          </w:tcPr>
          <w:p>
            <w:pPr>
              <w:spacing w:after="0"/>
              <w:rPr>
                <w:sz w:val="6"/>
                <w:szCs w:val="6"/>
                <w:color w:val="auto"/>
              </w:rPr>
            </w:pPr>
          </w:p>
        </w:tc>
        <w:tc>
          <w:tcPr>
            <w:tcW w:w="420" w:type="dxa"/>
            <w:vAlign w:val="bottom"/>
            <w:tcBorders>
              <w:bottom w:val="single" w:sz="8" w:color="00000A"/>
            </w:tcBorders>
          </w:tcPr>
          <w:p>
            <w:pPr>
              <w:spacing w:after="0"/>
              <w:rPr>
                <w:sz w:val="6"/>
                <w:szCs w:val="6"/>
                <w:color w:val="auto"/>
              </w:rPr>
            </w:pPr>
          </w:p>
        </w:tc>
        <w:tc>
          <w:tcPr>
            <w:tcW w:w="420" w:type="dxa"/>
            <w:vAlign w:val="bottom"/>
            <w:tcBorders>
              <w:bottom w:val="single" w:sz="8" w:color="00000A"/>
            </w:tcBorders>
          </w:tcPr>
          <w:p>
            <w:pPr>
              <w:spacing w:after="0"/>
              <w:rPr>
                <w:sz w:val="6"/>
                <w:szCs w:val="6"/>
                <w:color w:val="auto"/>
              </w:rPr>
            </w:pPr>
          </w:p>
        </w:tc>
        <w:tc>
          <w:tcPr>
            <w:tcW w:w="40" w:type="dxa"/>
            <w:vAlign w:val="bottom"/>
            <w:tcBorders>
              <w:bottom w:val="single" w:sz="8" w:color="00000A"/>
              <w:right w:val="single" w:sz="8" w:color="00000A"/>
            </w:tcBorders>
          </w:tcPr>
          <w:p>
            <w:pPr>
              <w:spacing w:after="0"/>
              <w:rPr>
                <w:sz w:val="6"/>
                <w:szCs w:val="6"/>
                <w:color w:val="auto"/>
              </w:rPr>
            </w:pPr>
          </w:p>
        </w:tc>
        <w:tc>
          <w:tcPr>
            <w:tcW w:w="120" w:type="dxa"/>
            <w:vAlign w:val="bottom"/>
            <w:tcBorders>
              <w:bottom w:val="single" w:sz="8" w:color="00000A"/>
            </w:tcBorders>
          </w:tcPr>
          <w:p>
            <w:pPr>
              <w:spacing w:after="0"/>
              <w:rPr>
                <w:sz w:val="6"/>
                <w:szCs w:val="6"/>
                <w:color w:val="auto"/>
              </w:rPr>
            </w:pPr>
          </w:p>
        </w:tc>
        <w:tc>
          <w:tcPr>
            <w:tcW w:w="320" w:type="dxa"/>
            <w:vAlign w:val="bottom"/>
            <w:tcBorders>
              <w:bottom w:val="single" w:sz="8" w:color="00000A"/>
            </w:tcBorders>
          </w:tcPr>
          <w:p>
            <w:pPr>
              <w:spacing w:after="0"/>
              <w:rPr>
                <w:sz w:val="6"/>
                <w:szCs w:val="6"/>
                <w:color w:val="auto"/>
              </w:rPr>
            </w:pPr>
          </w:p>
        </w:tc>
        <w:tc>
          <w:tcPr>
            <w:tcW w:w="620" w:type="dxa"/>
            <w:vAlign w:val="bottom"/>
            <w:tcBorders>
              <w:bottom w:val="single" w:sz="8" w:color="00000A"/>
            </w:tcBorders>
          </w:tcPr>
          <w:p>
            <w:pPr>
              <w:spacing w:after="0"/>
              <w:rPr>
                <w:sz w:val="6"/>
                <w:szCs w:val="6"/>
                <w:color w:val="auto"/>
              </w:rPr>
            </w:pPr>
          </w:p>
        </w:tc>
        <w:tc>
          <w:tcPr>
            <w:tcW w:w="520" w:type="dxa"/>
            <w:vAlign w:val="bottom"/>
            <w:tcBorders>
              <w:bottom w:val="single" w:sz="8" w:color="00000A"/>
              <w:right w:val="single" w:sz="8" w:color="00000A"/>
            </w:tcBorders>
          </w:tcPr>
          <w:p>
            <w:pPr>
              <w:spacing w:after="0"/>
              <w:rPr>
                <w:sz w:val="6"/>
                <w:szCs w:val="6"/>
                <w:color w:val="auto"/>
              </w:rPr>
            </w:pPr>
          </w:p>
        </w:tc>
        <w:tc>
          <w:tcPr>
            <w:tcW w:w="480" w:type="dxa"/>
            <w:vAlign w:val="bottom"/>
            <w:tcBorders>
              <w:bottom w:val="single" w:sz="8" w:color="00000A"/>
            </w:tcBorders>
          </w:tcPr>
          <w:p>
            <w:pPr>
              <w:spacing w:after="0"/>
              <w:rPr>
                <w:sz w:val="6"/>
                <w:szCs w:val="6"/>
                <w:color w:val="auto"/>
              </w:rPr>
            </w:pPr>
          </w:p>
        </w:tc>
        <w:tc>
          <w:tcPr>
            <w:tcW w:w="500" w:type="dxa"/>
            <w:vAlign w:val="bottom"/>
            <w:tcBorders>
              <w:bottom w:val="single" w:sz="8" w:color="00000A"/>
            </w:tcBorders>
          </w:tcPr>
          <w:p>
            <w:pPr>
              <w:spacing w:after="0"/>
              <w:rPr>
                <w:sz w:val="6"/>
                <w:szCs w:val="6"/>
                <w:color w:val="auto"/>
              </w:rPr>
            </w:pPr>
          </w:p>
        </w:tc>
        <w:tc>
          <w:tcPr>
            <w:tcW w:w="580" w:type="dxa"/>
            <w:vAlign w:val="bottom"/>
            <w:tcBorders>
              <w:bottom w:val="single" w:sz="8" w:color="00000A"/>
              <w:right w:val="single" w:sz="8" w:color="00000A"/>
            </w:tcBorders>
          </w:tcPr>
          <w:p>
            <w:pPr>
              <w:spacing w:after="0"/>
              <w:rPr>
                <w:sz w:val="6"/>
                <w:szCs w:val="6"/>
                <w:color w:val="auto"/>
              </w:rPr>
            </w:pPr>
          </w:p>
        </w:tc>
        <w:tc>
          <w:tcPr>
            <w:tcW w:w="580" w:type="dxa"/>
            <w:vAlign w:val="bottom"/>
            <w:tcBorders>
              <w:bottom w:val="single" w:sz="8" w:color="00000A"/>
            </w:tcBorders>
          </w:tcPr>
          <w:p>
            <w:pPr>
              <w:spacing w:after="0"/>
              <w:rPr>
                <w:sz w:val="6"/>
                <w:szCs w:val="6"/>
                <w:color w:val="auto"/>
              </w:rPr>
            </w:pPr>
          </w:p>
        </w:tc>
        <w:tc>
          <w:tcPr>
            <w:tcW w:w="780" w:type="dxa"/>
            <w:vAlign w:val="bottom"/>
            <w:tcBorders>
              <w:bottom w:val="single" w:sz="8" w:color="00000A"/>
            </w:tcBorders>
          </w:tcPr>
          <w:p>
            <w:pPr>
              <w:spacing w:after="0"/>
              <w:rPr>
                <w:sz w:val="6"/>
                <w:szCs w:val="6"/>
                <w:color w:val="auto"/>
              </w:rPr>
            </w:pPr>
          </w:p>
        </w:tc>
        <w:tc>
          <w:tcPr>
            <w:tcW w:w="640" w:type="dxa"/>
            <w:vAlign w:val="bottom"/>
            <w:tcBorders>
              <w:bottom w:val="single" w:sz="8" w:color="00000A"/>
              <w:right w:val="single" w:sz="8" w:color="00000A"/>
            </w:tcBorders>
          </w:tcPr>
          <w:p>
            <w:pPr>
              <w:spacing w:after="0"/>
              <w:rPr>
                <w:sz w:val="6"/>
                <w:szCs w:val="6"/>
                <w:color w:val="auto"/>
              </w:rPr>
            </w:pPr>
          </w:p>
        </w:tc>
        <w:tc>
          <w:tcPr>
            <w:tcW w:w="580" w:type="dxa"/>
            <w:vAlign w:val="bottom"/>
            <w:tcBorders>
              <w:bottom w:val="single" w:sz="8" w:color="00000A"/>
            </w:tcBorders>
          </w:tcPr>
          <w:p>
            <w:pPr>
              <w:spacing w:after="0"/>
              <w:rPr>
                <w:sz w:val="6"/>
                <w:szCs w:val="6"/>
                <w:color w:val="auto"/>
              </w:rPr>
            </w:pPr>
          </w:p>
        </w:tc>
        <w:tc>
          <w:tcPr>
            <w:tcW w:w="500" w:type="dxa"/>
            <w:vAlign w:val="bottom"/>
            <w:tcBorders>
              <w:bottom w:val="single" w:sz="8" w:color="00000A"/>
            </w:tcBorders>
          </w:tcPr>
          <w:p>
            <w:pPr>
              <w:spacing w:after="0"/>
              <w:rPr>
                <w:sz w:val="6"/>
                <w:szCs w:val="6"/>
                <w:color w:val="auto"/>
              </w:rPr>
            </w:pPr>
          </w:p>
        </w:tc>
        <w:tc>
          <w:tcPr>
            <w:tcW w:w="580" w:type="dxa"/>
            <w:vAlign w:val="bottom"/>
            <w:tcBorders>
              <w:bottom w:val="single" w:sz="8" w:color="00000A"/>
              <w:right w:val="single" w:sz="8" w:color="00000A"/>
            </w:tcBorders>
          </w:tcPr>
          <w:p>
            <w:pPr>
              <w:spacing w:after="0"/>
              <w:rPr>
                <w:sz w:val="6"/>
                <w:szCs w:val="6"/>
                <w:color w:val="auto"/>
              </w:rPr>
            </w:pPr>
          </w:p>
        </w:tc>
        <w:tc>
          <w:tcPr>
            <w:tcW w:w="640" w:type="dxa"/>
            <w:vAlign w:val="bottom"/>
            <w:tcBorders>
              <w:bottom w:val="single" w:sz="8" w:color="00000A"/>
            </w:tcBorders>
          </w:tcPr>
          <w:p>
            <w:pPr>
              <w:spacing w:after="0"/>
              <w:rPr>
                <w:sz w:val="6"/>
                <w:szCs w:val="6"/>
                <w:color w:val="auto"/>
              </w:rPr>
            </w:pPr>
          </w:p>
        </w:tc>
        <w:tc>
          <w:tcPr>
            <w:tcW w:w="320" w:type="dxa"/>
            <w:vAlign w:val="bottom"/>
            <w:tcBorders>
              <w:bottom w:val="single" w:sz="8" w:color="00000A"/>
            </w:tcBorders>
          </w:tcPr>
          <w:p>
            <w:pPr>
              <w:spacing w:after="0"/>
              <w:rPr>
                <w:sz w:val="6"/>
                <w:szCs w:val="6"/>
                <w:color w:val="auto"/>
              </w:rPr>
            </w:pPr>
          </w:p>
        </w:tc>
        <w:tc>
          <w:tcPr>
            <w:tcW w:w="700" w:type="dxa"/>
            <w:vAlign w:val="bottom"/>
            <w:tcBorders>
              <w:bottom w:val="single" w:sz="8" w:color="00000A"/>
              <w:right w:val="single" w:sz="8" w:color="00000A"/>
            </w:tcBorders>
          </w:tcPr>
          <w:p>
            <w:pPr>
              <w:spacing w:after="0"/>
              <w:rPr>
                <w:sz w:val="6"/>
                <w:szCs w:val="6"/>
                <w:color w:val="auto"/>
              </w:rPr>
            </w:pPr>
          </w:p>
        </w:tc>
        <w:tc>
          <w:tcPr>
            <w:tcW w:w="380" w:type="dxa"/>
            <w:vAlign w:val="bottom"/>
            <w:tcBorders>
              <w:bottom w:val="single" w:sz="8" w:color="00000A"/>
            </w:tcBorders>
          </w:tcPr>
          <w:p>
            <w:pPr>
              <w:spacing w:after="0"/>
              <w:rPr>
                <w:sz w:val="6"/>
                <w:szCs w:val="6"/>
                <w:color w:val="auto"/>
              </w:rPr>
            </w:pPr>
          </w:p>
        </w:tc>
        <w:tc>
          <w:tcPr>
            <w:tcW w:w="440" w:type="dxa"/>
            <w:vAlign w:val="bottom"/>
            <w:tcBorders>
              <w:bottom w:val="single" w:sz="8" w:color="00000A"/>
            </w:tcBorders>
          </w:tcPr>
          <w:p>
            <w:pPr>
              <w:spacing w:after="0"/>
              <w:rPr>
                <w:sz w:val="6"/>
                <w:szCs w:val="6"/>
                <w:color w:val="auto"/>
              </w:rPr>
            </w:pPr>
          </w:p>
        </w:tc>
        <w:tc>
          <w:tcPr>
            <w:tcW w:w="420" w:type="dxa"/>
            <w:vAlign w:val="bottom"/>
            <w:tcBorders>
              <w:bottom w:val="single" w:sz="8" w:color="00000A"/>
              <w:right w:val="single" w:sz="8" w:color="00000A"/>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00" w:type="dxa"/>
            <w:vAlign w:val="bottom"/>
            <w:tcBorders>
              <w:left w:val="single" w:sz="8" w:color="00000A"/>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Borders>
              <w:right w:val="single" w:sz="8" w:color="00000A"/>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Borders>
              <w:right w:val="single" w:sz="8" w:color="00000A"/>
            </w:tcBorders>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Borders>
              <w:right w:val="single" w:sz="8" w:color="00000A"/>
            </w:tcBorders>
          </w:tcPr>
          <w:p>
            <w:pPr>
              <w:spacing w:after="0"/>
              <w:rPr>
                <w:sz w:val="14"/>
                <w:szCs w:val="14"/>
                <w:color w:val="auto"/>
              </w:rPr>
            </w:pPr>
          </w:p>
        </w:tc>
        <w:tc>
          <w:tcPr>
            <w:tcW w:w="2000" w:type="dxa"/>
            <w:vAlign w:val="bottom"/>
            <w:tcBorders>
              <w:right w:val="single" w:sz="8" w:color="00000A"/>
            </w:tcBorders>
            <w:gridSpan w:val="3"/>
          </w:tcPr>
          <w:p>
            <w:pPr>
              <w:jc w:val="center"/>
              <w:ind w:right="20"/>
              <w:spacing w:after="0"/>
              <w:rPr>
                <w:sz w:val="20"/>
                <w:szCs w:val="20"/>
                <w:color w:val="auto"/>
              </w:rPr>
            </w:pPr>
            <w:r>
              <w:rPr>
                <w:rFonts w:ascii="Arial" w:cs="Arial" w:eastAsia="Arial" w:hAnsi="Arial"/>
                <w:sz w:val="13"/>
                <w:szCs w:val="13"/>
                <w:color w:val="auto"/>
                <w:w w:val="92"/>
              </w:rPr>
              <w:t>$________________</w:t>
            </w:r>
          </w:p>
        </w:tc>
        <w:tc>
          <w:tcPr>
            <w:tcW w:w="1660" w:type="dxa"/>
            <w:vAlign w:val="bottom"/>
            <w:tcBorders>
              <w:right w:val="single" w:sz="8" w:color="00000A"/>
            </w:tcBorders>
            <w:gridSpan w:val="3"/>
          </w:tcPr>
          <w:p>
            <w:pPr>
              <w:jc w:val="center"/>
              <w:spacing w:after="0"/>
              <w:rPr>
                <w:sz w:val="20"/>
                <w:szCs w:val="20"/>
                <w:color w:val="auto"/>
              </w:rPr>
            </w:pPr>
            <w:r>
              <w:rPr>
                <w:rFonts w:ascii="Arial" w:cs="Arial" w:eastAsia="Arial" w:hAnsi="Arial"/>
                <w:sz w:val="13"/>
                <w:szCs w:val="13"/>
                <w:color w:val="auto"/>
                <w:w w:val="91"/>
              </w:rPr>
              <w:t>$_________</w:t>
            </w:r>
          </w:p>
        </w:tc>
        <w:tc>
          <w:tcPr>
            <w:tcW w:w="1660" w:type="dxa"/>
            <w:vAlign w:val="bottom"/>
            <w:tcBorders>
              <w:right w:val="single" w:sz="8" w:color="00000A"/>
            </w:tcBorders>
            <w:gridSpan w:val="3"/>
          </w:tcPr>
          <w:p>
            <w:pPr>
              <w:jc w:val="center"/>
              <w:spacing w:after="0"/>
              <w:rPr>
                <w:sz w:val="20"/>
                <w:szCs w:val="20"/>
                <w:color w:val="auto"/>
              </w:rPr>
            </w:pPr>
            <w:r>
              <w:rPr>
                <w:rFonts w:ascii="Arial" w:cs="Arial" w:eastAsia="Arial" w:hAnsi="Arial"/>
                <w:sz w:val="13"/>
                <w:szCs w:val="13"/>
                <w:color w:val="auto"/>
                <w:w w:val="91"/>
              </w:rPr>
              <w:t>____________%</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Borders>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300" w:type="dxa"/>
            <w:vAlign w:val="bottom"/>
            <w:tcBorders>
              <w:left w:val="single" w:sz="8" w:color="00000A"/>
              <w:bottom w:val="single" w:sz="8" w:color="00000A"/>
            </w:tcBorders>
          </w:tcPr>
          <w:p>
            <w:pPr>
              <w:spacing w:after="0"/>
              <w:rPr>
                <w:sz w:val="6"/>
                <w:szCs w:val="6"/>
                <w:color w:val="auto"/>
              </w:rPr>
            </w:pPr>
          </w:p>
        </w:tc>
        <w:tc>
          <w:tcPr>
            <w:tcW w:w="100" w:type="dxa"/>
            <w:vAlign w:val="bottom"/>
            <w:tcBorders>
              <w:bottom w:val="single" w:sz="8" w:color="00000A"/>
            </w:tcBorders>
          </w:tcPr>
          <w:p>
            <w:pPr>
              <w:spacing w:after="0"/>
              <w:rPr>
                <w:sz w:val="6"/>
                <w:szCs w:val="6"/>
                <w:color w:val="auto"/>
              </w:rPr>
            </w:pPr>
          </w:p>
        </w:tc>
        <w:tc>
          <w:tcPr>
            <w:tcW w:w="200" w:type="dxa"/>
            <w:vAlign w:val="bottom"/>
            <w:tcBorders>
              <w:bottom w:val="single" w:sz="8" w:color="00000A"/>
            </w:tcBorders>
          </w:tcPr>
          <w:p>
            <w:pPr>
              <w:spacing w:after="0"/>
              <w:rPr>
                <w:sz w:val="6"/>
                <w:szCs w:val="6"/>
                <w:color w:val="auto"/>
              </w:rPr>
            </w:pPr>
          </w:p>
        </w:tc>
        <w:tc>
          <w:tcPr>
            <w:tcW w:w="420" w:type="dxa"/>
            <w:vAlign w:val="bottom"/>
            <w:tcBorders>
              <w:bottom w:val="single" w:sz="8" w:color="00000A"/>
            </w:tcBorders>
          </w:tcPr>
          <w:p>
            <w:pPr>
              <w:spacing w:after="0"/>
              <w:rPr>
                <w:sz w:val="6"/>
                <w:szCs w:val="6"/>
                <w:color w:val="auto"/>
              </w:rPr>
            </w:pPr>
          </w:p>
        </w:tc>
        <w:tc>
          <w:tcPr>
            <w:tcW w:w="420" w:type="dxa"/>
            <w:vAlign w:val="bottom"/>
            <w:tcBorders>
              <w:bottom w:val="single" w:sz="8" w:color="00000A"/>
            </w:tcBorders>
          </w:tcPr>
          <w:p>
            <w:pPr>
              <w:spacing w:after="0"/>
              <w:rPr>
                <w:sz w:val="6"/>
                <w:szCs w:val="6"/>
                <w:color w:val="auto"/>
              </w:rPr>
            </w:pPr>
          </w:p>
        </w:tc>
        <w:tc>
          <w:tcPr>
            <w:tcW w:w="40" w:type="dxa"/>
            <w:vAlign w:val="bottom"/>
            <w:tcBorders>
              <w:bottom w:val="single" w:sz="8" w:color="00000A"/>
              <w:right w:val="single" w:sz="8" w:color="00000A"/>
            </w:tcBorders>
          </w:tcPr>
          <w:p>
            <w:pPr>
              <w:spacing w:after="0"/>
              <w:rPr>
                <w:sz w:val="6"/>
                <w:szCs w:val="6"/>
                <w:color w:val="auto"/>
              </w:rPr>
            </w:pPr>
          </w:p>
        </w:tc>
        <w:tc>
          <w:tcPr>
            <w:tcW w:w="120" w:type="dxa"/>
            <w:vAlign w:val="bottom"/>
            <w:tcBorders>
              <w:bottom w:val="single" w:sz="8" w:color="00000A"/>
            </w:tcBorders>
          </w:tcPr>
          <w:p>
            <w:pPr>
              <w:spacing w:after="0"/>
              <w:rPr>
                <w:sz w:val="6"/>
                <w:szCs w:val="6"/>
                <w:color w:val="auto"/>
              </w:rPr>
            </w:pPr>
          </w:p>
        </w:tc>
        <w:tc>
          <w:tcPr>
            <w:tcW w:w="320" w:type="dxa"/>
            <w:vAlign w:val="bottom"/>
            <w:tcBorders>
              <w:bottom w:val="single" w:sz="8" w:color="00000A"/>
            </w:tcBorders>
          </w:tcPr>
          <w:p>
            <w:pPr>
              <w:spacing w:after="0"/>
              <w:rPr>
                <w:sz w:val="6"/>
                <w:szCs w:val="6"/>
                <w:color w:val="auto"/>
              </w:rPr>
            </w:pPr>
          </w:p>
        </w:tc>
        <w:tc>
          <w:tcPr>
            <w:tcW w:w="620" w:type="dxa"/>
            <w:vAlign w:val="bottom"/>
            <w:tcBorders>
              <w:bottom w:val="single" w:sz="8" w:color="00000A"/>
            </w:tcBorders>
          </w:tcPr>
          <w:p>
            <w:pPr>
              <w:spacing w:after="0"/>
              <w:rPr>
                <w:sz w:val="6"/>
                <w:szCs w:val="6"/>
                <w:color w:val="auto"/>
              </w:rPr>
            </w:pPr>
          </w:p>
        </w:tc>
        <w:tc>
          <w:tcPr>
            <w:tcW w:w="520" w:type="dxa"/>
            <w:vAlign w:val="bottom"/>
            <w:tcBorders>
              <w:bottom w:val="single" w:sz="8" w:color="00000A"/>
              <w:right w:val="single" w:sz="8" w:color="00000A"/>
            </w:tcBorders>
          </w:tcPr>
          <w:p>
            <w:pPr>
              <w:spacing w:after="0"/>
              <w:rPr>
                <w:sz w:val="6"/>
                <w:szCs w:val="6"/>
                <w:color w:val="auto"/>
              </w:rPr>
            </w:pPr>
          </w:p>
        </w:tc>
        <w:tc>
          <w:tcPr>
            <w:tcW w:w="480" w:type="dxa"/>
            <w:vAlign w:val="bottom"/>
            <w:tcBorders>
              <w:bottom w:val="single" w:sz="8" w:color="00000A"/>
            </w:tcBorders>
          </w:tcPr>
          <w:p>
            <w:pPr>
              <w:spacing w:after="0"/>
              <w:rPr>
                <w:sz w:val="6"/>
                <w:szCs w:val="6"/>
                <w:color w:val="auto"/>
              </w:rPr>
            </w:pPr>
          </w:p>
        </w:tc>
        <w:tc>
          <w:tcPr>
            <w:tcW w:w="500" w:type="dxa"/>
            <w:vAlign w:val="bottom"/>
            <w:tcBorders>
              <w:bottom w:val="single" w:sz="8" w:color="00000A"/>
            </w:tcBorders>
          </w:tcPr>
          <w:p>
            <w:pPr>
              <w:spacing w:after="0"/>
              <w:rPr>
                <w:sz w:val="6"/>
                <w:szCs w:val="6"/>
                <w:color w:val="auto"/>
              </w:rPr>
            </w:pPr>
          </w:p>
        </w:tc>
        <w:tc>
          <w:tcPr>
            <w:tcW w:w="580" w:type="dxa"/>
            <w:vAlign w:val="bottom"/>
            <w:tcBorders>
              <w:bottom w:val="single" w:sz="8" w:color="00000A"/>
              <w:right w:val="single" w:sz="8" w:color="00000A"/>
            </w:tcBorders>
          </w:tcPr>
          <w:p>
            <w:pPr>
              <w:spacing w:after="0"/>
              <w:rPr>
                <w:sz w:val="6"/>
                <w:szCs w:val="6"/>
                <w:color w:val="auto"/>
              </w:rPr>
            </w:pPr>
          </w:p>
        </w:tc>
        <w:tc>
          <w:tcPr>
            <w:tcW w:w="580" w:type="dxa"/>
            <w:vAlign w:val="bottom"/>
            <w:tcBorders>
              <w:bottom w:val="single" w:sz="8" w:color="00000A"/>
            </w:tcBorders>
          </w:tcPr>
          <w:p>
            <w:pPr>
              <w:spacing w:after="0"/>
              <w:rPr>
                <w:sz w:val="6"/>
                <w:szCs w:val="6"/>
                <w:color w:val="auto"/>
              </w:rPr>
            </w:pPr>
          </w:p>
        </w:tc>
        <w:tc>
          <w:tcPr>
            <w:tcW w:w="780" w:type="dxa"/>
            <w:vAlign w:val="bottom"/>
            <w:tcBorders>
              <w:bottom w:val="single" w:sz="8" w:color="00000A"/>
            </w:tcBorders>
          </w:tcPr>
          <w:p>
            <w:pPr>
              <w:spacing w:after="0"/>
              <w:rPr>
                <w:sz w:val="6"/>
                <w:szCs w:val="6"/>
                <w:color w:val="auto"/>
              </w:rPr>
            </w:pPr>
          </w:p>
        </w:tc>
        <w:tc>
          <w:tcPr>
            <w:tcW w:w="640" w:type="dxa"/>
            <w:vAlign w:val="bottom"/>
            <w:tcBorders>
              <w:bottom w:val="single" w:sz="8" w:color="00000A"/>
              <w:right w:val="single" w:sz="8" w:color="00000A"/>
            </w:tcBorders>
          </w:tcPr>
          <w:p>
            <w:pPr>
              <w:spacing w:after="0"/>
              <w:rPr>
                <w:sz w:val="6"/>
                <w:szCs w:val="6"/>
                <w:color w:val="auto"/>
              </w:rPr>
            </w:pPr>
          </w:p>
        </w:tc>
        <w:tc>
          <w:tcPr>
            <w:tcW w:w="580" w:type="dxa"/>
            <w:vAlign w:val="bottom"/>
            <w:tcBorders>
              <w:bottom w:val="single" w:sz="8" w:color="00000A"/>
            </w:tcBorders>
          </w:tcPr>
          <w:p>
            <w:pPr>
              <w:spacing w:after="0"/>
              <w:rPr>
                <w:sz w:val="6"/>
                <w:szCs w:val="6"/>
                <w:color w:val="auto"/>
              </w:rPr>
            </w:pPr>
          </w:p>
        </w:tc>
        <w:tc>
          <w:tcPr>
            <w:tcW w:w="500" w:type="dxa"/>
            <w:vAlign w:val="bottom"/>
            <w:tcBorders>
              <w:bottom w:val="single" w:sz="8" w:color="00000A"/>
            </w:tcBorders>
          </w:tcPr>
          <w:p>
            <w:pPr>
              <w:spacing w:after="0"/>
              <w:rPr>
                <w:sz w:val="6"/>
                <w:szCs w:val="6"/>
                <w:color w:val="auto"/>
              </w:rPr>
            </w:pPr>
          </w:p>
        </w:tc>
        <w:tc>
          <w:tcPr>
            <w:tcW w:w="580" w:type="dxa"/>
            <w:vAlign w:val="bottom"/>
            <w:tcBorders>
              <w:bottom w:val="single" w:sz="8" w:color="00000A"/>
              <w:right w:val="single" w:sz="8" w:color="00000A"/>
            </w:tcBorders>
          </w:tcPr>
          <w:p>
            <w:pPr>
              <w:spacing w:after="0"/>
              <w:rPr>
                <w:sz w:val="6"/>
                <w:szCs w:val="6"/>
                <w:color w:val="auto"/>
              </w:rPr>
            </w:pPr>
          </w:p>
        </w:tc>
        <w:tc>
          <w:tcPr>
            <w:tcW w:w="640" w:type="dxa"/>
            <w:vAlign w:val="bottom"/>
            <w:tcBorders>
              <w:bottom w:val="single" w:sz="8" w:color="00000A"/>
            </w:tcBorders>
          </w:tcPr>
          <w:p>
            <w:pPr>
              <w:spacing w:after="0"/>
              <w:rPr>
                <w:sz w:val="6"/>
                <w:szCs w:val="6"/>
                <w:color w:val="auto"/>
              </w:rPr>
            </w:pPr>
          </w:p>
        </w:tc>
        <w:tc>
          <w:tcPr>
            <w:tcW w:w="320" w:type="dxa"/>
            <w:vAlign w:val="bottom"/>
            <w:tcBorders>
              <w:bottom w:val="single" w:sz="8" w:color="00000A"/>
            </w:tcBorders>
          </w:tcPr>
          <w:p>
            <w:pPr>
              <w:spacing w:after="0"/>
              <w:rPr>
                <w:sz w:val="6"/>
                <w:szCs w:val="6"/>
                <w:color w:val="auto"/>
              </w:rPr>
            </w:pPr>
          </w:p>
        </w:tc>
        <w:tc>
          <w:tcPr>
            <w:tcW w:w="700" w:type="dxa"/>
            <w:vAlign w:val="bottom"/>
            <w:tcBorders>
              <w:bottom w:val="single" w:sz="8" w:color="00000A"/>
              <w:right w:val="single" w:sz="8" w:color="00000A"/>
            </w:tcBorders>
          </w:tcPr>
          <w:p>
            <w:pPr>
              <w:spacing w:after="0"/>
              <w:rPr>
                <w:sz w:val="6"/>
                <w:szCs w:val="6"/>
                <w:color w:val="auto"/>
              </w:rPr>
            </w:pPr>
          </w:p>
        </w:tc>
        <w:tc>
          <w:tcPr>
            <w:tcW w:w="380" w:type="dxa"/>
            <w:vAlign w:val="bottom"/>
            <w:tcBorders>
              <w:bottom w:val="single" w:sz="8" w:color="00000A"/>
            </w:tcBorders>
          </w:tcPr>
          <w:p>
            <w:pPr>
              <w:spacing w:after="0"/>
              <w:rPr>
                <w:sz w:val="6"/>
                <w:szCs w:val="6"/>
                <w:color w:val="auto"/>
              </w:rPr>
            </w:pPr>
          </w:p>
        </w:tc>
        <w:tc>
          <w:tcPr>
            <w:tcW w:w="440" w:type="dxa"/>
            <w:vAlign w:val="bottom"/>
            <w:tcBorders>
              <w:bottom w:val="single" w:sz="8" w:color="00000A"/>
            </w:tcBorders>
          </w:tcPr>
          <w:p>
            <w:pPr>
              <w:spacing w:after="0"/>
              <w:rPr>
                <w:sz w:val="6"/>
                <w:szCs w:val="6"/>
                <w:color w:val="auto"/>
              </w:rPr>
            </w:pPr>
          </w:p>
        </w:tc>
        <w:tc>
          <w:tcPr>
            <w:tcW w:w="420" w:type="dxa"/>
            <w:vAlign w:val="bottom"/>
            <w:tcBorders>
              <w:bottom w:val="single" w:sz="8" w:color="00000A"/>
              <w:right w:val="single" w:sz="8" w:color="00000A"/>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00" w:type="dxa"/>
            <w:vAlign w:val="bottom"/>
            <w:tcBorders>
              <w:left w:val="single" w:sz="8" w:color="00000A"/>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Borders>
              <w:right w:val="single" w:sz="8" w:color="00000A"/>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Borders>
              <w:right w:val="single" w:sz="8" w:color="00000A"/>
            </w:tcBorders>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Borders>
              <w:right w:val="single" w:sz="8" w:color="00000A"/>
            </w:tcBorders>
          </w:tcPr>
          <w:p>
            <w:pPr>
              <w:spacing w:after="0"/>
              <w:rPr>
                <w:sz w:val="14"/>
                <w:szCs w:val="14"/>
                <w:color w:val="auto"/>
              </w:rPr>
            </w:pPr>
          </w:p>
        </w:tc>
        <w:tc>
          <w:tcPr>
            <w:tcW w:w="2000" w:type="dxa"/>
            <w:vAlign w:val="bottom"/>
            <w:tcBorders>
              <w:right w:val="single" w:sz="8" w:color="00000A"/>
            </w:tcBorders>
            <w:gridSpan w:val="3"/>
          </w:tcPr>
          <w:p>
            <w:pPr>
              <w:jc w:val="center"/>
              <w:ind w:right="20"/>
              <w:spacing w:after="0"/>
              <w:rPr>
                <w:sz w:val="20"/>
                <w:szCs w:val="20"/>
                <w:color w:val="auto"/>
              </w:rPr>
            </w:pPr>
            <w:r>
              <w:rPr>
                <w:rFonts w:ascii="Arial" w:cs="Arial" w:eastAsia="Arial" w:hAnsi="Arial"/>
                <w:sz w:val="13"/>
                <w:szCs w:val="13"/>
                <w:color w:val="auto"/>
                <w:w w:val="92"/>
              </w:rPr>
              <w:t>$________________</w:t>
            </w:r>
          </w:p>
        </w:tc>
        <w:tc>
          <w:tcPr>
            <w:tcW w:w="1660" w:type="dxa"/>
            <w:vAlign w:val="bottom"/>
            <w:tcBorders>
              <w:right w:val="single" w:sz="8" w:color="00000A"/>
            </w:tcBorders>
            <w:gridSpan w:val="3"/>
          </w:tcPr>
          <w:p>
            <w:pPr>
              <w:jc w:val="center"/>
              <w:spacing w:after="0"/>
              <w:rPr>
                <w:sz w:val="20"/>
                <w:szCs w:val="20"/>
                <w:color w:val="auto"/>
              </w:rPr>
            </w:pPr>
            <w:r>
              <w:rPr>
                <w:rFonts w:ascii="Arial" w:cs="Arial" w:eastAsia="Arial" w:hAnsi="Arial"/>
                <w:sz w:val="13"/>
                <w:szCs w:val="13"/>
                <w:color w:val="auto"/>
                <w:w w:val="91"/>
              </w:rPr>
              <w:t>$_________</w:t>
            </w:r>
          </w:p>
        </w:tc>
        <w:tc>
          <w:tcPr>
            <w:tcW w:w="1660" w:type="dxa"/>
            <w:vAlign w:val="bottom"/>
            <w:tcBorders>
              <w:right w:val="single" w:sz="8" w:color="00000A"/>
            </w:tcBorders>
            <w:gridSpan w:val="3"/>
          </w:tcPr>
          <w:p>
            <w:pPr>
              <w:jc w:val="center"/>
              <w:spacing w:after="0"/>
              <w:rPr>
                <w:sz w:val="20"/>
                <w:szCs w:val="20"/>
                <w:color w:val="auto"/>
              </w:rPr>
            </w:pPr>
            <w:r>
              <w:rPr>
                <w:rFonts w:ascii="Arial" w:cs="Arial" w:eastAsia="Arial" w:hAnsi="Arial"/>
                <w:sz w:val="13"/>
                <w:szCs w:val="13"/>
                <w:color w:val="auto"/>
                <w:w w:val="91"/>
              </w:rPr>
              <w:t>____________%</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Borders>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300" w:type="dxa"/>
            <w:vAlign w:val="bottom"/>
            <w:tcBorders>
              <w:left w:val="single" w:sz="8" w:color="00000A"/>
              <w:bottom w:val="single" w:sz="8" w:color="00000A"/>
            </w:tcBorders>
          </w:tcPr>
          <w:p>
            <w:pPr>
              <w:spacing w:after="0"/>
              <w:rPr>
                <w:sz w:val="6"/>
                <w:szCs w:val="6"/>
                <w:color w:val="auto"/>
              </w:rPr>
            </w:pPr>
          </w:p>
        </w:tc>
        <w:tc>
          <w:tcPr>
            <w:tcW w:w="100" w:type="dxa"/>
            <w:vAlign w:val="bottom"/>
            <w:tcBorders>
              <w:bottom w:val="single" w:sz="8" w:color="00000A"/>
            </w:tcBorders>
          </w:tcPr>
          <w:p>
            <w:pPr>
              <w:spacing w:after="0"/>
              <w:rPr>
                <w:sz w:val="6"/>
                <w:szCs w:val="6"/>
                <w:color w:val="auto"/>
              </w:rPr>
            </w:pPr>
          </w:p>
        </w:tc>
        <w:tc>
          <w:tcPr>
            <w:tcW w:w="200" w:type="dxa"/>
            <w:vAlign w:val="bottom"/>
            <w:tcBorders>
              <w:bottom w:val="single" w:sz="8" w:color="00000A"/>
            </w:tcBorders>
          </w:tcPr>
          <w:p>
            <w:pPr>
              <w:spacing w:after="0"/>
              <w:rPr>
                <w:sz w:val="6"/>
                <w:szCs w:val="6"/>
                <w:color w:val="auto"/>
              </w:rPr>
            </w:pPr>
          </w:p>
        </w:tc>
        <w:tc>
          <w:tcPr>
            <w:tcW w:w="420" w:type="dxa"/>
            <w:vAlign w:val="bottom"/>
            <w:tcBorders>
              <w:bottom w:val="single" w:sz="8" w:color="00000A"/>
            </w:tcBorders>
          </w:tcPr>
          <w:p>
            <w:pPr>
              <w:spacing w:after="0"/>
              <w:rPr>
                <w:sz w:val="6"/>
                <w:szCs w:val="6"/>
                <w:color w:val="auto"/>
              </w:rPr>
            </w:pPr>
          </w:p>
        </w:tc>
        <w:tc>
          <w:tcPr>
            <w:tcW w:w="420" w:type="dxa"/>
            <w:vAlign w:val="bottom"/>
            <w:tcBorders>
              <w:bottom w:val="single" w:sz="8" w:color="00000A"/>
            </w:tcBorders>
          </w:tcPr>
          <w:p>
            <w:pPr>
              <w:spacing w:after="0"/>
              <w:rPr>
                <w:sz w:val="6"/>
                <w:szCs w:val="6"/>
                <w:color w:val="auto"/>
              </w:rPr>
            </w:pPr>
          </w:p>
        </w:tc>
        <w:tc>
          <w:tcPr>
            <w:tcW w:w="40" w:type="dxa"/>
            <w:vAlign w:val="bottom"/>
            <w:tcBorders>
              <w:bottom w:val="single" w:sz="8" w:color="00000A"/>
              <w:right w:val="single" w:sz="8" w:color="00000A"/>
            </w:tcBorders>
          </w:tcPr>
          <w:p>
            <w:pPr>
              <w:spacing w:after="0"/>
              <w:rPr>
                <w:sz w:val="6"/>
                <w:szCs w:val="6"/>
                <w:color w:val="auto"/>
              </w:rPr>
            </w:pPr>
          </w:p>
        </w:tc>
        <w:tc>
          <w:tcPr>
            <w:tcW w:w="120" w:type="dxa"/>
            <w:vAlign w:val="bottom"/>
            <w:tcBorders>
              <w:bottom w:val="single" w:sz="8" w:color="00000A"/>
            </w:tcBorders>
          </w:tcPr>
          <w:p>
            <w:pPr>
              <w:spacing w:after="0"/>
              <w:rPr>
                <w:sz w:val="6"/>
                <w:szCs w:val="6"/>
                <w:color w:val="auto"/>
              </w:rPr>
            </w:pPr>
          </w:p>
        </w:tc>
        <w:tc>
          <w:tcPr>
            <w:tcW w:w="320" w:type="dxa"/>
            <w:vAlign w:val="bottom"/>
            <w:tcBorders>
              <w:bottom w:val="single" w:sz="8" w:color="00000A"/>
            </w:tcBorders>
          </w:tcPr>
          <w:p>
            <w:pPr>
              <w:spacing w:after="0"/>
              <w:rPr>
                <w:sz w:val="6"/>
                <w:szCs w:val="6"/>
                <w:color w:val="auto"/>
              </w:rPr>
            </w:pPr>
          </w:p>
        </w:tc>
        <w:tc>
          <w:tcPr>
            <w:tcW w:w="620" w:type="dxa"/>
            <w:vAlign w:val="bottom"/>
            <w:tcBorders>
              <w:bottom w:val="single" w:sz="8" w:color="00000A"/>
            </w:tcBorders>
          </w:tcPr>
          <w:p>
            <w:pPr>
              <w:spacing w:after="0"/>
              <w:rPr>
                <w:sz w:val="6"/>
                <w:szCs w:val="6"/>
                <w:color w:val="auto"/>
              </w:rPr>
            </w:pPr>
          </w:p>
        </w:tc>
        <w:tc>
          <w:tcPr>
            <w:tcW w:w="520" w:type="dxa"/>
            <w:vAlign w:val="bottom"/>
            <w:tcBorders>
              <w:bottom w:val="single" w:sz="8" w:color="00000A"/>
              <w:right w:val="single" w:sz="8" w:color="00000A"/>
            </w:tcBorders>
          </w:tcPr>
          <w:p>
            <w:pPr>
              <w:spacing w:after="0"/>
              <w:rPr>
                <w:sz w:val="6"/>
                <w:szCs w:val="6"/>
                <w:color w:val="auto"/>
              </w:rPr>
            </w:pPr>
          </w:p>
        </w:tc>
        <w:tc>
          <w:tcPr>
            <w:tcW w:w="480" w:type="dxa"/>
            <w:vAlign w:val="bottom"/>
            <w:tcBorders>
              <w:bottom w:val="single" w:sz="8" w:color="00000A"/>
            </w:tcBorders>
          </w:tcPr>
          <w:p>
            <w:pPr>
              <w:spacing w:after="0"/>
              <w:rPr>
                <w:sz w:val="6"/>
                <w:szCs w:val="6"/>
                <w:color w:val="auto"/>
              </w:rPr>
            </w:pPr>
          </w:p>
        </w:tc>
        <w:tc>
          <w:tcPr>
            <w:tcW w:w="500" w:type="dxa"/>
            <w:vAlign w:val="bottom"/>
            <w:tcBorders>
              <w:bottom w:val="single" w:sz="8" w:color="00000A"/>
            </w:tcBorders>
          </w:tcPr>
          <w:p>
            <w:pPr>
              <w:spacing w:after="0"/>
              <w:rPr>
                <w:sz w:val="6"/>
                <w:szCs w:val="6"/>
                <w:color w:val="auto"/>
              </w:rPr>
            </w:pPr>
          </w:p>
        </w:tc>
        <w:tc>
          <w:tcPr>
            <w:tcW w:w="580" w:type="dxa"/>
            <w:vAlign w:val="bottom"/>
            <w:tcBorders>
              <w:bottom w:val="single" w:sz="8" w:color="00000A"/>
              <w:right w:val="single" w:sz="8" w:color="00000A"/>
            </w:tcBorders>
          </w:tcPr>
          <w:p>
            <w:pPr>
              <w:spacing w:after="0"/>
              <w:rPr>
                <w:sz w:val="6"/>
                <w:szCs w:val="6"/>
                <w:color w:val="auto"/>
              </w:rPr>
            </w:pPr>
          </w:p>
        </w:tc>
        <w:tc>
          <w:tcPr>
            <w:tcW w:w="580" w:type="dxa"/>
            <w:vAlign w:val="bottom"/>
            <w:tcBorders>
              <w:bottom w:val="single" w:sz="8" w:color="00000A"/>
            </w:tcBorders>
          </w:tcPr>
          <w:p>
            <w:pPr>
              <w:spacing w:after="0"/>
              <w:rPr>
                <w:sz w:val="6"/>
                <w:szCs w:val="6"/>
                <w:color w:val="auto"/>
              </w:rPr>
            </w:pPr>
          </w:p>
        </w:tc>
        <w:tc>
          <w:tcPr>
            <w:tcW w:w="780" w:type="dxa"/>
            <w:vAlign w:val="bottom"/>
            <w:tcBorders>
              <w:bottom w:val="single" w:sz="8" w:color="00000A"/>
            </w:tcBorders>
          </w:tcPr>
          <w:p>
            <w:pPr>
              <w:spacing w:after="0"/>
              <w:rPr>
                <w:sz w:val="6"/>
                <w:szCs w:val="6"/>
                <w:color w:val="auto"/>
              </w:rPr>
            </w:pPr>
          </w:p>
        </w:tc>
        <w:tc>
          <w:tcPr>
            <w:tcW w:w="640" w:type="dxa"/>
            <w:vAlign w:val="bottom"/>
            <w:tcBorders>
              <w:bottom w:val="single" w:sz="8" w:color="00000A"/>
              <w:right w:val="single" w:sz="8" w:color="00000A"/>
            </w:tcBorders>
          </w:tcPr>
          <w:p>
            <w:pPr>
              <w:spacing w:after="0"/>
              <w:rPr>
                <w:sz w:val="6"/>
                <w:szCs w:val="6"/>
                <w:color w:val="auto"/>
              </w:rPr>
            </w:pPr>
          </w:p>
        </w:tc>
        <w:tc>
          <w:tcPr>
            <w:tcW w:w="580" w:type="dxa"/>
            <w:vAlign w:val="bottom"/>
            <w:tcBorders>
              <w:bottom w:val="single" w:sz="8" w:color="00000A"/>
            </w:tcBorders>
          </w:tcPr>
          <w:p>
            <w:pPr>
              <w:spacing w:after="0"/>
              <w:rPr>
                <w:sz w:val="6"/>
                <w:szCs w:val="6"/>
                <w:color w:val="auto"/>
              </w:rPr>
            </w:pPr>
          </w:p>
        </w:tc>
        <w:tc>
          <w:tcPr>
            <w:tcW w:w="500" w:type="dxa"/>
            <w:vAlign w:val="bottom"/>
            <w:tcBorders>
              <w:bottom w:val="single" w:sz="8" w:color="00000A"/>
            </w:tcBorders>
          </w:tcPr>
          <w:p>
            <w:pPr>
              <w:spacing w:after="0"/>
              <w:rPr>
                <w:sz w:val="6"/>
                <w:szCs w:val="6"/>
                <w:color w:val="auto"/>
              </w:rPr>
            </w:pPr>
          </w:p>
        </w:tc>
        <w:tc>
          <w:tcPr>
            <w:tcW w:w="580" w:type="dxa"/>
            <w:vAlign w:val="bottom"/>
            <w:tcBorders>
              <w:bottom w:val="single" w:sz="8" w:color="00000A"/>
              <w:right w:val="single" w:sz="8" w:color="00000A"/>
            </w:tcBorders>
          </w:tcPr>
          <w:p>
            <w:pPr>
              <w:spacing w:after="0"/>
              <w:rPr>
                <w:sz w:val="6"/>
                <w:szCs w:val="6"/>
                <w:color w:val="auto"/>
              </w:rPr>
            </w:pPr>
          </w:p>
        </w:tc>
        <w:tc>
          <w:tcPr>
            <w:tcW w:w="640" w:type="dxa"/>
            <w:vAlign w:val="bottom"/>
            <w:tcBorders>
              <w:bottom w:val="single" w:sz="8" w:color="00000A"/>
            </w:tcBorders>
          </w:tcPr>
          <w:p>
            <w:pPr>
              <w:spacing w:after="0"/>
              <w:rPr>
                <w:sz w:val="6"/>
                <w:szCs w:val="6"/>
                <w:color w:val="auto"/>
              </w:rPr>
            </w:pPr>
          </w:p>
        </w:tc>
        <w:tc>
          <w:tcPr>
            <w:tcW w:w="320" w:type="dxa"/>
            <w:vAlign w:val="bottom"/>
            <w:tcBorders>
              <w:bottom w:val="single" w:sz="8" w:color="00000A"/>
            </w:tcBorders>
          </w:tcPr>
          <w:p>
            <w:pPr>
              <w:spacing w:after="0"/>
              <w:rPr>
                <w:sz w:val="6"/>
                <w:szCs w:val="6"/>
                <w:color w:val="auto"/>
              </w:rPr>
            </w:pPr>
          </w:p>
        </w:tc>
        <w:tc>
          <w:tcPr>
            <w:tcW w:w="700" w:type="dxa"/>
            <w:vAlign w:val="bottom"/>
            <w:tcBorders>
              <w:bottom w:val="single" w:sz="8" w:color="00000A"/>
              <w:right w:val="single" w:sz="8" w:color="00000A"/>
            </w:tcBorders>
          </w:tcPr>
          <w:p>
            <w:pPr>
              <w:spacing w:after="0"/>
              <w:rPr>
                <w:sz w:val="6"/>
                <w:szCs w:val="6"/>
                <w:color w:val="auto"/>
              </w:rPr>
            </w:pPr>
          </w:p>
        </w:tc>
        <w:tc>
          <w:tcPr>
            <w:tcW w:w="380" w:type="dxa"/>
            <w:vAlign w:val="bottom"/>
            <w:tcBorders>
              <w:bottom w:val="single" w:sz="8" w:color="00000A"/>
            </w:tcBorders>
          </w:tcPr>
          <w:p>
            <w:pPr>
              <w:spacing w:after="0"/>
              <w:rPr>
                <w:sz w:val="6"/>
                <w:szCs w:val="6"/>
                <w:color w:val="auto"/>
              </w:rPr>
            </w:pPr>
          </w:p>
        </w:tc>
        <w:tc>
          <w:tcPr>
            <w:tcW w:w="440" w:type="dxa"/>
            <w:vAlign w:val="bottom"/>
            <w:tcBorders>
              <w:bottom w:val="single" w:sz="8" w:color="00000A"/>
            </w:tcBorders>
          </w:tcPr>
          <w:p>
            <w:pPr>
              <w:spacing w:after="0"/>
              <w:rPr>
                <w:sz w:val="6"/>
                <w:szCs w:val="6"/>
                <w:color w:val="auto"/>
              </w:rPr>
            </w:pPr>
          </w:p>
        </w:tc>
        <w:tc>
          <w:tcPr>
            <w:tcW w:w="420" w:type="dxa"/>
            <w:vAlign w:val="bottom"/>
            <w:tcBorders>
              <w:bottom w:val="single" w:sz="8" w:color="00000A"/>
              <w:right w:val="single" w:sz="8" w:color="00000A"/>
            </w:tcBorders>
          </w:tcPr>
          <w:p>
            <w:pPr>
              <w:spacing w:after="0"/>
              <w:rPr>
                <w:sz w:val="6"/>
                <w:szCs w:val="6"/>
                <w:color w:val="auto"/>
              </w:rPr>
            </w:pPr>
          </w:p>
        </w:tc>
        <w:tc>
          <w:tcPr>
            <w:tcW w:w="0" w:type="dxa"/>
            <w:vAlign w:val="bottom"/>
          </w:tcPr>
          <w:p>
            <w:pPr>
              <w:spacing w:after="0"/>
              <w:rPr>
                <w:sz w:val="1"/>
                <w:szCs w:val="1"/>
                <w:color w:val="auto"/>
              </w:rPr>
            </w:pPr>
          </w:p>
        </w:tc>
      </w:tr>
      <w:tr>
        <w:trPr>
          <w:trHeight w:val="380"/>
        </w:trPr>
        <w:tc>
          <w:tcPr>
            <w:tcW w:w="300" w:type="dxa"/>
            <w:vAlign w:val="bottom"/>
          </w:tcPr>
          <w:p>
            <w:pPr>
              <w:jc w:val="right"/>
              <w:ind w:right="4"/>
              <w:spacing w:after="0"/>
              <w:rPr>
                <w:sz w:val="20"/>
                <w:szCs w:val="20"/>
                <w:color w:val="auto"/>
              </w:rPr>
            </w:pPr>
            <w:r>
              <w:rPr>
                <w:rFonts w:ascii="Arial" w:cs="Arial" w:eastAsia="Arial" w:hAnsi="Arial"/>
                <w:sz w:val="19"/>
                <w:szCs w:val="19"/>
                <w:color w:val="auto"/>
                <w:w w:val="84"/>
              </w:rPr>
              <w:t>[7.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9"/>
                <w:szCs w:val="19"/>
                <w:color w:val="auto"/>
                <w:w w:val="97"/>
              </w:rPr>
              <w:t>Trade Date:</w:t>
            </w:r>
          </w:p>
        </w:tc>
        <w:tc>
          <w:tcPr>
            <w:tcW w:w="2440" w:type="dxa"/>
            <w:vAlign w:val="bottom"/>
            <w:gridSpan w:val="5"/>
          </w:tcPr>
          <w:p>
            <w:pPr>
              <w:jc w:val="right"/>
              <w:ind w:right="333"/>
              <w:spacing w:after="0"/>
              <w:rPr>
                <w:sz w:val="20"/>
                <w:szCs w:val="20"/>
                <w:color w:val="auto"/>
              </w:rPr>
            </w:pPr>
            <w:r>
              <w:rPr>
                <w:rFonts w:ascii="Arial" w:cs="Arial" w:eastAsia="Arial" w:hAnsi="Arial"/>
                <w:sz w:val="19"/>
                <w:szCs w:val="19"/>
                <w:color w:val="auto"/>
                <w:w w:val="92"/>
              </w:rPr>
              <w:t>__________________]</w:t>
            </w:r>
            <w:r>
              <w:rPr>
                <w:rFonts w:ascii="Arial" w:cs="Arial" w:eastAsia="Arial" w:hAnsi="Arial"/>
                <w:sz w:val="31"/>
                <w:szCs w:val="31"/>
                <w:color w:val="auto"/>
                <w:w w:val="92"/>
                <w:vertAlign w:val="superscript"/>
              </w:rPr>
              <w:t>10</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w:t>
      </w:r>
    </w:p>
    <w:p>
      <w:pPr>
        <w:spacing w:after="0" w:line="11" w:lineRule="exact"/>
        <w:rPr>
          <w:sz w:val="20"/>
          <w:szCs w:val="20"/>
          <w:color w:val="auto"/>
        </w:rPr>
      </w:pPr>
    </w:p>
    <w:p>
      <w:pPr>
        <w:ind w:left="60" w:hanging="60"/>
        <w:spacing w:after="0"/>
        <w:tabs>
          <w:tab w:leader="none" w:pos="60" w:val="left"/>
        </w:tabs>
        <w:numPr>
          <w:ilvl w:val="0"/>
          <w:numId w:val="234"/>
        </w:numPr>
        <w:rPr>
          <w:rFonts w:ascii="Arial" w:cs="Arial" w:eastAsia="Arial" w:hAnsi="Arial"/>
          <w:sz w:val="8"/>
          <w:szCs w:val="8"/>
          <w:color w:val="auto"/>
        </w:rPr>
      </w:pPr>
      <w:r>
        <w:rPr>
          <w:rFonts w:ascii="Arial" w:cs="Arial" w:eastAsia="Arial" w:hAnsi="Arial"/>
          <w:sz w:val="13"/>
          <w:szCs w:val="13"/>
          <w:color w:val="auto"/>
        </w:rPr>
        <w:t>List each Assignor, as appropriate.</w:t>
      </w:r>
    </w:p>
    <w:p>
      <w:pPr>
        <w:ind w:left="60" w:hanging="60"/>
        <w:spacing w:after="0"/>
        <w:tabs>
          <w:tab w:leader="none" w:pos="60" w:val="left"/>
        </w:tabs>
        <w:numPr>
          <w:ilvl w:val="0"/>
          <w:numId w:val="235"/>
        </w:numPr>
        <w:rPr>
          <w:rFonts w:ascii="Arial" w:cs="Arial" w:eastAsia="Arial" w:hAnsi="Arial"/>
          <w:sz w:val="8"/>
          <w:szCs w:val="8"/>
          <w:color w:val="auto"/>
        </w:rPr>
      </w:pPr>
      <w:r>
        <w:rPr>
          <w:rFonts w:ascii="Arial" w:cs="Arial" w:eastAsia="Arial" w:hAnsi="Arial"/>
          <w:sz w:val="13"/>
          <w:szCs w:val="13"/>
          <w:color w:val="auto"/>
        </w:rPr>
        <w:t>List each Assignee and, if available, its market entity identifier, as appropriate.</w:t>
      </w:r>
    </w:p>
    <w:p>
      <w:pPr>
        <w:ind w:left="140" w:right="380" w:hanging="140"/>
        <w:spacing w:after="0"/>
        <w:tabs>
          <w:tab w:leader="none" w:pos="52" w:val="left"/>
        </w:tabs>
        <w:numPr>
          <w:ilvl w:val="0"/>
          <w:numId w:val="236"/>
        </w:numPr>
        <w:rPr>
          <w:rFonts w:ascii="Arial" w:cs="Arial" w:eastAsia="Arial" w:hAnsi="Arial"/>
          <w:sz w:val="8"/>
          <w:szCs w:val="8"/>
          <w:color w:val="auto"/>
        </w:rPr>
      </w:pPr>
      <w:r>
        <w:rPr>
          <w:rFonts w:ascii="Arial" w:cs="Arial" w:eastAsia="Arial" w:hAnsi="Arial"/>
          <w:sz w:val="13"/>
          <w:szCs w:val="13"/>
          <w:color w:val="auto"/>
        </w:rPr>
        <w:t>Fill in the appropriate terminology for the types of facility under the Credit Agreement that are being assigned under this Assignment (e.g., Revolving Credit Commitment, [Tranche [•]] [Closing Date] Term Commitment, etc.)</w:t>
      </w:r>
    </w:p>
    <w:p>
      <w:pPr>
        <w:spacing w:after="0" w:line="1" w:lineRule="exact"/>
        <w:rPr>
          <w:sz w:val="20"/>
          <w:szCs w:val="20"/>
          <w:color w:val="auto"/>
        </w:rPr>
      </w:pPr>
    </w:p>
    <w:p>
      <w:pPr>
        <w:ind w:left="60" w:hanging="60"/>
        <w:spacing w:after="0"/>
        <w:tabs>
          <w:tab w:leader="none" w:pos="60" w:val="left"/>
        </w:tabs>
        <w:numPr>
          <w:ilvl w:val="0"/>
          <w:numId w:val="237"/>
        </w:numPr>
        <w:rPr>
          <w:rFonts w:ascii="Arial" w:cs="Arial" w:eastAsia="Arial" w:hAnsi="Arial"/>
          <w:sz w:val="8"/>
          <w:szCs w:val="8"/>
          <w:color w:val="auto"/>
        </w:rPr>
      </w:pPr>
      <w:r>
        <w:rPr>
          <w:rFonts w:ascii="Arial" w:cs="Arial" w:eastAsia="Arial" w:hAnsi="Arial"/>
          <w:sz w:val="12"/>
          <w:szCs w:val="12"/>
          <w:color w:val="auto"/>
        </w:rPr>
        <w:t>Amounts in this column and in the column immediately to the right to be adjusted by the counterparties to take into account any payments or prepayments made between the Trade Date and the Effective Date.</w:t>
      </w:r>
    </w:p>
    <w:p>
      <w:pPr>
        <w:spacing w:after="0" w:line="11" w:lineRule="exact"/>
        <w:rPr>
          <w:rFonts w:ascii="Arial" w:cs="Arial" w:eastAsia="Arial" w:hAnsi="Arial"/>
          <w:sz w:val="8"/>
          <w:szCs w:val="8"/>
          <w:color w:val="auto"/>
        </w:rPr>
      </w:pPr>
    </w:p>
    <w:p>
      <w:pPr>
        <w:spacing w:after="0"/>
        <w:rPr>
          <w:rFonts w:ascii="Arial" w:cs="Arial" w:eastAsia="Arial" w:hAnsi="Arial"/>
          <w:sz w:val="8"/>
          <w:szCs w:val="8"/>
          <w:color w:val="auto"/>
        </w:rPr>
      </w:pPr>
      <w:r>
        <w:rPr>
          <w:rFonts w:ascii="Arial" w:cs="Arial" w:eastAsia="Arial" w:hAnsi="Arial"/>
          <w:sz w:val="8"/>
          <w:szCs w:val="8"/>
          <w:color w:val="auto"/>
        </w:rPr>
        <w:t xml:space="preserve">9 </w:t>
      </w:r>
      <w:r>
        <w:rPr>
          <w:rFonts w:ascii="Arial" w:cs="Arial" w:eastAsia="Arial" w:hAnsi="Arial"/>
          <w:sz w:val="13"/>
          <w:szCs w:val="13"/>
          <w:color w:val="auto"/>
        </w:rPr>
        <w:t>Set forth, to at least 9 decimals, as a percentage of the Commitment/Loans of all Lenders thereunder.</w:t>
      </w:r>
    </w:p>
    <w:p>
      <w:pPr>
        <w:spacing w:after="0"/>
        <w:rPr>
          <w:rFonts w:ascii="Arial" w:cs="Arial" w:eastAsia="Arial" w:hAnsi="Arial"/>
          <w:sz w:val="8"/>
          <w:szCs w:val="8"/>
          <w:color w:val="auto"/>
        </w:rPr>
      </w:pPr>
      <w:r>
        <w:rPr>
          <w:rFonts w:ascii="Arial" w:cs="Arial" w:eastAsia="Arial" w:hAnsi="Arial"/>
          <w:sz w:val="8"/>
          <w:szCs w:val="8"/>
          <w:color w:val="auto"/>
        </w:rPr>
        <w:t xml:space="preserve">10 </w:t>
      </w:r>
      <w:r>
        <w:rPr>
          <w:rFonts w:ascii="Arial" w:cs="Arial" w:eastAsia="Arial" w:hAnsi="Arial"/>
          <w:sz w:val="13"/>
          <w:szCs w:val="13"/>
          <w:color w:val="auto"/>
        </w:rPr>
        <w:t>To be completed if the Assignor and the Assignee intend that the minimum assignment amount is to be determined as of the Trade Date.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E-1-2</w:t>
      </w:r>
    </w:p>
    <w:p>
      <w:pPr>
        <w:sectPr>
          <w:pgSz w:w="11900" w:h="16838" w:orient="portrait"/>
          <w:cols w:equalWidth="0" w:num="1">
            <w:col w:w="11420"/>
          </w:cols>
          <w:pgMar w:left="240" w:top="553" w:right="239" w:bottom="1440" w:gutter="0" w:footer="0" w:header="0"/>
        </w:sectPr>
      </w:pPr>
    </w:p>
    <w:bookmarkStart w:id="188" w:name="page189"/>
    <w:bookmarkEnd w:id="188"/>
    <w:p>
      <w:pPr>
        <w:spacing w:after="0"/>
        <w:rPr>
          <w:sz w:val="20"/>
          <w:szCs w:val="20"/>
          <w:color w:val="auto"/>
        </w:rPr>
      </w:pPr>
      <w:r>
        <w:rPr>
          <w:rFonts w:ascii="Arial" w:cs="Arial" w:eastAsia="Arial" w:hAnsi="Arial"/>
          <w:sz w:val="17"/>
          <w:szCs w:val="17"/>
          <w:color w:val="auto"/>
        </w:rPr>
        <w:t>Effective Date: __________________, 20__ [TO BE INSERTED BY ADMINISTRATIVE AGENT AND WHICH SHALL BE THE EFFECTIVE DATE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OF RECORDATION OF TRANSFER IN THE REGISTER THEREFOR.]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00" w:lineRule="exact"/>
        <w:rPr>
          <w:sz w:val="20"/>
          <w:szCs w:val="20"/>
          <w:color w:val="auto"/>
        </w:rPr>
      </w:pPr>
    </w:p>
    <w:p>
      <w:pPr>
        <w:spacing w:after="0" w:line="244" w:lineRule="exact"/>
        <w:rPr>
          <w:sz w:val="20"/>
          <w:szCs w:val="20"/>
          <w:color w:val="auto"/>
        </w:rPr>
      </w:pPr>
    </w:p>
    <w:p>
      <w:pPr>
        <w:ind w:left="8020"/>
        <w:spacing w:after="0"/>
        <w:rPr>
          <w:sz w:val="20"/>
          <w:szCs w:val="20"/>
          <w:color w:val="auto"/>
        </w:rPr>
      </w:pPr>
      <w:r>
        <w:rPr>
          <w:rFonts w:ascii="Arial" w:cs="Arial" w:eastAsia="Arial" w:hAnsi="Arial"/>
          <w:sz w:val="20"/>
          <w:szCs w:val="20"/>
          <w:b w:val="1"/>
          <w:bCs w:val="1"/>
          <w:u w:val="single" w:color="auto"/>
          <w:color w:val="auto"/>
        </w:rPr>
        <w:t>ASSIGNOR[S]</w:t>
      </w:r>
      <w:r>
        <w:rPr>
          <w:rFonts w:ascii="Arial" w:cs="Arial" w:eastAsia="Arial" w:hAnsi="Arial"/>
          <w:sz w:val="26"/>
          <w:szCs w:val="26"/>
          <w:color w:val="auto"/>
          <w:vertAlign w:val="superscript"/>
        </w:rPr>
        <w:t>11</w:t>
      </w:r>
    </w:p>
    <w:p>
      <w:pPr>
        <w:ind w:left="8020"/>
        <w:spacing w:after="0"/>
        <w:rPr>
          <w:sz w:val="20"/>
          <w:szCs w:val="20"/>
          <w:color w:val="auto"/>
        </w:rPr>
      </w:pPr>
      <w:r>
        <w:rPr>
          <w:rFonts w:ascii="Arial" w:cs="Arial" w:eastAsia="Arial" w:hAnsi="Arial"/>
          <w:sz w:val="20"/>
          <w:szCs w:val="20"/>
          <w:color w:val="auto"/>
        </w:rPr>
        <w:t>[NAME OF ASSIGNOR]</w:t>
      </w:r>
    </w:p>
    <w:p>
      <w:pPr>
        <w:spacing w:after="0" w:line="304" w:lineRule="exact"/>
        <w:rPr>
          <w:sz w:val="20"/>
          <w:szCs w:val="20"/>
          <w:color w:val="auto"/>
        </w:rPr>
      </w:pPr>
    </w:p>
    <w:p>
      <w:pPr>
        <w:ind w:left="80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5361305</wp:posOffset>
            </wp:positionH>
            <wp:positionV relativeFrom="paragraph">
              <wp:posOffset>24765</wp:posOffset>
            </wp:positionV>
            <wp:extent cx="189547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95475" cy="7620"/>
                    </a:xfrm>
                    <a:prstGeom prst="rect">
                      <a:avLst/>
                    </a:prstGeom>
                    <a:noFill/>
                  </pic:spPr>
                </pic:pic>
              </a:graphicData>
            </a:graphic>
          </wp:anchor>
        </w:drawing>
      </w:r>
    </w:p>
    <w:p>
      <w:pPr>
        <w:spacing w:after="0" w:line="37" w:lineRule="exact"/>
        <w:rPr>
          <w:sz w:val="20"/>
          <w:szCs w:val="20"/>
          <w:color w:val="auto"/>
        </w:rPr>
      </w:pPr>
    </w:p>
    <w:p>
      <w:pPr>
        <w:ind w:left="8460"/>
        <w:spacing w:after="0"/>
        <w:rPr>
          <w:sz w:val="20"/>
          <w:szCs w:val="20"/>
          <w:color w:val="auto"/>
        </w:rPr>
      </w:pPr>
      <w:r>
        <w:rPr>
          <w:rFonts w:ascii="Arial" w:cs="Arial" w:eastAsia="Arial" w:hAnsi="Arial"/>
          <w:sz w:val="20"/>
          <w:szCs w:val="20"/>
          <w:color w:val="auto"/>
        </w:rPr>
        <w:t>Title:</w:t>
      </w:r>
    </w:p>
    <w:p>
      <w:pPr>
        <w:spacing w:after="0" w:line="311" w:lineRule="exact"/>
        <w:rPr>
          <w:sz w:val="20"/>
          <w:szCs w:val="20"/>
          <w:color w:val="auto"/>
        </w:rPr>
      </w:pPr>
    </w:p>
    <w:p>
      <w:pPr>
        <w:ind w:left="8020"/>
        <w:spacing w:after="0"/>
        <w:rPr>
          <w:sz w:val="20"/>
          <w:szCs w:val="20"/>
          <w:color w:val="auto"/>
        </w:rPr>
      </w:pPr>
      <w:r>
        <w:rPr>
          <w:rFonts w:ascii="Arial" w:cs="Arial" w:eastAsia="Arial" w:hAnsi="Arial"/>
          <w:sz w:val="20"/>
          <w:szCs w:val="20"/>
          <w:b w:val="1"/>
          <w:bCs w:val="1"/>
          <w:color w:val="auto"/>
        </w:rPr>
        <w:t>ASSIGNEE[S]</w:t>
      </w:r>
      <w:r>
        <w:rPr>
          <w:rFonts w:ascii="Arial" w:cs="Arial" w:eastAsia="Arial" w:hAnsi="Arial"/>
          <w:sz w:val="26"/>
          <w:szCs w:val="26"/>
          <w:color w:val="auto"/>
          <w:vertAlign w:val="superscript"/>
        </w:rPr>
        <w:t>12</w:t>
      </w:r>
    </w:p>
    <w:p>
      <w:pPr>
        <w:ind w:left="8020"/>
        <w:spacing w:after="0"/>
        <w:rPr>
          <w:sz w:val="20"/>
          <w:szCs w:val="20"/>
          <w:color w:val="auto"/>
        </w:rPr>
      </w:pPr>
      <w:r>
        <w:rPr>
          <w:rFonts w:ascii="Arial" w:cs="Arial" w:eastAsia="Arial" w:hAnsi="Arial"/>
          <w:sz w:val="20"/>
          <w:szCs w:val="20"/>
          <w:color w:val="auto"/>
        </w:rPr>
        <w:t>[NAME OF ASSIGNOR]</w:t>
      </w:r>
    </w:p>
    <w:p>
      <w:pPr>
        <w:spacing w:after="0" w:line="304" w:lineRule="exact"/>
        <w:rPr>
          <w:sz w:val="20"/>
          <w:szCs w:val="20"/>
          <w:color w:val="auto"/>
        </w:rPr>
      </w:pPr>
    </w:p>
    <w:p>
      <w:pPr>
        <w:ind w:left="80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5361305</wp:posOffset>
            </wp:positionH>
            <wp:positionV relativeFrom="paragraph">
              <wp:posOffset>24765</wp:posOffset>
            </wp:positionV>
            <wp:extent cx="189547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95475" cy="7620"/>
                    </a:xfrm>
                    <a:prstGeom prst="rect">
                      <a:avLst/>
                    </a:prstGeom>
                    <a:noFill/>
                  </pic:spPr>
                </pic:pic>
              </a:graphicData>
            </a:graphic>
          </wp:anchor>
        </w:drawing>
      </w:r>
    </w:p>
    <w:p>
      <w:pPr>
        <w:spacing w:after="0" w:line="37" w:lineRule="exact"/>
        <w:rPr>
          <w:sz w:val="20"/>
          <w:szCs w:val="20"/>
          <w:color w:val="auto"/>
        </w:rPr>
      </w:pPr>
    </w:p>
    <w:p>
      <w:pPr>
        <w:ind w:left="8460"/>
        <w:spacing w:after="0"/>
        <w:rPr>
          <w:sz w:val="20"/>
          <w:szCs w:val="20"/>
          <w:color w:val="auto"/>
        </w:rPr>
      </w:pPr>
      <w:r>
        <w:rPr>
          <w:rFonts w:ascii="Arial" w:cs="Arial" w:eastAsia="Arial" w:hAnsi="Arial"/>
          <w:sz w:val="20"/>
          <w:szCs w:val="20"/>
          <w:color w:val="auto"/>
        </w:rPr>
        <w:t>Title:</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[Consented to and]</w:t>
      </w:r>
      <w:r>
        <w:rPr>
          <w:rFonts w:ascii="Arial" w:cs="Arial" w:eastAsia="Arial" w:hAnsi="Arial"/>
          <w:sz w:val="31"/>
          <w:szCs w:val="31"/>
          <w:color w:val="auto"/>
          <w:vertAlign w:val="superscript"/>
        </w:rPr>
        <w:t>13</w:t>
      </w:r>
      <w:r>
        <w:rPr>
          <w:rFonts w:ascii="Arial" w:cs="Arial" w:eastAsia="Arial" w:hAnsi="Arial"/>
          <w:sz w:val="19"/>
          <w:szCs w:val="19"/>
          <w:color w:val="auto"/>
        </w:rPr>
        <w:t xml:space="preserve"> Accepted:</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color w:val="auto"/>
        </w:rPr>
        <w:t>BANK OF AMERICA, N.A., as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Administrative Agent</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WELLS FARGO BANK, NATIONAL ASSOCIATION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as an Issuing Bank and Swing Line Lender</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BANK OF AMERICA, N.A.,</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as an Issuing Bank and Swing Line Lender</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w:t>
      </w:r>
    </w:p>
    <w:p>
      <w:pPr>
        <w:spacing w:after="0" w:line="11" w:lineRule="exact"/>
        <w:rPr>
          <w:sz w:val="20"/>
          <w:szCs w:val="20"/>
          <w:color w:val="auto"/>
        </w:rPr>
      </w:pPr>
    </w:p>
    <w:p>
      <w:pPr>
        <w:ind w:left="100" w:hanging="100"/>
        <w:spacing w:after="0"/>
        <w:tabs>
          <w:tab w:leader="none" w:pos="100" w:val="left"/>
        </w:tabs>
        <w:numPr>
          <w:ilvl w:val="0"/>
          <w:numId w:val="238"/>
        </w:numPr>
        <w:rPr>
          <w:rFonts w:ascii="Arial" w:cs="Arial" w:eastAsia="Arial" w:hAnsi="Arial"/>
          <w:sz w:val="8"/>
          <w:szCs w:val="8"/>
          <w:color w:val="auto"/>
        </w:rPr>
      </w:pPr>
      <w:r>
        <w:rPr>
          <w:rFonts w:ascii="Arial" w:cs="Arial" w:eastAsia="Arial" w:hAnsi="Arial"/>
          <w:sz w:val="13"/>
          <w:szCs w:val="13"/>
          <w:color w:val="auto"/>
        </w:rPr>
        <w:t>Add additional signature blocks as needed. Include both Fund/Pension Plan and manager making the trade (if applicable).</w:t>
      </w:r>
    </w:p>
    <w:p>
      <w:pPr>
        <w:ind w:left="100" w:hanging="100"/>
        <w:spacing w:after="0"/>
        <w:tabs>
          <w:tab w:leader="none" w:pos="100" w:val="left"/>
        </w:tabs>
        <w:numPr>
          <w:ilvl w:val="0"/>
          <w:numId w:val="238"/>
        </w:numPr>
        <w:rPr>
          <w:rFonts w:ascii="Arial" w:cs="Arial" w:eastAsia="Arial" w:hAnsi="Arial"/>
          <w:sz w:val="8"/>
          <w:szCs w:val="8"/>
          <w:color w:val="auto"/>
        </w:rPr>
      </w:pPr>
      <w:r>
        <w:rPr>
          <w:rFonts w:ascii="Arial" w:cs="Arial" w:eastAsia="Arial" w:hAnsi="Arial"/>
          <w:sz w:val="13"/>
          <w:szCs w:val="13"/>
          <w:color w:val="auto"/>
        </w:rPr>
        <w:t>Add additional signature blocks as needed. Include both Fund/Pension Plan and manager making the trade (if applicable).</w:t>
      </w:r>
    </w:p>
    <w:p>
      <w:pPr>
        <w:ind w:left="100" w:hanging="100"/>
        <w:spacing w:after="0"/>
        <w:tabs>
          <w:tab w:leader="none" w:pos="100" w:val="left"/>
        </w:tabs>
        <w:numPr>
          <w:ilvl w:val="0"/>
          <w:numId w:val="238"/>
        </w:numPr>
        <w:rPr>
          <w:rFonts w:ascii="Arial" w:cs="Arial" w:eastAsia="Arial" w:hAnsi="Arial"/>
          <w:sz w:val="8"/>
          <w:szCs w:val="8"/>
          <w:color w:val="auto"/>
        </w:rPr>
      </w:pPr>
      <w:r>
        <w:rPr>
          <w:rFonts w:ascii="Arial" w:cs="Arial" w:eastAsia="Arial" w:hAnsi="Arial"/>
          <w:sz w:val="13"/>
          <w:szCs w:val="13"/>
          <w:color w:val="auto"/>
        </w:rPr>
        <w:t>To be added only if the consent of the Administrative Agent, Issuing Bank and/or Swing Line Lender is required by the terms of the Credit Agreement.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E-1-3</w:t>
      </w:r>
    </w:p>
    <w:p>
      <w:pPr>
        <w:sectPr>
          <w:pgSz w:w="11900" w:h="16838" w:orient="portrait"/>
          <w:cols w:equalWidth="0" w:num="1">
            <w:col w:w="11420"/>
          </w:cols>
          <w:pgMar w:left="240" w:top="548" w:right="239" w:bottom="1440" w:gutter="0" w:footer="0" w:header="0"/>
        </w:sectPr>
      </w:pPr>
    </w:p>
    <w:bookmarkStart w:id="189" w:name="page190"/>
    <w:bookmarkEnd w:id="189"/>
    <w:p>
      <w:pPr>
        <w:spacing w:after="0"/>
        <w:rPr>
          <w:sz w:val="20"/>
          <w:szCs w:val="20"/>
          <w:color w:val="auto"/>
        </w:rPr>
      </w:pPr>
      <w:r>
        <w:rPr>
          <w:rFonts w:ascii="Arial" w:cs="Arial" w:eastAsia="Arial" w:hAnsi="Arial"/>
          <w:sz w:val="19"/>
          <w:szCs w:val="19"/>
          <w:color w:val="auto"/>
        </w:rPr>
        <w:t>PNC BANK, NATIONAL ASSOCIATION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as an Issuing Bank and Swing Line Lender</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Title:</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color w:val="auto"/>
        </w:rPr>
        <w:t>US BANK NATIONAL ASSOCIATION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as an Issuing Bank and Swing Line Lender</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Title:</w:t>
      </w:r>
    </w:p>
    <w:p>
      <w:pPr>
        <w:spacing w:after="0" w:line="358" w:lineRule="exact"/>
        <w:rPr>
          <w:sz w:val="20"/>
          <w:szCs w:val="20"/>
          <w:color w:val="auto"/>
        </w:rPr>
      </w:pPr>
    </w:p>
    <w:p>
      <w:pPr>
        <w:spacing w:after="0"/>
        <w:rPr>
          <w:sz w:val="20"/>
          <w:szCs w:val="20"/>
          <w:color w:val="auto"/>
        </w:rPr>
      </w:pPr>
      <w:r>
        <w:rPr>
          <w:rFonts w:ascii="Arial" w:cs="Arial" w:eastAsia="Arial" w:hAnsi="Arial"/>
          <w:sz w:val="19"/>
          <w:szCs w:val="19"/>
          <w:color w:val="auto"/>
        </w:rPr>
        <w:t>[Consented to:</w:t>
      </w:r>
      <w:r>
        <w:rPr>
          <w:rFonts w:ascii="Arial" w:cs="Arial" w:eastAsia="Arial" w:hAnsi="Arial"/>
          <w:sz w:val="31"/>
          <w:szCs w:val="31"/>
          <w:color w:val="auto"/>
          <w:vertAlign w:val="superscript"/>
        </w:rPr>
        <w:t>14</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color w:val="auto"/>
        </w:rPr>
        <w:t>AMERICAN ASSETS TRUST, L.P.</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w:t>
      </w:r>
    </w:p>
    <w:p>
      <w:pPr>
        <w:spacing w:after="0" w:line="11" w:lineRule="exact"/>
        <w:rPr>
          <w:sz w:val="20"/>
          <w:szCs w:val="20"/>
          <w:color w:val="auto"/>
        </w:rPr>
      </w:pPr>
    </w:p>
    <w:p>
      <w:pPr>
        <w:ind w:left="100" w:hanging="100"/>
        <w:spacing w:after="0"/>
        <w:tabs>
          <w:tab w:leader="none" w:pos="100" w:val="left"/>
        </w:tabs>
        <w:numPr>
          <w:ilvl w:val="0"/>
          <w:numId w:val="239"/>
        </w:numPr>
        <w:rPr>
          <w:rFonts w:ascii="Arial" w:cs="Arial" w:eastAsia="Arial" w:hAnsi="Arial"/>
          <w:sz w:val="8"/>
          <w:szCs w:val="8"/>
          <w:color w:val="auto"/>
        </w:rPr>
      </w:pPr>
      <w:r>
        <w:rPr>
          <w:rFonts w:ascii="Arial" w:cs="Arial" w:eastAsia="Arial" w:hAnsi="Arial"/>
          <w:sz w:val="13"/>
          <w:szCs w:val="13"/>
          <w:color w:val="auto"/>
        </w:rPr>
        <w:t>To be added only if the consent of the Borrower is required by the terms of the Credit Agreement.</w:t>
      </w:r>
    </w:p>
    <w:p>
      <w:pPr>
        <w:spacing w:after="0" w:line="219" w:lineRule="exact"/>
        <w:rPr>
          <w:sz w:val="20"/>
          <w:szCs w:val="20"/>
          <w:color w:val="auto"/>
        </w:rPr>
      </w:pPr>
    </w:p>
    <w:p>
      <w:pPr>
        <w:jc w:val="right"/>
        <w:ind w:right="4319"/>
        <w:spacing w:after="0"/>
        <w:rPr>
          <w:sz w:val="20"/>
          <w:szCs w:val="20"/>
          <w:color w:val="auto"/>
        </w:rPr>
      </w:pPr>
      <w:r>
        <w:rPr>
          <w:rFonts w:ascii="Arial" w:cs="Arial" w:eastAsia="Arial" w:hAnsi="Arial"/>
          <w:sz w:val="17"/>
          <w:szCs w:val="17"/>
          <w:color w:val="auto"/>
        </w:rPr>
        <w:t>E-1-4</w:t>
      </w:r>
    </w:p>
    <w:p>
      <w:pPr>
        <w:sectPr>
          <w:pgSz w:w="11900" w:h="16838" w:orient="portrait"/>
          <w:cols w:equalWidth="0" w:num="1">
            <w:col w:w="10219"/>
          </w:cols>
          <w:pgMar w:left="240" w:top="553" w:right="1440" w:bottom="1440" w:gutter="0" w:footer="0" w:header="0"/>
        </w:sectPr>
      </w:pPr>
    </w:p>
    <w:bookmarkStart w:id="190" w:name="page191"/>
    <w:bookmarkEnd w:id="190"/>
    <w:p>
      <w:pPr>
        <w:ind w:left="7120"/>
        <w:spacing w:after="0"/>
        <w:rPr>
          <w:sz w:val="20"/>
          <w:szCs w:val="20"/>
          <w:color w:val="auto"/>
        </w:rPr>
      </w:pPr>
      <w:r>
        <w:rPr>
          <w:rFonts w:ascii="Arial" w:cs="Arial" w:eastAsia="Arial" w:hAnsi="Arial"/>
          <w:sz w:val="19"/>
          <w:szCs w:val="19"/>
          <w:b w:val="1"/>
          <w:bCs w:val="1"/>
          <w:i w:val="1"/>
          <w:iCs w:val="1"/>
          <w:color w:val="auto"/>
        </w:rPr>
        <w:t>ANNEX 1 TO ASSIGNMENT AND ASSUMPTION</w:t>
      </w:r>
    </w:p>
    <w:p>
      <w:pPr>
        <w:spacing w:after="0" w:line="219"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STANDARD TERMS AND CONDITIONS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ASSIGNMENT AND ASSUMPTION</w:t>
      </w:r>
    </w:p>
    <w:p>
      <w:pPr>
        <w:spacing w:after="0" w:line="181" w:lineRule="exact"/>
        <w:rPr>
          <w:sz w:val="20"/>
          <w:szCs w:val="20"/>
          <w:color w:val="auto"/>
        </w:rPr>
      </w:pPr>
    </w:p>
    <w:p>
      <w:pPr>
        <w:ind w:left="1200"/>
        <w:spacing w:after="0"/>
        <w:tabs>
          <w:tab w:leader="none" w:pos="14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Representations and Warranties.</w:t>
      </w:r>
    </w:p>
    <w:p>
      <w:pPr>
        <w:spacing w:after="0" w:line="205" w:lineRule="exact"/>
        <w:rPr>
          <w:sz w:val="20"/>
          <w:szCs w:val="20"/>
          <w:color w:val="auto"/>
        </w:rPr>
      </w:pPr>
    </w:p>
    <w:p>
      <w:pPr>
        <w:jc w:val="both"/>
        <w:ind w:firstLine="1199"/>
        <w:spacing w:after="0" w:line="283"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[The][Each]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and Assumption and to consummate the transactions contemplated hereby and</w:t>
      </w:r>
    </w:p>
    <w:p>
      <w:pPr>
        <w:spacing w:after="0" w:line="2" w:lineRule="exact"/>
        <w:rPr>
          <w:sz w:val="20"/>
          <w:szCs w:val="20"/>
          <w:color w:val="auto"/>
        </w:rPr>
      </w:pPr>
    </w:p>
    <w:p>
      <w:pPr>
        <w:jc w:val="both"/>
        <w:spacing w:after="0" w:line="267" w:lineRule="auto"/>
        <w:tabs>
          <w:tab w:leader="none" w:pos="339" w:val="left"/>
        </w:tabs>
        <w:numPr>
          <w:ilvl w:val="0"/>
          <w:numId w:val="240"/>
        </w:numPr>
        <w:rPr>
          <w:rFonts w:ascii="Arial" w:cs="Arial" w:eastAsia="Arial" w:hAnsi="Arial"/>
          <w:sz w:val="17"/>
          <w:szCs w:val="17"/>
          <w:color w:val="auto"/>
        </w:rPr>
      </w:pPr>
      <w:r>
        <w:rPr>
          <w:rFonts w:ascii="Arial" w:cs="Arial" w:eastAsia="Arial" w:hAnsi="Arial"/>
          <w:sz w:val="17"/>
          <w:szCs w:val="17"/>
          <w:color w:val="auto"/>
        </w:rPr>
        <w:t>it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the REIT, any of their respective Subsidiaries or Affiliates or any other Person obligated in respect of any Loan Document or (iv) the performance or observance by the Borrower, the REIT, any of their respective Subsidiaries or Affiliates or any other Person of any of their respective obligations under any Loan Document.</w:t>
      </w:r>
    </w:p>
    <w:p>
      <w:pPr>
        <w:spacing w:after="0" w:line="158" w:lineRule="exact"/>
        <w:rPr>
          <w:sz w:val="20"/>
          <w:szCs w:val="20"/>
          <w:color w:val="auto"/>
        </w:rPr>
      </w:pPr>
    </w:p>
    <w:p>
      <w:pPr>
        <w:jc w:val="both"/>
        <w:ind w:firstLine="1199"/>
        <w:spacing w:after="0" w:line="281"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w:t>
      </w:r>
      <w:r>
        <w:rPr>
          <w:rFonts w:ascii="Arial" w:cs="Arial" w:eastAsia="Arial" w:hAnsi="Arial"/>
          <w:sz w:val="16"/>
          <w:szCs w:val="16"/>
          <w:u w:val="single" w:color="auto"/>
          <w:color w:val="auto"/>
        </w:rPr>
        <w:t>Section 10.06(b)(iii)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of the Credit Agreement (subject to such consents, if any, as may be required under </w:t>
      </w:r>
      <w:r>
        <w:rPr>
          <w:rFonts w:ascii="Arial" w:cs="Arial" w:eastAsia="Arial" w:hAnsi="Arial"/>
          <w:sz w:val="16"/>
          <w:szCs w:val="16"/>
          <w:u w:val="single" w:color="auto"/>
          <w:color w:val="auto"/>
        </w:rPr>
        <w:t>Section 10.06(b)(iii)</w:t>
      </w:r>
      <w:r>
        <w:rPr>
          <w:rFonts w:ascii="Arial" w:cs="Arial" w:eastAsia="Arial" w:hAnsi="Arial"/>
          <w:sz w:val="16"/>
          <w:szCs w:val="16"/>
          <w:color w:val="auto"/>
        </w:rPr>
        <w:t xml:space="preserve"> 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attached hereto is any documentation required to be delivered by it pursuant to the terms of the Credit Agreement, duly completed and executed by [the][such] Assignee; and (b) agrees that (i) it will, independently and without reliance upon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50" w:lineRule="exact"/>
        <w:rPr>
          <w:sz w:val="20"/>
          <w:szCs w:val="20"/>
          <w:color w:val="auto"/>
        </w:rPr>
      </w:pPr>
    </w:p>
    <w:p>
      <w:pPr>
        <w:jc w:val="both"/>
        <w:ind w:firstLine="1199"/>
        <w:spacing w:after="0" w:line="283" w:lineRule="auto"/>
        <w:tabs>
          <w:tab w:leader="none" w:pos="1565" w:val="left"/>
        </w:tabs>
        <w:numPr>
          <w:ilvl w:val="0"/>
          <w:numId w:val="241"/>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w:t>
      </w:r>
    </w:p>
    <w:p>
      <w:pPr>
        <w:spacing w:after="0" w:line="145" w:lineRule="exact"/>
        <w:rPr>
          <w:rFonts w:ascii="Arial" w:cs="Arial" w:eastAsia="Arial" w:hAnsi="Arial"/>
          <w:sz w:val="17"/>
          <w:szCs w:val="17"/>
          <w:color w:val="auto"/>
        </w:rPr>
      </w:pPr>
    </w:p>
    <w:p>
      <w:pPr>
        <w:jc w:val="both"/>
        <w:ind w:firstLine="1199"/>
        <w:spacing w:after="0" w:line="253" w:lineRule="auto"/>
        <w:tabs>
          <w:tab w:leader="none" w:pos="154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E-1-5</w:t>
      </w:r>
    </w:p>
    <w:p>
      <w:pPr>
        <w:sectPr>
          <w:pgSz w:w="11900" w:h="16838" w:orient="portrait"/>
          <w:cols w:equalWidth="0" w:num="1">
            <w:col w:w="11420"/>
          </w:cols>
          <w:pgMar w:left="240" w:top="557"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20"/>
          <w:szCs w:val="20"/>
          <w:b w:val="1"/>
          <w:bCs w:val="1"/>
          <w:i w:val="1"/>
          <w:iCs w:val="1"/>
          <w:color w:val="auto"/>
        </w:rPr>
        <w:t>EXHIBIT E-2</w:t>
      </w:r>
    </w:p>
    <w:p>
      <w:pPr>
        <w:spacing w:after="0" w:line="200" w:lineRule="exact"/>
        <w:rPr>
          <w:sz w:val="20"/>
          <w:szCs w:val="20"/>
          <w:color w:val="auto"/>
        </w:rPr>
      </w:pPr>
    </w:p>
    <w:p>
      <w:pPr>
        <w:spacing w:after="0" w:line="238" w:lineRule="exact"/>
        <w:rPr>
          <w:sz w:val="20"/>
          <w:szCs w:val="20"/>
          <w:color w:val="auto"/>
        </w:rPr>
      </w:pPr>
    </w:p>
    <w:p>
      <w:pPr>
        <w:ind w:left="2740"/>
        <w:spacing w:after="0"/>
        <w:rPr>
          <w:sz w:val="20"/>
          <w:szCs w:val="20"/>
          <w:color w:val="auto"/>
        </w:rPr>
      </w:pPr>
      <w:r>
        <w:rPr>
          <w:rFonts w:ascii="Arial" w:cs="Arial" w:eastAsia="Arial" w:hAnsi="Arial"/>
          <w:sz w:val="20"/>
          <w:szCs w:val="20"/>
          <w:b w:val="1"/>
          <w:bCs w:val="1"/>
          <w:color w:val="auto"/>
        </w:rPr>
        <w:t>ADMINISTRATIVE QUESTIONNAIRE</w:t>
      </w:r>
    </w:p>
    <w:p>
      <w:pPr>
        <w:spacing w:after="0" w:line="200" w:lineRule="exact"/>
        <w:rPr>
          <w:sz w:val="20"/>
          <w:szCs w:val="20"/>
          <w:color w:val="auto"/>
        </w:rPr>
      </w:pPr>
    </w:p>
    <w:p>
      <w:pPr>
        <w:spacing w:after="0" w:line="21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See attached.</w:t>
      </w:r>
    </w:p>
    <w:p>
      <w:pPr>
        <w:spacing w:after="0" w:line="226"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E-2-1</w:t>
      </w:r>
    </w:p>
    <w:p>
      <w:pPr>
        <w:sectPr>
          <w:pgSz w:w="11900" w:h="16838" w:orient="portrait"/>
          <w:cols w:equalWidth="0" w:num="1">
            <w:col w:w="10220"/>
          </w:cols>
          <w:pgMar w:left="1440" w:top="558"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20"/>
          <w:szCs w:val="20"/>
          <w:b w:val="1"/>
          <w:bCs w:val="1"/>
          <w:i w:val="1"/>
          <w:iCs w:val="1"/>
          <w:color w:val="auto"/>
        </w:rPr>
        <w:t>EXHIBIT F</w:t>
      </w:r>
    </w:p>
    <w:p>
      <w:pPr>
        <w:spacing w:after="0" w:line="101" w:lineRule="exact"/>
        <w:rPr>
          <w:sz w:val="20"/>
          <w:szCs w:val="20"/>
          <w:color w:val="auto"/>
        </w:rPr>
      </w:pPr>
    </w:p>
    <w:p>
      <w:pPr>
        <w:ind w:left="3260"/>
        <w:spacing w:after="0"/>
        <w:rPr>
          <w:sz w:val="20"/>
          <w:szCs w:val="20"/>
          <w:color w:val="auto"/>
        </w:rPr>
      </w:pPr>
      <w:r>
        <w:rPr>
          <w:rFonts w:ascii="Arial" w:cs="Arial" w:eastAsia="Arial" w:hAnsi="Arial"/>
          <w:sz w:val="20"/>
          <w:szCs w:val="20"/>
          <w:b w:val="1"/>
          <w:bCs w:val="1"/>
          <w:color w:val="auto"/>
        </w:rPr>
        <w:t>GUARANTY AGREEMENT</w:t>
      </w:r>
    </w:p>
    <w:p>
      <w:pPr>
        <w:spacing w:after="0" w:line="200" w:lineRule="exact"/>
        <w:rPr>
          <w:sz w:val="20"/>
          <w:szCs w:val="20"/>
          <w:color w:val="auto"/>
        </w:rPr>
      </w:pPr>
    </w:p>
    <w:p>
      <w:pPr>
        <w:spacing w:after="0" w:line="213"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326"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F-1</w:t>
      </w:r>
    </w:p>
    <w:p>
      <w:pPr>
        <w:sectPr>
          <w:pgSz w:w="11900" w:h="16838" w:orient="portrait"/>
          <w:cols w:equalWidth="0" w:num="1">
            <w:col w:w="10220"/>
          </w:cols>
          <w:pgMar w:left="1440" w:top="557" w:right="2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20"/>
          <w:szCs w:val="20"/>
          <w:b w:val="1"/>
          <w:bCs w:val="1"/>
          <w:color w:val="auto"/>
        </w:rPr>
        <w:t>SECOND AMENDED AND RESTATED CONTINUING GUARANTY</w:t>
      </w:r>
    </w:p>
    <w:p>
      <w:pPr>
        <w:spacing w:after="0" w:line="213" w:lineRule="exact"/>
        <w:rPr>
          <w:sz w:val="20"/>
          <w:szCs w:val="20"/>
          <w:color w:val="auto"/>
        </w:rPr>
      </w:pPr>
    </w:p>
    <w:p>
      <w:pPr>
        <w:jc w:val="both"/>
        <w:ind w:firstLine="1199"/>
        <w:spacing w:after="0" w:line="252" w:lineRule="auto"/>
        <w:rPr>
          <w:sz w:val="20"/>
          <w:szCs w:val="20"/>
          <w:color w:val="auto"/>
        </w:rPr>
      </w:pPr>
      <w:r>
        <w:rPr>
          <w:rFonts w:ascii="Arial" w:cs="Arial" w:eastAsia="Arial" w:hAnsi="Arial"/>
          <w:sz w:val="20"/>
          <w:szCs w:val="20"/>
          <w:color w:val="auto"/>
        </w:rPr>
        <w:t>SECOND AMENDED AND RESTATED CONTINUING GUARANTY (as amended, modified, amended and restated and/or supplemented from time to time, this “</w:t>
      </w:r>
      <w:r>
        <w:rPr>
          <w:rFonts w:ascii="Arial" w:cs="Arial" w:eastAsia="Arial" w:hAnsi="Arial"/>
          <w:sz w:val="20"/>
          <w:szCs w:val="20"/>
          <w:u w:val="single" w:color="auto"/>
          <w:color w:val="auto"/>
        </w:rPr>
        <w:t>Guaranty</w:t>
      </w:r>
      <w:r>
        <w:rPr>
          <w:rFonts w:ascii="Arial" w:cs="Arial" w:eastAsia="Arial" w:hAnsi="Arial"/>
          <w:sz w:val="20"/>
          <w:szCs w:val="20"/>
          <w:color w:val="auto"/>
        </w:rPr>
        <w:t>”), dated as of January 9, 2018 made by and among each of the undersigned guarantors (each, a “</w:t>
      </w:r>
      <w:r>
        <w:rPr>
          <w:rFonts w:ascii="Arial" w:cs="Arial" w:eastAsia="Arial" w:hAnsi="Arial"/>
          <w:sz w:val="20"/>
          <w:szCs w:val="20"/>
          <w:u w:val="single" w:color="auto"/>
          <w:color w:val="auto"/>
        </w:rPr>
        <w:t>Guarantor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Guarantors</w:t>
      </w:r>
      <w:r>
        <w:rPr>
          <w:rFonts w:ascii="Arial" w:cs="Arial" w:eastAsia="Arial" w:hAnsi="Arial"/>
          <w:sz w:val="20"/>
          <w:szCs w:val="20"/>
          <w:color w:val="auto"/>
        </w:rPr>
        <w:t>”) in favor of BANK OF AMERICA, N.A., as Administrative Agent (in such capacity, together with any successor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for the benefit of the Creditor Parties (as defined below). Except as otherwise defined herein, all capitalized terms used herein and defined in the Credit Agreement (as defined below) shall be used herein as therein defined.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 I T N E S S E T H :</w:t>
      </w:r>
    </w:p>
    <w:p>
      <w:pPr>
        <w:spacing w:after="0" w:line="207" w:lineRule="exact"/>
        <w:rPr>
          <w:sz w:val="20"/>
          <w:szCs w:val="20"/>
          <w:color w:val="auto"/>
        </w:rPr>
      </w:pPr>
    </w:p>
    <w:p>
      <w:pPr>
        <w:jc w:val="both"/>
        <w:ind w:firstLine="1199"/>
        <w:spacing w:after="0" w:line="256" w:lineRule="auto"/>
        <w:rPr>
          <w:sz w:val="20"/>
          <w:szCs w:val="20"/>
          <w:color w:val="auto"/>
        </w:rPr>
      </w:pPr>
      <w:r>
        <w:rPr>
          <w:rFonts w:ascii="Arial" w:cs="Arial" w:eastAsia="Arial" w:hAnsi="Arial"/>
          <w:sz w:val="20"/>
          <w:szCs w:val="20"/>
          <w:color w:val="auto"/>
        </w:rPr>
        <w:t>WHEREAS, American Assets Trust, Inc., a Maryland corporation (the “</w:t>
      </w:r>
      <w:r>
        <w:rPr>
          <w:rFonts w:ascii="Arial" w:cs="Arial" w:eastAsia="Arial" w:hAnsi="Arial"/>
          <w:sz w:val="20"/>
          <w:szCs w:val="20"/>
          <w:u w:val="single" w:color="auto"/>
          <w:color w:val="auto"/>
        </w:rPr>
        <w:t>REIT</w:t>
      </w:r>
      <w:r>
        <w:rPr>
          <w:rFonts w:ascii="Arial" w:cs="Arial" w:eastAsia="Arial" w:hAnsi="Arial"/>
          <w:sz w:val="20"/>
          <w:szCs w:val="20"/>
          <w:color w:val="auto"/>
        </w:rPr>
        <w:t>”), American Assets Trust, L.P., a Maryland limited partnership (the “</w:t>
      </w:r>
      <w:r>
        <w:rPr>
          <w:rFonts w:ascii="Arial" w:cs="Arial" w:eastAsia="Arial" w:hAnsi="Arial"/>
          <w:sz w:val="20"/>
          <w:szCs w:val="20"/>
          <w:u w:val="single" w:color="auto"/>
          <w:color w:val="auto"/>
        </w:rPr>
        <w:t>Borrower</w:t>
      </w:r>
      <w:r>
        <w:rPr>
          <w:rFonts w:ascii="Arial" w:cs="Arial" w:eastAsia="Arial" w:hAnsi="Arial"/>
          <w:sz w:val="20"/>
          <w:szCs w:val="20"/>
          <w:color w:val="auto"/>
        </w:rPr>
        <w:t xml:space="preserve"> ”), the lenders from time to time party thereto and the Administrative Agent are parties to an Amended and Restated Credit Agreement, dated as of January 9, 2014 (as amended or otherwise modified prior to the date hereof, the “</w:t>
      </w:r>
      <w:r>
        <w:rPr>
          <w:rFonts w:ascii="Arial" w:cs="Arial" w:eastAsia="Arial" w:hAnsi="Arial"/>
          <w:sz w:val="20"/>
          <w:szCs w:val="20"/>
          <w:u w:val="single" w:color="auto"/>
          <w:color w:val="auto"/>
        </w:rPr>
        <w:t>Existing 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68" w:lineRule="exact"/>
        <w:rPr>
          <w:sz w:val="20"/>
          <w:szCs w:val="20"/>
          <w:color w:val="auto"/>
        </w:rPr>
      </w:pPr>
    </w:p>
    <w:p>
      <w:pPr>
        <w:jc w:val="both"/>
        <w:ind w:firstLine="1199"/>
        <w:spacing w:after="0" w:line="260" w:lineRule="auto"/>
        <w:rPr>
          <w:sz w:val="20"/>
          <w:szCs w:val="20"/>
          <w:color w:val="auto"/>
        </w:rPr>
      </w:pPr>
      <w:r>
        <w:rPr>
          <w:rFonts w:ascii="Arial" w:cs="Arial" w:eastAsia="Arial" w:hAnsi="Arial"/>
          <w:sz w:val="20"/>
          <w:szCs w:val="20"/>
          <w:color w:val="auto"/>
        </w:rPr>
        <w:t>WHEREAS, in connection with the Existing Credit Agreement, certain of the Guarantors entered into that certain Amended and Restated Continuing Guaranty, dated as of January 9, 2014 (as amended, modified or supplemented prior to the date hereof, the “</w:t>
      </w:r>
      <w:r>
        <w:rPr>
          <w:rFonts w:ascii="Arial" w:cs="Arial" w:eastAsia="Arial" w:hAnsi="Arial"/>
          <w:sz w:val="20"/>
          <w:szCs w:val="20"/>
          <w:u w:val="single" w:color="auto"/>
          <w:color w:val="auto"/>
        </w:rPr>
        <w:t>Existing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Guaranty</w:t>
      </w:r>
      <w:r>
        <w:rPr>
          <w:rFonts w:ascii="Arial" w:cs="Arial" w:eastAsia="Arial" w:hAnsi="Arial"/>
          <w:sz w:val="20"/>
          <w:szCs w:val="20"/>
          <w:color w:val="auto"/>
        </w:rPr>
        <w:t>”) in favor of the Administrative Agent.</w:t>
      </w:r>
    </w:p>
    <w:p>
      <w:pPr>
        <w:spacing w:after="0" w:line="164" w:lineRule="exact"/>
        <w:rPr>
          <w:sz w:val="20"/>
          <w:szCs w:val="20"/>
          <w:color w:val="auto"/>
        </w:rPr>
      </w:pPr>
    </w:p>
    <w:p>
      <w:pPr>
        <w:jc w:val="both"/>
        <w:ind w:firstLine="1199"/>
        <w:spacing w:after="0" w:line="253" w:lineRule="auto"/>
        <w:rPr>
          <w:sz w:val="20"/>
          <w:szCs w:val="20"/>
          <w:color w:val="auto"/>
        </w:rPr>
      </w:pPr>
      <w:r>
        <w:rPr>
          <w:rFonts w:ascii="Arial" w:cs="Arial" w:eastAsia="Arial" w:hAnsi="Arial"/>
          <w:sz w:val="20"/>
          <w:szCs w:val="20"/>
          <w:color w:val="auto"/>
        </w:rPr>
        <w:t>WHEREAS, concurrently with the execution hereof, the REIT, the Borrower, the lenders party thereto (the “</w:t>
      </w:r>
      <w:r>
        <w:rPr>
          <w:rFonts w:ascii="Arial" w:cs="Arial" w:eastAsia="Arial" w:hAnsi="Arial"/>
          <w:sz w:val="20"/>
          <w:szCs w:val="20"/>
          <w:u w:val="single" w:color="auto"/>
          <w:color w:val="auto"/>
        </w:rPr>
        <w:t>Lenders</w:t>
      </w:r>
      <w:r>
        <w:rPr>
          <w:rFonts w:ascii="Arial" w:cs="Arial" w:eastAsia="Arial" w:hAnsi="Arial"/>
          <w:sz w:val="20"/>
          <w:szCs w:val="20"/>
          <w:color w:val="auto"/>
        </w:rPr>
        <w:t>”), the letter of credit issuers party thereto (the “</w:t>
      </w:r>
      <w:r>
        <w:rPr>
          <w:rFonts w:ascii="Arial" w:cs="Arial" w:eastAsia="Arial" w:hAnsi="Arial"/>
          <w:sz w:val="20"/>
          <w:szCs w:val="20"/>
          <w:u w:val="single" w:color="auto"/>
          <w:color w:val="auto"/>
        </w:rPr>
        <w:t>L/C Issuers</w:t>
      </w:r>
      <w:r>
        <w:rPr>
          <w:rFonts w:ascii="Arial" w:cs="Arial" w:eastAsia="Arial" w:hAnsi="Arial"/>
          <w:sz w:val="20"/>
          <w:szCs w:val="20"/>
          <w:color w:val="auto"/>
        </w:rPr>
        <w:t>”) and the Administrative Agent, are entering into a Second Amended and Restated Credit Agreement, dated as of the date hereof (as amended, amended and restated,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pursuant to which the Existing Credit Agreement is being amended and restated in its entirety, but not as a novation, on the terms and subject to the conditions set forth therein.</w:t>
      </w:r>
    </w:p>
    <w:p>
      <w:pPr>
        <w:spacing w:after="0" w:line="17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WHEREAS, each Guarantor is either the REIT, which is the direct parent of the Borrower, or a direct or indirect Subsidiary of</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the REIT.</w:t>
      </w:r>
    </w:p>
    <w:p>
      <w:pPr>
        <w:spacing w:after="0" w:line="191" w:lineRule="exact"/>
        <w:rPr>
          <w:sz w:val="20"/>
          <w:szCs w:val="20"/>
          <w:color w:val="auto"/>
        </w:rPr>
      </w:pPr>
    </w:p>
    <w:p>
      <w:pPr>
        <w:jc w:val="both"/>
        <w:ind w:firstLine="1199"/>
        <w:spacing w:after="0" w:line="260" w:lineRule="auto"/>
        <w:rPr>
          <w:sz w:val="20"/>
          <w:szCs w:val="20"/>
          <w:color w:val="auto"/>
        </w:rPr>
      </w:pPr>
      <w:r>
        <w:rPr>
          <w:rFonts w:ascii="Arial" w:cs="Arial" w:eastAsia="Arial" w:hAnsi="Arial"/>
          <w:sz w:val="20"/>
          <w:szCs w:val="20"/>
          <w:color w:val="auto"/>
        </w:rPr>
        <w:t>WHEREAS, it is a condition precedent to the effectiveness of the Credit Agreement and the continuation and making of Loans to the Borrower, and the issuance of Letters of Credit for the account of the Borrower and/or one or more of its Subsidiaries, that each Guarantor shall have executed and delivered this Guaranty to the Administrative Agent.</w:t>
      </w:r>
    </w:p>
    <w:p>
      <w:pPr>
        <w:spacing w:after="0" w:line="164" w:lineRule="exact"/>
        <w:rPr>
          <w:sz w:val="20"/>
          <w:szCs w:val="20"/>
          <w:color w:val="auto"/>
        </w:rPr>
      </w:pPr>
    </w:p>
    <w:p>
      <w:pPr>
        <w:jc w:val="both"/>
        <w:ind w:firstLine="1199"/>
        <w:spacing w:after="0" w:line="253" w:lineRule="auto"/>
        <w:rPr>
          <w:sz w:val="20"/>
          <w:szCs w:val="20"/>
          <w:color w:val="auto"/>
        </w:rPr>
      </w:pPr>
      <w:r>
        <w:rPr>
          <w:rFonts w:ascii="Arial" w:cs="Arial" w:eastAsia="Arial" w:hAnsi="Arial"/>
          <w:sz w:val="20"/>
          <w:szCs w:val="20"/>
          <w:color w:val="auto"/>
        </w:rPr>
        <w:t>WHEREAS, each Guarantor will obtain substantial direct and indirect benefits from the continuance and incurrence of Loans by the Borrower and the issuance of Letters of Credit for the account of the Borrower and/or one or more of its Subsidiaries under the Credit Agreement and, accordingly, desires to execute this Guaranty in order to satisfy the condition described in the preceding paragraph and to induce the Lenders to continue to make Loans to the Borrower and the L/C Issuers to issue Letters of Credit for the account of the Borrower and/or one or more of its Subsidiaries.</w:t>
      </w:r>
    </w:p>
    <w:p>
      <w:pPr>
        <w:spacing w:after="0" w:line="174" w:lineRule="exact"/>
        <w:rPr>
          <w:sz w:val="20"/>
          <w:szCs w:val="20"/>
          <w:color w:val="auto"/>
        </w:rPr>
      </w:pPr>
    </w:p>
    <w:p>
      <w:pPr>
        <w:jc w:val="both"/>
        <w:ind w:firstLine="1199"/>
        <w:spacing w:after="0" w:line="293" w:lineRule="auto"/>
        <w:rPr>
          <w:sz w:val="20"/>
          <w:szCs w:val="20"/>
          <w:color w:val="auto"/>
        </w:rPr>
      </w:pPr>
      <w:r>
        <w:rPr>
          <w:rFonts w:ascii="Arial" w:cs="Arial" w:eastAsia="Arial" w:hAnsi="Arial"/>
          <w:sz w:val="18"/>
          <w:szCs w:val="18"/>
          <w:color w:val="auto"/>
        </w:rPr>
        <w:t>NOW, THEREFORE, in consideration of the foregoing and other benefits accruing to each Guarantor, the receipt and sufficiency of which are hereby acknowledged, each Guarantor hereby makes the following representations and warranties to the Administrative Agent for the benefit of the Administrative Agent, the Lenders, the L/C Issuers and the other parties to whom any Obligations are owing (together with the Administrative Agent, the Lenders and the L/C Issuers, the “</w:t>
      </w:r>
      <w:r>
        <w:rPr>
          <w:rFonts w:ascii="Arial" w:cs="Arial" w:eastAsia="Arial" w:hAnsi="Arial"/>
          <w:sz w:val="18"/>
          <w:szCs w:val="18"/>
          <w:u w:val="single" w:color="auto"/>
          <w:color w:val="auto"/>
        </w:rPr>
        <w:t>Creditor Parties</w:t>
      </w:r>
      <w:r>
        <w:rPr>
          <w:rFonts w:ascii="Arial" w:cs="Arial" w:eastAsia="Arial" w:hAnsi="Arial"/>
          <w:sz w:val="18"/>
          <w:szCs w:val="18"/>
          <w:color w:val="auto"/>
        </w:rPr>
        <w:t>”) and hereby covenants and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51" w:right="239" w:bottom="1440" w:gutter="0" w:footer="0" w:header="0"/>
        </w:sectPr>
      </w:pPr>
    </w:p>
    <w:bookmarkStart w:id="194" w:name="page195"/>
    <w:bookmarkEnd w:id="194"/>
    <w:p>
      <w:pPr>
        <w:spacing w:after="0"/>
        <w:rPr>
          <w:sz w:val="20"/>
          <w:szCs w:val="20"/>
          <w:color w:val="auto"/>
        </w:rPr>
      </w:pPr>
      <w:r>
        <w:rPr>
          <w:rFonts w:ascii="Arial" w:cs="Arial" w:eastAsia="Arial" w:hAnsi="Arial"/>
          <w:sz w:val="20"/>
          <w:szCs w:val="20"/>
          <w:color w:val="auto"/>
        </w:rPr>
        <w:t>agrees with each other Guarantor and the Administrative Agent for the benefit of the Creditor Parties as follows:</w:t>
      </w:r>
    </w:p>
    <w:p>
      <w:pPr>
        <w:spacing w:after="0" w:line="201" w:lineRule="exact"/>
        <w:rPr>
          <w:sz w:val="20"/>
          <w:szCs w:val="20"/>
          <w:color w:val="auto"/>
        </w:rPr>
      </w:pPr>
    </w:p>
    <w:p>
      <w:pPr>
        <w:jc w:val="both"/>
        <w:ind w:firstLine="599"/>
        <w:spacing w:after="0" w:line="278" w:lineRule="auto"/>
        <w:tabs>
          <w:tab w:leader="none" w:pos="1349"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Guaranty. </w:t>
      </w:r>
      <w:r>
        <w:rPr>
          <w:rFonts w:ascii="Arial" w:cs="Arial" w:eastAsia="Arial" w:hAnsi="Arial"/>
          <w:sz w:val="18"/>
          <w:szCs w:val="18"/>
          <w:color w:val="auto"/>
        </w:rPr>
        <w:t>Each Guarantor, jointly and severally with the other Guarantors, hereby absolutely and unconditionally</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guarantees, as a guaranty of payment and performance and not as a guaranty of collection, prompt payment when due, whether at stated maturity, by required prepayment, upon acceleration, demand or otherwise, and at all times thereafter, of all of the Obligations, including without limitation (i) the principal of, premium, if any, and interest on the Notes issued by, and the Loans made or continued to, the Borrower under the Credit Agreement, and all reimbursement obligations and all payments and disbursements made by the L/C Issuers and the Lenders with respect to Letters of Credit, (ii) all renewals, extensions, amendments, refinancings and other modifications thereof, and (iii) all out-of-pocket expenses incurred by any Creditor Party (including the reasonable and documented fees, charges and disbursements of any counsel for any Creditor Party) in connection with the collection or enforcement thereof for which the Borrower is liable under the Credit Agreement, and whether recovery upon such Obligations may be or hereafter become unenforceable or shall be an allowed or disallowed claim under any proceeding or case commenced by or against the Borrower or any other Loan Party under the Bankruptcy Code (Title 11, United States Code), any successor statute or any other liquidation, conservatorship, bankruptcy, assignment for the benefit of creditors, moratorium, rearrangement, receivership, insolvency, reorganization, or similar debtor relief laws of the United States or other applicable jurisdictions from time to time in effect (collectively, “</w:t>
      </w:r>
      <w:r>
        <w:rPr>
          <w:rFonts w:ascii="Arial" w:cs="Arial" w:eastAsia="Arial" w:hAnsi="Arial"/>
          <w:sz w:val="18"/>
          <w:szCs w:val="18"/>
          <w:u w:val="single" w:color="auto"/>
          <w:color w:val="auto"/>
        </w:rPr>
        <w:t>Debtor Relief Laws</w:t>
      </w:r>
      <w:r>
        <w:rPr>
          <w:rFonts w:ascii="Arial" w:cs="Arial" w:eastAsia="Arial" w:hAnsi="Arial"/>
          <w:sz w:val="18"/>
          <w:szCs w:val="18"/>
          <w:color w:val="auto"/>
        </w:rPr>
        <w:t>”), and including interest that accrues after the commencement by or against the Borrower or any other Loan Party of any proceeding under any Debtor Relief Laws (collectively, the “</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The books and records of the Administrative Agent or the Creditor Parties showing the amount of the Guaranteed Obligations shall be admissible in evidence in any action or proceeding, and shall be binding upon the Guarantors and conclusive for the purpose of establishing the amount of the Guaranteed Obligations absent manifest error. This Guaranty shall not be affected by the genuineness, validity, regularity or enforceability of the Guaranteed Obligations or any instrument or agreement evidencing any Guaranteed Obligations, or by the existence, validity, enforceability, perfection, non-perfection or extent of any collateral therefor, or by any fact or circumstance relating to the Guaranteed Obligations which might otherwise constitute a defense to the obligations of any Guarantor under this Guaranty, and each Guarantor hereby irrevocably waives any defenses (other than the defense of payment and performance in full of the Guaranteed Obligations) it may now have or hereafter acquire in any way relating to any or all of the foregoing.</w:t>
      </w:r>
    </w:p>
    <w:p>
      <w:pPr>
        <w:spacing w:after="0" w:line="189" w:lineRule="exact"/>
        <w:rPr>
          <w:sz w:val="20"/>
          <w:szCs w:val="20"/>
          <w:color w:val="auto"/>
        </w:rPr>
      </w:pPr>
    </w:p>
    <w:p>
      <w:pPr>
        <w:jc w:val="both"/>
        <w:ind w:firstLine="1199"/>
        <w:spacing w:after="0" w:line="263" w:lineRule="auto"/>
        <w:rPr>
          <w:sz w:val="20"/>
          <w:szCs w:val="20"/>
          <w:color w:val="auto"/>
        </w:rPr>
      </w:pPr>
      <w:r>
        <w:rPr>
          <w:rFonts w:ascii="Arial" w:cs="Arial" w:eastAsia="Arial" w:hAnsi="Arial"/>
          <w:sz w:val="19"/>
          <w:szCs w:val="19"/>
          <w:color w:val="auto"/>
        </w:rPr>
        <w:t xml:space="preserve">Anything contained in this Guaranty to the contrary notwithstanding, it is the intention of each Guarantor and the Creditor Parties that the obligations of each Guarantor hereunder at any time shall be limited to an aggregate amount equal to the largest amount that would not render its obligations hereunder subject to avoidance as a fraudulent transfer or conveyance under Section 548 of the Bankruptcy Code (Title 11, United States Code) or any comparable provisions of any similar federal or state law. To that end, but only in the event and to the extent that after giving effect to </w:t>
      </w:r>
      <w:r>
        <w:rPr>
          <w:rFonts w:ascii="Arial" w:cs="Arial" w:eastAsia="Arial" w:hAnsi="Arial"/>
          <w:sz w:val="19"/>
          <w:szCs w:val="19"/>
          <w:u w:val="single" w:color="auto"/>
          <w:color w:val="auto"/>
        </w:rPr>
        <w:t>Section 20</w:t>
      </w:r>
      <w:r>
        <w:rPr>
          <w:rFonts w:ascii="Arial" w:cs="Arial" w:eastAsia="Arial" w:hAnsi="Arial"/>
          <w:sz w:val="19"/>
          <w:szCs w:val="19"/>
          <w:color w:val="auto"/>
        </w:rPr>
        <w:t xml:space="preserve"> of this Guaranty, such Guarantor’s obligations with respect to the Guaranteed Obligations or any payment made pursuant to such Guaranteed Obligations would, but for the operation of the first sentence of this paragraph, be subject to avoidance or recovery in any such proceeding under applicable Debtor Relief Laws after giving effect to </w:t>
      </w:r>
      <w:r>
        <w:rPr>
          <w:rFonts w:ascii="Arial" w:cs="Arial" w:eastAsia="Arial" w:hAnsi="Arial"/>
          <w:sz w:val="19"/>
          <w:szCs w:val="19"/>
          <w:u w:val="single" w:color="auto"/>
          <w:color w:val="auto"/>
        </w:rPr>
        <w:t>Section 20</w:t>
      </w:r>
      <w:r>
        <w:rPr>
          <w:rFonts w:ascii="Arial" w:cs="Arial" w:eastAsia="Arial" w:hAnsi="Arial"/>
          <w:sz w:val="19"/>
          <w:szCs w:val="19"/>
          <w:color w:val="auto"/>
        </w:rPr>
        <w:t xml:space="preserve"> of this Guaranty, the amount of such Guarantor’s obligations with respect to the Guaranteed Obligations shall be limited to the largest amount which, after giving effect thereto, would not, under applicable Debtor Relief Laws, render such Guarantor’s obligations with respect to the Guaranteed Obligations unenforceable or avoidable or otherwise subject to recovery under applicable Debtor Relief Laws. To the extent any payment actually made pursuant to the Guaranteed Obligations exceeds the limitation of the first sentence of this paragraph and is otherwise subject to avoidance and recovery in any such proceeding under applicable Debtor Relief Laws, the amount subject to avoidance shall in all events be limited to the amount by which such actual payment exceeds such limitation, and the Guaranteed Obligations as limited by the first sentence of</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58" w:right="239" w:bottom="1440" w:gutter="0" w:footer="0" w:header="0"/>
        </w:sectPr>
      </w:pPr>
    </w:p>
    <w:bookmarkStart w:id="195" w:name="page196"/>
    <w:bookmarkEnd w:id="195"/>
    <w:p>
      <w:pPr>
        <w:jc w:val="both"/>
        <w:spacing w:after="0" w:line="253" w:lineRule="auto"/>
        <w:rPr>
          <w:sz w:val="20"/>
          <w:szCs w:val="20"/>
          <w:color w:val="auto"/>
        </w:rPr>
      </w:pPr>
      <w:r>
        <w:rPr>
          <w:rFonts w:ascii="Arial" w:cs="Arial" w:eastAsia="Arial" w:hAnsi="Arial"/>
          <w:sz w:val="20"/>
          <w:szCs w:val="20"/>
          <w:color w:val="auto"/>
        </w:rPr>
        <w:t>this paragraph shall in all events remain in full force and effect and be fully enforceable against such Guarantor. The first sentence of this paragraph is intended solely to preserve the rights of the Creditor Parties hereunder against such Guarantor in such proceeding to the maximum extent permitted by applicable Debtor Relief Laws and neither such Guarantor, the Borrower, any other Guarantor nor any other Person shall have any right or claim under such sentence that would not otherwise be available under applicable Debtor Relief Laws in such proceeding.</w:t>
      </w:r>
    </w:p>
    <w:p>
      <w:pPr>
        <w:spacing w:after="0" w:line="168" w:lineRule="exact"/>
        <w:rPr>
          <w:sz w:val="20"/>
          <w:szCs w:val="20"/>
          <w:color w:val="auto"/>
        </w:rPr>
      </w:pPr>
    </w:p>
    <w:p>
      <w:pPr>
        <w:ind w:firstLine="599"/>
        <w:spacing w:after="0" w:line="279" w:lineRule="auto"/>
        <w:tabs>
          <w:tab w:leader="none" w:pos="1349" w:val="left"/>
        </w:tabs>
        <w:numPr>
          <w:ilvl w:val="1"/>
          <w:numId w:val="24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 Setoff or Deductions; Taxes; Payments. </w:t>
      </w:r>
      <w:r>
        <w:rPr>
          <w:rFonts w:ascii="Arial" w:cs="Arial" w:eastAsia="Arial" w:hAnsi="Arial"/>
          <w:sz w:val="20"/>
          <w:szCs w:val="20"/>
          <w:color w:val="auto"/>
        </w:rPr>
        <w:t>All payments by any Guarantor hereunder shall be made in accordance with,</w:t>
      </w:r>
      <w:r>
        <w:rPr>
          <w:rFonts w:ascii="Arial" w:cs="Arial" w:eastAsia="Arial" w:hAnsi="Arial"/>
          <w:sz w:val="20"/>
          <w:szCs w:val="20"/>
          <w:b w:val="1"/>
          <w:bCs w:val="1"/>
          <w:color w:val="auto"/>
        </w:rPr>
        <w:t xml:space="preserve"> </w:t>
      </w:r>
      <w:r>
        <w:rPr>
          <w:rFonts w:ascii="Arial" w:cs="Arial" w:eastAsia="Arial" w:hAnsi="Arial"/>
          <w:sz w:val="20"/>
          <w:szCs w:val="20"/>
          <w:color w:val="auto"/>
        </w:rPr>
        <w:t>and subject to the provisions of, Section 3.01 of the Credit Agreement.</w:t>
      </w:r>
    </w:p>
    <w:p>
      <w:pPr>
        <w:spacing w:after="0" w:line="177" w:lineRule="exact"/>
        <w:rPr>
          <w:rFonts w:ascii="Arial" w:cs="Arial" w:eastAsia="Arial" w:hAnsi="Arial"/>
          <w:sz w:val="20"/>
          <w:szCs w:val="20"/>
          <w:b w:val="1"/>
          <w:bCs w:val="1"/>
          <w:color w:val="auto"/>
        </w:rPr>
      </w:pPr>
    </w:p>
    <w:p>
      <w:pPr>
        <w:jc w:val="both"/>
        <w:ind w:firstLine="599"/>
        <w:spacing w:after="0" w:line="283" w:lineRule="auto"/>
        <w:tabs>
          <w:tab w:leader="none" w:pos="1349" w:val="left"/>
        </w:tabs>
        <w:numPr>
          <w:ilvl w:val="1"/>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Rights of Creditor Parties</w:t>
      </w:r>
      <w:r>
        <w:rPr>
          <w:rFonts w:ascii="Arial" w:cs="Arial" w:eastAsia="Arial" w:hAnsi="Arial"/>
          <w:sz w:val="18"/>
          <w:szCs w:val="18"/>
          <w:color w:val="auto"/>
        </w:rPr>
        <w:t>. Each Guarantor consents and agrees that the Creditor Parties may, at any time and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without notice or demand, and without affecting the enforceability or continuing effectiveness hereof: (a) amend, extend, renew, compromise, discharge, accelerate or otherwise change the times for payment or the terms of the Guaranteed Obligations or any part thereof;</w:t>
      </w:r>
    </w:p>
    <w:p>
      <w:pPr>
        <w:spacing w:after="0" w:line="1" w:lineRule="exact"/>
        <w:rPr>
          <w:rFonts w:ascii="Arial" w:cs="Arial" w:eastAsia="Arial" w:hAnsi="Arial"/>
          <w:sz w:val="18"/>
          <w:szCs w:val="18"/>
          <w:b w:val="1"/>
          <w:bCs w:val="1"/>
          <w:color w:val="auto"/>
        </w:rPr>
      </w:pPr>
    </w:p>
    <w:p>
      <w:pPr>
        <w:jc w:val="both"/>
        <w:spacing w:after="0" w:line="249" w:lineRule="auto"/>
        <w:tabs>
          <w:tab w:leader="none" w:pos="289" w:val="left"/>
        </w:tabs>
        <w:numPr>
          <w:ilvl w:val="0"/>
          <w:numId w:val="244"/>
        </w:numPr>
        <w:rPr>
          <w:rFonts w:ascii="Arial" w:cs="Arial" w:eastAsia="Arial" w:hAnsi="Arial"/>
          <w:sz w:val="20"/>
          <w:szCs w:val="20"/>
          <w:color w:val="auto"/>
        </w:rPr>
      </w:pPr>
      <w:r>
        <w:rPr>
          <w:rFonts w:ascii="Arial" w:cs="Arial" w:eastAsia="Arial" w:hAnsi="Arial"/>
          <w:sz w:val="20"/>
          <w:szCs w:val="20"/>
          <w:color w:val="auto"/>
        </w:rPr>
        <w:t>take, hold, exchange, enforce, waive, release, fail to perfect, sell, or otherwise dispose of any security for the payment of this Guaranty or any Guaranteed Obligations; (c) apply such security (if any) and direct the order or manner of sale thereof as the Creditor Parties in their sole discretion may determine; and (d) release or substitute one or more of any endorsers or other guarantors of any of the Guaranteed Obligations. Without limiting the generality of the foregoing, each Guarantor consents to the taking of, or failure to take, any action which might in any manner or to any extent vary the risks of the Guarantors under this Guaranty or which, but for this provision, might operate as a discharge of one or more of the Guarantors.</w:t>
      </w:r>
    </w:p>
    <w:p>
      <w:pPr>
        <w:spacing w:after="0" w:line="207" w:lineRule="exact"/>
        <w:rPr>
          <w:rFonts w:ascii="Arial" w:cs="Arial" w:eastAsia="Arial" w:hAnsi="Arial"/>
          <w:sz w:val="20"/>
          <w:szCs w:val="20"/>
          <w:color w:val="auto"/>
        </w:rPr>
      </w:pPr>
    </w:p>
    <w:p>
      <w:pPr>
        <w:jc w:val="both"/>
        <w:ind w:firstLine="599"/>
        <w:spacing w:after="0" w:line="264" w:lineRule="auto"/>
        <w:tabs>
          <w:tab w:leader="none" w:pos="1349" w:val="left"/>
        </w:tabs>
        <w:numPr>
          <w:ilvl w:val="1"/>
          <w:numId w:val="244"/>
        </w:numPr>
        <w:rPr>
          <w:rFonts w:ascii="Arial" w:cs="Arial" w:eastAsia="Arial" w:hAnsi="Arial"/>
          <w:sz w:val="19"/>
          <w:szCs w:val="19"/>
          <w:color w:val="auto"/>
        </w:rPr>
      </w:pPr>
      <w:r>
        <w:rPr>
          <w:rFonts w:ascii="Arial" w:cs="Arial" w:eastAsia="Arial" w:hAnsi="Arial"/>
          <w:sz w:val="19"/>
          <w:szCs w:val="19"/>
          <w:b w:val="1"/>
          <w:bCs w:val="1"/>
          <w:color w:val="auto"/>
        </w:rPr>
        <w:t xml:space="preserve">Certain Waivers. </w:t>
      </w:r>
      <w:r>
        <w:rPr>
          <w:rFonts w:ascii="Arial" w:cs="Arial" w:eastAsia="Arial" w:hAnsi="Arial"/>
          <w:sz w:val="19"/>
          <w:szCs w:val="19"/>
          <w:color w:val="auto"/>
        </w:rPr>
        <w:t>Each Guarantor waives (a) any defense arising by reason of any disability or other defense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 any other Loan Party or any other guarantor of the Guaranteed Obligations or any part thereof, or the cessation from any cause whatsoever (including any act or omission of any Creditor Party) of the liability of the Borrower; (b) any defense based on any claim that such Guarantor’s obligations exceed or are more burdensome than those of the Borrower; (c) the benefit of any statute of limitations affecting such Guarantor’s liability hereunder; (d) any right to require any Creditor Party to proceed against the Borrower or any other Loan Party, proceed against or exhaust any security for any of the Guaranteed Obligations, or pursue any other remedy in the power of any Creditor Party; (e) any benefit of and any right to participate in any security now or hereafter held by any Creditor Party; and (f) to the full extent permitted by law, any and all other defenses (other than the defense of payment and performance in full of the Guaranteed Obligations) or benefits that may be derived from or afforded by applicable law limiting the liability of or exonerating guarantors or sureties.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Guaranteed Obligations, and all notices of acceptance of this Guaranty or of the existence, creation or incurrence of new or additional Guaranteed Obligations.</w:t>
      </w:r>
    </w:p>
    <w:p>
      <w:pPr>
        <w:spacing w:after="0" w:line="197" w:lineRule="exact"/>
        <w:rPr>
          <w:rFonts w:ascii="Arial" w:cs="Arial" w:eastAsia="Arial" w:hAnsi="Arial"/>
          <w:sz w:val="19"/>
          <w:szCs w:val="19"/>
          <w:color w:val="auto"/>
        </w:rPr>
      </w:pPr>
    </w:p>
    <w:p>
      <w:pPr>
        <w:jc w:val="both"/>
        <w:ind w:firstLine="599"/>
        <w:spacing w:after="0" w:line="255" w:lineRule="auto"/>
        <w:tabs>
          <w:tab w:leader="none" w:pos="1349" w:val="left"/>
        </w:tabs>
        <w:numPr>
          <w:ilvl w:val="1"/>
          <w:numId w:val="244"/>
        </w:numPr>
        <w:rPr>
          <w:rFonts w:ascii="Arial" w:cs="Arial" w:eastAsia="Arial" w:hAnsi="Arial"/>
          <w:sz w:val="20"/>
          <w:szCs w:val="20"/>
          <w:b w:val="1"/>
          <w:bCs w:val="1"/>
          <w:color w:val="auto"/>
        </w:rPr>
      </w:pPr>
      <w:r>
        <w:rPr>
          <w:rFonts w:ascii="Arial" w:cs="Arial" w:eastAsia="Arial" w:hAnsi="Arial"/>
          <w:sz w:val="20"/>
          <w:szCs w:val="20"/>
          <w:b w:val="1"/>
          <w:bCs w:val="1"/>
          <w:color w:val="auto"/>
        </w:rPr>
        <w:t>Obligations Independent</w:t>
      </w:r>
      <w:r>
        <w:rPr>
          <w:rFonts w:ascii="Arial" w:cs="Arial" w:eastAsia="Arial" w:hAnsi="Arial"/>
          <w:sz w:val="20"/>
          <w:szCs w:val="20"/>
          <w:color w:val="auto"/>
        </w:rPr>
        <w:t>. The obligations of each Guarantor hereunder are those of primary obligor, and not merely as</w:t>
      </w:r>
      <w:r>
        <w:rPr>
          <w:rFonts w:ascii="Arial" w:cs="Arial" w:eastAsia="Arial" w:hAnsi="Arial"/>
          <w:sz w:val="20"/>
          <w:szCs w:val="20"/>
          <w:b w:val="1"/>
          <w:bCs w:val="1"/>
          <w:color w:val="auto"/>
        </w:rPr>
        <w:t xml:space="preserve"> </w:t>
      </w:r>
      <w:r>
        <w:rPr>
          <w:rFonts w:ascii="Arial" w:cs="Arial" w:eastAsia="Arial" w:hAnsi="Arial"/>
          <w:sz w:val="20"/>
          <w:szCs w:val="20"/>
          <w:color w:val="auto"/>
        </w:rPr>
        <w:t>surety, and are independent of the Guaranteed Obligations and the obligations of any other guarantor of the Guaranteed Obligations or any part thereof, and a separate action may be brought against any Guarantor to enforce this Guaranty whether or not the Borrower or any other Person is joined as a party. For the avoidance of doubt, all obligations of each Guarantor under this Guaranty are joint and several obligations of all the Guarantors.</w:t>
      </w:r>
    </w:p>
    <w:p>
      <w:pPr>
        <w:spacing w:after="0" w:line="202" w:lineRule="exact"/>
        <w:rPr>
          <w:rFonts w:ascii="Arial" w:cs="Arial" w:eastAsia="Arial" w:hAnsi="Arial"/>
          <w:sz w:val="20"/>
          <w:szCs w:val="20"/>
          <w:b w:val="1"/>
          <w:bCs w:val="1"/>
          <w:color w:val="auto"/>
        </w:rPr>
      </w:pPr>
    </w:p>
    <w:p>
      <w:pPr>
        <w:jc w:val="both"/>
        <w:ind w:firstLine="599"/>
        <w:spacing w:after="0" w:line="263" w:lineRule="auto"/>
        <w:tabs>
          <w:tab w:leader="none" w:pos="1349" w:val="left"/>
        </w:tabs>
        <w:numPr>
          <w:ilvl w:val="1"/>
          <w:numId w:val="24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Subrogation. </w:t>
      </w:r>
      <w:r>
        <w:rPr>
          <w:rFonts w:ascii="Arial" w:cs="Arial" w:eastAsia="Arial" w:hAnsi="Arial"/>
          <w:sz w:val="20"/>
          <w:szCs w:val="20"/>
          <w:color w:val="auto"/>
        </w:rPr>
        <w:t>No Guarantor shall exercise any right of subrogation, contribution, indemnity, reimbursement or similar rights</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any payments it makes under this Guaranty until all of the Guaranteed Obligations and any amounts payable under this Guaranty (other than contingent indemnification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58" w:right="239" w:bottom="1440" w:gutter="0" w:footer="0" w:header="0"/>
        </w:sectPr>
      </w:pPr>
    </w:p>
    <w:bookmarkStart w:id="196" w:name="page197"/>
    <w:bookmarkEnd w:id="196"/>
    <w:p>
      <w:pPr>
        <w:jc w:val="both"/>
        <w:spacing w:after="0" w:line="284" w:lineRule="auto"/>
        <w:rPr>
          <w:sz w:val="20"/>
          <w:szCs w:val="20"/>
          <w:color w:val="auto"/>
        </w:rPr>
      </w:pPr>
      <w:r>
        <w:rPr>
          <w:rFonts w:ascii="Arial" w:cs="Arial" w:eastAsia="Arial" w:hAnsi="Arial"/>
          <w:sz w:val="18"/>
          <w:szCs w:val="18"/>
          <w:color w:val="auto"/>
        </w:rPr>
        <w:t>obligations that survive termination of the Loan Documents for which no claim has been made) have been indefeasibly paid and performed in full in immediately available funds, all Commitments are terminated and all Letters or Credit have been cancelled or collateralized to the satisfaction of the Administrative Agent and the applicable L/C Issuers. If any amounts are paid to any Guarantor in violation of the foregoing limitation, then such amounts shall be held in trust by such Guarantor for the benefit of the Creditor Parties and shall forthwith be paid to the Administrative Agent for the benefit of the Creditor Parties for application to the Guaranteed Obligations in accordance with the terms of the Loan Documents or, if the Loan Documents do not provide for the application of such amount, to be held by the Administrative Agent as collateral security for any Guaranteed Obligations thereafter existing, whether matured or unmatured.</w:t>
      </w:r>
    </w:p>
    <w:p>
      <w:pPr>
        <w:spacing w:after="0" w:line="178" w:lineRule="exact"/>
        <w:rPr>
          <w:sz w:val="20"/>
          <w:szCs w:val="20"/>
          <w:color w:val="auto"/>
        </w:rPr>
      </w:pPr>
    </w:p>
    <w:p>
      <w:pPr>
        <w:jc w:val="both"/>
        <w:ind w:firstLine="599"/>
        <w:spacing w:after="0" w:line="265" w:lineRule="auto"/>
        <w:tabs>
          <w:tab w:leader="none" w:pos="1349" w:val="left"/>
        </w:tabs>
        <w:numPr>
          <w:ilvl w:val="0"/>
          <w:numId w:val="24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Reinstatement. </w:t>
      </w:r>
      <w:r>
        <w:rPr>
          <w:rFonts w:ascii="Arial" w:cs="Arial" w:eastAsia="Arial" w:hAnsi="Arial"/>
          <w:sz w:val="19"/>
          <w:szCs w:val="19"/>
          <w:color w:val="auto"/>
        </w:rPr>
        <w:t>(a) This Guaranty is a continuing and irrevocable guaranty of all Guaranteed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now or hereafter existing and shall remain in full force and effect until all of the Guaranteed Obligations (other than contingent indemnification obligations that survive termination of the Loan Documents for which no claim has been made) and any amounts payable under this Guaranty have been indefeasibly paid and performed in full in immediately available funds, all Commitments are terminated and all Letters or Credit have been cancelled or collateralized to the satisfaction of the Administrative Agent and the applicable L/C Issuers. Notwithstanding the foregoing, this Guaranty shall continue in full force and effect or be revived, as the case may be, if any payment by or on behalf of the Borrower or a Guarantor is made, or a Creditor Party exercises its right of setoff, in respect of the Guaranteed Obligations and such payment or the proceeds of such setoff or any part thereof is subsequently invalidated, declared to be fraudulent or preferential, set aside or required (including pursuant to any settlement entered into by a Creditor Party in its discretion) to be repaid to a trustee, receiver or any other party, in connection with any proceeding under any Debtor Relief Laws or otherwise, all as if such payment had not been made or such setoff had not occurred and whether or not the Creditor Parties are in possession of or have released this Guaranty and regardless of any prior revocation, rescission, termination or reduction. The obligations of the Guarantors under this paragraph shall survive termination of this Guaranty.</w:t>
      </w:r>
    </w:p>
    <w:p>
      <w:pPr>
        <w:spacing w:after="0" w:line="205" w:lineRule="exact"/>
        <w:rPr>
          <w:sz w:val="20"/>
          <w:szCs w:val="20"/>
          <w:color w:val="auto"/>
        </w:rPr>
      </w:pPr>
    </w:p>
    <w:p>
      <w:pPr>
        <w:jc w:val="both"/>
        <w:ind w:firstLine="599"/>
        <w:spacing w:after="0" w:line="266" w:lineRule="auto"/>
        <w:tabs>
          <w:tab w:leader="none" w:pos="1049" w:val="left"/>
        </w:tabs>
        <w:numPr>
          <w:ilvl w:val="0"/>
          <w:numId w:val="246"/>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Guaranty, each Guarantor hereby acknowledges and agrees that if at any time any Subsidiary of the Borrower is released from its obligations as a Guarantor under this Guaranty and, subsequent to such release, such Subsidiary is a borrower or guarantor of, or otherwise has a payment obligation in respect of, any Indebtedness for borrowed money that constitutes Recourse Indebtedness (other than Indebtedness permitted under </w:t>
      </w:r>
      <w:r>
        <w:rPr>
          <w:rFonts w:ascii="Arial" w:cs="Arial" w:eastAsia="Arial" w:hAnsi="Arial"/>
          <w:sz w:val="19"/>
          <w:szCs w:val="19"/>
          <w:u w:val="single" w:color="auto"/>
          <w:color w:val="auto"/>
        </w:rPr>
        <w:t>Section 7.02(b)</w:t>
      </w:r>
      <w:r>
        <w:rPr>
          <w:rFonts w:ascii="Arial" w:cs="Arial" w:eastAsia="Arial" w:hAnsi="Arial"/>
          <w:sz w:val="19"/>
          <w:szCs w:val="19"/>
          <w:color w:val="auto"/>
        </w:rPr>
        <w:t xml:space="preserve"> of the Credit Agreement), then, immediately at the time such Subsidiary becomes such an obligor, all obligations of such Subsidiary under this Guaranty (including its guaranty of the Guaranteed Obligations hereunder) shall be automatically revived and reinstated without any action on the part of the Administrative Agent, such Subsidiary or any other Person. In connection with any such revival and reinstatement of the obligations of such Subsidiary hereunder, such Subsidiary shall (x) execute such reaffirmations of its obligations hereunder (including reaffirmations of its guaranty of the Guaranteed Obligations) as reasonably requested by the Administrative Agent and (y) cause all requirements of Section 6.12 of the Credit Agreement to be satisfied with respect to such Subsidiary.</w:t>
      </w:r>
    </w:p>
    <w:p>
      <w:pPr>
        <w:spacing w:after="0" w:line="158" w:lineRule="exact"/>
        <w:rPr>
          <w:sz w:val="20"/>
          <w:szCs w:val="20"/>
          <w:color w:val="auto"/>
        </w:rPr>
      </w:pPr>
    </w:p>
    <w:p>
      <w:pPr>
        <w:jc w:val="both"/>
        <w:ind w:firstLine="599"/>
        <w:spacing w:after="0" w:line="255" w:lineRule="auto"/>
        <w:tabs>
          <w:tab w:leader="none" w:pos="1349" w:val="left"/>
        </w:tabs>
        <w:numPr>
          <w:ilvl w:val="0"/>
          <w:numId w:val="24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Release of Liability of Guarantor. </w:t>
      </w:r>
      <w:r>
        <w:rPr>
          <w:rFonts w:ascii="Arial" w:cs="Arial" w:eastAsia="Arial" w:hAnsi="Arial"/>
          <w:sz w:val="20"/>
          <w:szCs w:val="20"/>
          <w:color w:val="auto"/>
        </w:rPr>
        <w:t>(a) At the request and at the sole expense of the Borrower, in the event that (i) any</w:t>
      </w:r>
      <w:r>
        <w:rPr>
          <w:rFonts w:ascii="Arial" w:cs="Arial" w:eastAsia="Arial" w:hAnsi="Arial"/>
          <w:sz w:val="20"/>
          <w:szCs w:val="20"/>
          <w:b w:val="1"/>
          <w:bCs w:val="1"/>
          <w:color w:val="auto"/>
        </w:rPr>
        <w:t xml:space="preserve"> </w:t>
      </w:r>
      <w:r>
        <w:rPr>
          <w:rFonts w:ascii="Arial" w:cs="Arial" w:eastAsia="Arial" w:hAnsi="Arial"/>
          <w:sz w:val="20"/>
          <w:szCs w:val="20"/>
          <w:color w:val="auto"/>
        </w:rPr>
        <w:t>Guarantor that is a Subsidiary of the Borrower becomes an Excluded Subsidiary or satisfies the Exemption Condition as a result of a transaction permitted under the Credit Agreement or (ii) all of the capital stock or other Equity Interests of any Guarantor is sold or otherwise disposed of (including by way of the merger or consolidation of such Guarantor with or into another Person) or liquidated (except to the extent that such sale or disposition is to the Borrower, the REIT or any of their respective Subsidiaries) in any such case in compliance with the requirements of Section 7.05 of the Credit Agreement, then such Guarantor shall, upon becoming an Excluded Subsidiary or satisfying the Exemption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58" w:right="239" w:bottom="1440" w:gutter="0" w:footer="0" w:header="0"/>
        </w:sectPr>
      </w:pPr>
    </w:p>
    <w:bookmarkStart w:id="197" w:name="page198"/>
    <w:bookmarkEnd w:id="197"/>
    <w:p>
      <w:pPr>
        <w:jc w:val="both"/>
        <w:spacing w:after="0" w:line="267" w:lineRule="auto"/>
        <w:rPr>
          <w:sz w:val="20"/>
          <w:szCs w:val="20"/>
          <w:color w:val="auto"/>
        </w:rPr>
      </w:pPr>
      <w:r>
        <w:rPr>
          <w:rFonts w:ascii="Arial" w:cs="Arial" w:eastAsia="Arial" w:hAnsi="Arial"/>
          <w:sz w:val="19"/>
          <w:szCs w:val="19"/>
          <w:color w:val="auto"/>
        </w:rPr>
        <w:t xml:space="preserve">Condition or upon the consummation of such sale or other disposition, as applicable, be released from its obligations under this Guaranty, and the Administrative Agent shall, upon the request and at the sole expense of the Borrower, provide the Borrower with written confirmation of such release and shall take such further actions as reasonably requested by the Borrower to evidence such release; </w:t>
      </w:r>
      <w:r>
        <w:rPr>
          <w:rFonts w:ascii="Arial" w:cs="Arial" w:eastAsia="Arial" w:hAnsi="Arial"/>
          <w:sz w:val="19"/>
          <w:szCs w:val="19"/>
          <w:u w:val="single" w:color="auto"/>
          <w:color w:val="auto"/>
        </w:rPr>
        <w:t>provided</w:t>
      </w:r>
      <w:r>
        <w:rPr>
          <w:rFonts w:ascii="Arial" w:cs="Arial" w:eastAsia="Arial" w:hAnsi="Arial"/>
          <w:sz w:val="19"/>
          <w:szCs w:val="19"/>
          <w:color w:val="auto"/>
        </w:rPr>
        <w:t>, that the Borrower shall have delivered to the Administrative Agent, at least five Business Days (or such shorter period as is acceptable to the Administrative Agent) prior to the date of the proposed release, a written request for release reasonably satisfactory to the Administrative Agent showing that such Guarantor becoming an Excluded Subsidiary or satisfying the Exemption Condition or such sale or disposition, as applicable, is as a result of a transaction permitted under the Credit Agreement.</w:t>
      </w:r>
    </w:p>
    <w:p>
      <w:pPr>
        <w:spacing w:after="0" w:line="197" w:lineRule="exact"/>
        <w:rPr>
          <w:sz w:val="20"/>
          <w:szCs w:val="20"/>
          <w:color w:val="auto"/>
        </w:rPr>
      </w:pPr>
    </w:p>
    <w:p>
      <w:pPr>
        <w:jc w:val="both"/>
        <w:ind w:firstLine="599"/>
        <w:spacing w:after="0" w:line="266" w:lineRule="auto"/>
        <w:tabs>
          <w:tab w:leader="none" w:pos="999" w:val="left"/>
        </w:tabs>
        <w:numPr>
          <w:ilvl w:val="0"/>
          <w:numId w:val="248"/>
        </w:numPr>
        <w:rPr>
          <w:rFonts w:ascii="Arial" w:cs="Arial" w:eastAsia="Arial" w:hAnsi="Arial"/>
          <w:sz w:val="20"/>
          <w:szCs w:val="20"/>
          <w:color w:val="auto"/>
        </w:rPr>
      </w:pPr>
      <w:r>
        <w:rPr>
          <w:rFonts w:ascii="Arial" w:cs="Arial" w:eastAsia="Arial" w:hAnsi="Arial"/>
          <w:sz w:val="20"/>
          <w:szCs w:val="20"/>
          <w:color w:val="auto"/>
        </w:rPr>
        <w:t>The Administrative Agent shall have no liability whatsoever to any Creditor Party as a result of any release of any Guarantor by it in accordance with (or which the Administrative Agent in the absence of gross negligence or willful misconduct believes to be in accordance with) this Section 8.</w:t>
      </w:r>
    </w:p>
    <w:p>
      <w:pPr>
        <w:spacing w:after="0" w:line="154" w:lineRule="exact"/>
        <w:rPr>
          <w:sz w:val="20"/>
          <w:szCs w:val="20"/>
          <w:color w:val="auto"/>
        </w:rPr>
      </w:pPr>
    </w:p>
    <w:p>
      <w:pPr>
        <w:jc w:val="both"/>
        <w:ind w:firstLine="599"/>
        <w:spacing w:after="0" w:line="258" w:lineRule="auto"/>
        <w:tabs>
          <w:tab w:leader="none" w:pos="1349" w:val="left"/>
        </w:tabs>
        <w:numPr>
          <w:ilvl w:val="0"/>
          <w:numId w:val="24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Stay of Acceleration. </w:t>
      </w:r>
      <w:r>
        <w:rPr>
          <w:rFonts w:ascii="Arial" w:cs="Arial" w:eastAsia="Arial" w:hAnsi="Arial"/>
          <w:sz w:val="20"/>
          <w:szCs w:val="20"/>
          <w:color w:val="auto"/>
        </w:rPr>
        <w:t>In the event that acceleration of the time for payment of any of the Guaranteed Obligations is stayed,</w:t>
      </w:r>
      <w:r>
        <w:rPr>
          <w:rFonts w:ascii="Arial" w:cs="Arial" w:eastAsia="Arial" w:hAnsi="Arial"/>
          <w:sz w:val="20"/>
          <w:szCs w:val="20"/>
          <w:b w:val="1"/>
          <w:bCs w:val="1"/>
          <w:color w:val="auto"/>
        </w:rPr>
        <w:t xml:space="preserve"> </w:t>
      </w:r>
      <w:r>
        <w:rPr>
          <w:rFonts w:ascii="Arial" w:cs="Arial" w:eastAsia="Arial" w:hAnsi="Arial"/>
          <w:sz w:val="20"/>
          <w:szCs w:val="20"/>
          <w:color w:val="auto"/>
        </w:rPr>
        <w:t>in connection with any case commenced by or against the Borrower or any other Loan Party under any Debtor Relief Laws, or otherwise, all such amounts shall nonetheless be payable by the Guarantors who are not subject to such automatic stay immediately upon demand by the Administrative Agent.</w:t>
      </w:r>
    </w:p>
    <w:p>
      <w:pPr>
        <w:spacing w:after="0" w:line="197" w:lineRule="exact"/>
        <w:rPr>
          <w:rFonts w:ascii="Arial" w:cs="Arial" w:eastAsia="Arial" w:hAnsi="Arial"/>
          <w:sz w:val="20"/>
          <w:szCs w:val="20"/>
          <w:b w:val="1"/>
          <w:bCs w:val="1"/>
          <w:color w:val="auto"/>
        </w:rPr>
      </w:pPr>
    </w:p>
    <w:p>
      <w:pPr>
        <w:ind w:left="1440" w:hanging="841"/>
        <w:spacing w:after="0"/>
        <w:tabs>
          <w:tab w:leader="none" w:pos="1440" w:val="left"/>
        </w:tabs>
        <w:numPr>
          <w:ilvl w:val="0"/>
          <w:numId w:val="249"/>
        </w:numPr>
        <w:rPr>
          <w:rFonts w:ascii="Arial" w:cs="Arial" w:eastAsia="Arial" w:hAnsi="Arial"/>
          <w:sz w:val="20"/>
          <w:szCs w:val="20"/>
          <w:b w:val="1"/>
          <w:bCs w:val="1"/>
          <w:color w:val="auto"/>
        </w:rPr>
      </w:pPr>
      <w:r>
        <w:rPr>
          <w:rFonts w:ascii="Arial" w:cs="Arial" w:eastAsia="Arial" w:hAnsi="Arial"/>
          <w:sz w:val="20"/>
          <w:szCs w:val="20"/>
          <w:b w:val="1"/>
          <w:bCs w:val="1"/>
          <w:color w:val="auto"/>
        </w:rPr>
        <w:t>[Reserved]</w:t>
      </w:r>
    </w:p>
    <w:p>
      <w:pPr>
        <w:spacing w:after="0" w:line="244" w:lineRule="exact"/>
        <w:rPr>
          <w:rFonts w:ascii="Arial" w:cs="Arial" w:eastAsia="Arial" w:hAnsi="Arial"/>
          <w:sz w:val="20"/>
          <w:szCs w:val="20"/>
          <w:b w:val="1"/>
          <w:bCs w:val="1"/>
          <w:color w:val="auto"/>
        </w:rPr>
      </w:pPr>
    </w:p>
    <w:p>
      <w:pPr>
        <w:jc w:val="both"/>
        <w:ind w:firstLine="599"/>
        <w:spacing w:after="0" w:line="266" w:lineRule="auto"/>
        <w:tabs>
          <w:tab w:leader="none" w:pos="1438" w:val="left"/>
        </w:tabs>
        <w:numPr>
          <w:ilvl w:val="0"/>
          <w:numId w:val="24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Modifications; Miscellaneous. </w:t>
      </w:r>
      <w:r>
        <w:rPr>
          <w:rFonts w:ascii="Arial" w:cs="Arial" w:eastAsia="Arial" w:hAnsi="Arial"/>
          <w:sz w:val="19"/>
          <w:szCs w:val="19"/>
          <w:color w:val="auto"/>
        </w:rPr>
        <w:t>Neither this Guaranty nor any provision hereof may be changed, waived, discharged or</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terminated except in a writing signed by each Guarantor directly affected thereby (it being understood that the addition or release of any Guarantor hereunder shall not constitute a change, waiver, discharge or termination affecting any Guarantor other than the Guarantor so added or released) and the Administrative Agent (with the consent of the Required Lenders or all of the Lenders, to the extent required by Section 10.01 of the Credit Agreement). No failure by any Creditor Party to exercise, and no delay in exercising, any right, remedy or power hereunder shall operate as a waiver thereof; nor shall any single or partial exercise of any right, remedy or power hereunder preclude any other or further exercise thereof or the exercise of any other right, power or remedy. The remedies herein provided are cumulative and not exclusive of any remedies provided by law or in equity. The unenforceability or invalidity of any provision of this Guaranty shall not affect the enforceability or validity of any other provision herein.</w:t>
      </w:r>
    </w:p>
    <w:p>
      <w:pPr>
        <w:spacing w:after="0" w:line="193" w:lineRule="exact"/>
        <w:rPr>
          <w:rFonts w:ascii="Arial" w:cs="Arial" w:eastAsia="Arial" w:hAnsi="Arial"/>
          <w:sz w:val="19"/>
          <w:szCs w:val="19"/>
          <w:b w:val="1"/>
          <w:bCs w:val="1"/>
          <w:color w:val="auto"/>
        </w:rPr>
      </w:pPr>
    </w:p>
    <w:p>
      <w:pPr>
        <w:jc w:val="both"/>
        <w:ind w:firstLine="599"/>
        <w:spacing w:after="0" w:line="307" w:lineRule="auto"/>
        <w:tabs>
          <w:tab w:leader="none" w:pos="1449" w:val="left"/>
        </w:tabs>
        <w:numPr>
          <w:ilvl w:val="0"/>
          <w:numId w:val="24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Condition of Loan Parties. </w:t>
      </w:r>
      <w:r>
        <w:rPr>
          <w:rFonts w:ascii="Arial" w:cs="Arial" w:eastAsia="Arial" w:hAnsi="Arial"/>
          <w:sz w:val="17"/>
          <w:szCs w:val="17"/>
          <w:color w:val="auto"/>
        </w:rPr>
        <w:t>Each Guarantor acknowledges and agrees that it has the sole responsibility for, and has</w:t>
      </w:r>
      <w:r>
        <w:rPr>
          <w:rFonts w:ascii="Arial" w:cs="Arial" w:eastAsia="Arial" w:hAnsi="Arial"/>
          <w:sz w:val="17"/>
          <w:szCs w:val="17"/>
          <w:b w:val="1"/>
          <w:bCs w:val="1"/>
          <w:color w:val="auto"/>
        </w:rPr>
        <w:t xml:space="preserve"> </w:t>
      </w:r>
      <w:r>
        <w:rPr>
          <w:rFonts w:ascii="Arial" w:cs="Arial" w:eastAsia="Arial" w:hAnsi="Arial"/>
          <w:sz w:val="17"/>
          <w:szCs w:val="17"/>
          <w:color w:val="auto"/>
        </w:rPr>
        <w:t>adequate means of, obtaining from the Loan Parties and any other guarantor of the Guaranteed Obligations such information concerning the financial condition, business and operations of the Loan Parties and any such other guarantors as such Guarantor requires, and that no Creditor Party has any duty, and no Guarantor is relying on any Creditor Party at any time, to disclose to such Guarantor any information relating to the business, operations or financial condition of any Loan Party or any other guarantor of the Guaranteed Obligations (such Guarantor waiving any duty on the part of the Creditor Parties to disclose such information and any defense relating to the failure to provide the same).</w:t>
      </w:r>
    </w:p>
    <w:p>
      <w:pPr>
        <w:spacing w:after="0" w:line="160" w:lineRule="exact"/>
        <w:rPr>
          <w:rFonts w:ascii="Arial" w:cs="Arial" w:eastAsia="Arial" w:hAnsi="Arial"/>
          <w:sz w:val="17"/>
          <w:szCs w:val="17"/>
          <w:b w:val="1"/>
          <w:bCs w:val="1"/>
          <w:color w:val="auto"/>
        </w:rPr>
      </w:pPr>
    </w:p>
    <w:p>
      <w:pPr>
        <w:jc w:val="both"/>
        <w:ind w:firstLine="599"/>
        <w:spacing w:after="0" w:line="255" w:lineRule="auto"/>
        <w:tabs>
          <w:tab w:leader="none" w:pos="1449" w:val="left"/>
        </w:tabs>
        <w:numPr>
          <w:ilvl w:val="0"/>
          <w:numId w:val="24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Setoff. </w:t>
      </w:r>
      <w:r>
        <w:rPr>
          <w:rFonts w:ascii="Arial" w:cs="Arial" w:eastAsia="Arial" w:hAnsi="Arial"/>
          <w:sz w:val="20"/>
          <w:szCs w:val="20"/>
          <w:color w:val="auto"/>
        </w:rPr>
        <w:t>In addition to any rights now or hereafter granted under applicable law (including, without limitation, Section 151 of</w:t>
      </w:r>
      <w:r>
        <w:rPr>
          <w:rFonts w:ascii="Arial" w:cs="Arial" w:eastAsia="Arial" w:hAnsi="Arial"/>
          <w:sz w:val="20"/>
          <w:szCs w:val="20"/>
          <w:b w:val="1"/>
          <w:bCs w:val="1"/>
          <w:color w:val="auto"/>
        </w:rPr>
        <w:t xml:space="preserve"> </w:t>
      </w:r>
      <w:r>
        <w:rPr>
          <w:rFonts w:ascii="Arial" w:cs="Arial" w:eastAsia="Arial" w:hAnsi="Arial"/>
          <w:sz w:val="20"/>
          <w:szCs w:val="20"/>
          <w:color w:val="auto"/>
        </w:rPr>
        <w:t>the New York Debtor and Creditor Law) and not by way of limitation of any such rights, upon the occurrence and during the continuance of an Event of Default, each Lender, each L/C Issuer and each of their respective Affiliates is hereby authorized, at any time or from time to time, to set off and to appropriate and apply any and all deposits (general or special) and any other indebtedness at any time held or owing by such Lender, such L/C Issuer or any of their respective Affiliates to or for the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58" w:right="239" w:bottom="1440" w:gutter="0" w:footer="0" w:header="0"/>
        </w:sectPr>
      </w:pPr>
    </w:p>
    <w:bookmarkStart w:id="198" w:name="page199"/>
    <w:bookmarkEnd w:id="198"/>
    <w:p>
      <w:pPr>
        <w:jc w:val="both"/>
        <w:spacing w:after="0" w:line="279" w:lineRule="auto"/>
        <w:rPr>
          <w:sz w:val="20"/>
          <w:szCs w:val="20"/>
          <w:color w:val="auto"/>
        </w:rPr>
      </w:pPr>
      <w:r>
        <w:rPr>
          <w:rFonts w:ascii="Arial" w:cs="Arial" w:eastAsia="Arial" w:hAnsi="Arial"/>
          <w:sz w:val="18"/>
          <w:szCs w:val="18"/>
          <w:color w:val="auto"/>
        </w:rPr>
        <w:t xml:space="preserve">credit or the account of any Guarantor, against and on account of the obligations and liabilities of such Guarantor to such Lender or such L/C Issuer under this Guaranty, irrespective of whether or not such Lender or such L/C Issuer shall have made any demand hereunder and although said obligations, liabilities, deposits or claims, or any of them, shall be contingent or unmatured or are owed to a branch or office or Affiliate of such Lender different from the branch or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Section 2.19 of the Credit Agreement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each L/C Issuer (by its acceptance of the benefits hereof) acknowledges and agrees to promptly notify the Borrower and the Administrative Agent after any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that the failure to give such notice shall not affect the validity of such set-off and application.</w:t>
      </w:r>
    </w:p>
    <w:p>
      <w:pPr>
        <w:spacing w:after="0" w:line="188" w:lineRule="exact"/>
        <w:rPr>
          <w:sz w:val="20"/>
          <w:szCs w:val="20"/>
          <w:color w:val="auto"/>
        </w:rPr>
      </w:pPr>
    </w:p>
    <w:p>
      <w:pPr>
        <w:jc w:val="both"/>
        <w:ind w:firstLine="599"/>
        <w:spacing w:after="0" w:line="279" w:lineRule="auto"/>
        <w:tabs>
          <w:tab w:leader="none" w:pos="1449"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Each Guarantor represents and warrants that (a) it is duly organized and in good</w:t>
      </w:r>
      <w:r>
        <w:rPr>
          <w:rFonts w:ascii="Arial" w:cs="Arial" w:eastAsia="Arial" w:hAnsi="Arial"/>
          <w:sz w:val="18"/>
          <w:szCs w:val="18"/>
          <w:b w:val="1"/>
          <w:bCs w:val="1"/>
          <w:color w:val="auto"/>
        </w:rPr>
        <w:t xml:space="preserve"> </w:t>
      </w:r>
      <w:r>
        <w:rPr>
          <w:rFonts w:ascii="Arial" w:cs="Arial" w:eastAsia="Arial" w:hAnsi="Arial"/>
          <w:sz w:val="18"/>
          <w:szCs w:val="18"/>
          <w:color w:val="auto"/>
        </w:rPr>
        <w:t>standing under the laws of the jurisdiction of its organization and has full capacity and right to make and perform this Guaranty, and all necessary authority has been obtained; (b) this Guaranty constitutes its legal, valid and binding obligation enforceable in accordance with its terms, except as enforceability may be limited by bankruptcy, insolvency, fraudulent conveyance, reorganization, moratorium or similar laws affecting the enforceability of creditors’ rights generally and by general principles of equity (regardless of whether enforcement is sought at law or in equity); (c) the making and performance of this Guaranty does not and will not violate the provisions of any applicable law, regulation or order, and does not and will not result in the breach of, or constitute a default or require any consent under, any agreement, instrument, or document to which it is a party or by which it or any of its property may be bound or affected, except as could not reasonably be expected to have a Material Adverse Effect; and (d) all consents, approvals, licenses and authorizations of, and filings and registrations with, any Governmental Authority required under applicable law and regulations for the making and performance of this Guaranty have been obtained or made and are in full force and effect. In addition, each Guarantor represents and warrants that (x) until all of the Guaranteed Obligations (other than contingent indemnification obligations that survive termination of the Loan Documents for which no claim has been made) and any amounts payable under this Guaranty have been indefeasibly paid and performed in full in immediately available funds, all Commitments are terminated and all Letters or Credit have been cancelled or collateralized to the satisfaction of the Administrative Agent and each applicable L/C Issuer, such Guarantor will comply with all covenants contained in the Credit Agreement applicable to it as if it were a party thereto; and (y) an executed (or conformed) copy of each of the Loan Documents has been made available to a senior officer of such Guarantor and such officer is familiar with the contents thereof.</w:t>
      </w:r>
    </w:p>
    <w:p>
      <w:pPr>
        <w:spacing w:after="0" w:line="180" w:lineRule="exact"/>
        <w:rPr>
          <w:rFonts w:ascii="Arial" w:cs="Arial" w:eastAsia="Arial" w:hAnsi="Arial"/>
          <w:sz w:val="18"/>
          <w:szCs w:val="18"/>
          <w:b w:val="1"/>
          <w:bCs w:val="1"/>
          <w:color w:val="auto"/>
        </w:rPr>
      </w:pPr>
    </w:p>
    <w:p>
      <w:pPr>
        <w:jc w:val="both"/>
        <w:ind w:firstLine="599"/>
        <w:spacing w:after="0" w:line="255" w:lineRule="auto"/>
        <w:tabs>
          <w:tab w:leader="none" w:pos="1449" w:val="left"/>
        </w:tabs>
        <w:numPr>
          <w:ilvl w:val="0"/>
          <w:numId w:val="25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Indemnification and Survival. </w:t>
      </w:r>
      <w:r>
        <w:rPr>
          <w:rFonts w:ascii="Arial" w:cs="Arial" w:eastAsia="Arial" w:hAnsi="Arial"/>
          <w:sz w:val="20"/>
          <w:szCs w:val="20"/>
          <w:color w:val="auto"/>
        </w:rPr>
        <w:t>Without limitation on any other obligations of any Guarantor or remedies of any Creditor</w:t>
      </w:r>
      <w:r>
        <w:rPr>
          <w:rFonts w:ascii="Arial" w:cs="Arial" w:eastAsia="Arial" w:hAnsi="Arial"/>
          <w:sz w:val="20"/>
          <w:szCs w:val="20"/>
          <w:b w:val="1"/>
          <w:bCs w:val="1"/>
          <w:color w:val="auto"/>
        </w:rPr>
        <w:t xml:space="preserve"> </w:t>
      </w:r>
      <w:r>
        <w:rPr>
          <w:rFonts w:ascii="Arial" w:cs="Arial" w:eastAsia="Arial" w:hAnsi="Arial"/>
          <w:sz w:val="20"/>
          <w:szCs w:val="20"/>
          <w:color w:val="auto"/>
        </w:rPr>
        <w:t>Party under this Guaranty, each Guarantor shall, jointly and severally, to the full extent permitted by law, indemnify, defend and save and hold harmless each Indemnitee if, and to the same extent that, the Borrower is required to indemnify, defend and save and hold harmless such Indemnitee under Section 10.04 of the Credit Agreement. The obligations of the Guarantors under this paragraph shall survive the payment in full of the Guaranteed Obligations and termination of this Guaranty.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58" w:right="239" w:bottom="1440" w:gutter="0" w:footer="0" w:header="0"/>
        </w:sectPr>
      </w:pPr>
    </w:p>
    <w:bookmarkStart w:id="199" w:name="page200"/>
    <w:bookmarkEnd w:id="199"/>
    <w:p>
      <w:pPr>
        <w:jc w:val="both"/>
        <w:ind w:firstLine="599"/>
        <w:spacing w:after="0" w:line="269" w:lineRule="auto"/>
        <w:tabs>
          <w:tab w:leader="none" w:pos="1449" w:val="left"/>
        </w:tabs>
        <w:numPr>
          <w:ilvl w:val="0"/>
          <w:numId w:val="25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Guaranty Enforceable by Administrative Agent. </w:t>
      </w:r>
      <w:r>
        <w:rPr>
          <w:rFonts w:ascii="Arial" w:cs="Arial" w:eastAsia="Arial" w:hAnsi="Arial"/>
          <w:sz w:val="19"/>
          <w:szCs w:val="19"/>
          <w:color w:val="auto"/>
        </w:rPr>
        <w:t>This Guaranty may be enforced only by the action of the Administrative</w:t>
      </w:r>
      <w:r>
        <w:rPr>
          <w:rFonts w:ascii="Arial" w:cs="Arial" w:eastAsia="Arial" w:hAnsi="Arial"/>
          <w:sz w:val="19"/>
          <w:szCs w:val="19"/>
          <w:b w:val="1"/>
          <w:bCs w:val="1"/>
          <w:color w:val="auto"/>
        </w:rPr>
        <w:t xml:space="preserve"> </w:t>
      </w:r>
      <w:r>
        <w:rPr>
          <w:rFonts w:ascii="Arial" w:cs="Arial" w:eastAsia="Arial" w:hAnsi="Arial"/>
          <w:sz w:val="19"/>
          <w:szCs w:val="19"/>
          <w:color w:val="auto"/>
        </w:rPr>
        <w:t>Agent, in each case acting upon the instructions of the Required Lenders (to the extent required under the Credit Agreement) and no other Creditor Party will have any right individually to seek to enforce or to enforce this Guaranty or to realize upon the security (if any) to be granted by the Loan Documents, it being understood and agreed that such rights and remedies may be exercised by the Administrative Agent, for the benefit of the Creditor Parties, upon the terms of this Guaranty and the other Loan Documents. It is understood and agreed that the agreement in this Section 16 is solely for the benefit of the Creditor Parties.</w:t>
      </w:r>
    </w:p>
    <w:p>
      <w:pPr>
        <w:spacing w:after="0" w:line="191" w:lineRule="exact"/>
        <w:rPr>
          <w:rFonts w:ascii="Arial" w:cs="Arial" w:eastAsia="Arial" w:hAnsi="Arial"/>
          <w:sz w:val="19"/>
          <w:szCs w:val="19"/>
          <w:b w:val="1"/>
          <w:bCs w:val="1"/>
          <w:color w:val="auto"/>
        </w:rPr>
      </w:pPr>
    </w:p>
    <w:p>
      <w:pPr>
        <w:ind w:left="1440" w:hanging="841"/>
        <w:spacing w:after="0"/>
        <w:tabs>
          <w:tab w:leader="none" w:pos="1440" w:val="left"/>
        </w:tabs>
        <w:numPr>
          <w:ilvl w:val="0"/>
          <w:numId w:val="251"/>
        </w:numPr>
        <w:rPr>
          <w:rFonts w:ascii="Arial" w:cs="Arial" w:eastAsia="Arial" w:hAnsi="Arial"/>
          <w:sz w:val="20"/>
          <w:szCs w:val="20"/>
          <w:b w:val="1"/>
          <w:bCs w:val="1"/>
          <w:color w:val="auto"/>
        </w:rPr>
      </w:pPr>
      <w:r>
        <w:rPr>
          <w:rFonts w:ascii="Arial" w:cs="Arial" w:eastAsia="Arial" w:hAnsi="Arial"/>
          <w:sz w:val="20"/>
          <w:szCs w:val="20"/>
          <w:b w:val="1"/>
          <w:bCs w:val="1"/>
          <w:color w:val="auto"/>
        </w:rPr>
        <w:t>[Reserved]</w:t>
      </w:r>
    </w:p>
    <w:p>
      <w:pPr>
        <w:spacing w:after="0" w:line="244" w:lineRule="exact"/>
        <w:rPr>
          <w:rFonts w:ascii="Arial" w:cs="Arial" w:eastAsia="Arial" w:hAnsi="Arial"/>
          <w:sz w:val="20"/>
          <w:szCs w:val="20"/>
          <w:b w:val="1"/>
          <w:bCs w:val="1"/>
          <w:color w:val="auto"/>
        </w:rPr>
      </w:pPr>
    </w:p>
    <w:p>
      <w:pPr>
        <w:jc w:val="both"/>
        <w:ind w:firstLine="599"/>
        <w:spacing w:after="0" w:line="277" w:lineRule="auto"/>
        <w:tabs>
          <w:tab w:leader="none" w:pos="1449"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Subordination of Indebtedness Held by Guarantors. </w:t>
      </w:r>
      <w:r>
        <w:rPr>
          <w:rFonts w:ascii="Arial" w:cs="Arial" w:eastAsia="Arial" w:hAnsi="Arial"/>
          <w:sz w:val="18"/>
          <w:szCs w:val="18"/>
          <w:color w:val="auto"/>
        </w:rPr>
        <w:t>Any indebtedness of any Loan Party now or hereafter held by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Guarantor is hereby subordinated to the prior payment in full in immediately available funds of all the Guaranteed Obligations, and such indebtedness of any Loan Party to any Guarantor, if the Administrative Agent, after an Event of Default has occurred and is continuing, so requests, shall be collected, enforced and received by such Guarantor as trustee for the Creditor Parties and be paid over to the Administrative Agent for the benefit of the Creditor Parties for application to the Guaranteed Obligations in accordance with the terms of the Loan Documents or, if the Loan Documents do not provide for the application of such amount, to be held by the Administrative Agent as collateral security for any Guaranteed Obligations thereafter existing, but without affecting or impairing in any manner the liability of such Guarantor under the other provisions of this Guaranty. Prior to the transfer by any Guarantor of any note or negotiable instrument evidencing any indebtedness of any Loan Party to such Guarantor, such Guarantor shall mark such note or negotiable instrument with a legend that the same is subject to this subordination. Without limiting the generality of the foregoing, each Guarantor hereby agrees with the Creditor Parties that it will not exercise any right of subrogation which it may at any time otherwise have as a result of this Guaranty (whether contractual, under Section 509 of the Bankruptcy Code or otherwise) until all of the Guaranteed Obligations and any amounts payable under this Guaranty (other than contingent indemnification obligations that survive termination of the Loan Documents for which no claim has been made) have been indefeasibly paid and performed in full in immediately available funds, all Commitments are terminated and all Letters or Credit have been cancelled or collateralized to the satisfaction of the Administrative Agent and each applicable L/C Issuer; </w:t>
      </w:r>
      <w:r>
        <w:rPr>
          <w:rFonts w:ascii="Arial" w:cs="Arial" w:eastAsia="Arial" w:hAnsi="Arial"/>
          <w:sz w:val="18"/>
          <w:szCs w:val="18"/>
          <w:u w:val="single" w:color="auto"/>
          <w:color w:val="auto"/>
        </w:rPr>
        <w:t>provided</w:t>
      </w:r>
      <w:r>
        <w:rPr>
          <w:rFonts w:ascii="Arial" w:cs="Arial" w:eastAsia="Arial" w:hAnsi="Arial"/>
          <w:sz w:val="18"/>
          <w:szCs w:val="18"/>
          <w:color w:val="auto"/>
        </w:rPr>
        <w:t>, that if any amount shall be paid to any Guarantor on account of such subrogation rights prior to such time, such amount shall be held in trust for the benefit of the Creditor Parties and shall forthwith be paid to the Administrative Agent for the benefit of the Creditor Parties to be credited and applied to the Guaranteed Obligations, whether matured or unmatured, in accordance with the terms of the Loan Documents or, if the Loan Documents do not provide for the application of such amount, to be held by the Administrative Agent as collateral security for any Guaranteed Obligations thereafter existing. Upon the indefeasible payment in full in immediately available funds of all of the Guaranteed Obligations and any amounts payable under this Guaranty (other than contingent indemnification obligations that survive termination of the Loan Documents for which no claim has been made), the termination of all Commitments and at such time as all Letters or Credit have been cancelled or collateralized to the satisfaction of the Administrative Agent and each applicable L/C Issuer, each Guarantor shall be subrogated to the rights of the Creditor Parties to receive payments or distributions applicable to the Guaranteed Obligations until all Indebtedness of the Borrower held by such Guarantor shall be paid in full.</w:t>
      </w:r>
    </w:p>
    <w:p>
      <w:pPr>
        <w:spacing w:after="0" w:line="197" w:lineRule="exact"/>
        <w:rPr>
          <w:rFonts w:ascii="Arial" w:cs="Arial" w:eastAsia="Arial" w:hAnsi="Arial"/>
          <w:sz w:val="18"/>
          <w:szCs w:val="18"/>
          <w:b w:val="1"/>
          <w:bCs w:val="1"/>
          <w:color w:val="auto"/>
        </w:rPr>
      </w:pPr>
    </w:p>
    <w:p>
      <w:pPr>
        <w:jc w:val="both"/>
        <w:ind w:firstLine="599"/>
        <w:spacing w:after="0" w:line="263" w:lineRule="auto"/>
        <w:tabs>
          <w:tab w:leader="none" w:pos="1449" w:val="left"/>
        </w:tabs>
        <w:numPr>
          <w:ilvl w:val="0"/>
          <w:numId w:val="25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Additional Guarantors. </w:t>
      </w:r>
      <w:r>
        <w:rPr>
          <w:rFonts w:ascii="Arial" w:cs="Arial" w:eastAsia="Arial" w:hAnsi="Arial"/>
          <w:sz w:val="20"/>
          <w:szCs w:val="20"/>
          <w:color w:val="auto"/>
        </w:rPr>
        <w:t>Any Subsidiary of the REIT that is required to become a party to this Guaranty after the date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hereof pursuant to the Credit Agreement shall become a Guarantor hereunder by executing and delivering a joinder agreement in the form attached hereto as </w:t>
      </w:r>
      <w:r>
        <w:rPr>
          <w:rFonts w:ascii="Arial" w:cs="Arial" w:eastAsia="Arial" w:hAnsi="Arial"/>
          <w:sz w:val="20"/>
          <w:szCs w:val="20"/>
          <w:u w:val="single" w:color="auto"/>
          <w:color w:val="auto"/>
        </w:rPr>
        <w:t>Annex I</w:t>
      </w:r>
      <w:r>
        <w:rPr>
          <w:rFonts w:ascii="Arial" w:cs="Arial" w:eastAsia="Arial" w:hAnsi="Arial"/>
          <w:sz w:val="20"/>
          <w:szCs w:val="20"/>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52" w:right="239" w:bottom="1440" w:gutter="0" w:footer="0" w:header="0"/>
        </w:sectPr>
      </w:pPr>
    </w:p>
    <w:bookmarkStart w:id="200" w:name="page201"/>
    <w:bookmarkEnd w:id="200"/>
    <w:p>
      <w:pPr>
        <w:jc w:val="both"/>
        <w:ind w:firstLine="599"/>
        <w:spacing w:after="0" w:line="277" w:lineRule="auto"/>
        <w:tabs>
          <w:tab w:leader="none" w:pos="1449"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Contribution</w:t>
      </w:r>
      <w:r>
        <w:rPr>
          <w:rFonts w:ascii="Arial" w:cs="Arial" w:eastAsia="Arial" w:hAnsi="Arial"/>
          <w:sz w:val="18"/>
          <w:szCs w:val="18"/>
          <w:color w:val="auto"/>
        </w:rPr>
        <w:t>. At any time a payment in respect of the Guaranteed Obligations is made under this Guaranty, the right of</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 of each Guarantor against each other Guarantor shall be determined as provided in the immediately following sentence, with the right of contribution of each Guarantor to be revised and restated as of each date on which a payment (a “</w:t>
      </w:r>
      <w:r>
        <w:rPr>
          <w:rFonts w:ascii="Arial" w:cs="Arial" w:eastAsia="Arial" w:hAnsi="Arial"/>
          <w:sz w:val="18"/>
          <w:szCs w:val="18"/>
          <w:u w:val="single" w:color="auto"/>
          <w:color w:val="auto"/>
        </w:rPr>
        <w:t>Relevant Payment</w:t>
      </w:r>
      <w:r>
        <w:rPr>
          <w:rFonts w:ascii="Arial" w:cs="Arial" w:eastAsia="Arial" w:hAnsi="Arial"/>
          <w:sz w:val="18"/>
          <w:szCs w:val="18"/>
          <w:color w:val="auto"/>
        </w:rPr>
        <w:t>”) is made on the Guaranteed Obligations under this Guaranty. At any time that a Relevant Payment is made by a Guarantor that results in the aggregate payments made by such Guarantor in respect of the Guaranteed Obligations to and including the date of the Relevant Payment exceeding such Guarantor’s Contribution Percentage (as defined below) of the aggregate payments made by all Guarantors in respect of the Guaranteed Obligations to and including the date of the Relevant Payment (such excess, the “</w:t>
      </w:r>
      <w:r>
        <w:rPr>
          <w:rFonts w:ascii="Arial" w:cs="Arial" w:eastAsia="Arial" w:hAnsi="Arial"/>
          <w:sz w:val="18"/>
          <w:szCs w:val="18"/>
          <w:u w:val="single" w:color="auto"/>
          <w:color w:val="auto"/>
        </w:rPr>
        <w:t>Aggregate Excess Amount</w:t>
      </w:r>
      <w:r>
        <w:rPr>
          <w:rFonts w:ascii="Arial" w:cs="Arial" w:eastAsia="Arial" w:hAnsi="Arial"/>
          <w:sz w:val="18"/>
          <w:szCs w:val="18"/>
          <w:color w:val="auto"/>
        </w:rPr>
        <w:t>”), each such Guarantor shall have a right of contribution against each other Guarantor who either has not made any payments or has made payments in respect of the Guaranteed Obligations to and including the date of the Relevant Payment in an aggregate amount less than such other Guarantor’s Contribution Percentage of the aggregate payments made to and including the date of the Relevant Payment by all Guarantors in respect of the Guaranteed Obligations (the aggregate amount of such deficit, the “</w:t>
      </w:r>
      <w:r>
        <w:rPr>
          <w:rFonts w:ascii="Arial" w:cs="Arial" w:eastAsia="Arial" w:hAnsi="Arial"/>
          <w:sz w:val="18"/>
          <w:szCs w:val="18"/>
          <w:u w:val="single" w:color="auto"/>
          <w:color w:val="auto"/>
        </w:rPr>
        <w:t>Aggregate Deficit Amount</w:t>
      </w:r>
      <w:r>
        <w:rPr>
          <w:rFonts w:ascii="Arial" w:cs="Arial" w:eastAsia="Arial" w:hAnsi="Arial"/>
          <w:sz w:val="18"/>
          <w:szCs w:val="18"/>
          <w:color w:val="auto"/>
        </w:rPr>
        <w:t xml:space="preserve">”) in an amount equal to (x) a fraction the numerator of which is the Aggregate Excess Amount of such Guarantor and the denominator of which is the Aggregate Excess Amount of all Guarantors multiplied by (y) the Aggregate Deficit Amount of such other Guarantor. A Guarantor’s right of contribution pursuant to the preceding sentences shall arise at the time of each computation, subject to adjustment at the time of each computation; </w:t>
      </w:r>
      <w:r>
        <w:rPr>
          <w:rFonts w:ascii="Arial" w:cs="Arial" w:eastAsia="Arial" w:hAnsi="Arial"/>
          <w:sz w:val="18"/>
          <w:szCs w:val="18"/>
          <w:u w:val="single" w:color="auto"/>
          <w:color w:val="auto"/>
        </w:rPr>
        <w:t>provided</w:t>
      </w:r>
      <w:r>
        <w:rPr>
          <w:rFonts w:ascii="Arial" w:cs="Arial" w:eastAsia="Arial" w:hAnsi="Arial"/>
          <w:sz w:val="18"/>
          <w:szCs w:val="18"/>
          <w:color w:val="auto"/>
        </w:rPr>
        <w:t>, that no Guarantor may take any action to enforce such right until all of the Guaranteed Obligations and any amounts payable under this Guaranty (other than contingent indemnification obligations that survive termination of the Loan Documents and for which no claim has been made) have been indefeasibly paid and performed in full in immediately available funds, all Commitments are terminated and all Letters or Credit have been cancelled or collateralized to the satisfaction of the Administrative Agent and each applicable L/C Issuer, it being expressly recognized and agreed by all parties hereto that any Guarantor’s right of contribution arising pursuant to this Section 20 against any other Guarantor shall be expressly junior and subordinate to such other Guarantor’s obligations and liabilities in respect of the Guaranteed Obligations and any other obligations owing under this Guaranty. As used in this Section 20, (i) each Guarantor’s “</w:t>
      </w:r>
      <w:r>
        <w:rPr>
          <w:rFonts w:ascii="Arial" w:cs="Arial" w:eastAsia="Arial" w:hAnsi="Arial"/>
          <w:sz w:val="18"/>
          <w:szCs w:val="18"/>
          <w:u w:val="single" w:color="auto"/>
          <w:color w:val="auto"/>
        </w:rPr>
        <w:t>Contribution Percentage</w:t>
      </w:r>
      <w:r>
        <w:rPr>
          <w:rFonts w:ascii="Arial" w:cs="Arial" w:eastAsia="Arial" w:hAnsi="Arial"/>
          <w:sz w:val="18"/>
          <w:szCs w:val="18"/>
          <w:color w:val="auto"/>
        </w:rPr>
        <w:t>” shall mean the percentage obtained by dividing (x) the Adjusted Net Worth (as defined below) of such Guarantor by (y) the aggregate Adjusted Net Worth of all Guarantors; (ii) the “</w:t>
      </w:r>
      <w:r>
        <w:rPr>
          <w:rFonts w:ascii="Arial" w:cs="Arial" w:eastAsia="Arial" w:hAnsi="Arial"/>
          <w:sz w:val="18"/>
          <w:szCs w:val="18"/>
          <w:u w:val="single" w:color="auto"/>
          <w:color w:val="auto"/>
        </w:rPr>
        <w:t>Adjusted Net Worth</w:t>
      </w:r>
      <w:r>
        <w:rPr>
          <w:rFonts w:ascii="Arial" w:cs="Arial" w:eastAsia="Arial" w:hAnsi="Arial"/>
          <w:sz w:val="18"/>
          <w:szCs w:val="18"/>
          <w:color w:val="auto"/>
        </w:rPr>
        <w:t>” of each Guarantor shall mean the greater of (x) the Net Worth (as defined below) of such Guarantor and (y) zero; and (iii) the “</w:t>
      </w:r>
      <w:r>
        <w:rPr>
          <w:rFonts w:ascii="Arial" w:cs="Arial" w:eastAsia="Arial" w:hAnsi="Arial"/>
          <w:sz w:val="18"/>
          <w:szCs w:val="18"/>
          <w:u w:val="single" w:color="auto"/>
          <w:color w:val="auto"/>
        </w:rPr>
        <w:t>Net Worth</w:t>
      </w:r>
      <w:r>
        <w:rPr>
          <w:rFonts w:ascii="Arial" w:cs="Arial" w:eastAsia="Arial" w:hAnsi="Arial"/>
          <w:sz w:val="18"/>
          <w:szCs w:val="18"/>
          <w:color w:val="auto"/>
        </w:rPr>
        <w:t>” of each Guarantor shall mean the amount by which the fair saleable value of such Guarantor’s assets on the date of any Relevant Payment exceeds its existing debts and other liabilities (including contingent liabilities, but without giving effect to any Guaranteed Obligations arising under this Guaranty) on such date. All parties hereto recognize and agree that, except for any right of contribution arising pursuant to this Section 20, each Guarantor who makes any payment in respect of the Guaranteed Obligations shall have no right of contribution or subrogation against any other Guarantor in respect of such payment until all of the Guaranteed Obligations (other than contingent indemnification obligations that survive termination of the Loan Documents for which no claim has been made) have been indefeasibly paid and performed in full in cash, all Commitments are terminated and all Letters or Credit have been cancelled or collateralized to the satisfaction of the Administrative Agent and each applicable L/C Issuer. Each of the Guarantors recognizes and acknowledges that the rights to contribution arising hereunder shall constitute an asset in favor of the party entitled to such contribution. In this connection, each Guarantor has the right to waive its contribution right against any Guarantor to the extent that after giving effect to such waiver such Guarantor would remain solvent, in the determination of the Required Lenders.</w:t>
      </w:r>
    </w:p>
    <w:p>
      <w:pPr>
        <w:spacing w:after="0" w:line="183" w:lineRule="exact"/>
        <w:rPr>
          <w:rFonts w:ascii="Arial" w:cs="Arial" w:eastAsia="Arial" w:hAnsi="Arial"/>
          <w:sz w:val="18"/>
          <w:szCs w:val="18"/>
          <w:b w:val="1"/>
          <w:bCs w:val="1"/>
          <w:color w:val="auto"/>
        </w:rPr>
      </w:pPr>
    </w:p>
    <w:p>
      <w:pPr>
        <w:jc w:val="both"/>
        <w:ind w:firstLine="599"/>
        <w:spacing w:after="0" w:line="305" w:lineRule="auto"/>
        <w:tabs>
          <w:tab w:leader="none" w:pos="1449"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Guaranty may be executed in any number of counterparts and by the different parties hereto on separate</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each of which when so executed and delivered shall be an original, but all of which shall together constitute one and the same instrument. A set of counterparts executed by all the parties hereto shall be lodged with the Borrower and the Administrative Agent.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52" w:right="239" w:bottom="1440" w:gutter="0" w:footer="0" w:header="0"/>
        </w:sectPr>
      </w:pPr>
    </w:p>
    <w:bookmarkStart w:id="201" w:name="page202"/>
    <w:bookmarkEnd w:id="201"/>
    <w:p>
      <w:pPr>
        <w:ind w:firstLine="599"/>
        <w:spacing w:after="0" w:line="279" w:lineRule="auto"/>
        <w:tabs>
          <w:tab w:leader="none" w:pos="1449" w:val="left"/>
        </w:tabs>
        <w:numPr>
          <w:ilvl w:val="1"/>
          <w:numId w:val="25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Headings Descriptive. </w:t>
      </w:r>
      <w:r>
        <w:rPr>
          <w:rFonts w:ascii="Arial" w:cs="Arial" w:eastAsia="Arial" w:hAnsi="Arial"/>
          <w:sz w:val="20"/>
          <w:szCs w:val="20"/>
          <w:color w:val="auto"/>
        </w:rPr>
        <w:t>The headings of the several Sections of this Guaranty are inserted for convenience only and shall not</w:t>
      </w:r>
      <w:r>
        <w:rPr>
          <w:rFonts w:ascii="Arial" w:cs="Arial" w:eastAsia="Arial" w:hAnsi="Arial"/>
          <w:sz w:val="20"/>
          <w:szCs w:val="20"/>
          <w:b w:val="1"/>
          <w:bCs w:val="1"/>
          <w:color w:val="auto"/>
        </w:rPr>
        <w:t xml:space="preserve"> </w:t>
      </w:r>
      <w:r>
        <w:rPr>
          <w:rFonts w:ascii="Arial" w:cs="Arial" w:eastAsia="Arial" w:hAnsi="Arial"/>
          <w:sz w:val="20"/>
          <w:szCs w:val="20"/>
          <w:color w:val="auto"/>
        </w:rPr>
        <w:t>in any way affect the meaning or construction of any provision of this Guaranty.</w:t>
      </w:r>
    </w:p>
    <w:p>
      <w:pPr>
        <w:spacing w:after="0" w:line="177" w:lineRule="exact"/>
        <w:rPr>
          <w:rFonts w:ascii="Arial" w:cs="Arial" w:eastAsia="Arial" w:hAnsi="Arial"/>
          <w:sz w:val="20"/>
          <w:szCs w:val="20"/>
          <w:b w:val="1"/>
          <w:bCs w:val="1"/>
          <w:color w:val="auto"/>
        </w:rPr>
      </w:pPr>
    </w:p>
    <w:p>
      <w:pPr>
        <w:jc w:val="both"/>
        <w:ind w:firstLine="599"/>
        <w:spacing w:after="0" w:line="287" w:lineRule="auto"/>
        <w:tabs>
          <w:tab w:leader="none" w:pos="1449" w:val="left"/>
        </w:tabs>
        <w:numPr>
          <w:ilvl w:val="1"/>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Assignment; Jurisdiction; Notices. This Guaranty shall be governed by, and construed in accordance with, the law of the State of New York (without giving effect to the conflicts of law provisions thereof). </w:t>
      </w:r>
      <w:r>
        <w:rPr>
          <w:rFonts w:ascii="Arial" w:cs="Arial" w:eastAsia="Arial" w:hAnsi="Arial"/>
          <w:sz w:val="18"/>
          <w:szCs w:val="18"/>
          <w:color w:val="auto"/>
        </w:rPr>
        <w:t>This Guaranty shall</w:t>
      </w:r>
    </w:p>
    <w:p>
      <w:pPr>
        <w:spacing w:after="0" w:line="1" w:lineRule="exact"/>
        <w:rPr>
          <w:rFonts w:ascii="Arial" w:cs="Arial" w:eastAsia="Arial" w:hAnsi="Arial"/>
          <w:sz w:val="18"/>
          <w:szCs w:val="18"/>
          <w:b w:val="1"/>
          <w:bCs w:val="1"/>
          <w:color w:val="auto"/>
        </w:rPr>
      </w:pPr>
    </w:p>
    <w:p>
      <w:pPr>
        <w:jc w:val="both"/>
        <w:spacing w:after="0" w:line="237" w:lineRule="exact"/>
        <w:tabs>
          <w:tab w:leader="none" w:pos="274" w:val="left"/>
        </w:tabs>
        <w:numPr>
          <w:ilvl w:val="0"/>
          <w:numId w:val="254"/>
        </w:numPr>
        <w:rPr>
          <w:rFonts w:ascii="Arial" w:cs="Arial" w:eastAsia="Arial" w:hAnsi="Arial"/>
          <w:sz w:val="19"/>
          <w:szCs w:val="19"/>
          <w:color w:val="auto"/>
        </w:rPr>
      </w:pPr>
      <w:r>
        <w:rPr>
          <w:rFonts w:ascii="Arial" w:cs="Arial" w:eastAsia="Arial" w:hAnsi="Arial"/>
          <w:sz w:val="19"/>
          <w:szCs w:val="19"/>
          <w:color w:val="auto"/>
        </w:rPr>
        <w:t>bind the Guarantor and its successors and assigns, provided that no Guarantor may assign its rights or obligations under this Guaranty (and any attempted assignment without such consent shall be void), and (b) inure to the benefit of the Creditor Parties and their respective successors and assigns and the Lenders may, in accordance with Section 10.06 of the Credit Agreement and without affecting the obligations of any Guarantor hereunder, assign, sell or grant participations in the Guaranteed Obligations and this Guaranty, in whole or in part. Each Guarantor hereby irrevocably (i) submits to the non</w:t>
      </w:r>
      <w:r>
        <w:rPr>
          <w:rFonts w:ascii="MS PGothic" w:cs="MS PGothic" w:eastAsia="MS PGothic" w:hAnsi="MS PGothic"/>
          <w:sz w:val="19"/>
          <w:szCs w:val="19"/>
          <w:color w:val="auto"/>
        </w:rPr>
        <w:t>‑</w:t>
      </w:r>
      <w:r>
        <w:rPr>
          <w:rFonts w:ascii="Arial" w:cs="Arial" w:eastAsia="Arial" w:hAnsi="Arial"/>
          <w:sz w:val="19"/>
          <w:szCs w:val="19"/>
          <w:color w:val="auto"/>
        </w:rPr>
        <w:t>exclusive jurisdiction of courts of the State of New York sitting in New York County and of the United States District Court of the Southern District of New York, and any appellate court from any thereof, in any action or proceeding arising out of or relating to this Guaranty, and (ii) waives to the fullest extent permitted by law any defense asserting an inconvenient forum in connection therewith. Each of the parties hereto (x) agrees that a final judgment in any such action or proceeding shall be conclusive and may be enforced in other jurisdictions by suit on the judgment or in any other manner provided by law, and (y) consents to the service of process out of any of the aforementioned courts, in the manner provided in Section 10.02 of the Credit Agreement, to (A) in the case of the Administrative Agent, at the address provided in the Credit Agreement and (B) in the case of a Guarantor, at its address set forth opposite its signature page below. All notices and other communications to any Guarantor under this Guaranty shall be in writing and delivered in the manner set forth in Section 10.02 of the Credit Agreement. All notices and other communications shall be in writing and addressed to such party at (i) in the case of any Creditor Party, as provided in the Credit Agreement, and (ii) in the case of any Guarantor, at its address set forth opposite its signature below.</w:t>
      </w:r>
    </w:p>
    <w:p>
      <w:pPr>
        <w:spacing w:after="0" w:line="224" w:lineRule="exact"/>
        <w:rPr>
          <w:rFonts w:ascii="Arial" w:cs="Arial" w:eastAsia="Arial" w:hAnsi="Arial"/>
          <w:sz w:val="19"/>
          <w:szCs w:val="19"/>
          <w:color w:val="auto"/>
        </w:rPr>
      </w:pPr>
    </w:p>
    <w:p>
      <w:pPr>
        <w:jc w:val="both"/>
        <w:ind w:firstLine="599"/>
        <w:spacing w:after="0" w:line="258" w:lineRule="auto"/>
        <w:tabs>
          <w:tab w:leader="none" w:pos="1449" w:val="left"/>
        </w:tabs>
        <w:numPr>
          <w:ilvl w:val="1"/>
          <w:numId w:val="25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WAIVER OF JURY TRIAL; FINAL AGREEMENT. </w:t>
      </w:r>
      <w:r>
        <w:rPr>
          <w:rFonts w:ascii="Arial" w:cs="Arial" w:eastAsia="Arial" w:hAnsi="Arial"/>
          <w:sz w:val="20"/>
          <w:szCs w:val="20"/>
          <w:color w:val="auto"/>
        </w:rPr>
        <w:t>TO THE EXTENT ALLOWED BY APPLICABLE LAW, EACH</w:t>
      </w:r>
      <w:r>
        <w:rPr>
          <w:rFonts w:ascii="Arial" w:cs="Arial" w:eastAsia="Arial" w:hAnsi="Arial"/>
          <w:sz w:val="20"/>
          <w:szCs w:val="20"/>
          <w:b w:val="1"/>
          <w:bCs w:val="1"/>
          <w:color w:val="auto"/>
        </w:rPr>
        <w:t xml:space="preserve"> </w:t>
      </w:r>
      <w:r>
        <w:rPr>
          <w:rFonts w:ascii="Arial" w:cs="Arial" w:eastAsia="Arial" w:hAnsi="Arial"/>
          <w:sz w:val="20"/>
          <w:szCs w:val="20"/>
          <w:color w:val="auto"/>
        </w:rPr>
        <w:t>GUARANTOR AND THE ADMINISTRATIVE AGENT EACH IRREVOCABLY WAIVES TRIAL BY JURY WITH RESPECT TO ANY ACTION, CLAIM, SUIT OR PROCEEDING ON, ARISING OUT OF OR RELATING TO THIS GUARANTY OR THE GUARANTEED OBLIGATIONS.</w:t>
      </w:r>
    </w:p>
    <w:p>
      <w:pPr>
        <w:spacing w:after="0" w:line="197" w:lineRule="exact"/>
        <w:rPr>
          <w:rFonts w:ascii="Arial" w:cs="Arial" w:eastAsia="Arial" w:hAnsi="Arial"/>
          <w:sz w:val="20"/>
          <w:szCs w:val="20"/>
          <w:b w:val="1"/>
          <w:bCs w:val="1"/>
          <w:color w:val="auto"/>
        </w:rPr>
      </w:pPr>
    </w:p>
    <w:p>
      <w:pPr>
        <w:jc w:val="both"/>
        <w:ind w:firstLine="599"/>
        <w:spacing w:after="0" w:line="258" w:lineRule="auto"/>
        <w:tabs>
          <w:tab w:leader="none" w:pos="1041" w:val="left"/>
        </w:tabs>
        <w:numPr>
          <w:ilvl w:val="1"/>
          <w:numId w:val="254"/>
        </w:numPr>
        <w:rPr>
          <w:rFonts w:ascii="Arial" w:cs="Arial" w:eastAsia="Arial" w:hAnsi="Arial"/>
          <w:sz w:val="20"/>
          <w:szCs w:val="20"/>
          <w:b w:val="1"/>
          <w:bCs w:val="1"/>
          <w:color w:val="auto"/>
        </w:rPr>
      </w:pPr>
      <w:r>
        <w:rPr>
          <w:rFonts w:ascii="Arial" w:cs="Arial" w:eastAsia="Arial" w:hAnsi="Arial"/>
          <w:sz w:val="20"/>
          <w:szCs w:val="20"/>
          <w:b w:val="1"/>
          <w:bCs w:val="1"/>
          <w:color w:val="auto"/>
        </w:rPr>
        <w:t>Ratification of Obligations under Existing Guaranty</w:t>
      </w:r>
      <w:r>
        <w:rPr>
          <w:rFonts w:ascii="Arial" w:cs="Arial" w:eastAsia="Arial" w:hAnsi="Arial"/>
          <w:sz w:val="20"/>
          <w:szCs w:val="20"/>
          <w:color w:val="auto"/>
        </w:rPr>
        <w:t>. Each Guarantor hereby acknowledges and agrees that (a) this Guaranty</w:t>
      </w:r>
      <w:r>
        <w:rPr>
          <w:rFonts w:ascii="Arial" w:cs="Arial" w:eastAsia="Arial" w:hAnsi="Arial"/>
          <w:sz w:val="20"/>
          <w:szCs w:val="20"/>
          <w:b w:val="1"/>
          <w:bCs w:val="1"/>
          <w:color w:val="auto"/>
        </w:rPr>
        <w:t xml:space="preserve"> </w:t>
      </w:r>
      <w:r>
        <w:rPr>
          <w:rFonts w:ascii="Arial" w:cs="Arial" w:eastAsia="Arial" w:hAnsi="Arial"/>
          <w:sz w:val="20"/>
          <w:szCs w:val="20"/>
          <w:color w:val="auto"/>
        </w:rPr>
        <w:t>does not constitute a novation of the obligations and liabilities of the Guarantors under the Existing Guaranty and such obligations and liabilities shall remain in full force and effect in accordance with the terms thereof as modified hereby and (b) except as expressly stated herein or amended hereby, the Existing Guaranty is ratified and confirmed as remaining unmodified and in full force and effect and that this Guaranty amends and restates in its entirety the Existing Guaranty.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51"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20"/>
          <w:szCs w:val="20"/>
          <w:color w:val="auto"/>
        </w:rPr>
        <w:t>IN WITNESS WHEREOF, each Guarantor has caused this Guaranty to be executed and delivered as of the date first above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line="339"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4040" w:type="dxa"/>
            <w:vAlign w:val="bottom"/>
            <w:gridSpan w:val="4"/>
          </w:tcPr>
          <w:p>
            <w:pPr>
              <w:spacing w:after="0"/>
              <w:rPr>
                <w:sz w:val="20"/>
                <w:szCs w:val="20"/>
                <w:color w:val="auto"/>
              </w:rPr>
            </w:pPr>
            <w:r>
              <w:rPr>
                <w:rFonts w:ascii="Arial" w:cs="Arial" w:eastAsia="Arial" w:hAnsi="Arial"/>
                <w:sz w:val="20"/>
                <w:szCs w:val="20"/>
                <w:color w:val="auto"/>
              </w:rPr>
              <w:t>11455 El Camino Real</w:t>
            </w:r>
          </w:p>
        </w:tc>
        <w:tc>
          <w:tcPr>
            <w:tcW w:w="4800" w:type="dxa"/>
            <w:vAlign w:val="bottom"/>
          </w:tcPr>
          <w:p>
            <w:pPr>
              <w:ind w:left="1120"/>
              <w:spacing w:after="0"/>
              <w:rPr>
                <w:sz w:val="20"/>
                <w:szCs w:val="20"/>
                <w:color w:val="auto"/>
              </w:rPr>
            </w:pPr>
            <w:r>
              <w:rPr>
                <w:rFonts w:ascii="Arial" w:cs="Arial" w:eastAsia="Arial" w:hAnsi="Arial"/>
                <w:sz w:val="20"/>
                <w:szCs w:val="20"/>
                <w:color w:val="auto"/>
              </w:rPr>
              <w:t>AMERICAN ASSETS TRUST, INC.</w:t>
            </w:r>
          </w:p>
        </w:tc>
        <w:tc>
          <w:tcPr>
            <w:tcW w:w="0" w:type="dxa"/>
            <w:vAlign w:val="bottom"/>
          </w:tcPr>
          <w:p>
            <w:pPr>
              <w:spacing w:after="0"/>
              <w:rPr>
                <w:sz w:val="1"/>
                <w:szCs w:val="1"/>
                <w:color w:val="auto"/>
              </w:rPr>
            </w:pPr>
          </w:p>
        </w:tc>
      </w:tr>
      <w:tr>
        <w:trPr>
          <w:trHeight w:val="225"/>
        </w:trPr>
        <w:tc>
          <w:tcPr>
            <w:tcW w:w="4040" w:type="dxa"/>
            <w:vAlign w:val="bottom"/>
            <w:gridSpan w:val="4"/>
          </w:tcPr>
          <w:p>
            <w:pPr>
              <w:spacing w:after="0" w:line="225" w:lineRule="exact"/>
              <w:rPr>
                <w:sz w:val="20"/>
                <w:szCs w:val="20"/>
                <w:color w:val="auto"/>
              </w:rPr>
            </w:pPr>
            <w:r>
              <w:rPr>
                <w:rFonts w:ascii="Arial" w:cs="Arial" w:eastAsia="Arial" w:hAnsi="Arial"/>
                <w:sz w:val="20"/>
                <w:szCs w:val="20"/>
                <w:color w:val="auto"/>
              </w:rPr>
              <w:t>Suite 200</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40" w:type="dxa"/>
            <w:vAlign w:val="bottom"/>
            <w:gridSpan w:val="4"/>
          </w:tcPr>
          <w:p>
            <w:pPr>
              <w:spacing w:after="0" w:line="225" w:lineRule="exact"/>
              <w:rPr>
                <w:sz w:val="20"/>
                <w:szCs w:val="20"/>
                <w:color w:val="auto"/>
              </w:rPr>
            </w:pPr>
            <w:r>
              <w:rPr>
                <w:rFonts w:ascii="Arial" w:cs="Arial" w:eastAsia="Arial" w:hAnsi="Arial"/>
                <w:sz w:val="20"/>
                <w:szCs w:val="20"/>
                <w:color w:val="auto"/>
              </w:rPr>
              <w:t>San Diego, CA 92130</w:t>
            </w:r>
          </w:p>
        </w:tc>
        <w:tc>
          <w:tcPr>
            <w:tcW w:w="4800" w:type="dxa"/>
            <w:vAlign w:val="bottom"/>
            <w:vMerge w:val="restart"/>
          </w:tcPr>
          <w:p>
            <w:pPr>
              <w:ind w:left="1120"/>
              <w:spacing w:after="0"/>
              <w:rPr>
                <w:sz w:val="20"/>
                <w:szCs w:val="20"/>
                <w:color w:val="auto"/>
              </w:rPr>
            </w:pPr>
            <w:r>
              <w:rPr>
                <w:rFonts w:ascii="Arial" w:cs="Arial" w:eastAsia="Arial" w:hAnsi="Arial"/>
                <w:sz w:val="20"/>
                <w:szCs w:val="20"/>
                <w:color w:val="auto"/>
                <w:w w:val="97"/>
              </w:rPr>
              <w:t>By:_______________________________</w:t>
            </w:r>
          </w:p>
        </w:tc>
        <w:tc>
          <w:tcPr>
            <w:tcW w:w="0" w:type="dxa"/>
            <w:vAlign w:val="bottom"/>
          </w:tcPr>
          <w:p>
            <w:pPr>
              <w:spacing w:after="0"/>
              <w:rPr>
                <w:sz w:val="1"/>
                <w:szCs w:val="1"/>
                <w:color w:val="auto"/>
              </w:rPr>
            </w:pPr>
          </w:p>
        </w:tc>
      </w:tr>
      <w:tr>
        <w:trPr>
          <w:trHeight w:val="194"/>
        </w:trPr>
        <w:tc>
          <w:tcPr>
            <w:tcW w:w="4040" w:type="dxa"/>
            <w:vAlign w:val="bottom"/>
            <w:gridSpan w:val="4"/>
          </w:tcPr>
          <w:p>
            <w:pPr>
              <w:spacing w:after="0" w:line="194" w:lineRule="exact"/>
              <w:rPr>
                <w:sz w:val="20"/>
                <w:szCs w:val="20"/>
                <w:color w:val="auto"/>
              </w:rPr>
            </w:pPr>
            <w:r>
              <w:rPr>
                <w:rFonts w:ascii="Arial" w:cs="Arial" w:eastAsia="Arial" w:hAnsi="Arial"/>
                <w:sz w:val="20"/>
                <w:szCs w:val="20"/>
                <w:color w:val="auto"/>
              </w:rPr>
              <w:t>Fax No.: (858) 350-2620</w:t>
            </w:r>
          </w:p>
        </w:tc>
        <w:tc>
          <w:tcPr>
            <w:tcW w:w="4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40" w:type="dxa"/>
            <w:vAlign w:val="bottom"/>
            <w:gridSpan w:val="4"/>
          </w:tcPr>
          <w:p>
            <w:pPr>
              <w:spacing w:after="0" w:line="225" w:lineRule="exact"/>
              <w:rPr>
                <w:sz w:val="20"/>
                <w:szCs w:val="20"/>
                <w:color w:val="auto"/>
              </w:rPr>
            </w:pPr>
            <w:r>
              <w:rPr>
                <w:rFonts w:ascii="Arial" w:cs="Arial" w:eastAsia="Arial" w:hAnsi="Arial"/>
                <w:sz w:val="20"/>
                <w:szCs w:val="20"/>
                <w:color w:val="auto"/>
              </w:rPr>
              <w:t>Tel. No.: (858) 350-2600</w:t>
            </w:r>
          </w:p>
        </w:tc>
        <w:tc>
          <w:tcPr>
            <w:tcW w:w="4800" w:type="dxa"/>
            <w:vAlign w:val="bottom"/>
          </w:tcPr>
          <w:p>
            <w:pPr>
              <w:ind w:left="1420"/>
              <w:spacing w:after="0" w:line="225" w:lineRule="exact"/>
              <w:rPr>
                <w:sz w:val="20"/>
                <w:szCs w:val="20"/>
                <w:color w:val="auto"/>
              </w:rPr>
            </w:pPr>
            <w:r>
              <w:rPr>
                <w:rFonts w:ascii="Arial" w:cs="Arial" w:eastAsia="Arial" w:hAnsi="Arial"/>
                <w:sz w:val="20"/>
                <w:szCs w:val="20"/>
                <w:color w:val="auto"/>
              </w:rPr>
              <w:t>Name: Ernest Rady</w:t>
            </w:r>
          </w:p>
        </w:tc>
        <w:tc>
          <w:tcPr>
            <w:tcW w:w="0" w:type="dxa"/>
            <w:vAlign w:val="bottom"/>
          </w:tcPr>
          <w:p>
            <w:pPr>
              <w:spacing w:after="0"/>
              <w:rPr>
                <w:sz w:val="1"/>
                <w:szCs w:val="1"/>
                <w:color w:val="auto"/>
              </w:rPr>
            </w:pPr>
          </w:p>
        </w:tc>
      </w:tr>
      <w:tr>
        <w:trPr>
          <w:trHeight w:val="237"/>
        </w:trPr>
        <w:tc>
          <w:tcPr>
            <w:tcW w:w="4040" w:type="dxa"/>
            <w:vAlign w:val="bottom"/>
            <w:gridSpan w:val="4"/>
          </w:tcPr>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rbarton@americanassets.com</w:t>
            </w:r>
          </w:p>
        </w:tc>
        <w:tc>
          <w:tcPr>
            <w:tcW w:w="4800" w:type="dxa"/>
            <w:vAlign w:val="bottom"/>
          </w:tcPr>
          <w:p>
            <w:pPr>
              <w:ind w:left="1420"/>
              <w:spacing w:after="0"/>
              <w:rPr>
                <w:sz w:val="20"/>
                <w:szCs w:val="20"/>
                <w:color w:val="auto"/>
              </w:rPr>
            </w:pPr>
            <w:r>
              <w:rPr>
                <w:rFonts w:ascii="Arial" w:cs="Arial" w:eastAsia="Arial" w:hAnsi="Arial"/>
                <w:sz w:val="20"/>
                <w:szCs w:val="20"/>
                <w:color w:val="auto"/>
                <w:w w:val="92"/>
              </w:rPr>
              <w:t>Title: Chief Executive Officer &amp; President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gridSpan w:val="4"/>
          </w:tcPr>
          <w:p>
            <w:pPr>
              <w:spacing w:after="0" w:line="223" w:lineRule="exact"/>
              <w:rPr>
                <w:sz w:val="20"/>
                <w:szCs w:val="20"/>
                <w:color w:val="auto"/>
              </w:rPr>
            </w:pPr>
            <w:r>
              <w:rPr>
                <w:rFonts w:ascii="Arial" w:cs="Arial" w:eastAsia="Arial" w:hAnsi="Arial"/>
                <w:sz w:val="20"/>
                <w:szCs w:val="20"/>
                <w:color w:val="auto"/>
              </w:rPr>
              <w:t>Attention: Robert F. Barton,</w:t>
            </w:r>
          </w:p>
        </w:tc>
        <w:tc>
          <w:tcPr>
            <w:tcW w:w="4800" w:type="dxa"/>
            <w:vAlign w:val="bottom"/>
            <w:vMerge w:val="restart"/>
          </w:tcPr>
          <w:p>
            <w:pPr>
              <w:ind w:left="1120"/>
              <w:spacing w:after="0"/>
              <w:rPr>
                <w:sz w:val="20"/>
                <w:szCs w:val="20"/>
                <w:color w:val="auto"/>
              </w:rPr>
            </w:pPr>
            <w:r>
              <w:rPr>
                <w:rFonts w:ascii="Arial" w:cs="Arial" w:eastAsia="Arial" w:hAnsi="Arial"/>
                <w:sz w:val="20"/>
                <w:szCs w:val="20"/>
                <w:color w:val="auto"/>
                <w:w w:val="97"/>
              </w:rPr>
              <w:t>By:_______________________________</w:t>
            </w:r>
          </w:p>
        </w:tc>
        <w:tc>
          <w:tcPr>
            <w:tcW w:w="0" w:type="dxa"/>
            <w:vAlign w:val="bottom"/>
          </w:tcPr>
          <w:p>
            <w:pPr>
              <w:spacing w:after="0"/>
              <w:rPr>
                <w:sz w:val="1"/>
                <w:szCs w:val="1"/>
                <w:color w:val="auto"/>
              </w:rPr>
            </w:pPr>
          </w:p>
        </w:tc>
      </w:tr>
      <w:tr>
        <w:trPr>
          <w:trHeight w:val="150"/>
        </w:trPr>
        <w:tc>
          <w:tcPr>
            <w:tcW w:w="580" w:type="dxa"/>
            <w:vAlign w:val="bottom"/>
          </w:tcPr>
          <w:p>
            <w:pPr>
              <w:spacing w:after="0"/>
              <w:rPr>
                <w:sz w:val="13"/>
                <w:szCs w:val="13"/>
                <w:color w:val="auto"/>
              </w:rPr>
            </w:pPr>
          </w:p>
        </w:tc>
        <w:tc>
          <w:tcPr>
            <w:tcW w:w="3460" w:type="dxa"/>
            <w:vAlign w:val="bottom"/>
            <w:gridSpan w:val="3"/>
            <w:vMerge w:val="restart"/>
          </w:tcPr>
          <w:p>
            <w:pPr>
              <w:ind w:left="320"/>
              <w:spacing w:after="0"/>
              <w:rPr>
                <w:sz w:val="20"/>
                <w:szCs w:val="20"/>
                <w:color w:val="auto"/>
              </w:rPr>
            </w:pPr>
            <w:r>
              <w:rPr>
                <w:rFonts w:ascii="Arial" w:cs="Arial" w:eastAsia="Arial" w:hAnsi="Arial"/>
                <w:sz w:val="20"/>
                <w:szCs w:val="20"/>
                <w:color w:val="auto"/>
              </w:rPr>
              <w:t>Chief Financial Officer</w:t>
            </w:r>
          </w:p>
        </w:tc>
        <w:tc>
          <w:tcPr>
            <w:tcW w:w="4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580" w:type="dxa"/>
            <w:vAlign w:val="bottom"/>
          </w:tcPr>
          <w:p>
            <w:pPr>
              <w:spacing w:after="0"/>
              <w:rPr>
                <w:sz w:val="9"/>
                <w:szCs w:val="9"/>
                <w:color w:val="auto"/>
              </w:rPr>
            </w:pPr>
          </w:p>
        </w:tc>
        <w:tc>
          <w:tcPr>
            <w:tcW w:w="3460" w:type="dxa"/>
            <w:vAlign w:val="bottom"/>
            <w:gridSpan w:val="3"/>
            <w:vMerge w:val="continue"/>
          </w:tcPr>
          <w:p>
            <w:pPr>
              <w:spacing w:after="0"/>
              <w:rPr>
                <w:sz w:val="9"/>
                <w:szCs w:val="9"/>
                <w:color w:val="auto"/>
              </w:rPr>
            </w:pPr>
          </w:p>
        </w:tc>
        <w:tc>
          <w:tcPr>
            <w:tcW w:w="4800" w:type="dxa"/>
            <w:vAlign w:val="bottom"/>
            <w:vMerge w:val="restart"/>
          </w:tcPr>
          <w:p>
            <w:pPr>
              <w:ind w:left="1420"/>
              <w:spacing w:after="0" w:line="225" w:lineRule="exact"/>
              <w:rPr>
                <w:sz w:val="20"/>
                <w:szCs w:val="20"/>
                <w:color w:val="auto"/>
              </w:rPr>
            </w:pPr>
            <w:r>
              <w:rPr>
                <w:rFonts w:ascii="Arial" w:cs="Arial" w:eastAsia="Arial" w:hAnsi="Arial"/>
                <w:sz w:val="20"/>
                <w:szCs w:val="20"/>
                <w:color w:val="auto"/>
              </w:rPr>
              <w:t>Name: Robert F. Barton</w:t>
            </w:r>
          </w:p>
        </w:tc>
        <w:tc>
          <w:tcPr>
            <w:tcW w:w="0" w:type="dxa"/>
            <w:vAlign w:val="bottom"/>
          </w:tcPr>
          <w:p>
            <w:pPr>
              <w:spacing w:after="0"/>
              <w:rPr>
                <w:sz w:val="1"/>
                <w:szCs w:val="1"/>
                <w:color w:val="auto"/>
              </w:rPr>
            </w:pPr>
          </w:p>
        </w:tc>
      </w:tr>
      <w:tr>
        <w:trPr>
          <w:trHeight w:val="121"/>
        </w:trPr>
        <w:tc>
          <w:tcPr>
            <w:tcW w:w="5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4040" w:type="dxa"/>
            <w:vAlign w:val="bottom"/>
            <w:gridSpan w:val="4"/>
          </w:tcPr>
          <w:p>
            <w:pPr>
              <w:spacing w:after="0"/>
              <w:rPr>
                <w:sz w:val="20"/>
                <w:szCs w:val="20"/>
                <w:color w:val="auto"/>
              </w:rPr>
            </w:pPr>
            <w:r>
              <w:rPr>
                <w:rFonts w:ascii="Arial" w:cs="Arial" w:eastAsia="Arial" w:hAnsi="Arial"/>
                <w:sz w:val="20"/>
                <w:szCs w:val="20"/>
                <w:color w:val="auto"/>
              </w:rPr>
              <w:t>with a copy to:</w:t>
            </w:r>
          </w:p>
        </w:tc>
        <w:tc>
          <w:tcPr>
            <w:tcW w:w="4800" w:type="dxa"/>
            <w:vAlign w:val="bottom"/>
          </w:tcPr>
          <w:p>
            <w:pPr>
              <w:ind w:left="1420"/>
              <w:spacing w:after="0"/>
              <w:rPr>
                <w:sz w:val="20"/>
                <w:szCs w:val="20"/>
                <w:color w:val="auto"/>
              </w:rPr>
            </w:pPr>
            <w:r>
              <w:rPr>
                <w:rFonts w:ascii="Arial" w:cs="Arial" w:eastAsia="Arial" w:hAnsi="Arial"/>
                <w:sz w:val="20"/>
                <w:szCs w:val="20"/>
                <w:color w:val="auto"/>
              </w:rPr>
              <w:t>Title: Chief Financial Officer and</w:t>
            </w:r>
          </w:p>
        </w:tc>
        <w:tc>
          <w:tcPr>
            <w:tcW w:w="0" w:type="dxa"/>
            <w:vAlign w:val="bottom"/>
          </w:tcPr>
          <w:p>
            <w:pPr>
              <w:spacing w:after="0"/>
              <w:rPr>
                <w:sz w:val="1"/>
                <w:szCs w:val="1"/>
                <w:color w:val="auto"/>
              </w:rPr>
            </w:pPr>
          </w:p>
        </w:tc>
      </w:tr>
      <w:tr>
        <w:trPr>
          <w:trHeight w:val="254"/>
        </w:trPr>
        <w:tc>
          <w:tcPr>
            <w:tcW w:w="4040" w:type="dxa"/>
            <w:vAlign w:val="bottom"/>
            <w:gridSpan w:val="4"/>
            <w:vMerge w:val="restart"/>
          </w:tcPr>
          <w:p>
            <w:pPr>
              <w:spacing w:after="0"/>
              <w:rPr>
                <w:sz w:val="20"/>
                <w:szCs w:val="20"/>
                <w:color w:val="auto"/>
              </w:rPr>
            </w:pPr>
            <w:r>
              <w:rPr>
                <w:rFonts w:ascii="Arial" w:cs="Arial" w:eastAsia="Arial" w:hAnsi="Arial"/>
                <w:sz w:val="20"/>
                <w:szCs w:val="20"/>
                <w:color w:val="auto"/>
              </w:rPr>
              <w:t>11455 El Camino Real</w:t>
            </w:r>
          </w:p>
        </w:tc>
        <w:tc>
          <w:tcPr>
            <w:tcW w:w="4800" w:type="dxa"/>
            <w:vAlign w:val="bottom"/>
          </w:tcPr>
          <w:p>
            <w:pPr>
              <w:ind w:left="2020"/>
              <w:spacing w:after="0"/>
              <w:rPr>
                <w:sz w:val="20"/>
                <w:szCs w:val="20"/>
                <w:color w:val="auto"/>
              </w:rPr>
            </w:pPr>
            <w:r>
              <w:rPr>
                <w:rFonts w:ascii="Arial" w:cs="Arial" w:eastAsia="Arial" w:hAnsi="Arial"/>
                <w:sz w:val="20"/>
                <w:szCs w:val="20"/>
                <w:color w:val="auto"/>
              </w:rPr>
              <w:t>Executive Vice President</w:t>
            </w:r>
          </w:p>
        </w:tc>
        <w:tc>
          <w:tcPr>
            <w:tcW w:w="0" w:type="dxa"/>
            <w:vAlign w:val="bottom"/>
          </w:tcPr>
          <w:p>
            <w:pPr>
              <w:spacing w:after="0"/>
              <w:rPr>
                <w:sz w:val="1"/>
                <w:szCs w:val="1"/>
                <w:color w:val="auto"/>
              </w:rPr>
            </w:pPr>
          </w:p>
        </w:tc>
      </w:tr>
      <w:tr>
        <w:trPr>
          <w:trHeight w:val="205"/>
        </w:trPr>
        <w:tc>
          <w:tcPr>
            <w:tcW w:w="4040" w:type="dxa"/>
            <w:vAlign w:val="bottom"/>
            <w:gridSpan w:val="4"/>
            <w:vMerge w:val="continue"/>
          </w:tcPr>
          <w:p>
            <w:pPr>
              <w:spacing w:after="0"/>
              <w:rPr>
                <w:sz w:val="17"/>
                <w:szCs w:val="17"/>
                <w:color w:val="auto"/>
              </w:rPr>
            </w:pPr>
          </w:p>
        </w:tc>
        <w:tc>
          <w:tcPr>
            <w:tcW w:w="4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40" w:type="dxa"/>
            <w:vAlign w:val="bottom"/>
            <w:gridSpan w:val="4"/>
          </w:tcPr>
          <w:p>
            <w:pPr>
              <w:spacing w:after="0" w:line="225" w:lineRule="exact"/>
              <w:rPr>
                <w:sz w:val="20"/>
                <w:szCs w:val="20"/>
                <w:color w:val="auto"/>
              </w:rPr>
            </w:pPr>
            <w:r>
              <w:rPr>
                <w:rFonts w:ascii="Arial" w:cs="Arial" w:eastAsia="Arial" w:hAnsi="Arial"/>
                <w:sz w:val="20"/>
                <w:szCs w:val="20"/>
                <w:color w:val="auto"/>
              </w:rPr>
              <w:t>Suite 200</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40" w:type="dxa"/>
            <w:vAlign w:val="bottom"/>
            <w:gridSpan w:val="4"/>
          </w:tcPr>
          <w:p>
            <w:pPr>
              <w:spacing w:after="0" w:line="225" w:lineRule="exact"/>
              <w:rPr>
                <w:sz w:val="20"/>
                <w:szCs w:val="20"/>
                <w:color w:val="auto"/>
              </w:rPr>
            </w:pPr>
            <w:r>
              <w:rPr>
                <w:rFonts w:ascii="Arial" w:cs="Arial" w:eastAsia="Arial" w:hAnsi="Arial"/>
                <w:sz w:val="20"/>
                <w:szCs w:val="20"/>
                <w:color w:val="auto"/>
              </w:rPr>
              <w:t>San Diego, CA 92130</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40" w:type="dxa"/>
            <w:vAlign w:val="bottom"/>
            <w:gridSpan w:val="4"/>
          </w:tcPr>
          <w:p>
            <w:pPr>
              <w:spacing w:after="0" w:line="225" w:lineRule="exact"/>
              <w:rPr>
                <w:sz w:val="20"/>
                <w:szCs w:val="20"/>
                <w:color w:val="auto"/>
              </w:rPr>
            </w:pPr>
            <w:r>
              <w:rPr>
                <w:rFonts w:ascii="Arial" w:cs="Arial" w:eastAsia="Arial" w:hAnsi="Arial"/>
                <w:sz w:val="20"/>
                <w:szCs w:val="20"/>
                <w:color w:val="auto"/>
              </w:rPr>
              <w:t>Fax No.: (858) 350-2620</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40" w:type="dxa"/>
            <w:vAlign w:val="bottom"/>
            <w:gridSpan w:val="4"/>
          </w:tcPr>
          <w:p>
            <w:pPr>
              <w:spacing w:after="0" w:line="225" w:lineRule="exact"/>
              <w:rPr>
                <w:sz w:val="20"/>
                <w:szCs w:val="20"/>
                <w:color w:val="auto"/>
              </w:rPr>
            </w:pPr>
            <w:r>
              <w:rPr>
                <w:rFonts w:ascii="Arial" w:cs="Arial" w:eastAsia="Arial" w:hAnsi="Arial"/>
                <w:sz w:val="20"/>
                <w:szCs w:val="20"/>
                <w:color w:val="auto"/>
              </w:rPr>
              <w:t>Tel. No.: (858) 350-2600</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40" w:type="dxa"/>
            <w:vAlign w:val="bottom"/>
            <w:gridSpan w:val="4"/>
          </w:tcPr>
          <w:p>
            <w:pPr>
              <w:spacing w:after="0" w:line="207"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awyll@americanassets.com</w:t>
            </w:r>
          </w:p>
        </w:tc>
        <w:tc>
          <w:tcPr>
            <w:tcW w:w="4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gridSpan w:val="4"/>
          </w:tcPr>
          <w:p>
            <w:pPr>
              <w:spacing w:after="0" w:line="223" w:lineRule="exact"/>
              <w:rPr>
                <w:sz w:val="20"/>
                <w:szCs w:val="20"/>
                <w:color w:val="auto"/>
              </w:rPr>
            </w:pPr>
            <w:r>
              <w:rPr>
                <w:rFonts w:ascii="Arial" w:cs="Arial" w:eastAsia="Arial" w:hAnsi="Arial"/>
                <w:sz w:val="20"/>
                <w:szCs w:val="20"/>
                <w:color w:val="auto"/>
              </w:rPr>
              <w:t>Attention: Adam Wyll,</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80" w:type="dxa"/>
            <w:vAlign w:val="bottom"/>
          </w:tcPr>
          <w:p>
            <w:pPr>
              <w:spacing w:after="0"/>
              <w:rPr>
                <w:sz w:val="22"/>
                <w:szCs w:val="22"/>
                <w:color w:val="auto"/>
              </w:rPr>
            </w:pPr>
          </w:p>
        </w:tc>
        <w:tc>
          <w:tcPr>
            <w:tcW w:w="3460" w:type="dxa"/>
            <w:vAlign w:val="bottom"/>
            <w:gridSpan w:val="3"/>
          </w:tcPr>
          <w:p>
            <w:pPr>
              <w:ind w:left="260"/>
              <w:spacing w:after="0"/>
              <w:rPr>
                <w:sz w:val="20"/>
                <w:szCs w:val="20"/>
                <w:color w:val="auto"/>
              </w:rPr>
            </w:pPr>
            <w:r>
              <w:rPr>
                <w:rFonts w:ascii="Arial" w:cs="Arial" w:eastAsia="Arial" w:hAnsi="Arial"/>
                <w:sz w:val="20"/>
                <w:szCs w:val="20"/>
                <w:color w:val="auto"/>
              </w:rPr>
              <w:t>SVP, General Counsel</w:t>
            </w:r>
          </w:p>
        </w:tc>
        <w:tc>
          <w:tcPr>
            <w:tcW w:w="48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Guaranty]</w:t>
      </w:r>
    </w:p>
    <w:p>
      <w:pPr>
        <w:sectPr>
          <w:pgSz w:w="11900" w:h="16838" w:orient="portrait"/>
          <w:cols w:equalWidth="0" w:num="1">
            <w:col w:w="11420"/>
          </w:cols>
          <w:pgMar w:left="240" w:top="657" w:right="239" w:bottom="1440" w:gutter="0" w:footer="0" w:header="0"/>
        </w:sectPr>
      </w:pPr>
    </w:p>
    <w:bookmarkStart w:id="203" w:name="page204"/>
    <w:bookmarkEnd w:id="203"/>
    <w:p>
      <w:pPr>
        <w:spacing w:after="0"/>
        <w:rPr>
          <w:sz w:val="20"/>
          <w:szCs w:val="20"/>
          <w:color w:val="auto"/>
        </w:rPr>
      </w:pPr>
      <w:r>
        <w:rPr>
          <w:rFonts w:ascii="Arial" w:cs="Arial" w:eastAsia="Arial" w:hAnsi="Arial"/>
          <w:sz w:val="20"/>
          <w:szCs w:val="20"/>
          <w:color w:val="auto"/>
        </w:rPr>
        <w:t>Accepted and Agreed to:</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BANK OF AMERICA, N.A.,</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as Administrative Agent</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24765</wp:posOffset>
            </wp:positionV>
            <wp:extent cx="218884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88845" cy="7620"/>
                    </a:xfrm>
                    <a:prstGeom prst="rect">
                      <a:avLst/>
                    </a:prstGeom>
                    <a:noFill/>
                  </pic:spPr>
                </pic:pic>
              </a:graphicData>
            </a:graphic>
          </wp:anchor>
        </w:drawing>
      </w:r>
    </w:p>
    <w:p>
      <w:pPr>
        <w:spacing w:after="0" w:line="37" w:lineRule="exact"/>
        <w:rPr>
          <w:sz w:val="20"/>
          <w:szCs w:val="20"/>
          <w:color w:val="auto"/>
        </w:rPr>
      </w:pPr>
    </w:p>
    <w:p>
      <w:pPr>
        <w:ind w:left="580"/>
        <w:spacing w:after="0"/>
        <w:rPr>
          <w:sz w:val="20"/>
          <w:szCs w:val="20"/>
          <w:color w:val="auto"/>
        </w:rPr>
      </w:pPr>
      <w:r>
        <w:rPr>
          <w:rFonts w:ascii="Arial" w:cs="Arial" w:eastAsia="Arial" w:hAnsi="Arial"/>
          <w:sz w:val="20"/>
          <w:szCs w:val="20"/>
          <w:color w:val="auto"/>
        </w:rPr>
        <w:t>Name:</w:t>
      </w:r>
    </w:p>
    <w:p>
      <w:pPr>
        <w:spacing w:after="0" w:line="45" w:lineRule="exact"/>
        <w:rPr>
          <w:sz w:val="20"/>
          <w:szCs w:val="20"/>
          <w:color w:val="auto"/>
        </w:rPr>
      </w:pPr>
    </w:p>
    <w:p>
      <w:pPr>
        <w:ind w:left="5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3339"/>
        <w:spacing w:after="0"/>
        <w:rPr>
          <w:sz w:val="20"/>
          <w:szCs w:val="20"/>
          <w:color w:val="auto"/>
        </w:rPr>
      </w:pPr>
      <w:r>
        <w:rPr>
          <w:rFonts w:ascii="Arial" w:cs="Arial" w:eastAsia="Arial" w:hAnsi="Arial"/>
          <w:sz w:val="20"/>
          <w:szCs w:val="20"/>
          <w:color w:val="auto"/>
        </w:rPr>
        <w:t>[Signature Page to Guaranty]</w:t>
      </w:r>
    </w:p>
    <w:p>
      <w:pPr>
        <w:sectPr>
          <w:pgSz w:w="11900" w:h="16838" w:orient="portrait"/>
          <w:cols w:equalWidth="0" w:num="1">
            <w:col w:w="10219"/>
          </w:cols>
          <w:pgMar w:left="240" w:top="557" w:right="1440" w:bottom="1440" w:gutter="0" w:footer="0" w:header="0"/>
        </w:sectPr>
      </w:pPr>
    </w:p>
    <w:bookmarkStart w:id="204" w:name="page205"/>
    <w:bookmarkEnd w:id="204"/>
    <w:p>
      <w:pPr>
        <w:jc w:val="center"/>
        <w:spacing w:after="0"/>
        <w:rPr>
          <w:sz w:val="20"/>
          <w:szCs w:val="20"/>
          <w:color w:val="auto"/>
        </w:rPr>
      </w:pPr>
      <w:r>
        <w:rPr>
          <w:rFonts w:ascii="Arial" w:cs="Arial" w:eastAsia="Arial" w:hAnsi="Arial"/>
          <w:sz w:val="20"/>
          <w:szCs w:val="20"/>
          <w:color w:val="auto"/>
        </w:rPr>
        <w:t>Annex I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Continuing Guaranty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Form of Joinder to Second Amended and Restated Continuing Guaranty</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JOINDER NO. ___, dated as of _________, 20__ (this “</w:t>
      </w:r>
      <w:r>
        <w:rPr>
          <w:rFonts w:ascii="Arial" w:cs="Arial" w:eastAsia="Arial" w:hAnsi="Arial"/>
          <w:sz w:val="18"/>
          <w:szCs w:val="18"/>
          <w:u w:val="single" w:color="auto"/>
          <w:color w:val="auto"/>
        </w:rPr>
        <w:t>Joinder</w:t>
      </w:r>
      <w:r>
        <w:rPr>
          <w:rFonts w:ascii="Arial" w:cs="Arial" w:eastAsia="Arial" w:hAnsi="Arial"/>
          <w:sz w:val="18"/>
          <w:szCs w:val="18"/>
          <w:color w:val="auto"/>
        </w:rPr>
        <w:t>”), to the Second Amended and Restated Continuing Guaranty dated as</w:t>
      </w:r>
    </w:p>
    <w:p>
      <w:pPr>
        <w:spacing w:after="0" w:line="4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of January 9, 2018 (as amended, modified, restated and/or supplemented from time to time, the “</w:t>
      </w:r>
      <w:r>
        <w:rPr>
          <w:rFonts w:ascii="Arial" w:cs="Arial" w:eastAsia="Arial" w:hAnsi="Arial"/>
          <w:sz w:val="20"/>
          <w:szCs w:val="20"/>
          <w:u w:val="single" w:color="auto"/>
          <w:color w:val="auto"/>
        </w:rPr>
        <w:t>Guaranty</w:t>
      </w:r>
      <w:r>
        <w:rPr>
          <w:rFonts w:ascii="Arial" w:cs="Arial" w:eastAsia="Arial" w:hAnsi="Arial"/>
          <w:sz w:val="20"/>
          <w:szCs w:val="20"/>
          <w:color w:val="auto"/>
        </w:rPr>
        <w:t>”), made by and among American Assets Trust, Inc., a Maryland corporation (the “</w:t>
      </w:r>
      <w:r>
        <w:rPr>
          <w:rFonts w:ascii="Arial" w:cs="Arial" w:eastAsia="Arial" w:hAnsi="Arial"/>
          <w:sz w:val="20"/>
          <w:szCs w:val="20"/>
          <w:u w:val="single" w:color="auto"/>
          <w:color w:val="auto"/>
        </w:rPr>
        <w:t>REIT</w:t>
      </w:r>
      <w:r>
        <w:rPr>
          <w:rFonts w:ascii="Arial" w:cs="Arial" w:eastAsia="Arial" w:hAnsi="Arial"/>
          <w:sz w:val="20"/>
          <w:szCs w:val="20"/>
          <w:color w:val="auto"/>
        </w:rPr>
        <w:t>”), and the Subsidiaries of the REIT party thereto in favor of BANK OF AMERICA, N.A., as Administrative Agent (in such capacity, together with any successor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for the benefit of the Creditor Parties.</w:t>
      </w:r>
    </w:p>
    <w:p>
      <w:pPr>
        <w:spacing w:after="0" w:line="175" w:lineRule="exact"/>
        <w:rPr>
          <w:sz w:val="20"/>
          <w:szCs w:val="20"/>
          <w:color w:val="auto"/>
        </w:rPr>
      </w:pPr>
    </w:p>
    <w:p>
      <w:pPr>
        <w:jc w:val="both"/>
        <w:ind w:firstLine="599"/>
        <w:spacing w:after="0" w:line="256" w:lineRule="auto"/>
        <w:tabs>
          <w:tab w:leader="none" w:pos="1393" w:val="left"/>
        </w:tabs>
        <w:numPr>
          <w:ilvl w:val="0"/>
          <w:numId w:val="255"/>
        </w:numPr>
        <w:rPr>
          <w:rFonts w:ascii="Arial" w:cs="Arial" w:eastAsia="Arial" w:hAnsi="Arial"/>
          <w:sz w:val="20"/>
          <w:szCs w:val="20"/>
          <w:color w:val="auto"/>
        </w:rPr>
      </w:pPr>
      <w:r>
        <w:rPr>
          <w:rFonts w:ascii="Arial" w:cs="Arial" w:eastAsia="Arial" w:hAnsi="Arial"/>
          <w:sz w:val="20"/>
          <w:szCs w:val="20"/>
          <w:color w:val="auto"/>
        </w:rPr>
        <w:t>Reference is made to (a) Second the Amended and Restated Credit Agreement dated as of January 9, 2018 (as amended, modified, amended and restated and/or supplemented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the REIT, American Assets Trust, L.P., a Maryland limited partnership (the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party thereto, the L/C Issuers party thereto and the Administrative Agent and (b) the Guaranty.</w:t>
      </w:r>
    </w:p>
    <w:p>
      <w:pPr>
        <w:spacing w:after="0" w:line="205" w:lineRule="exact"/>
        <w:rPr>
          <w:rFonts w:ascii="Arial" w:cs="Arial" w:eastAsia="Arial" w:hAnsi="Arial"/>
          <w:sz w:val="20"/>
          <w:szCs w:val="20"/>
          <w:color w:val="auto"/>
        </w:rPr>
      </w:pPr>
    </w:p>
    <w:p>
      <w:pPr>
        <w:ind w:left="1380" w:hanging="781"/>
        <w:spacing w:after="0"/>
        <w:tabs>
          <w:tab w:leader="none" w:pos="138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Capitalized terms used herein and not otherwise defined herein shall have the meanings assigned to such terms in the</w:t>
      </w:r>
    </w:p>
    <w:p>
      <w:pPr>
        <w:spacing w:after="0" w:line="3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Guaranty.</w:t>
      </w:r>
    </w:p>
    <w:p>
      <w:pPr>
        <w:spacing w:after="0" w:line="228" w:lineRule="exact"/>
        <w:rPr>
          <w:rFonts w:ascii="Arial" w:cs="Arial" w:eastAsia="Arial" w:hAnsi="Arial"/>
          <w:sz w:val="19"/>
          <w:szCs w:val="19"/>
          <w:color w:val="auto"/>
        </w:rPr>
      </w:pPr>
    </w:p>
    <w:p>
      <w:pPr>
        <w:ind w:left="1380" w:hanging="781"/>
        <w:spacing w:after="0"/>
        <w:tabs>
          <w:tab w:leader="none" w:pos="1380" w:val="left"/>
        </w:tabs>
        <w:numPr>
          <w:ilvl w:val="0"/>
          <w:numId w:val="255"/>
        </w:numPr>
        <w:rPr>
          <w:rFonts w:ascii="Arial" w:cs="Arial" w:eastAsia="Arial" w:hAnsi="Arial"/>
          <w:sz w:val="20"/>
          <w:szCs w:val="20"/>
          <w:color w:val="auto"/>
        </w:rPr>
      </w:pPr>
      <w:r>
        <w:rPr>
          <w:rFonts w:ascii="Arial" w:cs="Arial" w:eastAsia="Arial" w:hAnsi="Arial"/>
          <w:sz w:val="20"/>
          <w:szCs w:val="20"/>
          <w:color w:val="auto"/>
        </w:rPr>
        <w:t>[NAME OF ENTITY] has [formed][acquired] ___________, ___________ [type of entity](the “</w:t>
      </w:r>
      <w:r>
        <w:rPr>
          <w:rFonts w:ascii="Arial" w:cs="Arial" w:eastAsia="Arial" w:hAnsi="Arial"/>
          <w:sz w:val="20"/>
          <w:szCs w:val="20"/>
          <w:u w:val="single" w:color="auto"/>
          <w:color w:val="auto"/>
        </w:rPr>
        <w:t>New Guarantor</w:t>
      </w:r>
      <w:r>
        <w:rPr>
          <w:rFonts w:ascii="Arial" w:cs="Arial" w:eastAsia="Arial" w:hAnsi="Arial"/>
          <w:sz w:val="20"/>
          <w:szCs w:val="20"/>
          <w:color w:val="auto"/>
        </w:rPr>
        <w:t>”).</w:t>
      </w:r>
    </w:p>
    <w:p>
      <w:pPr>
        <w:spacing w:after="0" w:line="244" w:lineRule="exact"/>
        <w:rPr>
          <w:rFonts w:ascii="Arial" w:cs="Arial" w:eastAsia="Arial" w:hAnsi="Arial"/>
          <w:sz w:val="20"/>
          <w:szCs w:val="20"/>
          <w:color w:val="auto"/>
        </w:rPr>
      </w:pPr>
    </w:p>
    <w:p>
      <w:pPr>
        <w:jc w:val="both"/>
        <w:ind w:firstLine="599"/>
        <w:spacing w:after="0" w:line="260" w:lineRule="auto"/>
        <w:tabs>
          <w:tab w:leader="none" w:pos="1393" w:val="left"/>
        </w:tabs>
        <w:numPr>
          <w:ilvl w:val="0"/>
          <w:numId w:val="255"/>
        </w:numPr>
        <w:rPr>
          <w:rFonts w:ascii="Arial" w:cs="Arial" w:eastAsia="Arial" w:hAnsi="Arial"/>
          <w:sz w:val="20"/>
          <w:szCs w:val="20"/>
          <w:color w:val="auto"/>
        </w:rPr>
      </w:pPr>
      <w:r>
        <w:rPr>
          <w:rFonts w:ascii="Arial" w:cs="Arial" w:eastAsia="Arial" w:hAnsi="Arial"/>
          <w:sz w:val="20"/>
          <w:szCs w:val="20"/>
          <w:color w:val="auto"/>
        </w:rPr>
        <w:t>Pursuant to the terms and provisions of the Credit Agreement, the New Guarantor is required to become a party to the Guaranty and guaranty the Obligations of the Borrower. The New Guarantor is executing this Joinder in accordance with the requirements of the Credit Agreement and Section 19 of the Guaranty to become a party to the Guaranty.</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Accordingly, the New Guarantor hereby agrees as follows:</w:t>
      </w:r>
    </w:p>
    <w:p>
      <w:pPr>
        <w:spacing w:after="0" w:line="207"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20"/>
          <w:szCs w:val="20"/>
          <w:color w:val="auto"/>
        </w:rPr>
        <w:t>SECTION 1. The New Guarantor is hereby added as a party to the Guaranty and hereby agrees to be bound as a “Guarantor” by all of the terms, covenants and provisions set forth in the Guaranty to the same extent it would have been bound if it had been a signatory to the Guaranty on the date of the Guaranty. In furtherance of the foregoing, the New Guarantor hereby absolutely and unconditionally guarantees, as a guaranty of payment and performance and not as a guaranty of collection, prompt payment when due, whether at stated maturity, by required prepayment, upon acceleration, demand or otherwise, and at all times thereafter, of all Guaranteed Obligations. The New Guarantor hereby makes each of the representations and warranties applicable to a “Guarantor” contained in the Guaranty.</w:t>
      </w:r>
    </w:p>
    <w:p>
      <w:pPr>
        <w:spacing w:after="0" w:line="215"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SECTION 2. The New Guarantor hereby represents and warrants to the Administrative Agent and the other Creditor Parties that this Joinder has been duly authorized, executed and delivered by it and constitutes its legal, valid and binding obligation, enforceable against it in accordance with its terms, except as enforceability may be limited by bankruptcy, insolvency, fraudulent conveyance, reorganization, moratorium or similar laws affecting the enforceability of creditors’ rights generally and by general principles of equity (regardless of whether enforcement is sought at law or in equity).</w:t>
      </w:r>
    </w:p>
    <w:p>
      <w:pPr>
        <w:spacing w:after="0" w:line="212"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SECTION 3. The New Guarantor hereby represents and warrants to the Administrative Agent and the other Creditor Parties that its U.S. taxpayer identification number (or, in the event such New Guarantor</w:t>
      </w:r>
    </w:p>
    <w:p>
      <w:pPr>
        <w:sectPr>
          <w:pgSz w:w="11900" w:h="16838" w:orient="portrait"/>
          <w:cols w:equalWidth="0" w:num="1">
            <w:col w:w="11420"/>
          </w:cols>
          <w:pgMar w:left="240" w:top="558" w:right="239" w:bottom="1440" w:gutter="0" w:footer="0" w:header="0"/>
        </w:sectPr>
      </w:pPr>
    </w:p>
    <w:bookmarkStart w:id="205" w:name="page206"/>
    <w:bookmarkEnd w:id="205"/>
    <w:p>
      <w:pPr>
        <w:jc w:val="both"/>
        <w:spacing w:after="0" w:line="260" w:lineRule="auto"/>
        <w:rPr>
          <w:sz w:val="20"/>
          <w:szCs w:val="20"/>
          <w:color w:val="auto"/>
        </w:rPr>
      </w:pPr>
      <w:r>
        <w:rPr>
          <w:rFonts w:ascii="Arial" w:cs="Arial" w:eastAsia="Arial" w:hAnsi="Arial"/>
          <w:sz w:val="20"/>
          <w:szCs w:val="20"/>
          <w:color w:val="auto"/>
        </w:rPr>
        <w:t>is not organized under the laws of the United States, any State thereof or the District of Columbia and does not have a U.S. taxpayer identification number, its unique identification number issued to it by the jurisdiction of its incorporation or organization) is set forth under its signature to this Joinder.</w:t>
      </w:r>
    </w:p>
    <w:p>
      <w:pPr>
        <w:spacing w:after="0" w:line="202"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SECTION 4. This Joinder may be executed in counterparts (and by different parties hereto on different counterparts), each of which shall constitute an original, but all of which when taken together shall constitute a single contract.</w:t>
      </w:r>
    </w:p>
    <w:p>
      <w:pPr>
        <w:spacing w:after="0" w:line="191" w:lineRule="exact"/>
        <w:rPr>
          <w:sz w:val="20"/>
          <w:szCs w:val="20"/>
          <w:color w:val="auto"/>
        </w:rPr>
      </w:pPr>
    </w:p>
    <w:p>
      <w:pPr>
        <w:ind w:left="600"/>
        <w:spacing w:after="0"/>
        <w:tabs>
          <w:tab w:leader="none" w:pos="2820" w:val="left"/>
        </w:tabs>
        <w:rPr>
          <w:sz w:val="20"/>
          <w:szCs w:val="20"/>
          <w:color w:val="auto"/>
        </w:rPr>
      </w:pPr>
      <w:r>
        <w:rPr>
          <w:rFonts w:ascii="Arial" w:cs="Arial" w:eastAsia="Arial" w:hAnsi="Arial"/>
          <w:sz w:val="20"/>
          <w:szCs w:val="20"/>
          <w:color w:val="auto"/>
        </w:rPr>
        <w:t>SECTION 5.</w:t>
      </w:r>
      <w:r>
        <w:rPr>
          <w:sz w:val="20"/>
          <w:szCs w:val="20"/>
          <w:color w:val="auto"/>
        </w:rPr>
        <w:tab/>
      </w:r>
      <w:r>
        <w:rPr>
          <w:rFonts w:ascii="Arial" w:cs="Arial" w:eastAsia="Arial" w:hAnsi="Arial"/>
          <w:sz w:val="18"/>
          <w:szCs w:val="18"/>
          <w:color w:val="auto"/>
        </w:rPr>
        <w:t>Except as expressly supplemented hereby, the Guaranty shall remain in full force and effect.</w:t>
      </w:r>
    </w:p>
    <w:p>
      <w:pPr>
        <w:spacing w:after="0" w:line="245"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SECTION 6. THIS JOINDER SHALL BE GOVERNED BY, AND CONSTRUED IN ACCORDANCE WITH, THE LAW OF THE STATE OF NEW YORK (WITHOUT GIVING EFFECT TO THE CONFLICTS OF LAW PRINCIPLES THEREOF).</w:t>
      </w:r>
    </w:p>
    <w:p>
      <w:pPr>
        <w:spacing w:after="0" w:line="191"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SECTION 7. All communications and notices to be provided to the New Guarantor hereunder or under the Guaranty shall be given to the New Guarantor at the address set forth under its signature.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58" w:right="239" w:bottom="1440" w:gutter="0" w:footer="0" w:header="0"/>
        </w:sectPr>
      </w:pPr>
    </w:p>
    <w:bookmarkStart w:id="206" w:name="page207"/>
    <w:bookmarkEnd w:id="206"/>
    <w:p>
      <w:pPr>
        <w:ind w:firstLine="599"/>
        <w:spacing w:after="0" w:line="272" w:lineRule="auto"/>
        <w:rPr>
          <w:sz w:val="20"/>
          <w:szCs w:val="20"/>
          <w:color w:val="auto"/>
        </w:rPr>
      </w:pPr>
      <w:r>
        <w:rPr>
          <w:rFonts w:ascii="Arial" w:cs="Arial" w:eastAsia="Arial" w:hAnsi="Arial"/>
          <w:sz w:val="20"/>
          <w:szCs w:val="20"/>
          <w:color w:val="auto"/>
        </w:rPr>
        <w:t>IN WITNESS WHEREOF, the New Guarantor and the Administrative Agent have duly executed this Joinder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620"/>
        <w:spacing w:after="0"/>
        <w:rPr>
          <w:sz w:val="20"/>
          <w:szCs w:val="20"/>
          <w:color w:val="auto"/>
        </w:rPr>
      </w:pPr>
      <w:r>
        <w:rPr>
          <w:rFonts w:ascii="Arial" w:cs="Arial" w:eastAsia="Arial" w:hAnsi="Arial"/>
          <w:sz w:val="20"/>
          <w:szCs w:val="20"/>
          <w:color w:val="auto"/>
        </w:rPr>
        <w:t>[NEW GUARANTOR]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2522220</wp:posOffset>
            </wp:positionH>
            <wp:positionV relativeFrom="paragraph">
              <wp:posOffset>24765</wp:posOffset>
            </wp:positionV>
            <wp:extent cx="234759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47595" cy="7620"/>
                    </a:xfrm>
                    <a:prstGeom prst="rect">
                      <a:avLst/>
                    </a:prstGeom>
                    <a:noFill/>
                  </pic:spPr>
                </pic:pic>
              </a:graphicData>
            </a:graphic>
          </wp:anchor>
        </w:drawing>
      </w:r>
    </w:p>
    <w:p>
      <w:pPr>
        <w:spacing w:after="0" w:line="37"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Name:</w:t>
      </w:r>
    </w:p>
    <w:p>
      <w:pPr>
        <w:spacing w:after="0" w:line="45"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Title:</w:t>
      </w:r>
    </w:p>
    <w:p>
      <w:pPr>
        <w:spacing w:after="0" w:line="320" w:lineRule="exact"/>
        <w:rPr>
          <w:sz w:val="20"/>
          <w:szCs w:val="20"/>
          <w:color w:val="auto"/>
        </w:rPr>
      </w:pPr>
    </w:p>
    <w:p>
      <w:pPr>
        <w:ind w:left="3620"/>
        <w:spacing w:after="0"/>
        <w:tabs>
          <w:tab w:leader="none" w:pos="5340" w:val="left"/>
        </w:tabs>
        <w:rPr>
          <w:sz w:val="20"/>
          <w:szCs w:val="20"/>
          <w:color w:val="auto"/>
        </w:rPr>
      </w:pPr>
      <w:r>
        <w:rPr>
          <w:rFonts w:ascii="Arial" w:cs="Arial" w:eastAsia="Arial" w:hAnsi="Arial"/>
          <w:sz w:val="20"/>
          <w:szCs w:val="20"/>
          <w:color w:val="auto"/>
        </w:rPr>
        <w:t>U.S.Taxpayer</w:t>
      </w:r>
      <w:r>
        <w:rPr>
          <w:sz w:val="20"/>
          <w:szCs w:val="20"/>
          <w:color w:val="auto"/>
        </w:rPr>
        <w:tab/>
      </w:r>
      <w:r>
        <w:rPr>
          <w:rFonts w:ascii="Arial" w:cs="Arial" w:eastAsia="Arial" w:hAnsi="Arial"/>
          <w:sz w:val="20"/>
          <w:szCs w:val="20"/>
          <w:color w:val="auto"/>
        </w:rPr>
        <w:t>Identification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2299970</wp:posOffset>
            </wp:positionH>
            <wp:positionV relativeFrom="paragraph">
              <wp:posOffset>-13970</wp:posOffset>
            </wp:positionV>
            <wp:extent cx="178371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83715" cy="7620"/>
                    </a:xfrm>
                    <a:prstGeom prst="rect">
                      <a:avLst/>
                    </a:prstGeom>
                    <a:noFill/>
                  </pic:spPr>
                </pic:pic>
              </a:graphicData>
            </a:graphic>
          </wp:anchor>
        </w:drawing>
      </w:r>
    </w:p>
    <w:p>
      <w:pPr>
        <w:ind w:left="3620"/>
        <w:spacing w:after="0"/>
        <w:tabs>
          <w:tab w:leader="none" w:pos="6460" w:val="left"/>
        </w:tabs>
        <w:rPr>
          <w:sz w:val="20"/>
          <w:szCs w:val="20"/>
          <w:color w:val="auto"/>
        </w:rPr>
      </w:pPr>
      <w:r>
        <w:rPr>
          <w:rFonts w:ascii="Arial" w:cs="Arial" w:eastAsia="Arial" w:hAnsi="Arial"/>
          <w:sz w:val="20"/>
          <w:szCs w:val="20"/>
          <w:u w:val="single" w:color="auto"/>
          <w:color w:val="auto"/>
        </w:rPr>
        <w:t>Number</w:t>
      </w:r>
      <w:r>
        <w:rPr>
          <w:rFonts w:ascii="Arial" w:cs="Arial" w:eastAsia="Arial" w:hAnsi="Arial"/>
          <w:sz w:val="20"/>
          <w:szCs w:val="20"/>
          <w:color w:val="auto"/>
        </w:rPr>
        <w:t>:</w:t>
      </w:r>
      <w:r>
        <w:rPr>
          <w:sz w:val="20"/>
          <w:szCs w:val="20"/>
          <w:color w:val="auto"/>
        </w:rPr>
        <w:tab/>
      </w:r>
      <w:r>
        <w:rPr>
          <w:rFonts w:ascii="Arial" w:cs="Arial" w:eastAsia="Arial" w:hAnsi="Arial"/>
          <w:sz w:val="17"/>
          <w:szCs w:val="17"/>
          <w:color w:val="auto"/>
        </w:rPr>
        <w:t>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620"/>
        <w:spacing w:after="0"/>
        <w:rPr>
          <w:sz w:val="20"/>
          <w:szCs w:val="20"/>
          <w:color w:val="auto"/>
        </w:rPr>
      </w:pPr>
      <w:r>
        <w:rPr>
          <w:rFonts w:ascii="Arial" w:cs="Arial" w:eastAsia="Arial" w:hAnsi="Arial"/>
          <w:sz w:val="20"/>
          <w:szCs w:val="20"/>
          <w:u w:val="single" w:color="auto"/>
          <w:color w:val="auto"/>
        </w:rPr>
        <w:t>Address of New Guarantor</w:t>
      </w:r>
      <w:r>
        <w:rPr>
          <w:rFonts w:ascii="Arial" w:cs="Arial" w:eastAsia="Arial" w:hAnsi="Arial"/>
          <w:sz w:val="20"/>
          <w:szCs w:val="20"/>
          <w:color w:val="auto"/>
        </w:rPr>
        <w:t>:</w:t>
      </w:r>
    </w:p>
    <w:p>
      <w:pPr>
        <w:spacing w:after="0" w:line="200" w:lineRule="exact"/>
        <w:rPr>
          <w:sz w:val="20"/>
          <w:szCs w:val="20"/>
          <w:color w:val="auto"/>
        </w:rPr>
      </w:pPr>
    </w:p>
    <w:p>
      <w:pPr>
        <w:spacing w:after="0" w:line="319" w:lineRule="exact"/>
        <w:rPr>
          <w:sz w:val="20"/>
          <w:szCs w:val="20"/>
          <w:color w:val="auto"/>
        </w:rPr>
      </w:pPr>
    </w:p>
    <w:p>
      <w:pPr>
        <w:ind w:left="4360" w:hanging="738"/>
        <w:spacing w:after="0"/>
        <w:tabs>
          <w:tab w:leader="none" w:pos="4360" w:val="left"/>
        </w:tabs>
        <w:numPr>
          <w:ilvl w:val="0"/>
          <w:numId w:val="256"/>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20"/>
          <w:szCs w:val="20"/>
          <w:color w:val="auto"/>
        </w:rPr>
        <w:t>Accepted and Agreed to:</w:t>
      </w: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20"/>
          <w:szCs w:val="20"/>
          <w:color w:val="auto"/>
        </w:rPr>
        <w:t>BANK OF AMERICA, N.A.,</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24765</wp:posOffset>
            </wp:positionV>
            <wp:extent cx="274383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43835" cy="762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580"/>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44" w:lineRule="exact"/>
        <w:rPr>
          <w:sz w:val="20"/>
          <w:szCs w:val="20"/>
          <w:color w:val="auto"/>
        </w:rPr>
      </w:pPr>
    </w:p>
    <w:p>
      <w:pPr>
        <w:ind w:left="580"/>
        <w:spacing w:after="0"/>
        <w:rPr>
          <w:sz w:val="20"/>
          <w:szCs w:val="20"/>
          <w:color w:val="auto"/>
        </w:rPr>
      </w:pPr>
      <w:r>
        <w:rPr>
          <w:rFonts w:ascii="Arial" w:cs="Arial" w:eastAsia="Arial" w:hAnsi="Arial"/>
          <w:sz w:val="20"/>
          <w:szCs w:val="20"/>
          <w:color w:val="auto"/>
        </w:rPr>
        <w:t>Title:</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AMERICAN ASSETS TRUST, INC.</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24765</wp:posOffset>
            </wp:positionV>
            <wp:extent cx="274383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743835" cy="7620"/>
                    </a:xfrm>
                    <a:prstGeom prst="rect">
                      <a:avLst/>
                    </a:prstGeom>
                    <a:noFill/>
                  </pic:spPr>
                </pic:pic>
              </a:graphicData>
            </a:graphic>
          </wp:anchor>
        </w:drawing>
      </w:r>
    </w:p>
    <w:p>
      <w:pPr>
        <w:spacing w:after="0" w:line="37" w:lineRule="exact"/>
        <w:rPr>
          <w:sz w:val="20"/>
          <w:szCs w:val="20"/>
          <w:color w:val="auto"/>
        </w:rPr>
      </w:pPr>
    </w:p>
    <w:p>
      <w:pPr>
        <w:ind w:left="560"/>
        <w:spacing w:after="0"/>
        <w:rPr>
          <w:sz w:val="20"/>
          <w:szCs w:val="20"/>
          <w:color w:val="auto"/>
        </w:rPr>
      </w:pPr>
      <w:r>
        <w:rPr>
          <w:rFonts w:ascii="Arial" w:cs="Arial" w:eastAsia="Arial" w:hAnsi="Arial"/>
          <w:sz w:val="20"/>
          <w:szCs w:val="20"/>
          <w:color w:val="auto"/>
        </w:rPr>
        <w:t>Name:</w:t>
      </w:r>
    </w:p>
    <w:p>
      <w:pPr>
        <w:spacing w:after="0" w:line="45" w:lineRule="exact"/>
        <w:rPr>
          <w:sz w:val="20"/>
          <w:szCs w:val="20"/>
          <w:color w:val="auto"/>
        </w:rPr>
      </w:pPr>
    </w:p>
    <w:p>
      <w:pPr>
        <w:ind w:left="560"/>
        <w:spacing w:after="0"/>
        <w:rPr>
          <w:sz w:val="20"/>
          <w:szCs w:val="20"/>
          <w:color w:val="auto"/>
        </w:rPr>
      </w:pPr>
      <w:r>
        <w:rPr>
          <w:rFonts w:ascii="Arial" w:cs="Arial" w:eastAsia="Arial" w:hAnsi="Arial"/>
          <w:sz w:val="20"/>
          <w:szCs w:val="20"/>
          <w:color w:val="auto"/>
        </w:rPr>
        <w:t>Title:</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24765</wp:posOffset>
            </wp:positionV>
            <wp:extent cx="274383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43835" cy="7620"/>
                    </a:xfrm>
                    <a:prstGeom prst="rect">
                      <a:avLst/>
                    </a:prstGeom>
                    <a:noFill/>
                  </pic:spPr>
                </pic:pic>
              </a:graphicData>
            </a:graphic>
          </wp:anchor>
        </w:drawing>
      </w:r>
    </w:p>
    <w:p>
      <w:pPr>
        <w:spacing w:after="0" w:line="37" w:lineRule="exact"/>
        <w:rPr>
          <w:sz w:val="20"/>
          <w:szCs w:val="20"/>
          <w:color w:val="auto"/>
        </w:rPr>
      </w:pPr>
    </w:p>
    <w:p>
      <w:pPr>
        <w:ind w:left="560"/>
        <w:spacing w:after="0"/>
        <w:rPr>
          <w:sz w:val="20"/>
          <w:szCs w:val="20"/>
          <w:color w:val="auto"/>
        </w:rPr>
      </w:pPr>
      <w:r>
        <w:rPr>
          <w:rFonts w:ascii="Arial" w:cs="Arial" w:eastAsia="Arial" w:hAnsi="Arial"/>
          <w:sz w:val="20"/>
          <w:szCs w:val="20"/>
          <w:color w:val="auto"/>
        </w:rPr>
        <w:t>Name:</w:t>
      </w:r>
    </w:p>
    <w:p>
      <w:pPr>
        <w:spacing w:after="0" w:line="45" w:lineRule="exact"/>
        <w:rPr>
          <w:sz w:val="20"/>
          <w:szCs w:val="20"/>
          <w:color w:val="auto"/>
        </w:rPr>
      </w:pPr>
    </w:p>
    <w:p>
      <w:pPr>
        <w:ind w:left="56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420"/>
          </w:cols>
          <w:pgMar w:left="240" w:top="558" w:right="239" w:bottom="5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Joinder to Guaranty]</w:t>
      </w:r>
    </w:p>
    <w:p>
      <w:pPr>
        <w:sectPr>
          <w:pgSz w:w="11900" w:h="16838" w:orient="portrait"/>
          <w:cols w:equalWidth="0" w:num="1">
            <w:col w:w="11420"/>
          </w:cols>
          <w:pgMar w:left="240" w:top="558" w:right="239" w:bottom="559" w:gutter="0" w:footer="0" w:header="0"/>
          <w:type w:val="continuous"/>
        </w:sectPr>
      </w:pPr>
    </w:p>
    <w:bookmarkStart w:id="207" w:name="page208"/>
    <w:bookmarkEnd w:id="207"/>
    <w:p>
      <w:pPr>
        <w:jc w:val="right"/>
        <w:spacing w:after="0"/>
        <w:rPr>
          <w:sz w:val="20"/>
          <w:szCs w:val="20"/>
          <w:color w:val="auto"/>
        </w:rPr>
      </w:pPr>
      <w:r>
        <w:rPr>
          <w:rFonts w:ascii="Arial" w:cs="Arial" w:eastAsia="Arial" w:hAnsi="Arial"/>
          <w:sz w:val="20"/>
          <w:szCs w:val="20"/>
          <w:b w:val="1"/>
          <w:bCs w:val="1"/>
          <w:i w:val="1"/>
          <w:iCs w:val="1"/>
          <w:color w:val="auto"/>
        </w:rPr>
        <w:t>EXHIBIT 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SOLVENCY CERTIFICATE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w:t>
      </w:r>
    </w:p>
    <w:p>
      <w:pPr>
        <w:spacing w:after="0" w:line="197" w:lineRule="exact"/>
        <w:rPr>
          <w:sz w:val="20"/>
          <w:szCs w:val="20"/>
          <w:color w:val="auto"/>
        </w:rPr>
      </w:pPr>
    </w:p>
    <w:p>
      <w:pPr>
        <w:ind w:firstLine="1199"/>
        <w:spacing w:after="0" w:line="276" w:lineRule="auto"/>
        <w:rPr>
          <w:sz w:val="20"/>
          <w:szCs w:val="20"/>
          <w:color w:val="auto"/>
        </w:rPr>
      </w:pPr>
      <w:r>
        <w:rPr>
          <w:rFonts w:ascii="Arial" w:cs="Arial" w:eastAsia="Arial" w:hAnsi="Arial"/>
          <w:sz w:val="18"/>
          <w:szCs w:val="18"/>
          <w:color w:val="auto"/>
        </w:rPr>
        <w:t>I, the undersigned, chief financial officer of AMERICAN ASSETS TRUST, INC., a Maryland corporation (the “</w:t>
      </w:r>
      <w:r>
        <w:rPr>
          <w:rFonts w:ascii="Arial" w:cs="Arial" w:eastAsia="Arial" w:hAnsi="Arial"/>
          <w:sz w:val="18"/>
          <w:szCs w:val="18"/>
          <w:u w:val="single" w:color="auto"/>
          <w:color w:val="auto"/>
        </w:rPr>
        <w:t>REIT</w:t>
      </w:r>
      <w:r>
        <w:rPr>
          <w:rFonts w:ascii="Arial" w:cs="Arial" w:eastAsia="Arial" w:hAnsi="Arial"/>
          <w:sz w:val="18"/>
          <w:szCs w:val="18"/>
          <w:color w:val="auto"/>
        </w:rPr>
        <w:t>”), DO HEREBY CERTIFY on behalf of the Loan Parties, in my capacity as a Responsible Officer of the REIT (and not in any individual capacity), that:</w:t>
      </w:r>
    </w:p>
    <w:p>
      <w:pPr>
        <w:spacing w:after="0" w:line="148" w:lineRule="exact"/>
        <w:rPr>
          <w:sz w:val="20"/>
          <w:szCs w:val="20"/>
          <w:color w:val="auto"/>
        </w:rPr>
      </w:pPr>
    </w:p>
    <w:p>
      <w:pPr>
        <w:jc w:val="both"/>
        <w:ind w:firstLine="1199"/>
        <w:spacing w:after="0" w:line="256" w:lineRule="auto"/>
        <w:tabs>
          <w:tab w:leader="none" w:pos="1503"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This certificate is furnished pursuant to </w:t>
      </w:r>
      <w:r>
        <w:rPr>
          <w:rFonts w:ascii="Arial" w:cs="Arial" w:eastAsia="Arial" w:hAnsi="Arial"/>
          <w:sz w:val="18"/>
          <w:szCs w:val="18"/>
          <w:u w:val="single" w:color="auto"/>
          <w:color w:val="auto"/>
        </w:rPr>
        <w:t>Section 4.01(a)(x)</w:t>
      </w:r>
      <w:r>
        <w:rPr>
          <w:rFonts w:ascii="Arial" w:cs="Arial" w:eastAsia="Arial" w:hAnsi="Arial"/>
          <w:sz w:val="18"/>
          <w:szCs w:val="18"/>
          <w:color w:val="auto"/>
        </w:rPr>
        <w:t xml:space="preserve"> of the Second Amended and Restated Credit Agreement, (as in effect on the date of this certificate; the capitalized terms defined therein being used herein as therein defined) dated as of January 9, 2018 among the REIT, American Assets Trust, L.P., a Maryland limited partnership (the “</w:t>
      </w:r>
      <w:r>
        <w:rPr>
          <w:rFonts w:ascii="Arial" w:cs="Arial" w:eastAsia="Arial" w:hAnsi="Arial"/>
          <w:sz w:val="18"/>
          <w:szCs w:val="18"/>
          <w:u w:val="single" w:color="auto"/>
          <w:color w:val="auto"/>
        </w:rPr>
        <w:t>Borrower</w:t>
      </w:r>
      <w:r>
        <w:rPr>
          <w:rFonts w:ascii="Arial" w:cs="Arial" w:eastAsia="Arial" w:hAnsi="Arial"/>
          <w:sz w:val="18"/>
          <w:szCs w:val="18"/>
          <w:color w:val="auto"/>
        </w:rPr>
        <w:t>”), Bank of America, N.A., as Administrative Agent, and the Lenders, L/C Issuers and Swing Line Lenders party thereto (as from time to time in effect,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jc w:val="both"/>
        <w:ind w:firstLine="1199"/>
        <w:spacing w:after="0" w:line="261" w:lineRule="auto"/>
        <w:tabs>
          <w:tab w:leader="none" w:pos="1603"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Immediately following the consummation of the transactions contemplated by the Credit Agreement to occur on the date hereof (including, without limitation, any Credit Extension to occur on the date hereof) and after giving effect to such transactions and the application of the proceeds of each such Credit Extension, the REIT and its Consolidated Subsidiaries, on a consolidated basis, are Solvent.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Follows]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G-1</w:t>
      </w:r>
    </w:p>
    <w:p>
      <w:pPr>
        <w:sectPr>
          <w:pgSz w:w="11900" w:h="16838" w:orient="portrait"/>
          <w:cols w:equalWidth="0" w:num="1">
            <w:col w:w="11420"/>
          </w:cols>
          <w:pgMar w:left="240" w:top="558" w:right="239" w:bottom="1440" w:gutter="0" w:footer="0" w:header="0"/>
        </w:sectPr>
      </w:pPr>
    </w:p>
    <w:bookmarkStart w:id="208" w:name="page209"/>
    <w:bookmarkEnd w:id="208"/>
    <w:p>
      <w:pPr>
        <w:spacing w:after="0"/>
        <w:rPr>
          <w:sz w:val="20"/>
          <w:szCs w:val="20"/>
          <w:color w:val="auto"/>
        </w:rPr>
      </w:pPr>
      <w:r>
        <w:rPr>
          <w:rFonts w:ascii="Arial" w:cs="Arial" w:eastAsia="Arial" w:hAnsi="Arial"/>
          <w:sz w:val="20"/>
          <w:szCs w:val="20"/>
          <w:color w:val="auto"/>
        </w:rPr>
        <w:t>IN WITNESS WHEREOF, this Solvency Certificate has been executed as of the date first written above.</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AMERICAN ASSETS TRUST, INC.</w:t>
      </w:r>
    </w:p>
    <w:p>
      <w:pPr>
        <w:spacing w:after="0" w:line="351"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24765</wp:posOffset>
            </wp:positionV>
            <wp:extent cx="184023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40230" cy="7620"/>
                    </a:xfrm>
                    <a:prstGeom prst="rect">
                      <a:avLst/>
                    </a:prstGeom>
                    <a:noFill/>
                  </pic:spPr>
                </pic:pic>
              </a:graphicData>
            </a:graphic>
          </wp:anchor>
        </w:drawing>
      </w:r>
    </w:p>
    <w:p>
      <w:pPr>
        <w:spacing w:after="0" w:line="25"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24765</wp:posOffset>
            </wp:positionV>
            <wp:extent cx="184023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40230" cy="7620"/>
                    </a:xfrm>
                    <a:prstGeom prst="rect">
                      <a:avLst/>
                    </a:prstGeom>
                    <a:noFill/>
                  </pic:spPr>
                </pic:pic>
              </a:graphicData>
            </a:graphic>
          </wp:anchor>
        </w:drawing>
      </w:r>
    </w:p>
    <w:p>
      <w:pPr>
        <w:spacing w:after="0" w:line="37" w:lineRule="exact"/>
        <w:rPr>
          <w:sz w:val="20"/>
          <w:szCs w:val="20"/>
          <w:color w:val="auto"/>
        </w:rPr>
      </w:pPr>
    </w:p>
    <w:p>
      <w:pPr>
        <w:ind w:left="6660"/>
        <w:spacing w:after="0"/>
        <w:tabs>
          <w:tab w:leader="none" w:pos="7340" w:val="left"/>
        </w:tabs>
        <w:rPr>
          <w:sz w:val="20"/>
          <w:szCs w:val="20"/>
          <w:color w:val="auto"/>
        </w:rPr>
      </w:pPr>
      <w:r>
        <w:rPr>
          <w:rFonts w:ascii="Arial" w:cs="Arial" w:eastAsia="Arial" w:hAnsi="Arial"/>
          <w:sz w:val="20"/>
          <w:szCs w:val="20"/>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24765</wp:posOffset>
            </wp:positionV>
            <wp:extent cx="184023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402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G-2</w:t>
      </w:r>
    </w:p>
    <w:p>
      <w:pPr>
        <w:sectPr>
          <w:pgSz w:w="11900" w:h="16838" w:orient="portrait"/>
          <w:cols w:equalWidth="0" w:num="1">
            <w:col w:w="9780"/>
          </w:cols>
          <w:pgMar w:left="1440" w:top="1145" w:right="679" w:bottom="1440" w:gutter="0" w:footer="0" w:header="0"/>
        </w:sectPr>
      </w:pPr>
    </w:p>
    <w:bookmarkStart w:id="209" w:name="page210"/>
    <w:bookmarkEnd w:id="209"/>
    <w:p>
      <w:pPr>
        <w:jc w:val="right"/>
        <w:spacing w:after="0"/>
        <w:rPr>
          <w:sz w:val="20"/>
          <w:szCs w:val="20"/>
          <w:color w:val="auto"/>
        </w:rPr>
      </w:pPr>
      <w:r>
        <w:rPr>
          <w:rFonts w:ascii="Arial" w:cs="Arial" w:eastAsia="Arial" w:hAnsi="Arial"/>
          <w:sz w:val="20"/>
          <w:szCs w:val="20"/>
          <w:b w:val="1"/>
          <w:bCs w:val="1"/>
          <w:i w:val="1"/>
          <w:iCs w:val="1"/>
          <w:color w:val="auto"/>
        </w:rPr>
        <w:t>EXHIBIT H-1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 COMPLIANCE CERTIFICATE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Not Partnerships For U.S. Federal Income Tax Purposes)</w:t>
      </w:r>
    </w:p>
    <w:p>
      <w:pPr>
        <w:spacing w:after="0" w:line="191" w:lineRule="exact"/>
        <w:rPr>
          <w:sz w:val="20"/>
          <w:szCs w:val="20"/>
          <w:color w:val="auto"/>
        </w:rPr>
      </w:pPr>
    </w:p>
    <w:p>
      <w:pPr>
        <w:jc w:val="both"/>
        <w:ind w:firstLine="1199"/>
        <w:spacing w:after="0" w:line="270" w:lineRule="auto"/>
        <w:rPr>
          <w:sz w:val="20"/>
          <w:szCs w:val="20"/>
          <w:color w:val="auto"/>
        </w:rPr>
      </w:pPr>
      <w:r>
        <w:rPr>
          <w:rFonts w:ascii="Arial" w:cs="Arial" w:eastAsia="Arial" w:hAnsi="Arial"/>
          <w:sz w:val="19"/>
          <w:szCs w:val="19"/>
          <w:color w:val="auto"/>
        </w:rPr>
        <w:t>Reference is made to the Second Amended and Restated Credit Agreement dated as of January 9, 2018 (as amended, restated, extended, supplemented or otherwise modified in writing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AMERICAN ASSETS TRUST, INC., a Maryland corporation, AMERICAN ASSETS TRUST, L.P., a Maryland limited partnership (the “</w:t>
      </w:r>
      <w:r>
        <w:rPr>
          <w:rFonts w:ascii="Arial" w:cs="Arial" w:eastAsia="Arial" w:hAnsi="Arial"/>
          <w:sz w:val="19"/>
          <w:szCs w:val="19"/>
          <w:u w:val="single" w:color="auto"/>
          <w:color w:val="auto"/>
        </w:rPr>
        <w:t>Borrower</w:t>
      </w:r>
      <w:r>
        <w:rPr>
          <w:rFonts w:ascii="Arial" w:cs="Arial" w:eastAsia="Arial" w:hAnsi="Arial"/>
          <w:sz w:val="19"/>
          <w:szCs w:val="19"/>
          <w:color w:val="auto"/>
        </w:rPr>
        <w:t xml:space="preserve"> ”), BANK OF AMERICA, N.A., as Administrative Agent, and the Lenders, L/C Issuers and Swing Line Lenders party thereto. Capitalized terms used herein but not otherwise defined shall have the meaning given to such term in the Agreement.</w:t>
      </w:r>
    </w:p>
    <w:p>
      <w:pPr>
        <w:spacing w:after="0" w:line="157" w:lineRule="exact"/>
        <w:rPr>
          <w:sz w:val="20"/>
          <w:szCs w:val="20"/>
          <w:color w:val="auto"/>
        </w:rPr>
      </w:pPr>
    </w:p>
    <w:p>
      <w:pPr>
        <w:jc w:val="both"/>
        <w:ind w:firstLine="1199"/>
        <w:spacing w:after="0" w:line="284"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of the Credit Agreement, the undersigned hereby certifies that (i) it is the sole record and beneficial owner of the Loan(s) (as well as any Note(s) evidencing such Loan(s)) in respect of which it is providing this certificate,</w:t>
      </w:r>
    </w:p>
    <w:p>
      <w:pPr>
        <w:spacing w:after="0" w:line="1" w:lineRule="exact"/>
        <w:rPr>
          <w:sz w:val="20"/>
          <w:szCs w:val="20"/>
          <w:color w:val="auto"/>
        </w:rPr>
      </w:pPr>
    </w:p>
    <w:p>
      <w:pPr>
        <w:jc w:val="both"/>
        <w:spacing w:after="0" w:line="251" w:lineRule="auto"/>
        <w:tabs>
          <w:tab w:leader="none" w:pos="30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74" w:lineRule="exact"/>
        <w:rPr>
          <w:sz w:val="20"/>
          <w:szCs w:val="20"/>
          <w:color w:val="auto"/>
        </w:rPr>
      </w:pPr>
    </w:p>
    <w:p>
      <w:pPr>
        <w:jc w:val="both"/>
        <w:ind w:firstLine="1199"/>
        <w:spacing w:after="0" w:line="252" w:lineRule="auto"/>
        <w:rPr>
          <w:sz w:val="20"/>
          <w:szCs w:val="20"/>
          <w:color w:val="auto"/>
        </w:rPr>
      </w:pPr>
      <w:r>
        <w:rPr>
          <w:rFonts w:ascii="Arial" w:cs="Arial" w:eastAsia="Arial" w:hAnsi="Arial"/>
          <w:sz w:val="20"/>
          <w:szCs w:val="20"/>
          <w:color w:val="auto"/>
        </w:rPr>
        <w:t>The undersigned has furnished the Administrative Agent and the Borrower with a certificate of its non-U.S. Person status on IRS Form W-8BENE (or W-8BEN, as applicable).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in writing with a properly completed and currently effective certificate in either the calendar year in which each payment is to be made to the undersigned, or in either of the two calendar years preceding such payments.</w:t>
      </w:r>
    </w:p>
    <w:p>
      <w:pPr>
        <w:spacing w:after="0" w:line="312"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 OF LENDER]</w:t>
      </w: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 _______________________</w:t>
      </w:r>
    </w:p>
    <w:p>
      <w:pPr>
        <w:spacing w:after="0" w:line="200" w:lineRule="exact"/>
        <w:rPr>
          <w:sz w:val="20"/>
          <w:szCs w:val="20"/>
          <w:color w:val="auto"/>
        </w:rPr>
      </w:pPr>
    </w:p>
    <w:p>
      <w:pPr>
        <w:spacing w:after="0" w:line="21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Name: ________________________</w:t>
      </w:r>
    </w:p>
    <w:p>
      <w:pPr>
        <w:spacing w:after="0" w:line="200" w:lineRule="exact"/>
        <w:rPr>
          <w:sz w:val="20"/>
          <w:szCs w:val="20"/>
          <w:color w:val="auto"/>
        </w:rPr>
      </w:pPr>
    </w:p>
    <w:p>
      <w:pPr>
        <w:spacing w:after="0" w:line="21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Title: ________________________</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H-1-1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 Tax Compliance Certificate</w:t>
      </w:r>
    </w:p>
    <w:p>
      <w:pPr>
        <w:sectPr>
          <w:pgSz w:w="11900" w:h="16838" w:orient="portrait"/>
          <w:cols w:equalWidth="0" w:num="1">
            <w:col w:w="11420"/>
          </w:cols>
          <w:pgMar w:left="240" w:top="557"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20"/>
          <w:szCs w:val="20"/>
          <w:b w:val="1"/>
          <w:bCs w:val="1"/>
          <w:i w:val="1"/>
          <w:iCs w:val="1"/>
          <w:color w:val="auto"/>
        </w:rPr>
        <w:t>EXHIBIT H-2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 COMPLIANCE CERTIFICATE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Participants That Are Not Partnerships For U.S. Federal Income Tax Purposes)</w:t>
      </w:r>
    </w:p>
    <w:p>
      <w:pPr>
        <w:spacing w:after="0" w:line="191" w:lineRule="exact"/>
        <w:rPr>
          <w:sz w:val="20"/>
          <w:szCs w:val="20"/>
          <w:color w:val="auto"/>
        </w:rPr>
      </w:pPr>
    </w:p>
    <w:p>
      <w:pPr>
        <w:jc w:val="both"/>
        <w:ind w:firstLine="1199"/>
        <w:spacing w:after="0" w:line="270" w:lineRule="auto"/>
        <w:rPr>
          <w:sz w:val="20"/>
          <w:szCs w:val="20"/>
          <w:color w:val="auto"/>
        </w:rPr>
      </w:pPr>
      <w:r>
        <w:rPr>
          <w:rFonts w:ascii="Arial" w:cs="Arial" w:eastAsia="Arial" w:hAnsi="Arial"/>
          <w:sz w:val="19"/>
          <w:szCs w:val="19"/>
          <w:color w:val="auto"/>
        </w:rPr>
        <w:t>Reference is made to the Second Amended and Restated Credit Agreement dated as of January 9, 2018 (as amended, restated, extended, supplemented or otherwise modified in writing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AMERICAN ASSETS TRUST, INC., a Maryland corporation, AMERICAN ASSETS TRUST, L.P., a Maryland limited partnership (the “</w:t>
      </w:r>
      <w:r>
        <w:rPr>
          <w:rFonts w:ascii="Arial" w:cs="Arial" w:eastAsia="Arial" w:hAnsi="Arial"/>
          <w:sz w:val="19"/>
          <w:szCs w:val="19"/>
          <w:u w:val="single" w:color="auto"/>
          <w:color w:val="auto"/>
        </w:rPr>
        <w:t>Borrower</w:t>
      </w:r>
      <w:r>
        <w:rPr>
          <w:rFonts w:ascii="Arial" w:cs="Arial" w:eastAsia="Arial" w:hAnsi="Arial"/>
          <w:sz w:val="19"/>
          <w:szCs w:val="19"/>
          <w:color w:val="auto"/>
        </w:rPr>
        <w:t xml:space="preserve"> ”), BANK OF AMERICA, N.A., as Administrative Agent, and the Lenders, L/C Issuers and Swing Line Lenders party thereto. Capitalized terms used herein but not otherwise defined shall have the meaning given to such term in the Agreement.</w:t>
      </w:r>
    </w:p>
    <w:p>
      <w:pPr>
        <w:spacing w:after="0" w:line="157" w:lineRule="exact"/>
        <w:rPr>
          <w:sz w:val="20"/>
          <w:szCs w:val="20"/>
          <w:color w:val="auto"/>
        </w:rPr>
      </w:pPr>
    </w:p>
    <w:p>
      <w:pPr>
        <w:jc w:val="both"/>
        <w:ind w:firstLine="1199"/>
        <w:spacing w:after="0" w:line="253" w:lineRule="auto"/>
        <w:rPr>
          <w:sz w:val="20"/>
          <w:szCs w:val="20"/>
          <w:color w:val="auto"/>
        </w:rPr>
      </w:pPr>
      <w:r>
        <w:rPr>
          <w:rFonts w:ascii="Arial" w:cs="Arial" w:eastAsia="Arial" w:hAnsi="Arial"/>
          <w:sz w:val="20"/>
          <w:szCs w:val="20"/>
          <w:color w:val="auto"/>
        </w:rPr>
        <w:t xml:space="preserve">Pursuant to the provisions of </w:t>
      </w:r>
      <w:r>
        <w:rPr>
          <w:rFonts w:ascii="Arial" w:cs="Arial" w:eastAsia="Arial" w:hAnsi="Arial"/>
          <w:sz w:val="20"/>
          <w:szCs w:val="20"/>
          <w:u w:val="single" w:color="auto"/>
          <w:color w:val="auto"/>
        </w:rPr>
        <w:t>Section 3.01(e)</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10.06(d)</w:t>
      </w:r>
      <w:r>
        <w:rPr>
          <w:rFonts w:ascii="Arial" w:cs="Arial" w:eastAsia="Arial" w:hAnsi="Arial"/>
          <w:sz w:val="20"/>
          <w:szCs w:val="20"/>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a Borrower as described in Section 881(c)(3)(C) of the Code.</w:t>
      </w:r>
    </w:p>
    <w:p>
      <w:pPr>
        <w:spacing w:after="0" w:line="174" w:lineRule="exact"/>
        <w:rPr>
          <w:sz w:val="20"/>
          <w:szCs w:val="20"/>
          <w:color w:val="auto"/>
        </w:rPr>
      </w:pPr>
    </w:p>
    <w:p>
      <w:pPr>
        <w:jc w:val="both"/>
        <w:ind w:firstLine="1199"/>
        <w:spacing w:after="0" w:line="253" w:lineRule="auto"/>
        <w:rPr>
          <w:sz w:val="20"/>
          <w:szCs w:val="20"/>
          <w:color w:val="auto"/>
        </w:rPr>
      </w:pPr>
      <w:r>
        <w:rPr>
          <w:rFonts w:ascii="Arial" w:cs="Arial" w:eastAsia="Arial" w:hAnsi="Arial"/>
          <w:sz w:val="20"/>
          <w:szCs w:val="20"/>
          <w:color w:val="auto"/>
        </w:rPr>
        <w:t>The undersigned has furnished its participating Lender with a certificate of its non-U.S. Person status on IRS Form W-8BENE (or W-8BEN,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312"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 OF PARTICIPANT]</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 _______________________</w:t>
      </w:r>
    </w:p>
    <w:p>
      <w:pPr>
        <w:spacing w:after="0" w:line="200" w:lineRule="exact"/>
        <w:rPr>
          <w:sz w:val="20"/>
          <w:szCs w:val="20"/>
          <w:color w:val="auto"/>
        </w:rPr>
      </w:pPr>
    </w:p>
    <w:p>
      <w:pPr>
        <w:spacing w:after="0" w:line="21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Name: ________________________</w:t>
      </w:r>
    </w:p>
    <w:p>
      <w:pPr>
        <w:spacing w:after="0" w:line="200" w:lineRule="exact"/>
        <w:rPr>
          <w:sz w:val="20"/>
          <w:szCs w:val="20"/>
          <w:color w:val="auto"/>
        </w:rPr>
      </w:pPr>
    </w:p>
    <w:p>
      <w:pPr>
        <w:spacing w:after="0" w:line="21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Title: ________________________</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H-2-1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 Tax Compliance Certificate</w:t>
      </w:r>
    </w:p>
    <w:p>
      <w:pPr>
        <w:sectPr>
          <w:pgSz w:w="11900" w:h="16838" w:orient="portrait"/>
          <w:cols w:equalWidth="0" w:num="1">
            <w:col w:w="11420"/>
          </w:cols>
          <w:pgMar w:left="240" w:top="558" w:right="239" w:bottom="1440" w:gutter="0" w:footer="0" w:header="0"/>
        </w:sectPr>
      </w:pPr>
    </w:p>
    <w:bookmarkStart w:id="211" w:name="page212"/>
    <w:bookmarkEnd w:id="211"/>
    <w:p>
      <w:pPr>
        <w:jc w:val="right"/>
        <w:spacing w:after="0"/>
        <w:rPr>
          <w:sz w:val="20"/>
          <w:szCs w:val="20"/>
          <w:color w:val="auto"/>
        </w:rPr>
      </w:pPr>
      <w:r>
        <w:rPr>
          <w:rFonts w:ascii="Arial" w:cs="Arial" w:eastAsia="Arial" w:hAnsi="Arial"/>
          <w:sz w:val="20"/>
          <w:szCs w:val="20"/>
          <w:b w:val="1"/>
          <w:bCs w:val="1"/>
          <w:i w:val="1"/>
          <w:iCs w:val="1"/>
          <w:color w:val="auto"/>
        </w:rPr>
        <w:t>EXHIBIT H-3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STATES TAX COMPLIANCE CERTIFICATE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Participants That Are Partnerships For U.S. Federal Income Tax Purposes)</w:t>
      </w:r>
    </w:p>
    <w:p>
      <w:pPr>
        <w:spacing w:after="0" w:line="191" w:lineRule="exact"/>
        <w:rPr>
          <w:sz w:val="20"/>
          <w:szCs w:val="20"/>
          <w:color w:val="auto"/>
        </w:rPr>
      </w:pPr>
    </w:p>
    <w:p>
      <w:pPr>
        <w:jc w:val="both"/>
        <w:ind w:firstLine="1199"/>
        <w:spacing w:after="0" w:line="270" w:lineRule="auto"/>
        <w:rPr>
          <w:sz w:val="20"/>
          <w:szCs w:val="20"/>
          <w:color w:val="auto"/>
        </w:rPr>
      </w:pPr>
      <w:r>
        <w:rPr>
          <w:rFonts w:ascii="Arial" w:cs="Arial" w:eastAsia="Arial" w:hAnsi="Arial"/>
          <w:sz w:val="19"/>
          <w:szCs w:val="19"/>
          <w:color w:val="auto"/>
        </w:rPr>
        <w:t>Reference is made to the Second Amended and Restated Credit Agreement dated as of January 9, 2018 (as amended, restated, extended, supplemented or otherwise modified in writing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AMERICAN ASSETS TRUST, INC., a Maryland corporation, AMERICAN ASSETS TRUST, L.P., a Maryland limited partnership (the “</w:t>
      </w:r>
      <w:r>
        <w:rPr>
          <w:rFonts w:ascii="Arial" w:cs="Arial" w:eastAsia="Arial" w:hAnsi="Arial"/>
          <w:sz w:val="19"/>
          <w:szCs w:val="19"/>
          <w:u w:val="single" w:color="auto"/>
          <w:color w:val="auto"/>
        </w:rPr>
        <w:t>Borrower</w:t>
      </w:r>
      <w:r>
        <w:rPr>
          <w:rFonts w:ascii="Arial" w:cs="Arial" w:eastAsia="Arial" w:hAnsi="Arial"/>
          <w:sz w:val="19"/>
          <w:szCs w:val="19"/>
          <w:color w:val="auto"/>
        </w:rPr>
        <w:t xml:space="preserve"> ”), BANK OF AMERICA, N.A., as Administrative Agent, and the Lenders, L/C Issuers and Swing Line Lenders party thereto. Capitalized terms used herein but not otherwise defined shall have the meaning given to such term in the Agreement.</w:t>
      </w:r>
    </w:p>
    <w:p>
      <w:pPr>
        <w:spacing w:after="0" w:line="157" w:lineRule="exact"/>
        <w:rPr>
          <w:sz w:val="20"/>
          <w:szCs w:val="20"/>
          <w:color w:val="auto"/>
        </w:rPr>
      </w:pPr>
    </w:p>
    <w:p>
      <w:pPr>
        <w:jc w:val="both"/>
        <w:ind w:firstLine="1199"/>
        <w:spacing w:after="0" w:line="284"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10.06(d)</w:t>
      </w:r>
      <w:r>
        <w:rPr>
          <w:rFonts w:ascii="Arial" w:cs="Arial" w:eastAsia="Arial" w:hAnsi="Arial"/>
          <w:sz w:val="18"/>
          <w:szCs w:val="18"/>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a Borrower as described in Section 881(c)(3)(C) of the Code.</w:t>
      </w:r>
    </w:p>
    <w:p>
      <w:pPr>
        <w:spacing w:after="0" w:line="146" w:lineRule="exact"/>
        <w:rPr>
          <w:sz w:val="20"/>
          <w:szCs w:val="20"/>
          <w:color w:val="auto"/>
        </w:rPr>
      </w:pPr>
    </w:p>
    <w:p>
      <w:pPr>
        <w:jc w:val="both"/>
        <w:ind w:firstLine="1199"/>
        <w:spacing w:after="0" w:line="284" w:lineRule="auto"/>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 partners/members that is claiming the portfolio interest exemption: (i) an IRS Form W-8BENE (or W-8BEN, as applicable) or</w:t>
      </w:r>
    </w:p>
    <w:p>
      <w:pPr>
        <w:spacing w:after="0" w:line="1" w:lineRule="exact"/>
        <w:rPr>
          <w:sz w:val="20"/>
          <w:szCs w:val="20"/>
          <w:color w:val="auto"/>
        </w:rPr>
      </w:pPr>
    </w:p>
    <w:p>
      <w:pPr>
        <w:jc w:val="both"/>
        <w:spacing w:after="0" w:line="266" w:lineRule="auto"/>
        <w:tabs>
          <w:tab w:leader="none" w:pos="325" w:val="left"/>
        </w:tabs>
        <w:numPr>
          <w:ilvl w:val="0"/>
          <w:numId w:val="259"/>
        </w:numPr>
        <w:rPr>
          <w:rFonts w:ascii="Arial" w:cs="Arial" w:eastAsia="Arial" w:hAnsi="Arial"/>
          <w:sz w:val="19"/>
          <w:szCs w:val="19"/>
          <w:color w:val="auto"/>
        </w:rPr>
      </w:pPr>
      <w:r>
        <w:rPr>
          <w:rFonts w:ascii="Arial" w:cs="Arial" w:eastAsia="Arial" w:hAnsi="Arial"/>
          <w:sz w:val="19"/>
          <w:szCs w:val="19"/>
          <w:color w:val="auto"/>
        </w:rPr>
        <w:t>an IRS Form W-8IMY accompanied by an IRS Form W-8BENE (or W-8BEN,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 OF PARTICIPANT]</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 _______________________</w:t>
      </w:r>
    </w:p>
    <w:p>
      <w:pPr>
        <w:spacing w:after="0" w:line="200" w:lineRule="exact"/>
        <w:rPr>
          <w:sz w:val="20"/>
          <w:szCs w:val="20"/>
          <w:color w:val="auto"/>
        </w:rPr>
      </w:pPr>
    </w:p>
    <w:p>
      <w:pPr>
        <w:spacing w:after="0" w:line="21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Name: ________________________</w:t>
      </w:r>
    </w:p>
    <w:p>
      <w:pPr>
        <w:spacing w:after="0" w:line="200" w:lineRule="exact"/>
        <w:rPr>
          <w:sz w:val="20"/>
          <w:szCs w:val="20"/>
          <w:color w:val="auto"/>
        </w:rPr>
      </w:pPr>
    </w:p>
    <w:p>
      <w:pPr>
        <w:spacing w:after="0" w:line="21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Title: ________________________</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H-3-1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 Tax Compliance Certificate</w:t>
      </w:r>
    </w:p>
    <w:p>
      <w:pPr>
        <w:sectPr>
          <w:pgSz w:w="11900" w:h="16838" w:orient="portrait"/>
          <w:cols w:equalWidth="0" w:num="1">
            <w:col w:w="11420"/>
          </w:cols>
          <w:pgMar w:left="240" w:top="557"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20"/>
          <w:szCs w:val="20"/>
          <w:b w:val="1"/>
          <w:bCs w:val="1"/>
          <w:i w:val="1"/>
          <w:iCs w:val="1"/>
          <w:color w:val="auto"/>
        </w:rPr>
        <w:t>EXHIBIT H-4</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STATES TAX COMPLIANCE CERTIFICATE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Partnerships For U.S. Federal Income Tax Purposes)</w:t>
      </w:r>
    </w:p>
    <w:p>
      <w:pPr>
        <w:spacing w:after="0" w:line="191" w:lineRule="exact"/>
        <w:rPr>
          <w:sz w:val="20"/>
          <w:szCs w:val="20"/>
          <w:color w:val="auto"/>
        </w:rPr>
      </w:pPr>
    </w:p>
    <w:p>
      <w:pPr>
        <w:jc w:val="both"/>
        <w:ind w:firstLine="1199"/>
        <w:spacing w:after="0" w:line="270" w:lineRule="auto"/>
        <w:rPr>
          <w:sz w:val="20"/>
          <w:szCs w:val="20"/>
          <w:color w:val="auto"/>
        </w:rPr>
      </w:pPr>
      <w:r>
        <w:rPr>
          <w:rFonts w:ascii="Arial" w:cs="Arial" w:eastAsia="Arial" w:hAnsi="Arial"/>
          <w:sz w:val="19"/>
          <w:szCs w:val="19"/>
          <w:color w:val="auto"/>
        </w:rPr>
        <w:t>Reference is made to the Second Amended and Restated Credit Agreement dated as of January 9, 2018 (as amended, restated, extended, supplemented or otherwise modified in writing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AMERICAN ASSETS TRUST, INC., a Maryland Corporation, AMERICAN ASSETS TRUST, L.P., a Maryland limited partnership (the “</w:t>
      </w:r>
      <w:r>
        <w:rPr>
          <w:rFonts w:ascii="Arial" w:cs="Arial" w:eastAsia="Arial" w:hAnsi="Arial"/>
          <w:sz w:val="19"/>
          <w:szCs w:val="19"/>
          <w:u w:val="single" w:color="auto"/>
          <w:color w:val="auto"/>
        </w:rPr>
        <w:t>Borrower</w:t>
      </w:r>
      <w:r>
        <w:rPr>
          <w:rFonts w:ascii="Arial" w:cs="Arial" w:eastAsia="Arial" w:hAnsi="Arial"/>
          <w:sz w:val="19"/>
          <w:szCs w:val="19"/>
          <w:color w:val="auto"/>
        </w:rPr>
        <w:t>”), BANK OF AMERICA, N.A., as Administrative Agent, and the Lenders, L/C Issuers and Swing Line Lenders party thereto. Capitalized terms used herein but not otherwise defined shall have the meaning given to such term in the Agreement.</w:t>
      </w:r>
    </w:p>
    <w:p>
      <w:pPr>
        <w:spacing w:after="0" w:line="157" w:lineRule="exact"/>
        <w:rPr>
          <w:sz w:val="20"/>
          <w:szCs w:val="20"/>
          <w:color w:val="auto"/>
        </w:rPr>
      </w:pPr>
    </w:p>
    <w:p>
      <w:pPr>
        <w:jc w:val="both"/>
        <w:ind w:firstLine="1199"/>
        <w:spacing w:after="0" w:line="282"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10.06(d)</w:t>
      </w:r>
      <w:r>
        <w:rPr>
          <w:rFonts w:ascii="Arial" w:cs="Arial" w:eastAsia="Arial" w:hAnsi="Arial"/>
          <w:sz w:val="18"/>
          <w:szCs w:val="18"/>
          <w:color w:val="auto"/>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 Borrower within the meaning of Section 871(h)(3)(B) of the Code and (v) none of its direct or indirect partners/members is a controlled foreign corporation related to the Borrower as described in Section 881(c)(3)(C) of the Code.</w:t>
      </w:r>
    </w:p>
    <w:p>
      <w:pPr>
        <w:spacing w:after="0" w:line="153" w:lineRule="exact"/>
        <w:rPr>
          <w:sz w:val="20"/>
          <w:szCs w:val="20"/>
          <w:color w:val="auto"/>
        </w:rPr>
      </w:pPr>
    </w:p>
    <w:p>
      <w:pPr>
        <w:jc w:val="both"/>
        <w:ind w:firstLine="1199"/>
        <w:spacing w:after="0" w:line="251" w:lineRule="auto"/>
        <w:rPr>
          <w:sz w:val="20"/>
          <w:szCs w:val="20"/>
          <w:color w:val="auto"/>
        </w:rPr>
      </w:pPr>
      <w:r>
        <w:rPr>
          <w:rFonts w:ascii="Arial" w:cs="Arial" w:eastAsia="Arial" w:hAnsi="Arial"/>
          <w:sz w:val="20"/>
          <w:szCs w:val="20"/>
          <w:color w:val="auto"/>
        </w:rPr>
        <w:t>The undersigned has furnished the Administrative Agent and the Borrower with IRS Form W-8IMY accompanied by one of the following forms from each of its partners/members that is claiming the portfolio interest exemption: (i) an IRS Form W-8BENE (or W-8BEN, as applicable) or (ii) an IRS Form W-8IMY accompanied by an IRS Form W-8BENE (or W-8BEN,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312"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 OF LENDER]</w:t>
      </w: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 _______________________</w:t>
      </w:r>
    </w:p>
    <w:p>
      <w:pPr>
        <w:spacing w:after="0" w:line="200" w:lineRule="exact"/>
        <w:rPr>
          <w:sz w:val="20"/>
          <w:szCs w:val="20"/>
          <w:color w:val="auto"/>
        </w:rPr>
      </w:pPr>
    </w:p>
    <w:p>
      <w:pPr>
        <w:spacing w:after="0" w:line="21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Name: ________________________</w:t>
      </w:r>
    </w:p>
    <w:p>
      <w:pPr>
        <w:spacing w:after="0" w:line="200" w:lineRule="exact"/>
        <w:rPr>
          <w:sz w:val="20"/>
          <w:szCs w:val="20"/>
          <w:color w:val="auto"/>
        </w:rPr>
      </w:pPr>
    </w:p>
    <w:p>
      <w:pPr>
        <w:spacing w:after="0" w:line="21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Title: ________________________</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H-4-1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 Tax Compliance Certificate</w:t>
      </w:r>
    </w:p>
    <w:p>
      <w:pPr>
        <w:sectPr>
          <w:pgSz w:w="11900" w:h="16838" w:orient="portrait"/>
          <w:cols w:equalWidth="0" w:num="1">
            <w:col w:w="11420"/>
          </w:cols>
          <w:pgMar w:left="240" w:top="557" w:right="239" w:bottom="1440" w:gutter="0" w:footer="0" w:header="0"/>
        </w:sectPr>
      </w:pPr>
    </w:p>
    <w:bookmarkStart w:id="213" w:name="page214"/>
    <w:bookmarkEnd w:id="213"/>
    <w:p>
      <w:pPr>
        <w:jc w:val="right"/>
        <w:spacing w:after="0"/>
        <w:rPr>
          <w:sz w:val="20"/>
          <w:szCs w:val="20"/>
          <w:color w:val="auto"/>
        </w:rPr>
      </w:pPr>
      <w:r>
        <w:rPr>
          <w:rFonts w:ascii="Arial" w:cs="Arial" w:eastAsia="Arial" w:hAnsi="Arial"/>
          <w:sz w:val="20"/>
          <w:szCs w:val="20"/>
          <w:color w:val="auto"/>
        </w:rPr>
        <w:t>EXECUTION VERSION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THIRD AMENDMENT TO TERM LOAN AGREEMENT</w:t>
      </w:r>
    </w:p>
    <w:p>
      <w:pPr>
        <w:spacing w:after="0" w:line="200" w:lineRule="exact"/>
        <w:rPr>
          <w:sz w:val="20"/>
          <w:szCs w:val="20"/>
          <w:color w:val="auto"/>
        </w:rPr>
      </w:pPr>
    </w:p>
    <w:p>
      <w:pPr>
        <w:spacing w:after="0" w:line="244" w:lineRule="exact"/>
        <w:rPr>
          <w:sz w:val="20"/>
          <w:szCs w:val="20"/>
          <w:color w:val="auto"/>
        </w:rPr>
      </w:pPr>
    </w:p>
    <w:p>
      <w:pPr>
        <w:jc w:val="both"/>
        <w:ind w:firstLine="1199"/>
        <w:spacing w:after="0" w:line="288" w:lineRule="auto"/>
        <w:rPr>
          <w:sz w:val="20"/>
          <w:szCs w:val="20"/>
          <w:color w:val="auto"/>
        </w:rPr>
      </w:pPr>
      <w:r>
        <w:rPr>
          <w:rFonts w:ascii="Arial" w:cs="Arial" w:eastAsia="Arial" w:hAnsi="Arial"/>
          <w:sz w:val="18"/>
          <w:szCs w:val="18"/>
          <w:color w:val="auto"/>
        </w:rPr>
        <w:t>THIS THIRD AMENDMENT, dated as of January 9, 2018 (this “</w:t>
      </w:r>
      <w:r>
        <w:rPr>
          <w:rFonts w:ascii="Arial" w:cs="Arial" w:eastAsia="Arial" w:hAnsi="Arial"/>
          <w:sz w:val="18"/>
          <w:szCs w:val="18"/>
          <w:u w:val="single" w:color="auto"/>
          <w:color w:val="auto"/>
        </w:rPr>
        <w:t>Amendment</w:t>
      </w:r>
      <w:r>
        <w:rPr>
          <w:rFonts w:ascii="Arial" w:cs="Arial" w:eastAsia="Arial" w:hAnsi="Arial"/>
          <w:sz w:val="18"/>
          <w:szCs w:val="18"/>
          <w:color w:val="auto"/>
        </w:rPr>
        <w:t>”), to the Term Loan Agreement, dated as of March 1, 2016 (as amended, restated, extended, supplemented or otherwise modified in writing from time to time, the “</w:t>
      </w:r>
      <w:r>
        <w:rPr>
          <w:rFonts w:ascii="Arial" w:cs="Arial" w:eastAsia="Arial" w:hAnsi="Arial"/>
          <w:sz w:val="18"/>
          <w:szCs w:val="18"/>
          <w:u w:val="single" w:color="auto"/>
          <w:color w:val="auto"/>
        </w:rPr>
        <w:t>Term Loan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among American Assets Trust, Inc. (the “</w:t>
      </w:r>
      <w:r>
        <w:rPr>
          <w:rFonts w:ascii="Arial" w:cs="Arial" w:eastAsia="Arial" w:hAnsi="Arial"/>
          <w:sz w:val="18"/>
          <w:szCs w:val="18"/>
          <w:u w:val="single" w:color="auto"/>
          <w:color w:val="auto"/>
        </w:rPr>
        <w:t>REIT</w:t>
      </w:r>
      <w:r>
        <w:rPr>
          <w:rFonts w:ascii="Arial" w:cs="Arial" w:eastAsia="Arial" w:hAnsi="Arial"/>
          <w:sz w:val="18"/>
          <w:szCs w:val="18"/>
          <w:color w:val="auto"/>
        </w:rPr>
        <w:t>”), a Maryland corporation, American Assets Trust, L.P., a Maryland limited partnership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and U.S. Bank National Association, as Administrative Agent. Capitalized terms used herein and not otherwise defined herein shall have the meanings assigned to such terms in the Term Loan Agreement.</w:t>
      </w:r>
    </w:p>
    <w:p>
      <w:pPr>
        <w:spacing w:after="0" w:line="182" w:lineRule="exact"/>
        <w:rPr>
          <w:sz w:val="20"/>
          <w:szCs w:val="20"/>
          <w:color w:val="auto"/>
        </w:rPr>
      </w:pPr>
    </w:p>
    <w:p>
      <w:pPr>
        <w:jc w:val="both"/>
        <w:ind w:firstLine="1199"/>
        <w:spacing w:after="0" w:line="272" w:lineRule="auto"/>
        <w:rPr>
          <w:sz w:val="20"/>
          <w:szCs w:val="20"/>
          <w:color w:val="auto"/>
        </w:rPr>
      </w:pPr>
      <w:r>
        <w:rPr>
          <w:rFonts w:ascii="Arial" w:cs="Arial" w:eastAsia="Arial" w:hAnsi="Arial"/>
          <w:sz w:val="20"/>
          <w:szCs w:val="20"/>
          <w:color w:val="auto"/>
        </w:rPr>
        <w:t>WHEREAS, the parties hereto propose to amend certain provisions of the Term Loan Agreement and the Amended Term Loan Agreement (as defined below).</w:t>
      </w:r>
    </w:p>
    <w:p>
      <w:pPr>
        <w:spacing w:after="0" w:line="191" w:lineRule="exact"/>
        <w:rPr>
          <w:sz w:val="20"/>
          <w:szCs w:val="20"/>
          <w:color w:val="auto"/>
        </w:rPr>
      </w:pPr>
    </w:p>
    <w:p>
      <w:pPr>
        <w:jc w:val="both"/>
        <w:ind w:firstLine="1199"/>
        <w:spacing w:after="0" w:line="272" w:lineRule="auto"/>
        <w:rPr>
          <w:sz w:val="20"/>
          <w:szCs w:val="20"/>
          <w:color w:val="auto"/>
        </w:rPr>
      </w:pPr>
      <w:r>
        <w:rPr>
          <w:rFonts w:ascii="Arial" w:cs="Arial" w:eastAsia="Arial" w:hAnsi="Arial"/>
          <w:sz w:val="20"/>
          <w:szCs w:val="20"/>
          <w:color w:val="auto"/>
        </w:rPr>
        <w:t>NOW THEREFORE, for good and valuable consideration, the receipt and sufficiency of which is hereby acknowledged, the parties hereto agree as follows:</w:t>
      </w:r>
    </w:p>
    <w:p>
      <w:pPr>
        <w:spacing w:after="0" w:line="185" w:lineRule="exact"/>
        <w:rPr>
          <w:sz w:val="20"/>
          <w:szCs w:val="20"/>
          <w:color w:val="auto"/>
        </w:rPr>
      </w:pPr>
    </w:p>
    <w:p>
      <w:pPr>
        <w:jc w:val="both"/>
        <w:ind w:firstLine="1199"/>
        <w:spacing w:after="0" w:line="279" w:lineRule="auto"/>
        <w:rPr>
          <w:sz w:val="20"/>
          <w:szCs w:val="20"/>
          <w:color w:val="auto"/>
        </w:rPr>
      </w:pPr>
      <w:r>
        <w:rPr>
          <w:rFonts w:ascii="Arial" w:cs="Arial" w:eastAsia="Arial" w:hAnsi="Arial"/>
          <w:sz w:val="20"/>
          <w:szCs w:val="20"/>
          <w:b w:val="1"/>
          <w:bCs w:val="1"/>
          <w:color w:val="auto"/>
        </w:rPr>
        <w:t xml:space="preserve">SECTION 1. </w:t>
      </w:r>
      <w:r>
        <w:rPr>
          <w:rFonts w:ascii="Arial" w:cs="Arial" w:eastAsia="Arial" w:hAnsi="Arial"/>
          <w:sz w:val="20"/>
          <w:szCs w:val="20"/>
          <w:b w:val="1"/>
          <w:bCs w:val="1"/>
          <w:u w:val="single" w:color="auto"/>
          <w:color w:val="auto"/>
        </w:rPr>
        <w:t>Release of Guarantors</w:t>
      </w:r>
      <w:r>
        <w:rPr>
          <w:rFonts w:ascii="Arial" w:cs="Arial" w:eastAsia="Arial" w:hAnsi="Arial"/>
          <w:sz w:val="20"/>
          <w:szCs w:val="20"/>
          <w:color w:val="auto"/>
        </w:rPr>
        <w:t>. Subject to all of the terms and conditions set forth in this Amendment,</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as of January 9, 2018 and immediately prior to the effectiveness of Section 2 below on such date:</w:t>
      </w:r>
    </w:p>
    <w:p>
      <w:pPr>
        <w:spacing w:after="0" w:line="183" w:lineRule="exact"/>
        <w:rPr>
          <w:sz w:val="20"/>
          <w:szCs w:val="20"/>
          <w:color w:val="auto"/>
        </w:rPr>
      </w:pPr>
    </w:p>
    <w:p>
      <w:pPr>
        <w:jc w:val="both"/>
        <w:ind w:left="600" w:firstLine="599"/>
        <w:spacing w:after="0" w:line="267" w:lineRule="auto"/>
        <w:tabs>
          <w:tab w:leader="none" w:pos="2021" w:val="left"/>
        </w:tabs>
        <w:numPr>
          <w:ilvl w:val="0"/>
          <w:numId w:val="260"/>
        </w:numPr>
        <w:rPr>
          <w:rFonts w:ascii="Arial" w:cs="Arial" w:eastAsia="Arial" w:hAnsi="Arial"/>
          <w:sz w:val="19"/>
          <w:szCs w:val="19"/>
          <w:color w:val="auto"/>
        </w:rPr>
      </w:pPr>
      <w:r>
        <w:rPr>
          <w:rFonts w:ascii="Arial" w:cs="Arial" w:eastAsia="Arial" w:hAnsi="Arial"/>
          <w:sz w:val="19"/>
          <w:szCs w:val="19"/>
          <w:color w:val="auto"/>
        </w:rPr>
        <w:t>In reliance on the Borrower’s certification set forth in clause (b) below, the parties hereto hereby agree that each Subsidiary of the Borrower party to the Guaranty Agreement immediately prior to the effectiveness of this Amendment (each such Subsidiary, an “</w:t>
      </w:r>
      <w:r>
        <w:rPr>
          <w:rFonts w:ascii="Arial" w:cs="Arial" w:eastAsia="Arial" w:hAnsi="Arial"/>
          <w:sz w:val="19"/>
          <w:szCs w:val="19"/>
          <w:u w:val="single" w:color="auto"/>
          <w:color w:val="auto"/>
        </w:rPr>
        <w:t>Existing Subsidiary Guarantor</w:t>
      </w:r>
      <w:r>
        <w:rPr>
          <w:rFonts w:ascii="Arial" w:cs="Arial" w:eastAsia="Arial" w:hAnsi="Arial"/>
          <w:sz w:val="19"/>
          <w:szCs w:val="19"/>
          <w:color w:val="auto"/>
        </w:rPr>
        <w:t>”) is released from all of its obligations under such Guaranty Agreement, effective on the date hereof. The Administrative Agent will (at the sole cost of the Borrower), and each of the Lenders irrevocably authorizes the Administrative Agent to, execute and deliver such documents and instruments, and take all such other actions, in each case, as the Borrower may reasonably request to evidence the release of any Subsidiary Guarantor from its obligations thereunder, which documents, instruments and other actions shall be reasonably satisfactory to the Administrative Agent.</w:t>
      </w:r>
    </w:p>
    <w:p>
      <w:pPr>
        <w:spacing w:after="0" w:line="196" w:lineRule="exact"/>
        <w:rPr>
          <w:rFonts w:ascii="Arial" w:cs="Arial" w:eastAsia="Arial" w:hAnsi="Arial"/>
          <w:sz w:val="19"/>
          <w:szCs w:val="19"/>
          <w:color w:val="auto"/>
        </w:rPr>
      </w:pPr>
    </w:p>
    <w:p>
      <w:pPr>
        <w:jc w:val="both"/>
        <w:ind w:left="600" w:firstLine="599"/>
        <w:spacing w:after="0" w:line="260" w:lineRule="auto"/>
        <w:tabs>
          <w:tab w:leader="none" w:pos="2032" w:val="left"/>
        </w:tabs>
        <w:numPr>
          <w:ilvl w:val="0"/>
          <w:numId w:val="260"/>
        </w:numPr>
        <w:rPr>
          <w:rFonts w:ascii="Arial" w:cs="Arial" w:eastAsia="Arial" w:hAnsi="Arial"/>
          <w:sz w:val="20"/>
          <w:szCs w:val="20"/>
          <w:color w:val="auto"/>
        </w:rPr>
      </w:pPr>
      <w:r>
        <w:rPr>
          <w:rFonts w:ascii="Arial" w:cs="Arial" w:eastAsia="Arial" w:hAnsi="Arial"/>
          <w:sz w:val="20"/>
          <w:szCs w:val="20"/>
          <w:color w:val="auto"/>
        </w:rPr>
        <w:t xml:space="preserve">The Borrower hereby certifies that on the date hereof, no Existing Subsidiary Guarantor is a borrower or guarantor of, or has a payment obligation in respect of, Indebtedness for borrowed money that constitutes Recourse Indebtedness (other than Indebtedness permitted under </w:t>
      </w:r>
      <w:r>
        <w:rPr>
          <w:rFonts w:ascii="Arial" w:cs="Arial" w:eastAsia="Arial" w:hAnsi="Arial"/>
          <w:sz w:val="20"/>
          <w:szCs w:val="20"/>
          <w:u w:val="single" w:color="auto"/>
          <w:color w:val="auto"/>
        </w:rPr>
        <w:t>Section 7.02(b)</w:t>
      </w:r>
      <w:r>
        <w:rPr>
          <w:rFonts w:ascii="Arial" w:cs="Arial" w:eastAsia="Arial" w:hAnsi="Arial"/>
          <w:sz w:val="20"/>
          <w:szCs w:val="20"/>
          <w:color w:val="auto"/>
        </w:rPr>
        <w:t xml:space="preserve"> of the Amended Term Loan Agreement).</w:t>
      </w:r>
    </w:p>
    <w:p>
      <w:pPr>
        <w:spacing w:after="0" w:line="196" w:lineRule="exact"/>
        <w:rPr>
          <w:sz w:val="20"/>
          <w:szCs w:val="20"/>
          <w:color w:val="auto"/>
        </w:rPr>
      </w:pPr>
    </w:p>
    <w:p>
      <w:pPr>
        <w:jc w:val="both"/>
        <w:ind w:firstLine="1199"/>
        <w:spacing w:after="0" w:line="269" w:lineRule="auto"/>
        <w:rPr>
          <w:sz w:val="20"/>
          <w:szCs w:val="20"/>
          <w:color w:val="auto"/>
        </w:rPr>
      </w:pPr>
      <w:r>
        <w:rPr>
          <w:rFonts w:ascii="Arial" w:cs="Arial" w:eastAsia="Arial" w:hAnsi="Arial"/>
          <w:sz w:val="19"/>
          <w:szCs w:val="19"/>
          <w:b w:val="1"/>
          <w:bCs w:val="1"/>
          <w:color w:val="auto"/>
        </w:rPr>
        <w:t xml:space="preserve">SECTION 2. </w:t>
      </w:r>
      <w:r>
        <w:rPr>
          <w:rFonts w:ascii="Arial" w:cs="Arial" w:eastAsia="Arial" w:hAnsi="Arial"/>
          <w:sz w:val="19"/>
          <w:szCs w:val="19"/>
          <w:b w:val="1"/>
          <w:bCs w:val="1"/>
          <w:u w:val="single" w:color="auto"/>
          <w:color w:val="auto"/>
        </w:rPr>
        <w:t>Amendment to Term Loan Agreement</w:t>
      </w:r>
      <w:r>
        <w:rPr>
          <w:rFonts w:ascii="Arial" w:cs="Arial" w:eastAsia="Arial" w:hAnsi="Arial"/>
          <w:sz w:val="19"/>
          <w:szCs w:val="19"/>
          <w:color w:val="auto"/>
        </w:rPr>
        <w:t>. Subject to all of the terms and conditions set forth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Amendment, effective as of January 9, 2018 and immediately subsequent to the effectiveness of Section 1 above on such date, the Term Loan Agreement is hereby amended as set forth in the marked terms on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attached hereto including the amended Exhibits and Schedules thereto (the “</w:t>
      </w:r>
      <w:r>
        <w:rPr>
          <w:rFonts w:ascii="Arial" w:cs="Arial" w:eastAsia="Arial" w:hAnsi="Arial"/>
          <w:sz w:val="19"/>
          <w:szCs w:val="19"/>
          <w:u w:val="single" w:color="auto"/>
          <w:color w:val="auto"/>
        </w:rPr>
        <w:t>Amended Term Loan Agreement</w:t>
      </w:r>
      <w:r>
        <w:rPr>
          <w:rFonts w:ascii="Arial" w:cs="Arial" w:eastAsia="Arial" w:hAnsi="Arial"/>
          <w:sz w:val="19"/>
          <w:szCs w:val="19"/>
          <w:color w:val="auto"/>
        </w:rPr>
        <w:t xml:space="preserve">”). In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hereto, deletions of text in the Amended Term Loan Agreement are indicated by </w:t>
      </w:r>
      <w:r>
        <w:rPr>
          <w:rFonts w:ascii="Arial" w:cs="Arial" w:eastAsia="Arial" w:hAnsi="Arial"/>
          <w:sz w:val="19"/>
          <w:szCs w:val="19"/>
          <w:color w:val="auto"/>
          <w:strike w:val="1"/>
        </w:rPr>
        <w:t>struck-through text</w:t>
      </w:r>
      <w:r>
        <w:rPr>
          <w:rFonts w:ascii="Arial" w:cs="Arial" w:eastAsia="Arial" w:hAnsi="Arial"/>
          <w:sz w:val="19"/>
          <w:szCs w:val="19"/>
          <w:color w:val="auto"/>
        </w:rPr>
        <w:t xml:space="preserve">, and insertions of text are indicated by </w:t>
      </w:r>
      <w:r>
        <w:rPr>
          <w:rFonts w:ascii="Arial" w:cs="Arial" w:eastAsia="Arial" w:hAnsi="Arial"/>
          <w:sz w:val="19"/>
          <w:szCs w:val="19"/>
          <w:b w:val="1"/>
          <w:bCs w:val="1"/>
          <w:u w:val="single" w:color="auto"/>
          <w:color w:val="auto"/>
          <w:highlight w:val="lightGray"/>
        </w:rPr>
        <w:t>bold, double-underlined text</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attached hereto sets forth a clean copy of the Amended Term Loan Agreement, after giving effect to such amendments.</w:t>
      </w:r>
    </w:p>
    <w:p>
      <w:pPr>
        <w:spacing w:after="0" w:line="192" w:lineRule="exact"/>
        <w:rPr>
          <w:sz w:val="20"/>
          <w:szCs w:val="20"/>
          <w:color w:val="auto"/>
        </w:rPr>
      </w:pPr>
    </w:p>
    <w:p>
      <w:pPr>
        <w:jc w:val="both"/>
        <w:ind w:firstLine="1199"/>
        <w:spacing w:after="0" w:line="263" w:lineRule="auto"/>
        <w:rPr>
          <w:sz w:val="20"/>
          <w:szCs w:val="20"/>
          <w:color w:val="auto"/>
        </w:rPr>
      </w:pPr>
      <w:r>
        <w:rPr>
          <w:rFonts w:ascii="Arial" w:cs="Arial" w:eastAsia="Arial" w:hAnsi="Arial"/>
          <w:sz w:val="20"/>
          <w:szCs w:val="20"/>
          <w:b w:val="1"/>
          <w:bCs w:val="1"/>
          <w:color w:val="auto"/>
        </w:rPr>
        <w:t xml:space="preserve">SECTION 3. </w:t>
      </w:r>
      <w:r>
        <w:rPr>
          <w:rFonts w:ascii="Arial" w:cs="Arial" w:eastAsia="Arial" w:hAnsi="Arial"/>
          <w:sz w:val="20"/>
          <w:szCs w:val="20"/>
          <w:b w:val="1"/>
          <w:bCs w:val="1"/>
          <w:u w:val="single" w:color="auto"/>
          <w:color w:val="auto"/>
        </w:rPr>
        <w:t>Amendment to Guaranty Agreement</w:t>
      </w:r>
      <w:r>
        <w:rPr>
          <w:rFonts w:ascii="Arial" w:cs="Arial" w:eastAsia="Arial" w:hAnsi="Arial"/>
          <w:sz w:val="20"/>
          <w:szCs w:val="20"/>
          <w:color w:val="auto"/>
        </w:rPr>
        <w:t>. Subject to all of the terms and conditions set forth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 effective as of January 9, 2018 and immediately subsequent to the effectiveness of Section 1 above on such date, the Guaranty Agreement is hereby amended as set forth in the</w:t>
      </w:r>
    </w:p>
    <w:p>
      <w:pPr>
        <w:sectPr>
          <w:pgSz w:w="11900" w:h="16838" w:orient="portrait"/>
          <w:cols w:equalWidth="0" w:num="1">
            <w:col w:w="11420"/>
          </w:cols>
          <w:pgMar w:left="240" w:top="133" w:right="239" w:bottom="1440" w:gutter="0" w:footer="0" w:header="0"/>
        </w:sectPr>
      </w:pPr>
    </w:p>
    <w:bookmarkStart w:id="214" w:name="page215"/>
    <w:bookmarkEnd w:id="214"/>
    <w:p>
      <w:pPr>
        <w:jc w:val="both"/>
        <w:spacing w:after="0" w:line="280" w:lineRule="auto"/>
        <w:rPr>
          <w:sz w:val="20"/>
          <w:szCs w:val="20"/>
          <w:color w:val="auto"/>
        </w:rPr>
      </w:pPr>
      <w:r>
        <w:rPr>
          <w:rFonts w:ascii="Arial" w:cs="Arial" w:eastAsia="Arial" w:hAnsi="Arial"/>
          <w:sz w:val="19"/>
          <w:szCs w:val="19"/>
          <w:color w:val="auto"/>
        </w:rPr>
        <w:t xml:space="preserve">marked terms on </w:t>
      </w:r>
      <w:r>
        <w:rPr>
          <w:rFonts w:ascii="Arial" w:cs="Arial" w:eastAsia="Arial" w:hAnsi="Arial"/>
          <w:sz w:val="19"/>
          <w:szCs w:val="19"/>
          <w:u w:val="single" w:color="auto"/>
          <w:color w:val="auto"/>
        </w:rPr>
        <w:t>Exhibit B-1</w:t>
      </w:r>
      <w:r>
        <w:rPr>
          <w:rFonts w:ascii="Arial" w:cs="Arial" w:eastAsia="Arial" w:hAnsi="Arial"/>
          <w:sz w:val="19"/>
          <w:szCs w:val="19"/>
          <w:color w:val="auto"/>
        </w:rPr>
        <w:t xml:space="preserve"> attached hereto (the “</w:t>
      </w:r>
      <w:r>
        <w:rPr>
          <w:rFonts w:ascii="Arial" w:cs="Arial" w:eastAsia="Arial" w:hAnsi="Arial"/>
          <w:sz w:val="19"/>
          <w:szCs w:val="19"/>
          <w:u w:val="single" w:color="auto"/>
          <w:color w:val="auto"/>
        </w:rPr>
        <w:t>Amended Guaranty Agreement</w:t>
      </w:r>
      <w:r>
        <w:rPr>
          <w:rFonts w:ascii="Arial" w:cs="Arial" w:eastAsia="Arial" w:hAnsi="Arial"/>
          <w:sz w:val="19"/>
          <w:szCs w:val="19"/>
          <w:color w:val="auto"/>
        </w:rPr>
        <w:t xml:space="preserve">”). In </w:t>
      </w:r>
      <w:r>
        <w:rPr>
          <w:rFonts w:ascii="Arial" w:cs="Arial" w:eastAsia="Arial" w:hAnsi="Arial"/>
          <w:sz w:val="19"/>
          <w:szCs w:val="19"/>
          <w:u w:val="single" w:color="auto"/>
          <w:color w:val="auto"/>
        </w:rPr>
        <w:t>Exhibit B-1</w:t>
      </w:r>
      <w:r>
        <w:rPr>
          <w:rFonts w:ascii="Arial" w:cs="Arial" w:eastAsia="Arial" w:hAnsi="Arial"/>
          <w:sz w:val="19"/>
          <w:szCs w:val="19"/>
          <w:color w:val="auto"/>
        </w:rPr>
        <w:t xml:space="preserve"> hereto, deletions of text in the Amended Guaranty Agreement are indicated by </w:t>
      </w:r>
      <w:r>
        <w:rPr>
          <w:rFonts w:ascii="Arial" w:cs="Arial" w:eastAsia="Arial" w:hAnsi="Arial"/>
          <w:sz w:val="19"/>
          <w:szCs w:val="19"/>
          <w:color w:val="auto"/>
          <w:strike w:val="1"/>
        </w:rPr>
        <w:t>struck-through text</w:t>
      </w:r>
      <w:r>
        <w:rPr>
          <w:rFonts w:ascii="Arial" w:cs="Arial" w:eastAsia="Arial" w:hAnsi="Arial"/>
          <w:sz w:val="19"/>
          <w:szCs w:val="19"/>
          <w:color w:val="auto"/>
        </w:rPr>
        <w:t xml:space="preserve">, and insertions of text are indicated by </w:t>
      </w:r>
      <w:r>
        <w:rPr>
          <w:rFonts w:ascii="Arial" w:cs="Arial" w:eastAsia="Arial" w:hAnsi="Arial"/>
          <w:sz w:val="19"/>
          <w:szCs w:val="19"/>
          <w:b w:val="1"/>
          <w:bCs w:val="1"/>
          <w:u w:val="single" w:color="auto"/>
          <w:color w:val="auto"/>
          <w:highlight w:val="lightGray"/>
        </w:rPr>
        <w:t>bold, double-underlined text</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 B-2</w:t>
      </w:r>
      <w:r>
        <w:rPr>
          <w:rFonts w:ascii="Arial" w:cs="Arial" w:eastAsia="Arial" w:hAnsi="Arial"/>
          <w:sz w:val="19"/>
          <w:szCs w:val="19"/>
          <w:color w:val="auto"/>
        </w:rPr>
        <w:t xml:space="preserve"> attached hereto sets forth a clean copy of the Amended Guaranty Agreement, after giving effect to such amendments.</w:t>
      </w:r>
    </w:p>
    <w:p>
      <w:pPr>
        <w:spacing w:after="0" w:line="179" w:lineRule="exact"/>
        <w:rPr>
          <w:sz w:val="20"/>
          <w:szCs w:val="20"/>
          <w:color w:val="auto"/>
        </w:rPr>
      </w:pPr>
    </w:p>
    <w:p>
      <w:pPr>
        <w:jc w:val="both"/>
        <w:ind w:firstLine="1199"/>
        <w:spacing w:after="0" w:line="263" w:lineRule="auto"/>
        <w:rPr>
          <w:sz w:val="20"/>
          <w:szCs w:val="20"/>
          <w:color w:val="auto"/>
        </w:rPr>
      </w:pPr>
      <w:r>
        <w:rPr>
          <w:rFonts w:ascii="Arial" w:cs="Arial" w:eastAsia="Arial" w:hAnsi="Arial"/>
          <w:sz w:val="20"/>
          <w:szCs w:val="20"/>
          <w:b w:val="1"/>
          <w:bCs w:val="1"/>
          <w:color w:val="auto"/>
        </w:rPr>
        <w:t xml:space="preserve">SECTION 4. </w:t>
      </w:r>
      <w:r>
        <w:rPr>
          <w:rFonts w:ascii="Arial" w:cs="Arial" w:eastAsia="Arial" w:hAnsi="Arial"/>
          <w:sz w:val="20"/>
          <w:szCs w:val="20"/>
          <w:b w:val="1"/>
          <w:bCs w:val="1"/>
          <w:u w:val="single" w:color="auto"/>
          <w:color w:val="auto"/>
        </w:rPr>
        <w:t>Amendment to Amended Term Loan Agreement</w:t>
      </w:r>
      <w:r>
        <w:rPr>
          <w:rFonts w:ascii="Arial" w:cs="Arial" w:eastAsia="Arial" w:hAnsi="Arial"/>
          <w:sz w:val="20"/>
          <w:szCs w:val="20"/>
          <w:color w:val="auto"/>
        </w:rPr>
        <w:t>. Subject to all of the terms and conditions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in this Amendment, provided that no Default or Event of Default has occurred and is continuing as of such date, effective as of March 1, 2018, the Amended Term Loan Agreement shall be amended as follows:</w:t>
      </w:r>
    </w:p>
    <w:p>
      <w:pPr>
        <w:spacing w:after="0" w:line="193" w:lineRule="exact"/>
        <w:rPr>
          <w:sz w:val="20"/>
          <w:szCs w:val="20"/>
          <w:color w:val="auto"/>
        </w:rPr>
      </w:pPr>
    </w:p>
    <w:p>
      <w:pPr>
        <w:ind w:right="800" w:firstLine="1199"/>
        <w:spacing w:after="0" w:line="279" w:lineRule="auto"/>
        <w:rPr>
          <w:sz w:val="20"/>
          <w:szCs w:val="20"/>
          <w:color w:val="auto"/>
        </w:rPr>
      </w:pPr>
      <w:r>
        <w:rPr>
          <w:rFonts w:ascii="Arial" w:cs="Arial" w:eastAsia="Arial" w:hAnsi="Arial"/>
          <w:sz w:val="20"/>
          <w:szCs w:val="20"/>
          <w:b w:val="1"/>
          <w:bCs w:val="1"/>
          <w:color w:val="auto"/>
        </w:rPr>
        <w:t xml:space="preserve">4.1 </w:t>
      </w:r>
      <w:r>
        <w:rPr>
          <w:rFonts w:ascii="Arial" w:cs="Arial" w:eastAsia="Arial" w:hAnsi="Arial"/>
          <w:sz w:val="20"/>
          <w:szCs w:val="20"/>
          <w:color w:val="auto"/>
        </w:rPr>
        <w:t>The definition of “</w:t>
      </w:r>
      <w:r>
        <w:rPr>
          <w:rFonts w:ascii="Arial" w:cs="Arial" w:eastAsia="Arial" w:hAnsi="Arial"/>
          <w:sz w:val="20"/>
          <w:szCs w:val="20"/>
          <w:u w:val="single" w:color="auto"/>
          <w:color w:val="auto"/>
        </w:rPr>
        <w:t>Leverage-Based Applicable Rate</w:t>
      </w:r>
      <w:r>
        <w:rPr>
          <w:rFonts w:ascii="Arial" w:cs="Arial" w:eastAsia="Arial" w:hAnsi="Arial"/>
          <w:sz w:val="20"/>
          <w:szCs w:val="20"/>
          <w:color w:val="auto"/>
        </w:rPr>
        <w:t>” contained in Section 1.01 of the Amended Term Loan</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is hereby amended and restated in its entirety as follows:</w:t>
      </w:r>
    </w:p>
    <w:p>
      <w:pPr>
        <w:spacing w:after="0" w:line="183" w:lineRule="exact"/>
        <w:rPr>
          <w:sz w:val="20"/>
          <w:szCs w:val="20"/>
          <w:color w:val="auto"/>
        </w:rPr>
      </w:pPr>
    </w:p>
    <w:p>
      <w:pPr>
        <w:jc w:val="both"/>
        <w:ind w:left="600"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Leverage-Based Applicable Rate</w:t>
      </w:r>
      <w:r>
        <w:rPr>
          <w:rFonts w:ascii="Arial" w:cs="Arial" w:eastAsia="Arial" w:hAnsi="Arial"/>
          <w:sz w:val="20"/>
          <w:szCs w:val="20"/>
          <w:color w:val="auto"/>
        </w:rPr>
        <w:t xml:space="preserve">” means the applicable percentage per annum set forth below determined by reference to the Consolidated Total Leverage Ratio as set forth in the most recent Compliance Certificate received by the Administrative Agent and the Lenders pursuant to </w:t>
      </w:r>
      <w:r>
        <w:rPr>
          <w:rFonts w:ascii="Arial" w:cs="Arial" w:eastAsia="Arial" w:hAnsi="Arial"/>
          <w:sz w:val="20"/>
          <w:szCs w:val="20"/>
          <w:u w:val="single" w:color="auto"/>
          <w:color w:val="auto"/>
        </w:rPr>
        <w:t>Section 6.02(b)</w:t>
      </w:r>
      <w:r>
        <w:rPr>
          <w:rFonts w:ascii="Arial" w:cs="Arial" w:eastAsia="Arial" w:hAnsi="Arial"/>
          <w:sz w:val="20"/>
          <w:szCs w:val="20"/>
          <w:color w:val="auto"/>
        </w:rPr>
        <w:t>:</w:t>
      </w:r>
    </w:p>
    <w:p>
      <w:pPr>
        <w:spacing w:after="0" w:line="164"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(a) prior to March 1, 2018:</w:t>
      </w:r>
    </w:p>
    <w:p>
      <w:pPr>
        <w:spacing w:after="0" w:line="319" w:lineRule="exact"/>
        <w:rPr>
          <w:sz w:val="20"/>
          <w:szCs w:val="20"/>
          <w:color w:val="auto"/>
        </w:rPr>
      </w:pPr>
    </w:p>
    <w:tbl>
      <w:tblPr>
        <w:tblLayout w:type="fixed"/>
        <w:tblInd w:w="230" w:type="dxa"/>
        <w:tblCellMar>
          <w:top w:w="0" w:type="dxa"/>
          <w:left w:w="0" w:type="dxa"/>
          <w:bottom w:w="0" w:type="dxa"/>
          <w:right w:w="0" w:type="dxa"/>
        </w:tblCellMar>
      </w:tblPr>
      <w:tr>
        <w:trPr>
          <w:trHeight w:val="280"/>
        </w:trPr>
        <w:tc>
          <w:tcPr>
            <w:tcW w:w="14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Pricing Level</w:t>
            </w:r>
          </w:p>
        </w:tc>
        <w:tc>
          <w:tcPr>
            <w:tcW w:w="20" w:type="dxa"/>
            <w:vAlign w:val="bottom"/>
            <w:tcBorders>
              <w:top w:val="single" w:sz="8" w:color="auto"/>
              <w:bottom w:val="single" w:sz="8" w:color="auto"/>
            </w:tcBorders>
          </w:tcPr>
          <w:p>
            <w:pPr>
              <w:spacing w:after="0"/>
              <w:rPr>
                <w:sz w:val="24"/>
                <w:szCs w:val="24"/>
                <w:color w:val="auto"/>
              </w:rPr>
            </w:pPr>
          </w:p>
        </w:tc>
        <w:tc>
          <w:tcPr>
            <w:tcW w:w="418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20"/>
                <w:szCs w:val="20"/>
                <w:b w:val="1"/>
                <w:bCs w:val="1"/>
                <w:color w:val="auto"/>
              </w:rPr>
              <w:t>Consolidated Total Leverage Ratio</w:t>
            </w:r>
          </w:p>
        </w:tc>
        <w:tc>
          <w:tcPr>
            <w:tcW w:w="24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b w:val="1"/>
                <w:bCs w:val="1"/>
                <w:color w:val="auto"/>
              </w:rPr>
              <w:t>Eurodollar Rate Loans</w:t>
            </w:r>
          </w:p>
        </w:tc>
        <w:tc>
          <w:tcPr>
            <w:tcW w:w="29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b w:val="1"/>
                <w:bCs w:val="1"/>
                <w:color w:val="auto"/>
              </w:rPr>
              <w:t>Base Rate Loans</w:t>
            </w:r>
          </w:p>
        </w:tc>
      </w:tr>
      <w:tr>
        <w:trPr>
          <w:trHeight w:val="267"/>
        </w:trPr>
        <w:tc>
          <w:tcPr>
            <w:tcW w:w="1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w:t>
            </w:r>
          </w:p>
        </w:tc>
        <w:tc>
          <w:tcPr>
            <w:tcW w:w="42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&lt; 40%</w:t>
            </w:r>
          </w:p>
        </w:tc>
        <w:tc>
          <w:tcPr>
            <w:tcW w:w="2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1.70%</w:t>
            </w:r>
          </w:p>
        </w:tc>
        <w:tc>
          <w:tcPr>
            <w:tcW w:w="2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0.70%</w:t>
            </w:r>
          </w:p>
        </w:tc>
      </w:tr>
      <w:tr>
        <w:trPr>
          <w:trHeight w:val="287"/>
        </w:trPr>
        <w:tc>
          <w:tcPr>
            <w:tcW w:w="14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II</w:t>
            </w:r>
          </w:p>
        </w:tc>
        <w:tc>
          <w:tcPr>
            <w:tcW w:w="20" w:type="dxa"/>
            <w:vAlign w:val="bottom"/>
          </w:tcPr>
          <w:p>
            <w:pPr>
              <w:spacing w:after="0"/>
              <w:rPr>
                <w:sz w:val="24"/>
                <w:szCs w:val="24"/>
                <w:color w:val="auto"/>
              </w:rPr>
            </w:pPr>
          </w:p>
        </w:tc>
        <w:tc>
          <w:tcPr>
            <w:tcW w:w="418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&gt; 40% and &lt; 45%</w:t>
            </w:r>
          </w:p>
        </w:tc>
        <w:tc>
          <w:tcPr>
            <w:tcW w:w="24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1.75%</w:t>
            </w:r>
          </w:p>
        </w:tc>
        <w:tc>
          <w:tcPr>
            <w:tcW w:w="2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0.75%</w:t>
            </w:r>
          </w:p>
        </w:tc>
      </w:tr>
      <w:tr>
        <w:trPr>
          <w:trHeight w:val="42"/>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4060" w:type="dxa"/>
            <w:vAlign w:val="bottom"/>
            <w:tcBorders>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2960" w:type="dxa"/>
            <w:vAlign w:val="bottom"/>
            <w:tcBorders>
              <w:bottom w:val="single" w:sz="8" w:color="auto"/>
              <w:right w:val="single" w:sz="8" w:color="auto"/>
            </w:tcBorders>
          </w:tcPr>
          <w:p>
            <w:pPr>
              <w:spacing w:after="0"/>
              <w:rPr>
                <w:sz w:val="3"/>
                <w:szCs w:val="3"/>
                <w:color w:val="auto"/>
              </w:rPr>
            </w:pPr>
          </w:p>
        </w:tc>
      </w:tr>
      <w:tr>
        <w:trPr>
          <w:trHeight w:val="280"/>
        </w:trPr>
        <w:tc>
          <w:tcPr>
            <w:tcW w:w="14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III</w:t>
            </w:r>
          </w:p>
        </w:tc>
        <w:tc>
          <w:tcPr>
            <w:tcW w:w="20" w:type="dxa"/>
            <w:vAlign w:val="bottom"/>
          </w:tcPr>
          <w:p>
            <w:pPr>
              <w:spacing w:after="0"/>
              <w:rPr>
                <w:sz w:val="24"/>
                <w:szCs w:val="24"/>
                <w:color w:val="auto"/>
              </w:rPr>
            </w:pPr>
          </w:p>
        </w:tc>
        <w:tc>
          <w:tcPr>
            <w:tcW w:w="418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&gt; 45% and &lt; 50%</w:t>
            </w:r>
          </w:p>
        </w:tc>
        <w:tc>
          <w:tcPr>
            <w:tcW w:w="24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1.90%</w:t>
            </w:r>
          </w:p>
        </w:tc>
        <w:tc>
          <w:tcPr>
            <w:tcW w:w="2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0.90%</w:t>
            </w:r>
          </w:p>
        </w:tc>
      </w:tr>
      <w:tr>
        <w:trPr>
          <w:trHeight w:val="42"/>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4060" w:type="dxa"/>
            <w:vAlign w:val="bottom"/>
            <w:tcBorders>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2960" w:type="dxa"/>
            <w:vAlign w:val="bottom"/>
            <w:tcBorders>
              <w:bottom w:val="single" w:sz="8" w:color="auto"/>
              <w:right w:val="single" w:sz="8" w:color="auto"/>
            </w:tcBorders>
          </w:tcPr>
          <w:p>
            <w:pPr>
              <w:spacing w:after="0"/>
              <w:rPr>
                <w:sz w:val="3"/>
                <w:szCs w:val="3"/>
                <w:color w:val="auto"/>
              </w:rPr>
            </w:pPr>
          </w:p>
        </w:tc>
      </w:tr>
      <w:tr>
        <w:trPr>
          <w:trHeight w:val="280"/>
        </w:trPr>
        <w:tc>
          <w:tcPr>
            <w:tcW w:w="14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IV</w:t>
            </w:r>
          </w:p>
        </w:tc>
        <w:tc>
          <w:tcPr>
            <w:tcW w:w="20" w:type="dxa"/>
            <w:vAlign w:val="bottom"/>
          </w:tcPr>
          <w:p>
            <w:pPr>
              <w:spacing w:after="0"/>
              <w:rPr>
                <w:sz w:val="24"/>
                <w:szCs w:val="24"/>
                <w:color w:val="auto"/>
              </w:rPr>
            </w:pPr>
          </w:p>
        </w:tc>
        <w:tc>
          <w:tcPr>
            <w:tcW w:w="418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&gt; 50% and &lt; 55%</w:t>
            </w:r>
          </w:p>
        </w:tc>
        <w:tc>
          <w:tcPr>
            <w:tcW w:w="24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2.05%</w:t>
            </w:r>
          </w:p>
        </w:tc>
        <w:tc>
          <w:tcPr>
            <w:tcW w:w="2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1.05%</w:t>
            </w:r>
          </w:p>
        </w:tc>
      </w:tr>
      <w:tr>
        <w:trPr>
          <w:trHeight w:val="42"/>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4060" w:type="dxa"/>
            <w:vAlign w:val="bottom"/>
            <w:tcBorders>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2960" w:type="dxa"/>
            <w:vAlign w:val="bottom"/>
            <w:tcBorders>
              <w:bottom w:val="single" w:sz="8" w:color="auto"/>
              <w:right w:val="single" w:sz="8" w:color="auto"/>
            </w:tcBorders>
          </w:tcPr>
          <w:p>
            <w:pPr>
              <w:spacing w:after="0"/>
              <w:rPr>
                <w:sz w:val="3"/>
                <w:szCs w:val="3"/>
                <w:color w:val="auto"/>
              </w:rPr>
            </w:pPr>
          </w:p>
        </w:tc>
      </w:tr>
      <w:tr>
        <w:trPr>
          <w:trHeight w:val="280"/>
        </w:trPr>
        <w:tc>
          <w:tcPr>
            <w:tcW w:w="14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V</w:t>
            </w:r>
          </w:p>
        </w:tc>
        <w:tc>
          <w:tcPr>
            <w:tcW w:w="420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&gt; 55%</w:t>
            </w:r>
          </w:p>
        </w:tc>
        <w:tc>
          <w:tcPr>
            <w:tcW w:w="24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2.35%</w:t>
            </w:r>
          </w:p>
        </w:tc>
        <w:tc>
          <w:tcPr>
            <w:tcW w:w="29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1.35%</w:t>
            </w:r>
          </w:p>
        </w:tc>
      </w:tr>
      <w:tr>
        <w:trPr>
          <w:trHeight w:val="42"/>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4060" w:type="dxa"/>
            <w:vAlign w:val="bottom"/>
            <w:tcBorders>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2960" w:type="dxa"/>
            <w:vAlign w:val="bottom"/>
            <w:tcBorders>
              <w:bottom w:val="single" w:sz="8" w:color="auto"/>
              <w:right w:val="single" w:sz="8" w:color="auto"/>
            </w:tcBorders>
          </w:tcPr>
          <w:p>
            <w:pPr>
              <w:spacing w:after="0"/>
              <w:rPr>
                <w:sz w:val="3"/>
                <w:szCs w:val="3"/>
                <w:color w:val="auto"/>
              </w:rPr>
            </w:pPr>
          </w:p>
        </w:tc>
      </w:tr>
    </w:tbl>
    <w:p>
      <w:pPr>
        <w:spacing w:after="0" w:line="19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and (b) from and after March 1, 2018:</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237"/>
        </w:trPr>
        <w:tc>
          <w:tcPr>
            <w:tcW w:w="16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Pricing</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140" w:type="dxa"/>
            <w:vAlign w:val="bottom"/>
            <w:tcBorders>
              <w:top w:val="single" w:sz="8" w:color="auto"/>
              <w:right w:val="single" w:sz="8" w:color="auto"/>
            </w:tcBorders>
          </w:tcPr>
          <w:p>
            <w:pPr>
              <w:spacing w:after="0"/>
              <w:rPr>
                <w:sz w:val="20"/>
                <w:szCs w:val="20"/>
                <w:color w:val="auto"/>
              </w:rPr>
            </w:pPr>
          </w:p>
        </w:tc>
        <w:tc>
          <w:tcPr>
            <w:tcW w:w="2440" w:type="dxa"/>
            <w:vAlign w:val="bottom"/>
            <w:tcBorders>
              <w:top w:val="single" w:sz="8" w:color="auto"/>
              <w:right w:val="single" w:sz="8" w:color="auto"/>
            </w:tcBorders>
          </w:tcPr>
          <w:p>
            <w:pPr>
              <w:spacing w:after="0"/>
              <w:rPr>
                <w:sz w:val="20"/>
                <w:szCs w:val="20"/>
                <w:color w:val="auto"/>
              </w:rPr>
            </w:pPr>
          </w:p>
        </w:tc>
        <w:tc>
          <w:tcPr>
            <w:tcW w:w="2900" w:type="dxa"/>
            <w:vAlign w:val="bottom"/>
            <w:tcBorders>
              <w:top w:val="single" w:sz="8" w:color="auto"/>
              <w:right w:val="single" w:sz="8" w:color="auto"/>
            </w:tcBorders>
          </w:tcPr>
          <w:p>
            <w:pPr>
              <w:spacing w:after="0"/>
              <w:rPr>
                <w:sz w:val="20"/>
                <w:szCs w:val="20"/>
                <w:color w:val="auto"/>
              </w:rPr>
            </w:pPr>
          </w:p>
        </w:tc>
      </w:tr>
      <w:tr>
        <w:trPr>
          <w:trHeight w:val="268"/>
        </w:trPr>
        <w:tc>
          <w:tcPr>
            <w:tcW w:w="1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Level</w:t>
            </w:r>
          </w:p>
        </w:tc>
        <w:tc>
          <w:tcPr>
            <w:tcW w:w="20" w:type="dxa"/>
            <w:vAlign w:val="bottom"/>
            <w:tcBorders>
              <w:bottom w:val="single" w:sz="8" w:color="auto"/>
            </w:tcBorders>
          </w:tcPr>
          <w:p>
            <w:pPr>
              <w:spacing w:after="0"/>
              <w:rPr>
                <w:sz w:val="23"/>
                <w:szCs w:val="23"/>
                <w:color w:val="auto"/>
              </w:rPr>
            </w:pPr>
          </w:p>
        </w:tc>
        <w:tc>
          <w:tcPr>
            <w:tcW w:w="42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0"/>
                <w:szCs w:val="20"/>
                <w:b w:val="1"/>
                <w:bCs w:val="1"/>
                <w:color w:val="auto"/>
              </w:rPr>
              <w:t>Consolidated Total Leverage Ratio</w:t>
            </w:r>
          </w:p>
        </w:tc>
        <w:tc>
          <w:tcPr>
            <w:tcW w:w="2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Eurodollar Rate Loans</w:t>
            </w:r>
          </w:p>
        </w:tc>
        <w:tc>
          <w:tcPr>
            <w:tcW w:w="2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Base Rate Loans</w:t>
            </w:r>
          </w:p>
        </w:tc>
      </w:tr>
      <w:tr>
        <w:trPr>
          <w:trHeight w:val="267"/>
        </w:trPr>
        <w:tc>
          <w:tcPr>
            <w:tcW w:w="1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w:t>
            </w:r>
          </w:p>
        </w:tc>
        <w:tc>
          <w:tcPr>
            <w:tcW w:w="42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&lt; 35%</w:t>
            </w:r>
          </w:p>
        </w:tc>
        <w:tc>
          <w:tcPr>
            <w:tcW w:w="2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1.20%</w:t>
            </w:r>
          </w:p>
        </w:tc>
        <w:tc>
          <w:tcPr>
            <w:tcW w:w="2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0.20%</w:t>
            </w:r>
          </w:p>
        </w:tc>
      </w:tr>
      <w:tr>
        <w:trPr>
          <w:trHeight w:val="287"/>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II</w:t>
            </w:r>
          </w:p>
        </w:tc>
        <w:tc>
          <w:tcPr>
            <w:tcW w:w="20" w:type="dxa"/>
            <w:vAlign w:val="bottom"/>
          </w:tcPr>
          <w:p>
            <w:pPr>
              <w:spacing w:after="0"/>
              <w:rPr>
                <w:sz w:val="24"/>
                <w:szCs w:val="24"/>
                <w:color w:val="auto"/>
              </w:rPr>
            </w:pPr>
          </w:p>
        </w:tc>
        <w:tc>
          <w:tcPr>
            <w:tcW w:w="42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&gt; 35% and &lt; 40%</w:t>
            </w:r>
          </w:p>
        </w:tc>
        <w:tc>
          <w:tcPr>
            <w:tcW w:w="2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1.30%</w:t>
            </w:r>
          </w:p>
        </w:tc>
        <w:tc>
          <w:tcPr>
            <w:tcW w:w="2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0.30%</w:t>
            </w:r>
          </w:p>
        </w:tc>
      </w:tr>
      <w:tr>
        <w:trPr>
          <w:trHeight w:val="42"/>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414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r>
      <w:tr>
        <w:trPr>
          <w:trHeight w:val="280"/>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III</w:t>
            </w:r>
          </w:p>
        </w:tc>
        <w:tc>
          <w:tcPr>
            <w:tcW w:w="20" w:type="dxa"/>
            <w:vAlign w:val="bottom"/>
          </w:tcPr>
          <w:p>
            <w:pPr>
              <w:spacing w:after="0"/>
              <w:rPr>
                <w:sz w:val="24"/>
                <w:szCs w:val="24"/>
                <w:color w:val="auto"/>
              </w:rPr>
            </w:pPr>
          </w:p>
        </w:tc>
        <w:tc>
          <w:tcPr>
            <w:tcW w:w="42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&gt; 40% and &lt; 45%</w:t>
            </w:r>
          </w:p>
        </w:tc>
        <w:tc>
          <w:tcPr>
            <w:tcW w:w="2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1.35%</w:t>
            </w:r>
          </w:p>
        </w:tc>
        <w:tc>
          <w:tcPr>
            <w:tcW w:w="2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0.35%</w:t>
            </w:r>
          </w:p>
        </w:tc>
      </w:tr>
      <w:tr>
        <w:trPr>
          <w:trHeight w:val="42"/>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414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r>
      <w:tr>
        <w:trPr>
          <w:trHeight w:val="280"/>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IV</w:t>
            </w:r>
          </w:p>
        </w:tc>
        <w:tc>
          <w:tcPr>
            <w:tcW w:w="20" w:type="dxa"/>
            <w:vAlign w:val="bottom"/>
          </w:tcPr>
          <w:p>
            <w:pPr>
              <w:spacing w:after="0"/>
              <w:rPr>
                <w:sz w:val="24"/>
                <w:szCs w:val="24"/>
                <w:color w:val="auto"/>
              </w:rPr>
            </w:pPr>
          </w:p>
        </w:tc>
        <w:tc>
          <w:tcPr>
            <w:tcW w:w="42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&gt; 45% and &lt; 50%</w:t>
            </w:r>
          </w:p>
        </w:tc>
        <w:tc>
          <w:tcPr>
            <w:tcW w:w="2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1.40%</w:t>
            </w:r>
          </w:p>
        </w:tc>
        <w:tc>
          <w:tcPr>
            <w:tcW w:w="2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0.40%</w:t>
            </w:r>
          </w:p>
        </w:tc>
      </w:tr>
      <w:tr>
        <w:trPr>
          <w:trHeight w:val="42"/>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414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r>
      <w:tr>
        <w:trPr>
          <w:trHeight w:val="280"/>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w:t>
            </w:r>
          </w:p>
        </w:tc>
        <w:tc>
          <w:tcPr>
            <w:tcW w:w="20" w:type="dxa"/>
            <w:vAlign w:val="bottom"/>
          </w:tcPr>
          <w:p>
            <w:pPr>
              <w:spacing w:after="0"/>
              <w:rPr>
                <w:sz w:val="24"/>
                <w:szCs w:val="24"/>
                <w:color w:val="auto"/>
              </w:rPr>
            </w:pPr>
          </w:p>
        </w:tc>
        <w:tc>
          <w:tcPr>
            <w:tcW w:w="42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&gt; 50% and &lt; 55%</w:t>
            </w:r>
          </w:p>
        </w:tc>
        <w:tc>
          <w:tcPr>
            <w:tcW w:w="2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1.50%</w:t>
            </w:r>
          </w:p>
        </w:tc>
        <w:tc>
          <w:tcPr>
            <w:tcW w:w="2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0.50%</w:t>
            </w:r>
          </w:p>
        </w:tc>
      </w:tr>
      <w:tr>
        <w:trPr>
          <w:trHeight w:val="42"/>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414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r>
      <w:tr>
        <w:trPr>
          <w:trHeight w:val="280"/>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VI</w:t>
            </w:r>
          </w:p>
        </w:tc>
        <w:tc>
          <w:tcPr>
            <w:tcW w:w="426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&gt; 55%</w:t>
            </w:r>
          </w:p>
        </w:tc>
        <w:tc>
          <w:tcPr>
            <w:tcW w:w="2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1.70%</w:t>
            </w:r>
          </w:p>
        </w:tc>
        <w:tc>
          <w:tcPr>
            <w:tcW w:w="2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0.70%</w:t>
            </w:r>
          </w:p>
        </w:tc>
      </w:tr>
      <w:tr>
        <w:trPr>
          <w:trHeight w:val="42"/>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414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r>
    </w:tbl>
    <w:p>
      <w:pPr>
        <w:spacing w:after="0" w:line="193" w:lineRule="exact"/>
        <w:rPr>
          <w:sz w:val="20"/>
          <w:szCs w:val="20"/>
          <w:color w:val="auto"/>
        </w:rPr>
      </w:pPr>
    </w:p>
    <w:p>
      <w:pPr>
        <w:jc w:val="both"/>
        <w:ind w:left="600" w:firstLine="600"/>
        <w:spacing w:after="0" w:line="252" w:lineRule="auto"/>
        <w:rPr>
          <w:sz w:val="20"/>
          <w:szCs w:val="20"/>
          <w:color w:val="auto"/>
        </w:rPr>
      </w:pPr>
      <w:r>
        <w:rPr>
          <w:rFonts w:ascii="Arial" w:cs="Arial" w:eastAsia="Arial" w:hAnsi="Arial"/>
          <w:sz w:val="20"/>
          <w:szCs w:val="20"/>
          <w:color w:val="auto"/>
        </w:rPr>
        <w:t xml:space="preserve">Any increase or decrease in the Leverage-Based Applicable Rate resulting from a change in the Consolidated Total Leverage Ratio shall become effective as of the first Business Day immediately following the date a Compliance Certificate is delivered pursuant to </w:t>
      </w:r>
      <w:r>
        <w:rPr>
          <w:rFonts w:ascii="Arial" w:cs="Arial" w:eastAsia="Arial" w:hAnsi="Arial"/>
          <w:sz w:val="20"/>
          <w:szCs w:val="20"/>
          <w:u w:val="single" w:color="auto"/>
          <w:color w:val="auto"/>
        </w:rPr>
        <w:t>Section 6.02(b)</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a Compliance Certificate is not delivered when due in accordance with such Section, then (x) prior to March 1, 2018, Pricing Level V and (y) from and after March 1, 2018, Pricing Level VI, as applicable, shall apply as of the first Business Day after the date on which such Compliance Certificate was required to have been delivered and shall remain in effect until the date on which</w:t>
      </w:r>
    </w:p>
    <w:p>
      <w:pPr>
        <w:sectPr>
          <w:pgSz w:w="11900" w:h="16838" w:orient="portrait"/>
          <w:cols w:equalWidth="0" w:num="1">
            <w:col w:w="11420"/>
          </w:cols>
          <w:pgMar w:left="240" w:top="358" w:right="239" w:bottom="1440" w:gutter="0" w:footer="0" w:header="0"/>
        </w:sectPr>
      </w:pPr>
    </w:p>
    <w:bookmarkStart w:id="215" w:name="page216"/>
    <w:bookmarkEnd w:id="215"/>
    <w:p>
      <w:pPr>
        <w:ind w:left="600"/>
        <w:spacing w:after="0"/>
        <w:rPr>
          <w:sz w:val="20"/>
          <w:szCs w:val="20"/>
          <w:color w:val="auto"/>
        </w:rPr>
      </w:pPr>
      <w:r>
        <w:rPr>
          <w:rFonts w:ascii="Arial" w:cs="Arial" w:eastAsia="Arial" w:hAnsi="Arial"/>
          <w:sz w:val="20"/>
          <w:szCs w:val="20"/>
          <w:color w:val="auto"/>
        </w:rPr>
        <w:t>such Compliance Certificate is delivered.</w:t>
      </w:r>
    </w:p>
    <w:p>
      <w:pPr>
        <w:spacing w:after="0" w:line="207" w:lineRule="exact"/>
        <w:rPr>
          <w:sz w:val="20"/>
          <w:szCs w:val="20"/>
          <w:color w:val="auto"/>
        </w:rPr>
      </w:pPr>
    </w:p>
    <w:p>
      <w:pPr>
        <w:jc w:val="both"/>
        <w:ind w:left="600" w:firstLine="600"/>
        <w:spacing w:after="0" w:line="253" w:lineRule="auto"/>
        <w:rPr>
          <w:sz w:val="20"/>
          <w:szCs w:val="20"/>
          <w:color w:val="auto"/>
        </w:rPr>
      </w:pPr>
      <w:r>
        <w:rPr>
          <w:rFonts w:ascii="Arial" w:cs="Arial" w:eastAsia="Arial" w:hAnsi="Arial"/>
          <w:sz w:val="20"/>
          <w:szCs w:val="20"/>
          <w:color w:val="auto"/>
        </w:rPr>
        <w:t xml:space="preserve">Notwithstanding anything to the contrary contained in this definition, (i) from the Closing Date to the date on which the Administrative Agent receives a Compliance Certificate pursuant to </w:t>
      </w:r>
      <w:r>
        <w:rPr>
          <w:rFonts w:ascii="Arial" w:cs="Arial" w:eastAsia="Arial" w:hAnsi="Arial"/>
          <w:sz w:val="20"/>
          <w:szCs w:val="20"/>
          <w:u w:val="single" w:color="auto"/>
          <w:color w:val="auto"/>
        </w:rPr>
        <w:t>Section 6.02(b)</w:t>
      </w:r>
      <w:r>
        <w:rPr>
          <w:rFonts w:ascii="Arial" w:cs="Arial" w:eastAsia="Arial" w:hAnsi="Arial"/>
          <w:sz w:val="20"/>
          <w:szCs w:val="20"/>
          <w:color w:val="auto"/>
        </w:rPr>
        <w:t xml:space="preserve"> for the fiscal quarter of the REIT ending March 31, 2016, the Pricing Level shall be determined based on the Consolidated Total Leverage Ratio as set forth in the Pro Forma Closing Date Compliance Certificate and (ii) the determination of the Leverage-Based Applicable Rate for any period shall be subject to the provisions of </w:t>
      </w:r>
      <w:r>
        <w:rPr>
          <w:rFonts w:ascii="Arial" w:cs="Arial" w:eastAsia="Arial" w:hAnsi="Arial"/>
          <w:sz w:val="20"/>
          <w:szCs w:val="20"/>
          <w:u w:val="single" w:color="auto"/>
          <w:color w:val="auto"/>
        </w:rPr>
        <w:t>Section 2.10(b)</w:t>
      </w:r>
      <w:r>
        <w:rPr>
          <w:rFonts w:ascii="Arial" w:cs="Arial" w:eastAsia="Arial" w:hAnsi="Arial"/>
          <w:sz w:val="20"/>
          <w:szCs w:val="20"/>
          <w:color w:val="auto"/>
        </w:rPr>
        <w:t>.</w:t>
      </w:r>
    </w:p>
    <w:p>
      <w:pPr>
        <w:spacing w:after="0" w:line="168" w:lineRule="exact"/>
        <w:rPr>
          <w:sz w:val="20"/>
          <w:szCs w:val="20"/>
          <w:color w:val="auto"/>
        </w:rPr>
      </w:pPr>
    </w:p>
    <w:p>
      <w:pPr>
        <w:ind w:right="880" w:firstLine="1199"/>
        <w:spacing w:after="0" w:line="279" w:lineRule="auto"/>
        <w:rPr>
          <w:sz w:val="20"/>
          <w:szCs w:val="20"/>
          <w:color w:val="auto"/>
        </w:rPr>
      </w:pPr>
      <w:r>
        <w:rPr>
          <w:rFonts w:ascii="Arial" w:cs="Arial" w:eastAsia="Arial" w:hAnsi="Arial"/>
          <w:sz w:val="20"/>
          <w:szCs w:val="20"/>
          <w:b w:val="1"/>
          <w:bCs w:val="1"/>
          <w:color w:val="auto"/>
        </w:rPr>
        <w:t xml:space="preserve">4.2 </w:t>
      </w:r>
      <w:r>
        <w:rPr>
          <w:rFonts w:ascii="Arial" w:cs="Arial" w:eastAsia="Arial" w:hAnsi="Arial"/>
          <w:sz w:val="20"/>
          <w:szCs w:val="20"/>
          <w:color w:val="auto"/>
        </w:rPr>
        <w:t>The definition of “</w:t>
      </w:r>
      <w:r>
        <w:rPr>
          <w:rFonts w:ascii="Arial" w:cs="Arial" w:eastAsia="Arial" w:hAnsi="Arial"/>
          <w:sz w:val="20"/>
          <w:szCs w:val="20"/>
          <w:u w:val="single" w:color="auto"/>
          <w:color w:val="auto"/>
        </w:rPr>
        <w:t>Ratings-Based Applicable Rate</w:t>
      </w:r>
      <w:r>
        <w:rPr>
          <w:rFonts w:ascii="Arial" w:cs="Arial" w:eastAsia="Arial" w:hAnsi="Arial"/>
          <w:sz w:val="20"/>
          <w:szCs w:val="20"/>
          <w:color w:val="auto"/>
        </w:rPr>
        <w:t>” contained in Section 1.01 of the Amended Term Loan</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is hereby amended and restated in its entirety as follows:</w:t>
      </w:r>
    </w:p>
    <w:p>
      <w:pPr>
        <w:spacing w:after="0" w:line="183" w:lineRule="exact"/>
        <w:rPr>
          <w:sz w:val="20"/>
          <w:szCs w:val="20"/>
          <w:color w:val="auto"/>
        </w:rPr>
      </w:pPr>
    </w:p>
    <w:p>
      <w:pPr>
        <w:ind w:left="600"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Ratings-Based Applicable Rate</w:t>
      </w:r>
      <w:r>
        <w:rPr>
          <w:rFonts w:ascii="Arial" w:cs="Arial" w:eastAsia="Arial" w:hAnsi="Arial"/>
          <w:sz w:val="20"/>
          <w:szCs w:val="20"/>
          <w:color w:val="auto"/>
        </w:rPr>
        <w:t>” means (a) the applicable percentages per annum determined, at any time, based on the range into which the Debt Ratings then fall, in accordance with the following table:</w:t>
      </w:r>
    </w:p>
    <w:p>
      <w:pPr>
        <w:spacing w:after="0" w:line="153" w:lineRule="exact"/>
        <w:rPr>
          <w:sz w:val="20"/>
          <w:szCs w:val="20"/>
          <w:color w:val="auto"/>
        </w:rPr>
      </w:pPr>
    </w:p>
    <w:p>
      <w:pPr>
        <w:ind w:left="2020" w:hanging="821"/>
        <w:spacing w:after="0"/>
        <w:tabs>
          <w:tab w:leader="none" w:pos="202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Prior to March 1, 2018:</w:t>
      </w:r>
    </w:p>
    <w:p>
      <w:pPr>
        <w:spacing w:after="0" w:line="119" w:lineRule="exact"/>
        <w:rPr>
          <w:sz w:val="20"/>
          <w:szCs w:val="20"/>
          <w:color w:val="auto"/>
        </w:rPr>
      </w:pPr>
    </w:p>
    <w:tbl>
      <w:tblPr>
        <w:tblLayout w:type="fixed"/>
        <w:tblInd w:w="230" w:type="dxa"/>
        <w:tblCellMar>
          <w:top w:w="0" w:type="dxa"/>
          <w:left w:w="0" w:type="dxa"/>
          <w:bottom w:w="0" w:type="dxa"/>
          <w:right w:w="0" w:type="dxa"/>
        </w:tblCellMar>
      </w:tblPr>
      <w:tr>
        <w:trPr>
          <w:trHeight w:val="280"/>
        </w:trPr>
        <w:tc>
          <w:tcPr>
            <w:tcW w:w="13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Pricing Level</w:t>
            </w:r>
          </w:p>
        </w:tc>
        <w:tc>
          <w:tcPr>
            <w:tcW w:w="47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Debt Ratings (S&amp;P and Fitch/Moody’s)</w:t>
            </w:r>
          </w:p>
        </w:tc>
        <w:tc>
          <w:tcPr>
            <w:tcW w:w="28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Eurodollar Rate Loans</w:t>
            </w:r>
          </w:p>
        </w:tc>
        <w:tc>
          <w:tcPr>
            <w:tcW w:w="21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Base Rate Loans</w:t>
            </w:r>
          </w:p>
        </w:tc>
      </w:tr>
      <w:tr>
        <w:trPr>
          <w:trHeight w:val="267"/>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w:t>
            </w:r>
          </w:p>
        </w:tc>
        <w:tc>
          <w:tcPr>
            <w:tcW w:w="4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 A- / A3</w:t>
            </w:r>
          </w:p>
        </w:tc>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1.50 %</w:t>
            </w:r>
          </w:p>
        </w:tc>
        <w:tc>
          <w:tcPr>
            <w:tcW w:w="2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0.50 %</w:t>
            </w:r>
          </w:p>
        </w:tc>
      </w:tr>
      <w:tr>
        <w:trPr>
          <w:trHeight w:val="267"/>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II</w:t>
            </w:r>
          </w:p>
        </w:tc>
        <w:tc>
          <w:tcPr>
            <w:tcW w:w="4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BBB+ / Baa1</w:t>
            </w:r>
          </w:p>
        </w:tc>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1.55 %</w:t>
            </w:r>
          </w:p>
        </w:tc>
        <w:tc>
          <w:tcPr>
            <w:tcW w:w="2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0.55 %</w:t>
            </w:r>
          </w:p>
        </w:tc>
      </w:tr>
      <w:tr>
        <w:trPr>
          <w:trHeight w:val="267"/>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III</w:t>
            </w:r>
          </w:p>
        </w:tc>
        <w:tc>
          <w:tcPr>
            <w:tcW w:w="4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BBB / Baa2</w:t>
            </w:r>
          </w:p>
        </w:tc>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1.65 %</w:t>
            </w:r>
          </w:p>
        </w:tc>
        <w:tc>
          <w:tcPr>
            <w:tcW w:w="2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0.65 %</w:t>
            </w:r>
          </w:p>
        </w:tc>
      </w:tr>
      <w:tr>
        <w:trPr>
          <w:trHeight w:val="267"/>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IV</w:t>
            </w:r>
          </w:p>
        </w:tc>
        <w:tc>
          <w:tcPr>
            <w:tcW w:w="4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BBB- / Baa3</w:t>
            </w:r>
          </w:p>
        </w:tc>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1.90 %</w:t>
            </w:r>
          </w:p>
        </w:tc>
        <w:tc>
          <w:tcPr>
            <w:tcW w:w="2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0.90 %</w:t>
            </w:r>
          </w:p>
        </w:tc>
      </w:tr>
      <w:tr>
        <w:trPr>
          <w:trHeight w:val="267"/>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V</w:t>
            </w:r>
          </w:p>
        </w:tc>
        <w:tc>
          <w:tcPr>
            <w:tcW w:w="4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&lt;BBB-/Baa3</w:t>
            </w:r>
          </w:p>
        </w:tc>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2.45%</w:t>
            </w:r>
          </w:p>
        </w:tc>
        <w:tc>
          <w:tcPr>
            <w:tcW w:w="2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1.45%</w:t>
            </w:r>
          </w:p>
        </w:tc>
      </w:tr>
    </w:tbl>
    <w:p>
      <w:pPr>
        <w:spacing w:after="0" w:line="193"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and (b) from and after March 1, 2018:</w:t>
      </w:r>
    </w:p>
    <w:p>
      <w:pPr>
        <w:spacing w:after="0" w:line="319" w:lineRule="exact"/>
        <w:rPr>
          <w:sz w:val="20"/>
          <w:szCs w:val="20"/>
          <w:color w:val="auto"/>
        </w:rPr>
      </w:pPr>
    </w:p>
    <w:tbl>
      <w:tblPr>
        <w:tblLayout w:type="fixed"/>
        <w:tblInd w:w="230" w:type="dxa"/>
        <w:tblCellMar>
          <w:top w:w="0" w:type="dxa"/>
          <w:left w:w="0" w:type="dxa"/>
          <w:bottom w:w="0" w:type="dxa"/>
          <w:right w:w="0" w:type="dxa"/>
        </w:tblCellMar>
      </w:tblPr>
      <w:tr>
        <w:trPr>
          <w:trHeight w:val="280"/>
        </w:trPr>
        <w:tc>
          <w:tcPr>
            <w:tcW w:w="13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Pricing Level</w:t>
            </w:r>
          </w:p>
        </w:tc>
        <w:tc>
          <w:tcPr>
            <w:tcW w:w="47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Debt Ratings (S&amp;P and Fitch/Moody’s)</w:t>
            </w:r>
          </w:p>
        </w:tc>
        <w:tc>
          <w:tcPr>
            <w:tcW w:w="28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Eurodollar Rate Loans</w:t>
            </w:r>
          </w:p>
        </w:tc>
        <w:tc>
          <w:tcPr>
            <w:tcW w:w="21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Base Rate Loans</w:t>
            </w:r>
          </w:p>
        </w:tc>
      </w:tr>
      <w:tr>
        <w:trPr>
          <w:trHeight w:val="267"/>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w:t>
            </w:r>
          </w:p>
        </w:tc>
        <w:tc>
          <w:tcPr>
            <w:tcW w:w="4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 A- / A3</w:t>
            </w:r>
          </w:p>
        </w:tc>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0.90 %</w:t>
            </w:r>
          </w:p>
        </w:tc>
        <w:tc>
          <w:tcPr>
            <w:tcW w:w="2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0.00%</w:t>
            </w:r>
          </w:p>
        </w:tc>
      </w:tr>
      <w:tr>
        <w:trPr>
          <w:trHeight w:val="267"/>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II</w:t>
            </w:r>
          </w:p>
        </w:tc>
        <w:tc>
          <w:tcPr>
            <w:tcW w:w="4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BBB+ / Baa1</w:t>
            </w:r>
          </w:p>
        </w:tc>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0.95%</w:t>
            </w:r>
          </w:p>
        </w:tc>
        <w:tc>
          <w:tcPr>
            <w:tcW w:w="2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0.00%</w:t>
            </w:r>
          </w:p>
        </w:tc>
      </w:tr>
      <w:tr>
        <w:trPr>
          <w:trHeight w:val="267"/>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III</w:t>
            </w:r>
          </w:p>
        </w:tc>
        <w:tc>
          <w:tcPr>
            <w:tcW w:w="4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BBB / Baa2</w:t>
            </w:r>
          </w:p>
        </w:tc>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1.10%</w:t>
            </w:r>
          </w:p>
        </w:tc>
        <w:tc>
          <w:tcPr>
            <w:tcW w:w="2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0.10%</w:t>
            </w:r>
          </w:p>
        </w:tc>
      </w:tr>
      <w:tr>
        <w:trPr>
          <w:trHeight w:val="267"/>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IV</w:t>
            </w:r>
          </w:p>
        </w:tc>
        <w:tc>
          <w:tcPr>
            <w:tcW w:w="4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BBB- / Baa3</w:t>
            </w:r>
          </w:p>
        </w:tc>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1.35%</w:t>
            </w:r>
          </w:p>
        </w:tc>
        <w:tc>
          <w:tcPr>
            <w:tcW w:w="2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0.35%</w:t>
            </w:r>
          </w:p>
        </w:tc>
      </w:tr>
      <w:tr>
        <w:trPr>
          <w:trHeight w:val="267"/>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V</w:t>
            </w:r>
          </w:p>
        </w:tc>
        <w:tc>
          <w:tcPr>
            <w:tcW w:w="4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&lt;BBB-/Baa3</w:t>
            </w:r>
          </w:p>
        </w:tc>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1.75%</w:t>
            </w:r>
          </w:p>
        </w:tc>
        <w:tc>
          <w:tcPr>
            <w:tcW w:w="2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0.75%</w:t>
            </w:r>
          </w:p>
        </w:tc>
      </w:tr>
    </w:tbl>
    <w:p>
      <w:pPr>
        <w:spacing w:after="0" w:line="193" w:lineRule="exact"/>
        <w:rPr>
          <w:sz w:val="20"/>
          <w:szCs w:val="20"/>
          <w:color w:val="auto"/>
        </w:rPr>
      </w:pPr>
    </w:p>
    <w:p>
      <w:pPr>
        <w:jc w:val="both"/>
        <w:ind w:left="600" w:firstLine="600"/>
        <w:spacing w:after="0" w:line="265" w:lineRule="auto"/>
        <w:rPr>
          <w:sz w:val="20"/>
          <w:szCs w:val="20"/>
          <w:color w:val="auto"/>
        </w:rPr>
      </w:pPr>
      <w:r>
        <w:rPr>
          <w:rFonts w:ascii="Arial" w:cs="Arial" w:eastAsia="Arial" w:hAnsi="Arial"/>
          <w:sz w:val="19"/>
          <w:szCs w:val="19"/>
          <w:color w:val="auto"/>
        </w:rPr>
        <w:t>If at any time the Borrower has only a Debt Rating either from S&amp;P or Moody’s, then the Ratings-Based Applicable Rate shall be the rate per annum that would be applicable in the above then applicable Pricing Grid to such Debt Rating. If at any time the Borrower has at least two (2) Debt Ratings, and such Debt Ratings are split, then: (A) if the difference between the highest of such Debt Ratings and the lowest of such Debt Ratings is one ratings category (e.g. Baa2 by Moody’s and BBB- by S&amp;P or Fitch), the Ratings-Based Applicable Rate shall be the rate per annum that would be applicable in the above then applicable Pricing Grid if the highest of the Debt Ratings were used; and (B) if the difference between the highest of such Debt Ratings and the lowest of such Debt Ratings is two ratings categories (e.g. Baa1 by Moody’s and BBB- by S&amp;P) or more, the Ratings-Based Applicable Rate shall be the rate per annum that would be applicable in the above then applicable Pricing Grid if the rating that is one lower than the highest of the applicable Debt Ratings were used.</w:t>
      </w:r>
    </w:p>
    <w:p>
      <w:pPr>
        <w:sectPr>
          <w:pgSz w:w="11900" w:h="16838" w:orient="portrait"/>
          <w:cols w:equalWidth="0" w:num="1">
            <w:col w:w="11420"/>
          </w:cols>
          <w:pgMar w:left="240" w:top="558" w:right="239" w:bottom="1440" w:gutter="0" w:footer="0" w:header="0"/>
        </w:sectPr>
      </w:pPr>
    </w:p>
    <w:bookmarkStart w:id="216" w:name="page217"/>
    <w:bookmarkEnd w:id="216"/>
    <w:p>
      <w:pPr>
        <w:jc w:val="both"/>
        <w:ind w:left="600"/>
        <w:spacing w:after="0" w:line="272" w:lineRule="auto"/>
        <w:rPr>
          <w:sz w:val="20"/>
          <w:szCs w:val="20"/>
          <w:color w:val="auto"/>
        </w:rPr>
      </w:pPr>
      <w:r>
        <w:rPr>
          <w:rFonts w:ascii="Arial" w:cs="Arial" w:eastAsia="Arial" w:hAnsi="Arial"/>
          <w:sz w:val="20"/>
          <w:szCs w:val="20"/>
          <w:color w:val="auto"/>
        </w:rPr>
        <w:t>If at any time the Borrower has no Debt Rating or has only a Debt Rating from Fitch, then the Ratings-Based Applicable Rate shall be the rate per annum that would be applicable to Pricing Level V in the above then applicable Pricing Grid.</w:t>
      </w:r>
    </w:p>
    <w:p>
      <w:pPr>
        <w:spacing w:after="0" w:line="153" w:lineRule="exact"/>
        <w:rPr>
          <w:sz w:val="20"/>
          <w:szCs w:val="20"/>
          <w:color w:val="auto"/>
        </w:rPr>
      </w:pPr>
    </w:p>
    <w:p>
      <w:pPr>
        <w:jc w:val="both"/>
        <w:ind w:left="600" w:firstLine="600"/>
        <w:spacing w:after="0" w:line="251" w:lineRule="auto"/>
        <w:rPr>
          <w:sz w:val="20"/>
          <w:szCs w:val="20"/>
          <w:color w:val="auto"/>
        </w:rPr>
      </w:pPr>
      <w:r>
        <w:rPr>
          <w:rFonts w:ascii="Arial" w:cs="Arial" w:eastAsia="Arial" w:hAnsi="Arial"/>
          <w:sz w:val="20"/>
          <w:szCs w:val="20"/>
          <w:color w:val="auto"/>
        </w:rPr>
        <w:t xml:space="preserve">Initially, the Ratings-Based Applicable Rate shall be determined based upon the Debt Ratings specified in the certificate delivered pursuant to clause (ii) of the definition of “Investment Grade Pricing Effective Date.” Thereafter, each change in the Ratings-Based Applicable Rate resulting from a publicly announced change in a Debt Rating shall be effective, in the case of an upgrade, during the period commencing on the date of delivery by the REIT to the Administrative Agent of notice thereof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6.03(e)</w:t>
      </w:r>
      <w:r>
        <w:rPr>
          <w:rFonts w:ascii="Arial" w:cs="Arial" w:eastAsia="Arial" w:hAnsi="Arial"/>
          <w:sz w:val="20"/>
          <w:szCs w:val="20"/>
          <w:color w:val="auto"/>
        </w:rPr>
        <w:t xml:space="preserve">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w:t>
      </w:r>
    </w:p>
    <w:p>
      <w:pPr>
        <w:spacing w:after="0" w:line="171" w:lineRule="exact"/>
        <w:rPr>
          <w:sz w:val="20"/>
          <w:szCs w:val="20"/>
          <w:color w:val="auto"/>
        </w:rPr>
      </w:pPr>
    </w:p>
    <w:p>
      <w:pPr>
        <w:ind w:firstLine="1199"/>
        <w:spacing w:after="0" w:line="279" w:lineRule="auto"/>
        <w:rPr>
          <w:sz w:val="20"/>
          <w:szCs w:val="20"/>
          <w:color w:val="auto"/>
        </w:rPr>
      </w:pPr>
      <w:r>
        <w:rPr>
          <w:rFonts w:ascii="Arial" w:cs="Arial" w:eastAsia="Arial" w:hAnsi="Arial"/>
          <w:sz w:val="20"/>
          <w:szCs w:val="20"/>
          <w:b w:val="1"/>
          <w:bCs w:val="1"/>
          <w:color w:val="auto"/>
        </w:rPr>
        <w:t xml:space="preserve">SECTION 5. </w:t>
      </w:r>
      <w:r>
        <w:rPr>
          <w:rFonts w:ascii="Arial" w:cs="Arial" w:eastAsia="Arial" w:hAnsi="Arial"/>
          <w:sz w:val="20"/>
          <w:szCs w:val="20"/>
          <w:b w:val="1"/>
          <w:bCs w:val="1"/>
          <w:u w:val="single" w:color="auto"/>
          <w:color w:val="auto"/>
        </w:rPr>
        <w:t>Conditions to Effectiveness</w:t>
      </w:r>
      <w:r>
        <w:rPr>
          <w:rFonts w:ascii="Arial" w:cs="Arial" w:eastAsia="Arial" w:hAnsi="Arial"/>
          <w:sz w:val="20"/>
          <w:szCs w:val="20"/>
          <w:color w:val="auto"/>
        </w:rPr>
        <w:t>. This Amendment shall not become effective until the date on which</w:t>
      </w:r>
      <w:r>
        <w:rPr>
          <w:rFonts w:ascii="Arial" w:cs="Arial" w:eastAsia="Arial" w:hAnsi="Arial"/>
          <w:sz w:val="20"/>
          <w:szCs w:val="20"/>
          <w:b w:val="1"/>
          <w:bCs w:val="1"/>
          <w:color w:val="auto"/>
        </w:rPr>
        <w:t xml:space="preserve"> </w:t>
      </w:r>
      <w:r>
        <w:rPr>
          <w:rFonts w:ascii="Arial" w:cs="Arial" w:eastAsia="Arial" w:hAnsi="Arial"/>
          <w:sz w:val="20"/>
          <w:szCs w:val="20"/>
          <w:color w:val="auto"/>
        </w:rPr>
        <w:t>the following conditions precedent shall have been satisfied (such date, the “</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w:t>
      </w:r>
    </w:p>
    <w:p>
      <w:pPr>
        <w:spacing w:after="0" w:line="183" w:lineRule="exact"/>
        <w:rPr>
          <w:sz w:val="20"/>
          <w:szCs w:val="20"/>
          <w:color w:val="auto"/>
        </w:rPr>
      </w:pPr>
    </w:p>
    <w:p>
      <w:pPr>
        <w:jc w:val="both"/>
        <w:ind w:left="600" w:firstLine="599"/>
        <w:spacing w:after="0" w:line="260" w:lineRule="auto"/>
        <w:tabs>
          <w:tab w:leader="none" w:pos="2021" w:val="left"/>
        </w:tabs>
        <w:numPr>
          <w:ilvl w:val="0"/>
          <w:numId w:val="262"/>
        </w:numPr>
        <w:rPr>
          <w:rFonts w:ascii="Arial" w:cs="Arial" w:eastAsia="Arial" w:hAnsi="Arial"/>
          <w:sz w:val="20"/>
          <w:szCs w:val="20"/>
          <w:color w:val="auto"/>
        </w:rPr>
      </w:pPr>
      <w:r>
        <w:rPr>
          <w:rFonts w:ascii="Arial" w:cs="Arial" w:eastAsia="Arial" w:hAnsi="Arial"/>
          <w:sz w:val="20"/>
          <w:szCs w:val="20"/>
          <w:color w:val="auto"/>
        </w:rPr>
        <w:t>The Administrative Agent shall have received, each dated as of the date hereof (or, in the case of certificates of governmental officials, a recent date before the date hereof) and each in form and substance reasonably satisfactory to the Administrative Agent and each of the Lenders:</w:t>
      </w:r>
    </w:p>
    <w:p>
      <w:pPr>
        <w:spacing w:after="0" w:line="201" w:lineRule="exact"/>
        <w:rPr>
          <w:rFonts w:ascii="Arial" w:cs="Arial" w:eastAsia="Arial" w:hAnsi="Arial"/>
          <w:sz w:val="20"/>
          <w:szCs w:val="20"/>
          <w:color w:val="auto"/>
        </w:rPr>
      </w:pPr>
    </w:p>
    <w:p>
      <w:pPr>
        <w:ind w:left="2400" w:hanging="602"/>
        <w:spacing w:after="0" w:line="272" w:lineRule="auto"/>
        <w:tabs>
          <w:tab w:leader="none" w:pos="2400" w:val="left"/>
        </w:tabs>
        <w:numPr>
          <w:ilvl w:val="1"/>
          <w:numId w:val="262"/>
        </w:numPr>
        <w:rPr>
          <w:rFonts w:ascii="Arial" w:cs="Arial" w:eastAsia="Arial" w:hAnsi="Arial"/>
          <w:sz w:val="20"/>
          <w:szCs w:val="20"/>
          <w:color w:val="auto"/>
        </w:rPr>
      </w:pPr>
      <w:r>
        <w:rPr>
          <w:rFonts w:ascii="Arial" w:cs="Arial" w:eastAsia="Arial" w:hAnsi="Arial"/>
          <w:sz w:val="20"/>
          <w:szCs w:val="20"/>
          <w:color w:val="auto"/>
        </w:rPr>
        <w:t>counterparts of this Amendment duly executed by each of the Borrower, the REIT, the Administrative Agent and the Lenders;</w:t>
      </w:r>
    </w:p>
    <w:p>
      <w:pPr>
        <w:spacing w:after="0" w:line="190" w:lineRule="exact"/>
        <w:rPr>
          <w:rFonts w:ascii="Arial" w:cs="Arial" w:eastAsia="Arial" w:hAnsi="Arial"/>
          <w:sz w:val="20"/>
          <w:szCs w:val="20"/>
          <w:color w:val="auto"/>
        </w:rPr>
      </w:pPr>
    </w:p>
    <w:p>
      <w:pPr>
        <w:jc w:val="both"/>
        <w:ind w:left="2400" w:hanging="602"/>
        <w:spacing w:after="0" w:line="293" w:lineRule="auto"/>
        <w:tabs>
          <w:tab w:leader="none" w:pos="24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such certificates of resolutions or other action, incumbency certificates and/or other certificates of Responsible Officers of the Borrower and the REIT as the Administrative Agent may reasonably require evidencing the identity, authority and capacity of each Responsible Officer thereof authorized to act as a Responsible Officer in connection with this Amendment and the other Loan Documents to which such Loan Party is a party;</w:t>
      </w:r>
    </w:p>
    <w:p>
      <w:pPr>
        <w:spacing w:after="0" w:line="175" w:lineRule="exact"/>
        <w:rPr>
          <w:rFonts w:ascii="Arial" w:cs="Arial" w:eastAsia="Arial" w:hAnsi="Arial"/>
          <w:sz w:val="18"/>
          <w:szCs w:val="18"/>
          <w:color w:val="auto"/>
        </w:rPr>
      </w:pPr>
    </w:p>
    <w:p>
      <w:pPr>
        <w:jc w:val="both"/>
        <w:ind w:left="2400" w:hanging="602"/>
        <w:spacing w:after="0" w:line="302" w:lineRule="auto"/>
        <w:tabs>
          <w:tab w:leader="none" w:pos="24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such documents and certifications as the Administrative Agent may reasonably require to evidence that each of the Borrower and the REIT is duly organized or formed, and each of the Borrower and the REIT is validly existing, in good standing and qualified to engage in business in its jurisdiction of incorporation or organization;</w:t>
      </w:r>
    </w:p>
    <w:p>
      <w:pPr>
        <w:spacing w:after="0" w:line="167" w:lineRule="exact"/>
        <w:rPr>
          <w:rFonts w:ascii="Arial" w:cs="Arial" w:eastAsia="Arial" w:hAnsi="Arial"/>
          <w:sz w:val="18"/>
          <w:szCs w:val="18"/>
          <w:color w:val="auto"/>
        </w:rPr>
      </w:pPr>
    </w:p>
    <w:p>
      <w:pPr>
        <w:jc w:val="both"/>
        <w:ind w:left="2400" w:hanging="602"/>
        <w:spacing w:after="0" w:line="260" w:lineRule="auto"/>
        <w:tabs>
          <w:tab w:leader="none" w:pos="2400" w:val="left"/>
        </w:tabs>
        <w:numPr>
          <w:ilvl w:val="1"/>
          <w:numId w:val="262"/>
        </w:numPr>
        <w:rPr>
          <w:rFonts w:ascii="Arial" w:cs="Arial" w:eastAsia="Arial" w:hAnsi="Arial"/>
          <w:sz w:val="20"/>
          <w:szCs w:val="20"/>
          <w:color w:val="auto"/>
        </w:rPr>
      </w:pPr>
      <w:r>
        <w:rPr>
          <w:rFonts w:ascii="Arial" w:cs="Arial" w:eastAsia="Arial" w:hAnsi="Arial"/>
          <w:sz w:val="20"/>
          <w:szCs w:val="20"/>
          <w:color w:val="auto"/>
        </w:rPr>
        <w:t>a favorable opinion of Latham &amp; Watkins LLP, counsel to the Borrower and the REIT, addressed to the Administrative Agent and each Lender, as to such matters concerning the Borrower and the REIT and the Loan Documents as the Administrative Agent may reasonably request;</w:t>
      </w:r>
    </w:p>
    <w:p>
      <w:pPr>
        <w:spacing w:after="0" w:line="201" w:lineRule="exact"/>
        <w:rPr>
          <w:rFonts w:ascii="Arial" w:cs="Arial" w:eastAsia="Arial" w:hAnsi="Arial"/>
          <w:sz w:val="20"/>
          <w:szCs w:val="20"/>
          <w:color w:val="auto"/>
        </w:rPr>
      </w:pPr>
    </w:p>
    <w:p>
      <w:pPr>
        <w:jc w:val="both"/>
        <w:ind w:left="2400" w:hanging="602"/>
        <w:spacing w:after="0" w:line="260" w:lineRule="auto"/>
        <w:tabs>
          <w:tab w:leader="none" w:pos="2400" w:val="left"/>
        </w:tabs>
        <w:numPr>
          <w:ilvl w:val="1"/>
          <w:numId w:val="262"/>
        </w:numPr>
        <w:rPr>
          <w:rFonts w:ascii="Arial" w:cs="Arial" w:eastAsia="Arial" w:hAnsi="Arial"/>
          <w:sz w:val="20"/>
          <w:szCs w:val="20"/>
          <w:color w:val="auto"/>
        </w:rPr>
      </w:pPr>
      <w:r>
        <w:rPr>
          <w:rFonts w:ascii="Arial" w:cs="Arial" w:eastAsia="Arial" w:hAnsi="Arial"/>
          <w:sz w:val="20"/>
          <w:szCs w:val="20"/>
          <w:color w:val="auto"/>
        </w:rPr>
        <w:t>a favorable opinion of in-house counsel to the Borrower and the REIT, addressed to the Administrative Agent and each Lender, as to such matters concerning the Borrower and the REIT and the Loan Documents as the Administrative Agent may reasonably request;</w:t>
      </w:r>
    </w:p>
    <w:p>
      <w:pPr>
        <w:spacing w:after="0" w:line="201" w:lineRule="exact"/>
        <w:rPr>
          <w:rFonts w:ascii="Arial" w:cs="Arial" w:eastAsia="Arial" w:hAnsi="Arial"/>
          <w:sz w:val="20"/>
          <w:szCs w:val="20"/>
          <w:color w:val="auto"/>
        </w:rPr>
      </w:pPr>
    </w:p>
    <w:p>
      <w:pPr>
        <w:ind w:left="2400" w:hanging="602"/>
        <w:spacing w:after="0"/>
        <w:tabs>
          <w:tab w:leader="none" w:pos="2400" w:val="left"/>
        </w:tabs>
        <w:numPr>
          <w:ilvl w:val="1"/>
          <w:numId w:val="262"/>
        </w:numPr>
        <w:rPr>
          <w:rFonts w:ascii="Arial" w:cs="Arial" w:eastAsia="Arial" w:hAnsi="Arial"/>
          <w:sz w:val="20"/>
          <w:szCs w:val="20"/>
          <w:color w:val="auto"/>
        </w:rPr>
      </w:pPr>
      <w:r>
        <w:rPr>
          <w:rFonts w:ascii="Arial" w:cs="Arial" w:eastAsia="Arial" w:hAnsi="Arial"/>
          <w:sz w:val="20"/>
          <w:szCs w:val="20"/>
          <w:color w:val="auto"/>
        </w:rPr>
        <w:t>a favorable opinion of Venable LLP, local counsel to the Borrower and the</w:t>
      </w:r>
    </w:p>
    <w:p>
      <w:pPr>
        <w:sectPr>
          <w:pgSz w:w="11900" w:h="16838" w:orient="portrait"/>
          <w:cols w:equalWidth="0" w:num="1">
            <w:col w:w="11420"/>
          </w:cols>
          <w:pgMar w:left="240" w:top="558" w:right="239" w:bottom="1440" w:gutter="0" w:footer="0" w:header="0"/>
        </w:sectPr>
      </w:pPr>
    </w:p>
    <w:bookmarkStart w:id="217" w:name="page218"/>
    <w:bookmarkEnd w:id="217"/>
    <w:p>
      <w:pPr>
        <w:ind w:left="2400"/>
        <w:spacing w:after="0" w:line="299" w:lineRule="auto"/>
        <w:rPr>
          <w:sz w:val="20"/>
          <w:szCs w:val="20"/>
          <w:color w:val="auto"/>
        </w:rPr>
      </w:pPr>
      <w:r>
        <w:rPr>
          <w:rFonts w:ascii="Arial" w:cs="Arial" w:eastAsia="Arial" w:hAnsi="Arial"/>
          <w:sz w:val="19"/>
          <w:szCs w:val="19"/>
          <w:color w:val="auto"/>
        </w:rPr>
        <w:t>REIT in Maryland, addressed to the Administrative Agent and each Lender, as to such matters concerning the Borrower and the REIT and the Loan Documents as the Administrative Agent may reasonably request;</w:t>
      </w:r>
    </w:p>
    <w:p>
      <w:pPr>
        <w:spacing w:after="0" w:line="168" w:lineRule="exact"/>
        <w:rPr>
          <w:sz w:val="20"/>
          <w:szCs w:val="20"/>
          <w:color w:val="auto"/>
        </w:rPr>
      </w:pPr>
    </w:p>
    <w:p>
      <w:pPr>
        <w:jc w:val="both"/>
        <w:ind w:left="2400" w:hanging="602"/>
        <w:spacing w:after="0" w:line="253" w:lineRule="auto"/>
        <w:tabs>
          <w:tab w:leader="none" w:pos="2400" w:val="left"/>
        </w:tabs>
        <w:numPr>
          <w:ilvl w:val="1"/>
          <w:numId w:val="263"/>
        </w:numPr>
        <w:rPr>
          <w:rFonts w:ascii="Arial" w:cs="Arial" w:eastAsia="Arial" w:hAnsi="Arial"/>
          <w:sz w:val="20"/>
          <w:szCs w:val="20"/>
          <w:color w:val="auto"/>
        </w:rPr>
      </w:pPr>
      <w:r>
        <w:rPr>
          <w:rFonts w:ascii="Arial" w:cs="Arial" w:eastAsia="Arial" w:hAnsi="Arial"/>
          <w:sz w:val="20"/>
          <w:szCs w:val="20"/>
          <w:color w:val="auto"/>
        </w:rPr>
        <w:t>a certificate of a Responsible Officer of each of the Borrower and the REIT either (A) attaching copies of all consents, licenses and approvals required in connection with the execution, delivery and performance by such Loan Party and the validity against such Loan Party of the Loan Documents to which it is a party, and such consents, licenses and approvals shall be in full force and effect, or (B) stating that no such consents, licenses or approvals are so required;</w:t>
      </w:r>
    </w:p>
    <w:p>
      <w:pPr>
        <w:spacing w:after="0" w:line="211" w:lineRule="exact"/>
        <w:rPr>
          <w:rFonts w:ascii="Arial" w:cs="Arial" w:eastAsia="Arial" w:hAnsi="Arial"/>
          <w:sz w:val="20"/>
          <w:szCs w:val="20"/>
          <w:color w:val="auto"/>
        </w:rPr>
      </w:pPr>
    </w:p>
    <w:p>
      <w:pPr>
        <w:jc w:val="both"/>
        <w:ind w:left="2400" w:hanging="602"/>
        <w:spacing w:after="0" w:line="286" w:lineRule="auto"/>
        <w:tabs>
          <w:tab w:leader="none" w:pos="240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 certificate signed by a Responsible Officer of the Borrower certifying that (1) the conditions specified in this Section 5 have been satisfied (other than those conditions contingent upon the satisfaction of the Administrative Agent and/or the Lenders with respect to certain items received by them under this Section 5) and (2) no action, suit, investigation or proceeding is pending or, to the knowledge of any Loan Party, threatened in any court or before any arbitrator or Governmental Authority related to the credit facility being provided under the Amended Term Loan Agreement or that could reasonably be expected to have a Material Adverse Effect;</w:t>
      </w:r>
    </w:p>
    <w:p>
      <w:pPr>
        <w:spacing w:after="0" w:line="181" w:lineRule="exact"/>
        <w:rPr>
          <w:rFonts w:ascii="Arial" w:cs="Arial" w:eastAsia="Arial" w:hAnsi="Arial"/>
          <w:sz w:val="18"/>
          <w:szCs w:val="18"/>
          <w:color w:val="auto"/>
        </w:rPr>
      </w:pPr>
    </w:p>
    <w:p>
      <w:pPr>
        <w:ind w:left="2400" w:hanging="602"/>
        <w:spacing w:after="0" w:line="272" w:lineRule="auto"/>
        <w:tabs>
          <w:tab w:leader="none" w:pos="2400" w:val="left"/>
        </w:tabs>
        <w:numPr>
          <w:ilvl w:val="1"/>
          <w:numId w:val="263"/>
        </w:numPr>
        <w:rPr>
          <w:rFonts w:ascii="Arial" w:cs="Arial" w:eastAsia="Arial" w:hAnsi="Arial"/>
          <w:sz w:val="20"/>
          <w:szCs w:val="20"/>
          <w:color w:val="auto"/>
        </w:rPr>
      </w:pPr>
      <w:r>
        <w:rPr>
          <w:rFonts w:ascii="Arial" w:cs="Arial" w:eastAsia="Arial" w:hAnsi="Arial"/>
          <w:sz w:val="20"/>
          <w:szCs w:val="20"/>
          <w:color w:val="auto"/>
        </w:rPr>
        <w:t>a duly completed pro forma Compliance Certificate as of the date hereof, signed by a Responsible Officer of Borrower; and</w:t>
      </w:r>
    </w:p>
    <w:p>
      <w:pPr>
        <w:spacing w:after="0" w:line="190" w:lineRule="exact"/>
        <w:rPr>
          <w:rFonts w:ascii="Arial" w:cs="Arial" w:eastAsia="Arial" w:hAnsi="Arial"/>
          <w:sz w:val="20"/>
          <w:szCs w:val="20"/>
          <w:color w:val="auto"/>
        </w:rPr>
      </w:pPr>
    </w:p>
    <w:p>
      <w:pPr>
        <w:jc w:val="both"/>
        <w:ind w:left="2400" w:hanging="602"/>
        <w:spacing w:after="0" w:line="260" w:lineRule="auto"/>
        <w:tabs>
          <w:tab w:leader="none" w:pos="2400" w:val="left"/>
        </w:tabs>
        <w:numPr>
          <w:ilvl w:val="1"/>
          <w:numId w:val="263"/>
        </w:numPr>
        <w:rPr>
          <w:rFonts w:ascii="Arial" w:cs="Arial" w:eastAsia="Arial" w:hAnsi="Arial"/>
          <w:sz w:val="20"/>
          <w:szCs w:val="20"/>
          <w:color w:val="auto"/>
        </w:rPr>
      </w:pPr>
      <w:r>
        <w:rPr>
          <w:rFonts w:ascii="Arial" w:cs="Arial" w:eastAsia="Arial" w:hAnsi="Arial"/>
          <w:sz w:val="20"/>
          <w:szCs w:val="20"/>
          <w:color w:val="auto"/>
        </w:rPr>
        <w:t>evidence reasonably satisfactory to the Administrative Agent that the Revolving Credit Agreement (as defined in the Amended Term Loan Agreement) shall be effective prior to or substantially concurrently with the effectiveness of this Amendment.</w:t>
      </w:r>
    </w:p>
    <w:p>
      <w:pPr>
        <w:spacing w:after="0" w:line="201" w:lineRule="exact"/>
        <w:rPr>
          <w:rFonts w:ascii="Arial" w:cs="Arial" w:eastAsia="Arial" w:hAnsi="Arial"/>
          <w:sz w:val="20"/>
          <w:szCs w:val="20"/>
          <w:color w:val="auto"/>
        </w:rPr>
      </w:pPr>
    </w:p>
    <w:p>
      <w:pPr>
        <w:ind w:left="600" w:firstLine="599"/>
        <w:spacing w:after="0" w:line="329" w:lineRule="auto"/>
        <w:tabs>
          <w:tab w:leader="none" w:pos="203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All fees required to be paid to the Administrative Agent and the Arrangers on or before the date of this Amendment shall have been paid and (ii) all fees required to be paid to the Lenders on or before the date of this Amendment shall have been paid.</w:t>
      </w:r>
    </w:p>
    <w:p>
      <w:pPr>
        <w:spacing w:after="0" w:line="144" w:lineRule="exact"/>
        <w:rPr>
          <w:rFonts w:ascii="Arial" w:cs="Arial" w:eastAsia="Arial" w:hAnsi="Arial"/>
          <w:sz w:val="18"/>
          <w:szCs w:val="18"/>
          <w:color w:val="auto"/>
        </w:rPr>
      </w:pPr>
    </w:p>
    <w:p>
      <w:pPr>
        <w:ind w:left="600" w:firstLine="599"/>
        <w:spacing w:after="0" w:line="272" w:lineRule="auto"/>
        <w:tabs>
          <w:tab w:leader="none" w:pos="2021" w:val="left"/>
        </w:tabs>
        <w:numPr>
          <w:ilvl w:val="0"/>
          <w:numId w:val="264"/>
        </w:numPr>
        <w:rPr>
          <w:rFonts w:ascii="Arial" w:cs="Arial" w:eastAsia="Arial" w:hAnsi="Arial"/>
          <w:sz w:val="20"/>
          <w:szCs w:val="20"/>
          <w:color w:val="auto"/>
        </w:rPr>
      </w:pPr>
      <w:r>
        <w:rPr>
          <w:rFonts w:ascii="Arial" w:cs="Arial" w:eastAsia="Arial" w:hAnsi="Arial"/>
          <w:sz w:val="20"/>
          <w:szCs w:val="20"/>
          <w:color w:val="auto"/>
        </w:rPr>
        <w:t>There shall not have occurred since December 31, 2016 any event or condition that has had or could reasonably be expected, either individually or in the aggregate, to have a Material Adverse Effect.</w:t>
      </w:r>
    </w:p>
    <w:p>
      <w:pPr>
        <w:spacing w:after="0" w:line="190" w:lineRule="exact"/>
        <w:rPr>
          <w:rFonts w:ascii="Arial" w:cs="Arial" w:eastAsia="Arial" w:hAnsi="Arial"/>
          <w:sz w:val="20"/>
          <w:szCs w:val="20"/>
          <w:color w:val="auto"/>
        </w:rPr>
      </w:pPr>
    </w:p>
    <w:p>
      <w:pPr>
        <w:jc w:val="both"/>
        <w:ind w:left="600" w:firstLine="599"/>
        <w:spacing w:after="0" w:line="267" w:lineRule="auto"/>
        <w:tabs>
          <w:tab w:leader="none" w:pos="2032" w:val="left"/>
        </w:tabs>
        <w:numPr>
          <w:ilvl w:val="0"/>
          <w:numId w:val="264"/>
        </w:numPr>
        <w:rPr>
          <w:rFonts w:ascii="Arial" w:cs="Arial" w:eastAsia="Arial" w:hAnsi="Arial"/>
          <w:sz w:val="19"/>
          <w:szCs w:val="19"/>
          <w:color w:val="auto"/>
        </w:rPr>
      </w:pPr>
      <w:r>
        <w:rPr>
          <w:rFonts w:ascii="Arial" w:cs="Arial" w:eastAsia="Arial" w:hAnsi="Arial"/>
          <w:sz w:val="19"/>
          <w:szCs w:val="19"/>
          <w:color w:val="auto"/>
        </w:rPr>
        <w:t>Unless waived by the Administrative Agent, the Borrower shall have paid all reasonable and documented fees, charges and disbursements of counsel to the Administrative Agent (directly to such counsel if requested by the Administrative Agent) (limited to the fees and expenses of one primary counsel, one specialty counsel in each specialty and one local counsel in each local jurisdiction) to the extent invoiced prior to or on the second Business Day prior to the date of this Amendment, plus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the Borrower and the Administrative Agent).</w:t>
      </w:r>
    </w:p>
    <w:p>
      <w:pPr>
        <w:spacing w:after="0" w:line="191" w:lineRule="exact"/>
        <w:rPr>
          <w:sz w:val="20"/>
          <w:szCs w:val="20"/>
          <w:color w:val="auto"/>
        </w:rPr>
      </w:pPr>
    </w:p>
    <w:p>
      <w:pPr>
        <w:ind w:firstLine="1199"/>
        <w:spacing w:after="0" w:line="279" w:lineRule="auto"/>
        <w:rPr>
          <w:sz w:val="20"/>
          <w:szCs w:val="20"/>
          <w:color w:val="auto"/>
        </w:rPr>
      </w:pPr>
      <w:r>
        <w:rPr>
          <w:rFonts w:ascii="Arial" w:cs="Arial" w:eastAsia="Arial" w:hAnsi="Arial"/>
          <w:sz w:val="20"/>
          <w:szCs w:val="20"/>
          <w:b w:val="1"/>
          <w:bCs w:val="1"/>
          <w:color w:val="auto"/>
        </w:rPr>
        <w:t xml:space="preserve">SECTION 6. </w:t>
      </w:r>
      <w:r>
        <w:rPr>
          <w:rFonts w:ascii="Arial" w:cs="Arial" w:eastAsia="Arial" w:hAnsi="Arial"/>
          <w:sz w:val="20"/>
          <w:szCs w:val="20"/>
          <w:b w:val="1"/>
          <w:bCs w:val="1"/>
          <w:u w:val="single" w:color="auto"/>
          <w:color w:val="auto"/>
        </w:rPr>
        <w:t>Representations and Warranties</w:t>
      </w:r>
      <w:r>
        <w:rPr>
          <w:rFonts w:ascii="Arial" w:cs="Arial" w:eastAsia="Arial" w:hAnsi="Arial"/>
          <w:sz w:val="20"/>
          <w:szCs w:val="20"/>
          <w:color w:val="auto"/>
        </w:rPr>
        <w:t>. Each of the Borrower and the REIT reaffirms and restates the</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representations and warranties made by it in the Term Loan Agreement, and the</w:t>
      </w:r>
    </w:p>
    <w:p>
      <w:pPr>
        <w:sectPr>
          <w:pgSz w:w="11900" w:h="16838" w:orient="portrait"/>
          <w:cols w:equalWidth="0" w:num="1">
            <w:col w:w="11420"/>
          </w:cols>
          <w:pgMar w:left="240" w:top="358" w:right="239" w:bottom="1440" w:gutter="0" w:footer="0" w:header="0"/>
        </w:sectPr>
      </w:pPr>
    </w:p>
    <w:bookmarkStart w:id="218" w:name="page219"/>
    <w:bookmarkEnd w:id="218"/>
    <w:p>
      <w:pPr>
        <w:jc w:val="both"/>
        <w:spacing w:after="0" w:line="278" w:lineRule="auto"/>
        <w:rPr>
          <w:sz w:val="20"/>
          <w:szCs w:val="20"/>
          <w:color w:val="auto"/>
        </w:rPr>
      </w:pPr>
      <w:r>
        <w:rPr>
          <w:rFonts w:ascii="Arial" w:cs="Arial" w:eastAsia="Arial" w:hAnsi="Arial"/>
          <w:sz w:val="18"/>
          <w:szCs w:val="18"/>
          <w:color w:val="auto"/>
        </w:rPr>
        <w:t>other Loan Documents, in each case, after giving effect to the amendments to the Term Loan Agreement and the Amended Term Loan Agreement contemplated hereby, and all such representations and warranties are true and correct in all material respects on the date of this Amendment (or, in the case of the amendments set forth in Section 4 above, on March 1, 2018) with the same force and effect as if made on such date (except to the extent (i) such representations and warranties expressly relate to an earlier date, in which case such representations and warranties shall be true and correct as of such earlier date, (ii) any representation or warranty that is already by its terms qualified as to “materiality”, “Material Adverse Effect” or similar language shall be true and correct in all respects after giving effect to such qualification,</w:t>
      </w:r>
    </w:p>
    <w:p>
      <w:pPr>
        <w:spacing w:after="0" w:line="1" w:lineRule="exact"/>
        <w:rPr>
          <w:sz w:val="20"/>
          <w:szCs w:val="20"/>
          <w:color w:val="auto"/>
        </w:rPr>
      </w:pPr>
    </w:p>
    <w:p>
      <w:pPr>
        <w:jc w:val="both"/>
        <w:spacing w:after="0" w:line="249" w:lineRule="auto"/>
        <w:tabs>
          <w:tab w:leader="none" w:pos="356" w:val="left"/>
        </w:tabs>
        <w:numPr>
          <w:ilvl w:val="0"/>
          <w:numId w:val="265"/>
        </w:numPr>
        <w:rPr>
          <w:rFonts w:ascii="Arial" w:cs="Arial" w:eastAsia="Arial" w:hAnsi="Arial"/>
          <w:sz w:val="20"/>
          <w:szCs w:val="20"/>
          <w:color w:val="auto"/>
        </w:rPr>
      </w:pPr>
      <w:r>
        <w:rPr>
          <w:rFonts w:ascii="Arial" w:cs="Arial" w:eastAsia="Arial" w:hAnsi="Arial"/>
          <w:sz w:val="20"/>
          <w:szCs w:val="20"/>
          <w:color w:val="auto"/>
        </w:rPr>
        <w:t>each reference to the “Closing Date” or “date hereof” or phrase of like import therein shall mean the Amendment Effective Date and (iv) the representations and warranties contained in subsections (a) and (b) of Section 5.05 of the Term Loan Agreement or the Amended Term Loan Agreement, as applicable, shall be deemed to refer to the most recent statements furnished pursuant to clauses (a) and (b), respectively, of Section 6.01 of the Term Loan Agreement or the Amended Term Loan Agreement, as applicable). Each of the Borrower and the REIT additionally represents and warrants (which representations and warranties shall survive the execution and delivery hereof) to the Administrative Agent and the Lenders that:</w:t>
      </w:r>
    </w:p>
    <w:p>
      <w:pPr>
        <w:spacing w:after="0" w:line="213" w:lineRule="exact"/>
        <w:rPr>
          <w:rFonts w:ascii="Arial" w:cs="Arial" w:eastAsia="Arial" w:hAnsi="Arial"/>
          <w:sz w:val="20"/>
          <w:szCs w:val="20"/>
          <w:color w:val="auto"/>
        </w:rPr>
      </w:pPr>
    </w:p>
    <w:p>
      <w:pPr>
        <w:jc w:val="both"/>
        <w:ind w:left="600" w:firstLine="599"/>
        <w:spacing w:after="0" w:line="260" w:lineRule="auto"/>
        <w:tabs>
          <w:tab w:leader="none" w:pos="2021" w:val="left"/>
        </w:tabs>
        <w:numPr>
          <w:ilvl w:val="1"/>
          <w:numId w:val="265"/>
        </w:numPr>
        <w:rPr>
          <w:rFonts w:ascii="Arial" w:cs="Arial" w:eastAsia="Arial" w:hAnsi="Arial"/>
          <w:sz w:val="20"/>
          <w:szCs w:val="20"/>
          <w:color w:val="auto"/>
        </w:rPr>
      </w:pPr>
      <w:r>
        <w:rPr>
          <w:rFonts w:ascii="Arial" w:cs="Arial" w:eastAsia="Arial" w:hAnsi="Arial"/>
          <w:sz w:val="20"/>
          <w:szCs w:val="20"/>
          <w:color w:val="auto"/>
        </w:rPr>
        <w:t>it has the power and authority to execute, deliver and carry out the terms and provisions of this Amendment and the transactions contemplated hereby and has taken or caused to be taken all necessary action to authorize the execution, delivery and performance of this Amendment and the transactions contemplated hereby;</w:t>
      </w:r>
    </w:p>
    <w:p>
      <w:pPr>
        <w:spacing w:after="0" w:line="201" w:lineRule="exact"/>
        <w:rPr>
          <w:rFonts w:ascii="Arial" w:cs="Arial" w:eastAsia="Arial" w:hAnsi="Arial"/>
          <w:sz w:val="20"/>
          <w:szCs w:val="20"/>
          <w:color w:val="auto"/>
        </w:rPr>
      </w:pPr>
    </w:p>
    <w:p>
      <w:pPr>
        <w:jc w:val="both"/>
        <w:ind w:left="600" w:firstLine="599"/>
        <w:spacing w:after="0" w:line="273" w:lineRule="auto"/>
        <w:tabs>
          <w:tab w:leader="none" w:pos="2032" w:val="left"/>
        </w:tabs>
        <w:numPr>
          <w:ilvl w:val="1"/>
          <w:numId w:val="265"/>
        </w:numPr>
        <w:rPr>
          <w:rFonts w:ascii="Arial" w:cs="Arial" w:eastAsia="Arial" w:hAnsi="Arial"/>
          <w:sz w:val="19"/>
          <w:szCs w:val="19"/>
          <w:color w:val="auto"/>
        </w:rPr>
      </w:pPr>
      <w:r>
        <w:rPr>
          <w:rFonts w:ascii="Arial" w:cs="Arial" w:eastAsia="Arial" w:hAnsi="Arial"/>
          <w:sz w:val="19"/>
          <w:szCs w:val="19"/>
          <w:color w:val="auto"/>
        </w:rPr>
        <w:t>no consent of any Person (including, without limitation, any of its equity holders or creditors), and no action of, or filing with, any governmental or public body or authority is required to authorize, or is otherwise required in connection with, the execution, delivery and performance of this Amendment, except for the approvals, consents, exemptions, authorizations, actions, notices and filings which have been duly obtained, taken, given or made and are in full force and effect;</w:t>
      </w:r>
    </w:p>
    <w:p>
      <w:pPr>
        <w:spacing w:after="0" w:line="192" w:lineRule="exact"/>
        <w:rPr>
          <w:rFonts w:ascii="Arial" w:cs="Arial" w:eastAsia="Arial" w:hAnsi="Arial"/>
          <w:sz w:val="19"/>
          <w:szCs w:val="19"/>
          <w:color w:val="auto"/>
        </w:rPr>
      </w:pPr>
    </w:p>
    <w:p>
      <w:pPr>
        <w:jc w:val="both"/>
        <w:ind w:left="600" w:firstLine="599"/>
        <w:spacing w:after="0" w:line="256" w:lineRule="auto"/>
        <w:tabs>
          <w:tab w:leader="none" w:pos="2021" w:val="left"/>
        </w:tabs>
        <w:numPr>
          <w:ilvl w:val="1"/>
          <w:numId w:val="265"/>
        </w:numPr>
        <w:rPr>
          <w:rFonts w:ascii="Arial" w:cs="Arial" w:eastAsia="Arial" w:hAnsi="Arial"/>
          <w:sz w:val="20"/>
          <w:szCs w:val="20"/>
          <w:color w:val="auto"/>
        </w:rPr>
      </w:pPr>
      <w:r>
        <w:rPr>
          <w:rFonts w:ascii="Arial" w:cs="Arial" w:eastAsia="Arial" w:hAnsi="Arial"/>
          <w:sz w:val="20"/>
          <w:szCs w:val="20"/>
          <w:color w:val="auto"/>
        </w:rPr>
        <w:t>this Amendment has been duly executed and delivered on its behalf by a duly authorized officer, and constitutes its legal, valid and binding obligation enforceable in accordance with its terms, subject to bankruptcy, reorganization, insolvency, moratorium and other similar laws affecting the enforcement of creditors’ rights generally and the exercise of judicial discretion in accordance with general principles of equity;</w:t>
      </w:r>
    </w:p>
    <w:p>
      <w:pPr>
        <w:spacing w:after="0" w:line="205" w:lineRule="exact"/>
        <w:rPr>
          <w:rFonts w:ascii="Arial" w:cs="Arial" w:eastAsia="Arial" w:hAnsi="Arial"/>
          <w:sz w:val="20"/>
          <w:szCs w:val="20"/>
          <w:color w:val="auto"/>
        </w:rPr>
      </w:pPr>
    </w:p>
    <w:p>
      <w:pPr>
        <w:ind w:left="2040" w:hanging="841"/>
        <w:spacing w:after="0"/>
        <w:tabs>
          <w:tab w:leader="none" w:pos="2040" w:val="left"/>
        </w:tabs>
        <w:numPr>
          <w:ilvl w:val="1"/>
          <w:numId w:val="265"/>
        </w:numPr>
        <w:rPr>
          <w:rFonts w:ascii="Arial" w:cs="Arial" w:eastAsia="Arial" w:hAnsi="Arial"/>
          <w:sz w:val="20"/>
          <w:szCs w:val="20"/>
          <w:color w:val="auto"/>
        </w:rPr>
      </w:pPr>
      <w:r>
        <w:rPr>
          <w:rFonts w:ascii="Arial" w:cs="Arial" w:eastAsia="Arial" w:hAnsi="Arial"/>
          <w:sz w:val="20"/>
          <w:szCs w:val="20"/>
          <w:color w:val="auto"/>
        </w:rPr>
        <w:t>no Default or Event of Default has occurred and is continuing; and</w:t>
      </w:r>
    </w:p>
    <w:p>
      <w:pPr>
        <w:spacing w:after="0" w:line="244" w:lineRule="exact"/>
        <w:rPr>
          <w:rFonts w:ascii="Arial" w:cs="Arial" w:eastAsia="Arial" w:hAnsi="Arial"/>
          <w:sz w:val="20"/>
          <w:szCs w:val="20"/>
          <w:color w:val="auto"/>
        </w:rPr>
      </w:pPr>
    </w:p>
    <w:p>
      <w:pPr>
        <w:jc w:val="both"/>
        <w:ind w:left="600" w:firstLine="599"/>
        <w:spacing w:after="0" w:line="252" w:lineRule="auto"/>
        <w:tabs>
          <w:tab w:leader="none" w:pos="2021" w:val="left"/>
        </w:tabs>
        <w:numPr>
          <w:ilvl w:val="1"/>
          <w:numId w:val="265"/>
        </w:numPr>
        <w:rPr>
          <w:rFonts w:ascii="Arial" w:cs="Arial" w:eastAsia="Arial" w:hAnsi="Arial"/>
          <w:sz w:val="20"/>
          <w:szCs w:val="20"/>
          <w:color w:val="auto"/>
        </w:rPr>
      </w:pPr>
      <w:r>
        <w:rPr>
          <w:rFonts w:ascii="Arial" w:cs="Arial" w:eastAsia="Arial" w:hAnsi="Arial"/>
          <w:sz w:val="20"/>
          <w:szCs w:val="20"/>
          <w:color w:val="auto"/>
        </w:rPr>
        <w:t>the execution, delivery and performance of this Amendment will not (i) contravene the terms of any of its Organization Documents; (ii) conflict with or result in any breach or contravention of, or the creation of any Lien under, or require any payment to be made under (A) any Contractual Obligation to which it is a party or affecting it or its properties or the properties of any of its Subsidiaries or (B) any order, injunction, writ or decree of any Governmental Authority or any arbitral award to which it or its property is subject; or (ii) violate any Law, except in each case referred to in clause (ii) or (iii) hereof, to the extent the same could not reasonably be expected to have a Material Adverse Effect.</w:t>
      </w:r>
    </w:p>
    <w:p>
      <w:pPr>
        <w:spacing w:after="0" w:line="206" w:lineRule="exact"/>
        <w:rPr>
          <w:sz w:val="20"/>
          <w:szCs w:val="20"/>
          <w:color w:val="auto"/>
        </w:rPr>
      </w:pPr>
    </w:p>
    <w:p>
      <w:pPr>
        <w:jc w:val="both"/>
        <w:ind w:firstLine="1199"/>
        <w:spacing w:after="0" w:line="258" w:lineRule="auto"/>
        <w:rPr>
          <w:sz w:val="20"/>
          <w:szCs w:val="20"/>
          <w:color w:val="auto"/>
        </w:rPr>
      </w:pPr>
      <w:r>
        <w:rPr>
          <w:rFonts w:ascii="Arial" w:cs="Arial" w:eastAsia="Arial" w:hAnsi="Arial"/>
          <w:sz w:val="20"/>
          <w:szCs w:val="20"/>
          <w:b w:val="1"/>
          <w:bCs w:val="1"/>
          <w:color w:val="auto"/>
        </w:rPr>
        <w:t xml:space="preserve">SECTION 7. </w:t>
      </w:r>
      <w:r>
        <w:rPr>
          <w:rFonts w:ascii="Arial" w:cs="Arial" w:eastAsia="Arial" w:hAnsi="Arial"/>
          <w:sz w:val="20"/>
          <w:szCs w:val="20"/>
          <w:b w:val="1"/>
          <w:bCs w:val="1"/>
          <w:u w:val="single" w:color="auto"/>
          <w:color w:val="auto"/>
        </w:rPr>
        <w:t>Affirmation of Guarantors</w:t>
      </w:r>
      <w:r>
        <w:rPr>
          <w:rFonts w:ascii="Arial" w:cs="Arial" w:eastAsia="Arial" w:hAnsi="Arial"/>
          <w:sz w:val="20"/>
          <w:szCs w:val="20"/>
          <w:color w:val="auto"/>
        </w:rPr>
        <w:t>. The REIT hereby approves and consents to this Amendment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transactions contemplated by this Amendment and agrees and affirms that its guarantee of the Obligations continues to be in full force and effect and is hereby ratified and confirmed in all respects and shall apply to the Term Loan Agreement, the Amended Term Loan Agreement, and all of the other Loan</w:t>
      </w:r>
    </w:p>
    <w:p>
      <w:pPr>
        <w:sectPr>
          <w:pgSz w:w="11900" w:h="16838" w:orient="portrait"/>
          <w:cols w:equalWidth="0" w:num="1">
            <w:col w:w="11420"/>
          </w:cols>
          <w:pgMar w:left="240" w:top="358" w:right="239" w:bottom="1440" w:gutter="0" w:footer="0" w:header="0"/>
        </w:sectPr>
      </w:pPr>
    </w:p>
    <w:bookmarkStart w:id="219" w:name="page220"/>
    <w:bookmarkEnd w:id="219"/>
    <w:p>
      <w:pPr>
        <w:spacing w:after="0"/>
        <w:rPr>
          <w:sz w:val="20"/>
          <w:szCs w:val="20"/>
          <w:color w:val="auto"/>
        </w:rPr>
      </w:pPr>
      <w:r>
        <w:rPr>
          <w:rFonts w:ascii="Arial" w:cs="Arial" w:eastAsia="Arial" w:hAnsi="Arial"/>
          <w:sz w:val="19"/>
          <w:szCs w:val="19"/>
          <w:color w:val="auto"/>
        </w:rPr>
        <w:t>Documents, as such are amended, restated, supplemented or otherwise modified from time to time in accordance with their terms.</w:t>
      </w:r>
    </w:p>
    <w:p>
      <w:pPr>
        <w:spacing w:after="0" w:line="250" w:lineRule="exact"/>
        <w:rPr>
          <w:sz w:val="20"/>
          <w:szCs w:val="20"/>
          <w:color w:val="auto"/>
        </w:rPr>
      </w:pPr>
    </w:p>
    <w:p>
      <w:pPr>
        <w:jc w:val="both"/>
        <w:ind w:firstLine="1199"/>
        <w:spacing w:after="0" w:line="253" w:lineRule="auto"/>
        <w:rPr>
          <w:sz w:val="20"/>
          <w:szCs w:val="20"/>
          <w:color w:val="auto"/>
        </w:rPr>
      </w:pPr>
      <w:r>
        <w:rPr>
          <w:rFonts w:ascii="Arial" w:cs="Arial" w:eastAsia="Arial" w:hAnsi="Arial"/>
          <w:sz w:val="20"/>
          <w:szCs w:val="20"/>
          <w:b w:val="1"/>
          <w:bCs w:val="1"/>
          <w:color w:val="auto"/>
        </w:rPr>
        <w:t xml:space="preserve">SECTION 8. </w:t>
      </w:r>
      <w:r>
        <w:rPr>
          <w:rFonts w:ascii="Arial" w:cs="Arial" w:eastAsia="Arial" w:hAnsi="Arial"/>
          <w:sz w:val="20"/>
          <w:szCs w:val="20"/>
          <w:b w:val="1"/>
          <w:bCs w:val="1"/>
          <w:u w:val="single" w:color="auto"/>
          <w:color w:val="auto"/>
        </w:rPr>
        <w:t>Costs and Expenses</w:t>
      </w:r>
      <w:r>
        <w:rPr>
          <w:rFonts w:ascii="Arial" w:cs="Arial" w:eastAsia="Arial" w:hAnsi="Arial"/>
          <w:sz w:val="20"/>
          <w:szCs w:val="20"/>
          <w:color w:val="auto"/>
        </w:rPr>
        <w:t>. The Borrower acknowledges and agrees that its payment obligations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in Section 10.04 of the Amended Term Loan Agreement include the costs and expenses incurred by the Administrative Agent in connection with the preparation, execution and delivery of this Amendment and any other documentation contemplated hereby (whether or not this Amendment becomes effective or the transactions contemplated hereby are consummated and whether or not a Default or Event of Default has occurred or is continuing), including, but not limited to, the reasonable and documented fees and disbursements of Sidley Austin LLP, counsel to the Administrative Agent.</w:t>
      </w:r>
    </w:p>
    <w:p>
      <w:pPr>
        <w:spacing w:after="0" w:line="207" w:lineRule="exact"/>
        <w:rPr>
          <w:sz w:val="20"/>
          <w:szCs w:val="20"/>
          <w:color w:val="auto"/>
        </w:rPr>
      </w:pPr>
    </w:p>
    <w:p>
      <w:pPr>
        <w:ind w:left="1200"/>
        <w:spacing w:after="0"/>
        <w:tabs>
          <w:tab w:leader="none" w:pos="3480" w:val="left"/>
        </w:tabs>
        <w:rPr>
          <w:sz w:val="20"/>
          <w:szCs w:val="20"/>
          <w:color w:val="auto"/>
        </w:rPr>
      </w:pPr>
      <w:r>
        <w:rPr>
          <w:rFonts w:ascii="Arial" w:cs="Arial" w:eastAsia="Arial" w:hAnsi="Arial"/>
          <w:sz w:val="20"/>
          <w:szCs w:val="20"/>
          <w:b w:val="1"/>
          <w:bCs w:val="1"/>
          <w:color w:val="auto"/>
        </w:rPr>
        <w:t>SECTION 9.</w:t>
      </w:r>
      <w:r>
        <w:rPr>
          <w:sz w:val="20"/>
          <w:szCs w:val="20"/>
          <w:color w:val="auto"/>
        </w:rPr>
        <w:tab/>
      </w:r>
      <w:r>
        <w:rPr>
          <w:rFonts w:ascii="Arial" w:cs="Arial" w:eastAsia="Arial" w:hAnsi="Arial"/>
          <w:sz w:val="18"/>
          <w:szCs w:val="18"/>
          <w:b w:val="1"/>
          <w:bCs w:val="1"/>
          <w:u w:val="single" w:color="auto"/>
          <w:color w:val="auto"/>
        </w:rPr>
        <w:t>Ratification</w:t>
      </w:r>
      <w:r>
        <w:rPr>
          <w:rFonts w:ascii="Arial" w:cs="Arial" w:eastAsia="Arial" w:hAnsi="Arial"/>
          <w:sz w:val="18"/>
          <w:szCs w:val="18"/>
          <w:color w:val="auto"/>
        </w:rPr>
        <w:t>.</w:t>
      </w:r>
    </w:p>
    <w:p>
      <w:pPr>
        <w:spacing w:after="0" w:line="251" w:lineRule="exact"/>
        <w:rPr>
          <w:sz w:val="20"/>
          <w:szCs w:val="20"/>
          <w:color w:val="auto"/>
        </w:rPr>
      </w:pPr>
    </w:p>
    <w:p>
      <w:pPr>
        <w:jc w:val="both"/>
        <w:ind w:firstLine="1199"/>
        <w:spacing w:after="0" w:line="288" w:lineRule="auto"/>
        <w:tabs>
          <w:tab w:leader="none" w:pos="202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The Term Loan Agreement and the Amended Term Loan Agreement, as amended by this Amendment, and the other Loan Documents remain in full force and effect and are hereby ratified and affirmed by the Loan Parties. Each of the Loan Parties hereby (i) confirms and agrees that the Borrower is truly and justly indebted to the Administrative Agent and the Lenders in the aggregate amount of the Obligations without defense, counterclaim or offset of any kind whatsoever, and (ii) reaffirms and admits the validity and enforceability of the Term Loan Agreement and the Amended Term Loan Agreement, as amended by this Amendment, and the other Loan Documents.</w:t>
      </w:r>
    </w:p>
    <w:p>
      <w:pPr>
        <w:spacing w:after="0" w:line="181" w:lineRule="exact"/>
        <w:rPr>
          <w:rFonts w:ascii="Arial" w:cs="Arial" w:eastAsia="Arial" w:hAnsi="Arial"/>
          <w:sz w:val="18"/>
          <w:szCs w:val="18"/>
          <w:color w:val="auto"/>
        </w:rPr>
      </w:pPr>
    </w:p>
    <w:p>
      <w:pPr>
        <w:ind w:left="2040" w:hanging="841"/>
        <w:spacing w:after="0"/>
        <w:tabs>
          <w:tab w:leader="none" w:pos="204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This Amendment shall be limited precisely as written and, except as expressly provided herein, shall not be deemed</w:t>
      </w:r>
    </w:p>
    <w:p>
      <w:pPr>
        <w:spacing w:after="0" w:line="46" w:lineRule="exact"/>
        <w:rPr>
          <w:rFonts w:ascii="Arial" w:cs="Arial" w:eastAsia="Arial" w:hAnsi="Arial"/>
          <w:sz w:val="18"/>
          <w:szCs w:val="18"/>
          <w:color w:val="auto"/>
        </w:rPr>
      </w:pPr>
    </w:p>
    <w:p>
      <w:pPr>
        <w:jc w:val="both"/>
        <w:spacing w:after="0" w:line="249" w:lineRule="auto"/>
        <w:tabs>
          <w:tab w:leader="none" w:pos="252" w:val="left"/>
        </w:tabs>
        <w:numPr>
          <w:ilvl w:val="0"/>
          <w:numId w:val="267"/>
        </w:numPr>
        <w:rPr>
          <w:rFonts w:ascii="Arial" w:cs="Arial" w:eastAsia="Arial" w:hAnsi="Arial"/>
          <w:sz w:val="20"/>
          <w:szCs w:val="20"/>
          <w:color w:val="auto"/>
        </w:rPr>
      </w:pPr>
      <w:r>
        <w:rPr>
          <w:rFonts w:ascii="Arial" w:cs="Arial" w:eastAsia="Arial" w:hAnsi="Arial"/>
          <w:sz w:val="20"/>
          <w:szCs w:val="20"/>
          <w:color w:val="auto"/>
        </w:rPr>
        <w:t>to be a consent granted pursuant to, or a waiver, modification or forbearance of, any term or condition of the Term Loan Agreement, the Amended Term Loan Agreement, any other Loan Document or any of the instruments or agreements referred to in any thereof or a waiver of any Default or Event of Default, whether or not known to the Administrative Agent or any of the Lenders, or (ii) to prejudice any right or remedy which the Administrative Agent or any of the Lenders may now have or have in the future against any Person under or in connection with the Term Loan Agreement, the Amended Term Loan Agreement, any of the instruments or agreements referred to therein or any of the transactions contemplated thereby.</w:t>
      </w:r>
    </w:p>
    <w:p>
      <w:pPr>
        <w:spacing w:after="0" w:line="208" w:lineRule="exact"/>
        <w:rPr>
          <w:sz w:val="20"/>
          <w:szCs w:val="20"/>
          <w:color w:val="auto"/>
        </w:rPr>
      </w:pPr>
    </w:p>
    <w:p>
      <w:pPr>
        <w:jc w:val="both"/>
        <w:ind w:firstLine="1124"/>
        <w:spacing w:after="0" w:line="279" w:lineRule="auto"/>
        <w:rPr>
          <w:sz w:val="20"/>
          <w:szCs w:val="20"/>
          <w:color w:val="auto"/>
        </w:rPr>
      </w:pPr>
      <w:r>
        <w:rPr>
          <w:rFonts w:ascii="Arial" w:cs="Arial" w:eastAsia="Arial" w:hAnsi="Arial"/>
          <w:sz w:val="20"/>
          <w:szCs w:val="20"/>
          <w:b w:val="1"/>
          <w:bCs w:val="1"/>
          <w:color w:val="auto"/>
        </w:rPr>
        <w:t xml:space="preserve">SECTION 10. </w:t>
      </w:r>
      <w:r>
        <w:rPr>
          <w:rFonts w:ascii="Arial" w:cs="Arial" w:eastAsia="Arial" w:hAnsi="Arial"/>
          <w:sz w:val="20"/>
          <w:szCs w:val="20"/>
          <w:b w:val="1"/>
          <w:bCs w:val="1"/>
          <w:u w:val="single" w:color="auto"/>
          <w:color w:val="auto"/>
        </w:rPr>
        <w:t>Modifications</w:t>
      </w:r>
      <w:r>
        <w:rPr>
          <w:rFonts w:ascii="Arial" w:cs="Arial" w:eastAsia="Arial" w:hAnsi="Arial"/>
          <w:sz w:val="20"/>
          <w:szCs w:val="20"/>
          <w:color w:val="auto"/>
        </w:rPr>
        <w:t>. Neither this Amendment, nor any provision hereof, may be waived, amended or</w:t>
      </w:r>
      <w:r>
        <w:rPr>
          <w:rFonts w:ascii="Arial" w:cs="Arial" w:eastAsia="Arial" w:hAnsi="Arial"/>
          <w:sz w:val="20"/>
          <w:szCs w:val="20"/>
          <w:b w:val="1"/>
          <w:bCs w:val="1"/>
          <w:color w:val="auto"/>
        </w:rPr>
        <w:t xml:space="preserve"> </w:t>
      </w:r>
      <w:r>
        <w:rPr>
          <w:rFonts w:ascii="Arial" w:cs="Arial" w:eastAsia="Arial" w:hAnsi="Arial"/>
          <w:sz w:val="20"/>
          <w:szCs w:val="20"/>
          <w:color w:val="auto"/>
        </w:rPr>
        <w:t>modified except pursuant to an agreement or agreements in writing entered into by the parties hereto.</w:t>
      </w:r>
    </w:p>
    <w:p>
      <w:pPr>
        <w:spacing w:after="0" w:line="177" w:lineRule="exact"/>
        <w:rPr>
          <w:sz w:val="20"/>
          <w:szCs w:val="20"/>
          <w:color w:val="auto"/>
        </w:rPr>
      </w:pPr>
    </w:p>
    <w:p>
      <w:pPr>
        <w:jc w:val="both"/>
        <w:ind w:firstLine="1199"/>
        <w:spacing w:after="0" w:line="269" w:lineRule="auto"/>
        <w:rPr>
          <w:sz w:val="20"/>
          <w:szCs w:val="20"/>
          <w:color w:val="auto"/>
        </w:rPr>
      </w:pPr>
      <w:r>
        <w:rPr>
          <w:rFonts w:ascii="Arial" w:cs="Arial" w:eastAsia="Arial" w:hAnsi="Arial"/>
          <w:sz w:val="19"/>
          <w:szCs w:val="19"/>
          <w:b w:val="1"/>
          <w:bCs w:val="1"/>
          <w:color w:val="auto"/>
        </w:rPr>
        <w:t xml:space="preserve">SECTION 11. </w:t>
      </w:r>
      <w:r>
        <w:rPr>
          <w:rFonts w:ascii="Arial" w:cs="Arial" w:eastAsia="Arial" w:hAnsi="Arial"/>
          <w:sz w:val="19"/>
          <w:szCs w:val="19"/>
          <w:b w:val="1"/>
          <w:bCs w:val="1"/>
          <w:u w:val="single" w:color="auto"/>
          <w:color w:val="auto"/>
        </w:rPr>
        <w:t>References</w:t>
      </w:r>
      <w:r>
        <w:rPr>
          <w:rFonts w:ascii="Arial" w:cs="Arial" w:eastAsia="Arial" w:hAnsi="Arial"/>
          <w:sz w:val="19"/>
          <w:szCs w:val="19"/>
          <w:color w:val="auto"/>
        </w:rPr>
        <w:t>. The Loan Parties acknowledge and agree that this Amendment constitutes a Loan</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 Each reference in the Term Loan Agreement or the Amended Term Loan Agreement to “this Agreement,” “hereunder,” “hereof,” “herein,” or words of like import, and each reference in each other Loan Document (and the other documents and instruments delivered pursuant to or in connection therewith) to the “Term Loan Agreement”, “thereunder”, “thereof” or words of like import, shall mean and be a reference to Term Loan Agreement or the Amended Term Loan Agreement, as applicable, as modified hereby and as each may in the future be amended, restated, supplemented or modified from time to time.</w:t>
      </w:r>
    </w:p>
    <w:p>
      <w:pPr>
        <w:spacing w:after="0" w:line="192" w:lineRule="exact"/>
        <w:rPr>
          <w:sz w:val="20"/>
          <w:szCs w:val="20"/>
          <w:color w:val="auto"/>
        </w:rPr>
      </w:pPr>
    </w:p>
    <w:p>
      <w:pPr>
        <w:jc w:val="both"/>
        <w:ind w:firstLine="1124"/>
        <w:spacing w:after="0" w:line="258" w:lineRule="auto"/>
        <w:rPr>
          <w:sz w:val="20"/>
          <w:szCs w:val="20"/>
          <w:color w:val="auto"/>
        </w:rPr>
      </w:pPr>
      <w:r>
        <w:rPr>
          <w:rFonts w:ascii="Arial" w:cs="Arial" w:eastAsia="Arial" w:hAnsi="Arial"/>
          <w:sz w:val="20"/>
          <w:szCs w:val="20"/>
          <w:b w:val="1"/>
          <w:bCs w:val="1"/>
          <w:color w:val="auto"/>
        </w:rPr>
        <w:t xml:space="preserve">SECTION 12. </w:t>
      </w:r>
      <w:r>
        <w:rPr>
          <w:rFonts w:ascii="Arial" w:cs="Arial" w:eastAsia="Arial" w:hAnsi="Arial"/>
          <w:sz w:val="20"/>
          <w:szCs w:val="20"/>
          <w:b w:val="1"/>
          <w:bCs w:val="1"/>
          <w:u w:val="single" w:color="auto"/>
          <w:color w:val="auto"/>
        </w:rPr>
        <w:t>Counterparts</w:t>
      </w:r>
      <w:r>
        <w:rPr>
          <w:rFonts w:ascii="Arial" w:cs="Arial" w:eastAsia="Arial" w:hAnsi="Arial"/>
          <w:sz w:val="20"/>
          <w:szCs w:val="20"/>
          <w:color w:val="auto"/>
        </w:rPr>
        <w:t>. This Amendment may be executed by the parties hereto individually or in</w:t>
      </w:r>
      <w:r>
        <w:rPr>
          <w:rFonts w:ascii="Arial" w:cs="Arial" w:eastAsia="Arial" w:hAnsi="Arial"/>
          <w:sz w:val="20"/>
          <w:szCs w:val="20"/>
          <w:b w:val="1"/>
          <w:bCs w:val="1"/>
          <w:color w:val="auto"/>
        </w:rPr>
        <w:t xml:space="preserve"> </w:t>
      </w:r>
      <w:r>
        <w:rPr>
          <w:rFonts w:ascii="Arial" w:cs="Arial" w:eastAsia="Arial" w:hAnsi="Arial"/>
          <w:sz w:val="20"/>
          <w:szCs w:val="20"/>
          <w:color w:val="auto"/>
        </w:rPr>
        <w:t>combination, in one or more counterparts, each of which shall be an original and all of which shall constitute one and the same agreement. Delivery of an executed counterpart of a signature page by telecopier or electronic mail (in a .pdf format) shall be effective as delivery of a manually executed counterpart.</w:t>
      </w:r>
    </w:p>
    <w:p>
      <w:pPr>
        <w:sectPr>
          <w:pgSz w:w="11900" w:h="16838" w:orient="portrait"/>
          <w:cols w:equalWidth="0" w:num="1">
            <w:col w:w="11420"/>
          </w:cols>
          <w:pgMar w:left="240" w:top="358" w:right="239" w:bottom="1440" w:gutter="0" w:footer="0" w:header="0"/>
        </w:sectPr>
      </w:pPr>
    </w:p>
    <w:bookmarkStart w:id="220" w:name="page221"/>
    <w:bookmarkEnd w:id="220"/>
    <w:p>
      <w:pPr>
        <w:jc w:val="both"/>
        <w:ind w:firstLine="1124"/>
        <w:spacing w:after="0" w:line="279" w:lineRule="auto"/>
        <w:rPr>
          <w:sz w:val="20"/>
          <w:szCs w:val="20"/>
          <w:color w:val="auto"/>
        </w:rPr>
      </w:pPr>
      <w:r>
        <w:rPr>
          <w:rFonts w:ascii="Arial" w:cs="Arial" w:eastAsia="Arial" w:hAnsi="Arial"/>
          <w:sz w:val="20"/>
          <w:szCs w:val="20"/>
          <w:b w:val="1"/>
          <w:bCs w:val="1"/>
          <w:color w:val="auto"/>
        </w:rPr>
        <w:t xml:space="preserve">SECTION 13. </w:t>
      </w:r>
      <w:r>
        <w:rPr>
          <w:rFonts w:ascii="Arial" w:cs="Arial" w:eastAsia="Arial" w:hAnsi="Arial"/>
          <w:sz w:val="20"/>
          <w:szCs w:val="20"/>
          <w:b w:val="1"/>
          <w:bCs w:val="1"/>
          <w:u w:val="single" w:color="auto"/>
          <w:color w:val="auto"/>
        </w:rPr>
        <w:t>Successors and Assigns</w:t>
      </w:r>
      <w:r>
        <w:rPr>
          <w:rFonts w:ascii="Arial" w:cs="Arial" w:eastAsia="Arial" w:hAnsi="Arial"/>
          <w:sz w:val="20"/>
          <w:szCs w:val="20"/>
          <w:color w:val="auto"/>
        </w:rPr>
        <w:t>. The provisions of this Amendment shall be binding upon and inure to</w:t>
      </w:r>
      <w:r>
        <w:rPr>
          <w:rFonts w:ascii="Arial" w:cs="Arial" w:eastAsia="Arial" w:hAnsi="Arial"/>
          <w:sz w:val="20"/>
          <w:szCs w:val="20"/>
          <w:b w:val="1"/>
          <w:bCs w:val="1"/>
          <w:color w:val="auto"/>
        </w:rPr>
        <w:t xml:space="preserve"> </w:t>
      </w:r>
      <w:r>
        <w:rPr>
          <w:rFonts w:ascii="Arial" w:cs="Arial" w:eastAsia="Arial" w:hAnsi="Arial"/>
          <w:sz w:val="20"/>
          <w:szCs w:val="20"/>
          <w:color w:val="auto"/>
        </w:rPr>
        <w:t>the benefit of the parties hereto and their respective successors and assigns.</w:t>
      </w:r>
    </w:p>
    <w:p>
      <w:pPr>
        <w:spacing w:after="0" w:line="177" w:lineRule="exact"/>
        <w:rPr>
          <w:sz w:val="20"/>
          <w:szCs w:val="20"/>
          <w:color w:val="auto"/>
        </w:rPr>
      </w:pPr>
    </w:p>
    <w:p>
      <w:pPr>
        <w:jc w:val="both"/>
        <w:ind w:firstLine="1124"/>
        <w:spacing w:after="0" w:line="258" w:lineRule="auto"/>
        <w:rPr>
          <w:sz w:val="20"/>
          <w:szCs w:val="20"/>
          <w:color w:val="auto"/>
        </w:rPr>
      </w:pPr>
      <w:r>
        <w:rPr>
          <w:rFonts w:ascii="Arial" w:cs="Arial" w:eastAsia="Arial" w:hAnsi="Arial"/>
          <w:sz w:val="20"/>
          <w:szCs w:val="20"/>
          <w:b w:val="1"/>
          <w:bCs w:val="1"/>
          <w:color w:val="auto"/>
        </w:rPr>
        <w:t xml:space="preserve">SECTION 14. </w:t>
      </w:r>
      <w:r>
        <w:rPr>
          <w:rFonts w:ascii="Arial" w:cs="Arial" w:eastAsia="Arial" w:hAnsi="Arial"/>
          <w:sz w:val="20"/>
          <w:szCs w:val="20"/>
          <w:b w:val="1"/>
          <w:bCs w:val="1"/>
          <w:u w:val="single" w:color="auto"/>
          <w:color w:val="auto"/>
        </w:rPr>
        <w:t>Severability</w:t>
      </w:r>
      <w:r>
        <w:rPr>
          <w:rFonts w:ascii="Arial" w:cs="Arial" w:eastAsia="Arial" w:hAnsi="Arial"/>
          <w:sz w:val="20"/>
          <w:szCs w:val="20"/>
          <w:color w:val="auto"/>
        </w:rPr>
        <w:t>. If any provision of this Amendment shall be held invalid or unenforceable in whole</w:t>
      </w:r>
      <w:r>
        <w:rPr>
          <w:rFonts w:ascii="Arial" w:cs="Arial" w:eastAsia="Arial" w:hAnsi="Arial"/>
          <w:sz w:val="20"/>
          <w:szCs w:val="20"/>
          <w:b w:val="1"/>
          <w:bCs w:val="1"/>
          <w:color w:val="auto"/>
        </w:rPr>
        <w:t xml:space="preserve"> </w:t>
      </w:r>
      <w:r>
        <w:rPr>
          <w:rFonts w:ascii="Arial" w:cs="Arial" w:eastAsia="Arial" w:hAnsi="Arial"/>
          <w:sz w:val="20"/>
          <w:szCs w:val="20"/>
          <w:color w:val="auto"/>
        </w:rPr>
        <w:t>or in part in any jurisdiction, such provision shall, as to such jurisdiction, be ineffective to the extent of such invalidity or enforceability without in any manner affecting the validity or enforceability of such provision in any other jurisdiction or the remaining provisions of this Amendment in any jurisdiction.</w:t>
      </w:r>
    </w:p>
    <w:p>
      <w:pPr>
        <w:spacing w:after="0" w:line="198" w:lineRule="exact"/>
        <w:rPr>
          <w:sz w:val="20"/>
          <w:szCs w:val="20"/>
          <w:color w:val="auto"/>
        </w:rPr>
      </w:pPr>
    </w:p>
    <w:p>
      <w:pPr>
        <w:ind w:left="1120"/>
        <w:spacing w:after="0"/>
        <w:tabs>
          <w:tab w:leader="none" w:pos="3580" w:val="left"/>
        </w:tabs>
        <w:rPr>
          <w:sz w:val="20"/>
          <w:szCs w:val="20"/>
          <w:color w:val="auto"/>
        </w:rPr>
      </w:pPr>
      <w:r>
        <w:rPr>
          <w:rFonts w:ascii="Arial" w:cs="Arial" w:eastAsia="Arial" w:hAnsi="Arial"/>
          <w:sz w:val="20"/>
          <w:szCs w:val="20"/>
          <w:b w:val="1"/>
          <w:bCs w:val="1"/>
          <w:color w:val="auto"/>
        </w:rPr>
        <w:t>SECTION 15.</w:t>
      </w:r>
      <w:r>
        <w:rPr>
          <w:sz w:val="20"/>
          <w:szCs w:val="20"/>
          <w:color w:val="auto"/>
        </w:rPr>
        <w:tab/>
      </w:r>
      <w:r>
        <w:rPr>
          <w:rFonts w:ascii="Arial" w:cs="Arial" w:eastAsia="Arial" w:hAnsi="Arial"/>
          <w:sz w:val="19"/>
          <w:szCs w:val="19"/>
          <w:b w:val="1"/>
          <w:bCs w:val="1"/>
          <w:u w:val="single" w:color="auto"/>
          <w:color w:val="auto"/>
        </w:rPr>
        <w:t>Governing Law</w:t>
      </w:r>
      <w:r>
        <w:rPr>
          <w:rFonts w:ascii="Arial" w:cs="Arial" w:eastAsia="Arial" w:hAnsi="Arial"/>
          <w:sz w:val="19"/>
          <w:szCs w:val="19"/>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b w:val="1"/>
          <w:bCs w:val="1"/>
          <w:color w:val="auto"/>
        </w:rPr>
        <w:t>THIS AMENDMENT SHALL BE GOVERNED BY, AND CONSTRUED</w:t>
      </w:r>
    </w:p>
    <w:p>
      <w:pPr>
        <w:spacing w:after="0" w:line="29"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auto"/>
        </w:rPr>
        <w:t>IN ACCORDANCE WITH, THE LAW OF THE STATE OF NEW YORK APPLICABLE TO CONTRACTS EXECUTED, AND TO BE FULLY PERFORMED, IN SUCH STATE.</w:t>
      </w:r>
    </w:p>
    <w:p>
      <w:pPr>
        <w:spacing w:after="0" w:line="199" w:lineRule="exact"/>
        <w:rPr>
          <w:sz w:val="20"/>
          <w:szCs w:val="20"/>
          <w:color w:val="auto"/>
        </w:rPr>
      </w:pPr>
    </w:p>
    <w:p>
      <w:pPr>
        <w:jc w:val="both"/>
        <w:ind w:firstLine="1124"/>
        <w:spacing w:after="0" w:line="279" w:lineRule="auto"/>
        <w:rPr>
          <w:sz w:val="20"/>
          <w:szCs w:val="20"/>
          <w:color w:val="auto"/>
        </w:rPr>
      </w:pPr>
      <w:r>
        <w:rPr>
          <w:rFonts w:ascii="Arial" w:cs="Arial" w:eastAsia="Arial" w:hAnsi="Arial"/>
          <w:sz w:val="20"/>
          <w:szCs w:val="20"/>
          <w:b w:val="1"/>
          <w:bCs w:val="1"/>
          <w:color w:val="auto"/>
        </w:rPr>
        <w:t xml:space="preserve">SECTION 16. </w:t>
      </w:r>
      <w:r>
        <w:rPr>
          <w:rFonts w:ascii="Arial" w:cs="Arial" w:eastAsia="Arial" w:hAnsi="Arial"/>
          <w:sz w:val="20"/>
          <w:szCs w:val="20"/>
          <w:b w:val="1"/>
          <w:bCs w:val="1"/>
          <w:u w:val="single" w:color="auto"/>
          <w:color w:val="auto"/>
        </w:rPr>
        <w:t>Headings</w:t>
      </w:r>
      <w:r>
        <w:rPr>
          <w:rFonts w:ascii="Arial" w:cs="Arial" w:eastAsia="Arial" w:hAnsi="Arial"/>
          <w:sz w:val="20"/>
          <w:szCs w:val="20"/>
          <w:color w:val="auto"/>
        </w:rPr>
        <w:t>. Section headings in this Amendment are included for convenience of reference only</w:t>
      </w:r>
      <w:r>
        <w:rPr>
          <w:rFonts w:ascii="Arial" w:cs="Arial" w:eastAsia="Arial" w:hAnsi="Arial"/>
          <w:sz w:val="20"/>
          <w:szCs w:val="20"/>
          <w:b w:val="1"/>
          <w:bCs w:val="1"/>
          <w:color w:val="auto"/>
        </w:rPr>
        <w:t xml:space="preserve"> </w:t>
      </w:r>
      <w:r>
        <w:rPr>
          <w:rFonts w:ascii="Arial" w:cs="Arial" w:eastAsia="Arial" w:hAnsi="Arial"/>
          <w:sz w:val="20"/>
          <w:szCs w:val="20"/>
          <w:color w:val="auto"/>
        </w:rPr>
        <w:t>and are not to affect the construction of, or to be taken into consideration in interpreting, this Amendment.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remainder of this page left blank intentionally]</w:t>
      </w:r>
    </w:p>
    <w:p>
      <w:pPr>
        <w:sectPr>
          <w:pgSz w:w="11900" w:h="16838" w:orient="portrait"/>
          <w:cols w:equalWidth="0" w:num="1">
            <w:col w:w="11420"/>
          </w:cols>
          <w:pgMar w:left="240" w:top="352" w:right="239" w:bottom="1440" w:gutter="0" w:footer="0" w:header="0"/>
        </w:sectPr>
      </w:pPr>
    </w:p>
    <w:bookmarkStart w:id="221" w:name="page222"/>
    <w:bookmarkEnd w:id="221"/>
    <w:p>
      <w:pPr>
        <w:ind w:firstLine="599"/>
        <w:spacing w:after="0" w:line="272" w:lineRule="auto"/>
        <w:rPr>
          <w:sz w:val="20"/>
          <w:szCs w:val="20"/>
          <w:color w:val="auto"/>
        </w:rPr>
      </w:pPr>
      <w:r>
        <w:rPr>
          <w:rFonts w:ascii="Arial" w:cs="Arial" w:eastAsia="Arial" w:hAnsi="Arial"/>
          <w:sz w:val="20"/>
          <w:szCs w:val="20"/>
          <w:i w:val="1"/>
          <w:iCs w:val="1"/>
          <w:color w:val="auto"/>
        </w:rPr>
        <w:t>IN WITNESS WHEREOF</w:t>
      </w:r>
      <w:r>
        <w:rPr>
          <w:rFonts w:ascii="Arial" w:cs="Arial" w:eastAsia="Arial" w:hAnsi="Arial"/>
          <w:sz w:val="20"/>
          <w:szCs w:val="20"/>
          <w:color w:val="auto"/>
        </w:rPr>
        <w:t>, the Loan Parties, the Administrative Agent and the Lenders have caused this Amendment to be duly</w:t>
      </w:r>
      <w:r>
        <w:rPr>
          <w:rFonts w:ascii="Arial" w:cs="Arial" w:eastAsia="Arial" w:hAnsi="Arial"/>
          <w:sz w:val="20"/>
          <w:szCs w:val="20"/>
          <w:i w:val="1"/>
          <w:iCs w:val="1"/>
          <w:color w:val="auto"/>
        </w:rPr>
        <w:t xml:space="preserve"> </w:t>
      </w:r>
      <w:r>
        <w:rPr>
          <w:rFonts w:ascii="Arial" w:cs="Arial" w:eastAsia="Arial" w:hAnsi="Arial"/>
          <w:sz w:val="20"/>
          <w:szCs w:val="20"/>
          <w:color w:val="auto"/>
        </w:rPr>
        <w:t>executed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AMERICAN ASSETS TRUST, L.P.</w:t>
      </w:r>
    </w:p>
    <w:p>
      <w:pPr>
        <w:spacing w:after="0" w:line="326"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By:</w:t>
      </w:r>
    </w:p>
    <w:p>
      <w:pPr>
        <w:spacing w:after="0" w:line="45" w:lineRule="exact"/>
        <w:rPr>
          <w:sz w:val="20"/>
          <w:szCs w:val="20"/>
          <w:color w:val="auto"/>
        </w:rPr>
      </w:pPr>
    </w:p>
    <w:tbl>
      <w:tblPr>
        <w:tblLayout w:type="fixed"/>
        <w:tblInd w:w="3880" w:type="dxa"/>
        <w:tblCellMar>
          <w:top w:w="0" w:type="dxa"/>
          <w:left w:w="0" w:type="dxa"/>
          <w:bottom w:w="0" w:type="dxa"/>
          <w:right w:w="0" w:type="dxa"/>
        </w:tblCellMar>
      </w:tblPr>
      <w:tr>
        <w:trPr>
          <w:trHeight w:val="254"/>
        </w:trPr>
        <w:tc>
          <w:tcPr>
            <w:tcW w:w="640" w:type="dxa"/>
            <w:vAlign w:val="bottom"/>
          </w:tcPr>
          <w:p>
            <w:pPr>
              <w:spacing w:after="0"/>
              <w:rPr>
                <w:sz w:val="22"/>
                <w:szCs w:val="22"/>
                <w:color w:val="auto"/>
              </w:rPr>
            </w:pPr>
          </w:p>
        </w:tc>
        <w:tc>
          <w:tcPr>
            <w:tcW w:w="4840" w:type="dxa"/>
            <w:vAlign w:val="bottom"/>
            <w:gridSpan w:val="2"/>
          </w:tcPr>
          <w:p>
            <w:pPr>
              <w:ind w:left="80"/>
              <w:spacing w:after="0"/>
              <w:rPr>
                <w:sz w:val="20"/>
                <w:szCs w:val="20"/>
                <w:color w:val="auto"/>
              </w:rPr>
            </w:pPr>
            <w:r>
              <w:rPr>
                <w:rFonts w:ascii="Arial" w:cs="Arial" w:eastAsia="Arial" w:hAnsi="Arial"/>
                <w:sz w:val="20"/>
                <w:szCs w:val="20"/>
                <w:color w:val="auto"/>
                <w:w w:val="96"/>
              </w:rPr>
              <w:t>AMERICAN ASSETS TRUST, INC., its General Partner</w:t>
            </w:r>
          </w:p>
        </w:tc>
      </w:tr>
      <w:tr>
        <w:trPr>
          <w:trHeight w:val="557"/>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340" w:type="dxa"/>
            <w:vAlign w:val="bottom"/>
          </w:tcPr>
          <w:p>
            <w:pPr>
              <w:spacing w:after="0"/>
              <w:rPr>
                <w:sz w:val="24"/>
                <w:szCs w:val="24"/>
                <w:color w:val="auto"/>
              </w:rPr>
            </w:pPr>
          </w:p>
        </w:tc>
        <w:tc>
          <w:tcPr>
            <w:tcW w:w="45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ERNEST RADY</w:t>
            </w:r>
          </w:p>
        </w:tc>
      </w:tr>
      <w:tr>
        <w:trPr>
          <w:trHeight w:val="260"/>
        </w:trPr>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340" w:type="dxa"/>
            <w:vAlign w:val="bottom"/>
          </w:tcPr>
          <w:p>
            <w:pPr>
              <w:spacing w:after="0"/>
              <w:rPr>
                <w:sz w:val="22"/>
                <w:szCs w:val="22"/>
                <w:color w:val="auto"/>
              </w:rPr>
            </w:pPr>
          </w:p>
        </w:tc>
        <w:tc>
          <w:tcPr>
            <w:tcW w:w="4500" w:type="dxa"/>
            <w:vAlign w:val="bottom"/>
          </w:tcPr>
          <w:p>
            <w:pPr>
              <w:ind w:left="20"/>
              <w:spacing w:after="0"/>
              <w:rPr>
                <w:sz w:val="20"/>
                <w:szCs w:val="20"/>
                <w:color w:val="auto"/>
              </w:rPr>
            </w:pPr>
            <w:r>
              <w:rPr>
                <w:rFonts w:ascii="Arial" w:cs="Arial" w:eastAsia="Arial" w:hAnsi="Arial"/>
                <w:sz w:val="20"/>
                <w:szCs w:val="20"/>
                <w:color w:val="auto"/>
              </w:rPr>
              <w:t>Ernest Rady</w:t>
            </w:r>
          </w:p>
        </w:tc>
      </w:tr>
      <w:tr>
        <w:trPr>
          <w:trHeight w:val="275"/>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340" w:type="dxa"/>
            <w:vAlign w:val="bottom"/>
          </w:tcPr>
          <w:p>
            <w:pPr>
              <w:spacing w:after="0"/>
              <w:rPr>
                <w:sz w:val="23"/>
                <w:szCs w:val="23"/>
                <w:color w:val="auto"/>
              </w:rPr>
            </w:pPr>
          </w:p>
        </w:tc>
        <w:tc>
          <w:tcPr>
            <w:tcW w:w="4500" w:type="dxa"/>
            <w:vAlign w:val="bottom"/>
          </w:tcPr>
          <w:p>
            <w:pPr>
              <w:ind w:left="20"/>
              <w:spacing w:after="0"/>
              <w:rPr>
                <w:sz w:val="20"/>
                <w:szCs w:val="20"/>
                <w:color w:val="auto"/>
              </w:rPr>
            </w:pPr>
            <w:r>
              <w:rPr>
                <w:rFonts w:ascii="Arial" w:cs="Arial" w:eastAsia="Arial" w:hAnsi="Arial"/>
                <w:sz w:val="20"/>
                <w:szCs w:val="20"/>
                <w:color w:val="auto"/>
              </w:rPr>
              <w:t>President &amp; CEO</w:t>
            </w:r>
          </w:p>
        </w:tc>
      </w:tr>
      <w:tr>
        <w:trPr>
          <w:trHeight w:val="607"/>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340" w:type="dxa"/>
            <w:vAlign w:val="bottom"/>
          </w:tcPr>
          <w:p>
            <w:pPr>
              <w:spacing w:after="0"/>
              <w:rPr>
                <w:sz w:val="24"/>
                <w:szCs w:val="24"/>
                <w:color w:val="auto"/>
              </w:rPr>
            </w:pPr>
          </w:p>
        </w:tc>
        <w:tc>
          <w:tcPr>
            <w:tcW w:w="45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ROBERT BARTON</w:t>
            </w:r>
          </w:p>
        </w:tc>
      </w:tr>
      <w:tr>
        <w:trPr>
          <w:trHeight w:val="260"/>
        </w:trPr>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340" w:type="dxa"/>
            <w:vAlign w:val="bottom"/>
          </w:tcPr>
          <w:p>
            <w:pPr>
              <w:spacing w:after="0"/>
              <w:rPr>
                <w:sz w:val="22"/>
                <w:szCs w:val="22"/>
                <w:color w:val="auto"/>
              </w:rPr>
            </w:pPr>
          </w:p>
        </w:tc>
        <w:tc>
          <w:tcPr>
            <w:tcW w:w="4500" w:type="dxa"/>
            <w:vAlign w:val="bottom"/>
          </w:tcPr>
          <w:p>
            <w:pPr>
              <w:ind w:left="20"/>
              <w:spacing w:after="0"/>
              <w:rPr>
                <w:sz w:val="20"/>
                <w:szCs w:val="20"/>
                <w:color w:val="auto"/>
              </w:rPr>
            </w:pPr>
            <w:r>
              <w:rPr>
                <w:rFonts w:ascii="Arial" w:cs="Arial" w:eastAsia="Arial" w:hAnsi="Arial"/>
                <w:sz w:val="20"/>
                <w:szCs w:val="20"/>
                <w:color w:val="auto"/>
              </w:rPr>
              <w:t>Robert Barton</w:t>
            </w:r>
          </w:p>
        </w:tc>
      </w:tr>
      <w:tr>
        <w:trPr>
          <w:trHeight w:val="275"/>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340" w:type="dxa"/>
            <w:vAlign w:val="bottom"/>
          </w:tcPr>
          <w:p>
            <w:pPr>
              <w:spacing w:after="0"/>
              <w:rPr>
                <w:sz w:val="23"/>
                <w:szCs w:val="23"/>
                <w:color w:val="auto"/>
              </w:rPr>
            </w:pPr>
          </w:p>
        </w:tc>
        <w:tc>
          <w:tcPr>
            <w:tcW w:w="4500" w:type="dxa"/>
            <w:vAlign w:val="bottom"/>
          </w:tcPr>
          <w:p>
            <w:pPr>
              <w:ind w:left="20"/>
              <w:spacing w:after="0"/>
              <w:rPr>
                <w:sz w:val="20"/>
                <w:szCs w:val="20"/>
                <w:color w:val="auto"/>
              </w:rPr>
            </w:pPr>
            <w:r>
              <w:rPr>
                <w:rFonts w:ascii="Arial" w:cs="Arial" w:eastAsia="Arial" w:hAnsi="Arial"/>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AMERICAN ASSETS TRUST, INC.</w:t>
      </w:r>
    </w:p>
    <w:p>
      <w:pPr>
        <w:spacing w:after="0" w:line="320" w:lineRule="exact"/>
        <w:rPr>
          <w:sz w:val="20"/>
          <w:szCs w:val="20"/>
          <w:color w:val="auto"/>
        </w:rPr>
      </w:pPr>
    </w:p>
    <w:tbl>
      <w:tblPr>
        <w:tblLayout w:type="fixed"/>
        <w:tblInd w:w="3880" w:type="dxa"/>
        <w:tblCellMar>
          <w:top w:w="0" w:type="dxa"/>
          <w:left w:w="0" w:type="dxa"/>
          <w:bottom w:w="0" w:type="dxa"/>
          <w:right w:w="0" w:type="dxa"/>
        </w:tblCellMar>
      </w:tblPr>
      <w:tr>
        <w:trPr>
          <w:trHeight w:val="261"/>
        </w:trPr>
        <w:tc>
          <w:tcPr>
            <w:tcW w:w="980" w:type="dxa"/>
            <w:vAlign w:val="bottom"/>
          </w:tcPr>
          <w:p>
            <w:pPr>
              <w:spacing w:after="0"/>
              <w:rPr>
                <w:sz w:val="20"/>
                <w:szCs w:val="20"/>
                <w:color w:val="auto"/>
              </w:rPr>
            </w:pPr>
            <w:r>
              <w:rPr>
                <w:rFonts w:ascii="Arial" w:cs="Arial" w:eastAsia="Arial" w:hAnsi="Arial"/>
                <w:sz w:val="20"/>
                <w:szCs w:val="20"/>
                <w:color w:val="auto"/>
              </w:rPr>
              <w:t>By:</w:t>
            </w:r>
          </w:p>
        </w:tc>
        <w:tc>
          <w:tcPr>
            <w:tcW w:w="45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ERNEST RADY</w:t>
            </w:r>
          </w:p>
        </w:tc>
      </w:tr>
      <w:tr>
        <w:trPr>
          <w:trHeight w:val="260"/>
        </w:trPr>
        <w:tc>
          <w:tcPr>
            <w:tcW w:w="980" w:type="dxa"/>
            <w:vAlign w:val="bottom"/>
          </w:tcPr>
          <w:p>
            <w:pPr>
              <w:spacing w:after="0"/>
              <w:rPr>
                <w:sz w:val="20"/>
                <w:szCs w:val="20"/>
                <w:color w:val="auto"/>
              </w:rPr>
            </w:pPr>
            <w:r>
              <w:rPr>
                <w:rFonts w:ascii="Arial" w:cs="Arial" w:eastAsia="Arial" w:hAnsi="Arial"/>
                <w:sz w:val="20"/>
                <w:szCs w:val="20"/>
                <w:color w:val="auto"/>
              </w:rPr>
              <w:t>Name:</w:t>
            </w:r>
          </w:p>
        </w:tc>
        <w:tc>
          <w:tcPr>
            <w:tcW w:w="4500" w:type="dxa"/>
            <w:vAlign w:val="bottom"/>
          </w:tcPr>
          <w:p>
            <w:pPr>
              <w:ind w:left="20"/>
              <w:spacing w:after="0"/>
              <w:rPr>
                <w:sz w:val="20"/>
                <w:szCs w:val="20"/>
                <w:color w:val="auto"/>
              </w:rPr>
            </w:pPr>
            <w:r>
              <w:rPr>
                <w:rFonts w:ascii="Arial" w:cs="Arial" w:eastAsia="Arial" w:hAnsi="Arial"/>
                <w:sz w:val="20"/>
                <w:szCs w:val="20"/>
                <w:color w:val="auto"/>
              </w:rPr>
              <w:t>Ernest Rady</w:t>
            </w:r>
          </w:p>
        </w:tc>
      </w:tr>
      <w:tr>
        <w:trPr>
          <w:trHeight w:val="275"/>
        </w:trPr>
        <w:tc>
          <w:tcPr>
            <w:tcW w:w="980" w:type="dxa"/>
            <w:vAlign w:val="bottom"/>
          </w:tcPr>
          <w:p>
            <w:pPr>
              <w:spacing w:after="0"/>
              <w:rPr>
                <w:sz w:val="20"/>
                <w:szCs w:val="20"/>
                <w:color w:val="auto"/>
              </w:rPr>
            </w:pPr>
            <w:r>
              <w:rPr>
                <w:rFonts w:ascii="Arial" w:cs="Arial" w:eastAsia="Arial" w:hAnsi="Arial"/>
                <w:sz w:val="20"/>
                <w:szCs w:val="20"/>
                <w:color w:val="auto"/>
              </w:rPr>
              <w:t>Title:</w:t>
            </w:r>
          </w:p>
        </w:tc>
        <w:tc>
          <w:tcPr>
            <w:tcW w:w="4500" w:type="dxa"/>
            <w:vAlign w:val="bottom"/>
          </w:tcPr>
          <w:p>
            <w:pPr>
              <w:ind w:left="20"/>
              <w:spacing w:after="0"/>
              <w:rPr>
                <w:sz w:val="20"/>
                <w:szCs w:val="20"/>
                <w:color w:val="auto"/>
              </w:rPr>
            </w:pPr>
            <w:r>
              <w:rPr>
                <w:rFonts w:ascii="Arial" w:cs="Arial" w:eastAsia="Arial" w:hAnsi="Arial"/>
                <w:sz w:val="20"/>
                <w:szCs w:val="20"/>
                <w:color w:val="auto"/>
              </w:rPr>
              <w:t>President &amp; CEO</w:t>
            </w:r>
          </w:p>
        </w:tc>
      </w:tr>
      <w:tr>
        <w:trPr>
          <w:trHeight w:val="607"/>
        </w:trPr>
        <w:tc>
          <w:tcPr>
            <w:tcW w:w="980" w:type="dxa"/>
            <w:vAlign w:val="bottom"/>
          </w:tcPr>
          <w:p>
            <w:pPr>
              <w:spacing w:after="0"/>
              <w:rPr>
                <w:sz w:val="20"/>
                <w:szCs w:val="20"/>
                <w:color w:val="auto"/>
              </w:rPr>
            </w:pPr>
            <w:r>
              <w:rPr>
                <w:rFonts w:ascii="Arial" w:cs="Arial" w:eastAsia="Arial" w:hAnsi="Arial"/>
                <w:sz w:val="20"/>
                <w:szCs w:val="20"/>
                <w:color w:val="auto"/>
              </w:rPr>
              <w:t>By:</w:t>
            </w:r>
          </w:p>
        </w:tc>
        <w:tc>
          <w:tcPr>
            <w:tcW w:w="45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ROBERT F. BARTON</w:t>
            </w:r>
          </w:p>
        </w:tc>
      </w:tr>
      <w:tr>
        <w:trPr>
          <w:trHeight w:val="260"/>
        </w:trPr>
        <w:tc>
          <w:tcPr>
            <w:tcW w:w="980" w:type="dxa"/>
            <w:vAlign w:val="bottom"/>
          </w:tcPr>
          <w:p>
            <w:pPr>
              <w:spacing w:after="0"/>
              <w:rPr>
                <w:sz w:val="20"/>
                <w:szCs w:val="20"/>
                <w:color w:val="auto"/>
              </w:rPr>
            </w:pPr>
            <w:r>
              <w:rPr>
                <w:rFonts w:ascii="Arial" w:cs="Arial" w:eastAsia="Arial" w:hAnsi="Arial"/>
                <w:sz w:val="20"/>
                <w:szCs w:val="20"/>
                <w:color w:val="auto"/>
              </w:rPr>
              <w:t>Name:</w:t>
            </w:r>
          </w:p>
        </w:tc>
        <w:tc>
          <w:tcPr>
            <w:tcW w:w="4500" w:type="dxa"/>
            <w:vAlign w:val="bottom"/>
          </w:tcPr>
          <w:p>
            <w:pPr>
              <w:ind w:left="20"/>
              <w:spacing w:after="0"/>
              <w:rPr>
                <w:sz w:val="20"/>
                <w:szCs w:val="20"/>
                <w:color w:val="auto"/>
              </w:rPr>
            </w:pPr>
            <w:r>
              <w:rPr>
                <w:rFonts w:ascii="Arial" w:cs="Arial" w:eastAsia="Arial" w:hAnsi="Arial"/>
                <w:sz w:val="20"/>
                <w:szCs w:val="20"/>
                <w:color w:val="auto"/>
              </w:rPr>
              <w:t>Robert F. Barton</w:t>
            </w:r>
          </w:p>
        </w:tc>
      </w:tr>
      <w:tr>
        <w:trPr>
          <w:trHeight w:val="275"/>
        </w:trPr>
        <w:tc>
          <w:tcPr>
            <w:tcW w:w="980" w:type="dxa"/>
            <w:vAlign w:val="bottom"/>
          </w:tcPr>
          <w:p>
            <w:pPr>
              <w:spacing w:after="0"/>
              <w:rPr>
                <w:sz w:val="20"/>
                <w:szCs w:val="20"/>
                <w:color w:val="auto"/>
              </w:rPr>
            </w:pPr>
            <w:r>
              <w:rPr>
                <w:rFonts w:ascii="Arial" w:cs="Arial" w:eastAsia="Arial" w:hAnsi="Arial"/>
                <w:sz w:val="20"/>
                <w:szCs w:val="20"/>
                <w:color w:val="auto"/>
              </w:rPr>
              <w:t>Title:</w:t>
            </w:r>
          </w:p>
        </w:tc>
        <w:tc>
          <w:tcPr>
            <w:tcW w:w="4500" w:type="dxa"/>
            <w:vAlign w:val="bottom"/>
          </w:tcPr>
          <w:p>
            <w:pPr>
              <w:ind w:left="20"/>
              <w:spacing w:after="0"/>
              <w:rPr>
                <w:sz w:val="20"/>
                <w:szCs w:val="20"/>
                <w:color w:val="auto"/>
              </w:rPr>
            </w:pPr>
            <w:r>
              <w:rPr>
                <w:rFonts w:ascii="Arial" w:cs="Arial" w:eastAsia="Arial" w:hAnsi="Arial"/>
                <w:sz w:val="20"/>
                <w:szCs w:val="20"/>
                <w:color w:val="auto"/>
              </w:rPr>
              <w:t>Chief Financial Officer</w:t>
            </w:r>
          </w:p>
        </w:tc>
      </w:tr>
    </w:tbl>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Third Amendment to Term Loan Agreement</w:t>
      </w:r>
    </w:p>
    <w:p>
      <w:pPr>
        <w:sectPr>
          <w:pgSz w:w="11900" w:h="16838" w:orient="portrait"/>
          <w:cols w:equalWidth="0" w:num="1">
            <w:col w:w="11420"/>
          </w:cols>
          <w:pgMar w:left="240" w:top="795" w:right="239" w:bottom="1440" w:gutter="0" w:footer="0" w:header="0"/>
        </w:sectPr>
      </w:pPr>
    </w:p>
    <w:bookmarkStart w:id="222" w:name="page223"/>
    <w:bookmarkEnd w:id="222"/>
    <w:p>
      <w:pPr>
        <w:ind w:left="2680"/>
        <w:spacing w:after="0"/>
        <w:rPr>
          <w:sz w:val="20"/>
          <w:szCs w:val="20"/>
          <w:color w:val="auto"/>
        </w:rPr>
      </w:pPr>
      <w:r>
        <w:rPr>
          <w:rFonts w:ascii="Arial" w:cs="Arial" w:eastAsia="Arial" w:hAnsi="Arial"/>
          <w:sz w:val="20"/>
          <w:szCs w:val="20"/>
          <w:b w:val="1"/>
          <w:bCs w:val="1"/>
          <w:color w:val="auto"/>
        </w:rPr>
        <w:t>U.S. BANK NATIONAL ASSOCIATION,</w:t>
      </w:r>
    </w:p>
    <w:p>
      <w:pPr>
        <w:spacing w:after="0" w:line="17"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as Administrative Agent and as a Lender</w:t>
      </w:r>
    </w:p>
    <w:p>
      <w:pPr>
        <w:spacing w:after="0" w:line="200" w:lineRule="exact"/>
        <w:rPr>
          <w:sz w:val="20"/>
          <w:szCs w:val="20"/>
          <w:color w:val="auto"/>
        </w:rPr>
      </w:pPr>
    </w:p>
    <w:p>
      <w:pPr>
        <w:spacing w:after="0" w:line="328" w:lineRule="exact"/>
        <w:rPr>
          <w:sz w:val="20"/>
          <w:szCs w:val="20"/>
          <w:color w:val="auto"/>
        </w:rPr>
      </w:pPr>
    </w:p>
    <w:p>
      <w:pPr>
        <w:jc w:val="both"/>
        <w:ind w:left="2680"/>
        <w:spacing w:after="0"/>
        <w:tabs>
          <w:tab w:leader="none" w:pos="3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U.S.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2322830</wp:posOffset>
            </wp:positionH>
            <wp:positionV relativeFrom="paragraph">
              <wp:posOffset>24765</wp:posOffset>
            </wp:positionV>
            <wp:extent cx="286321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63215" cy="762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Third Amendment to Term Loan Agreement</w:t>
      </w:r>
    </w:p>
    <w:p>
      <w:pPr>
        <w:sectPr>
          <w:pgSz w:w="11900" w:h="16838" w:orient="portrait"/>
          <w:cols w:equalWidth="0" w:num="1">
            <w:col w:w="9019"/>
          </w:cols>
          <w:pgMar w:left="1440" w:top="926" w:right="1440" w:bottom="1440" w:gutter="0" w:footer="0" w:header="0"/>
        </w:sectPr>
      </w:pPr>
    </w:p>
    <w:bookmarkStart w:id="223" w:name="page224"/>
    <w:bookmarkEnd w:id="223"/>
    <w:p>
      <w:pPr>
        <w:ind w:left="2680"/>
        <w:spacing w:after="0"/>
        <w:rPr>
          <w:sz w:val="20"/>
          <w:szCs w:val="20"/>
          <w:color w:val="auto"/>
        </w:rPr>
      </w:pPr>
      <w:r>
        <w:rPr>
          <w:rFonts w:ascii="Arial" w:cs="Arial" w:eastAsia="Arial" w:hAnsi="Arial"/>
          <w:sz w:val="20"/>
          <w:szCs w:val="20"/>
          <w:b w:val="1"/>
          <w:bCs w:val="1"/>
          <w:color w:val="auto"/>
        </w:rPr>
        <w:t>PNC BANK, NATIONAL ASSOCIATION,</w:t>
      </w:r>
    </w:p>
    <w:p>
      <w:pPr>
        <w:spacing w:after="0" w:line="17"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as a Lender</w:t>
      </w:r>
    </w:p>
    <w:p>
      <w:pPr>
        <w:spacing w:after="0" w:line="304" w:lineRule="exact"/>
        <w:rPr>
          <w:sz w:val="20"/>
          <w:szCs w:val="20"/>
          <w:color w:val="auto"/>
        </w:rPr>
      </w:pPr>
    </w:p>
    <w:p>
      <w:pPr>
        <w:jc w:val="both"/>
        <w:ind w:left="2680"/>
        <w:spacing w:after="0"/>
        <w:tabs>
          <w:tab w:leader="none" w:pos="3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PNC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2322830</wp:posOffset>
            </wp:positionH>
            <wp:positionV relativeFrom="paragraph">
              <wp:posOffset>24765</wp:posOffset>
            </wp:positionV>
            <wp:extent cx="286321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63215" cy="762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Third Amendment to Term Loan Agreement</w:t>
      </w:r>
    </w:p>
    <w:p>
      <w:pPr>
        <w:sectPr>
          <w:pgSz w:w="11900" w:h="16838" w:orient="portrait"/>
          <w:cols w:equalWidth="0" w:num="1">
            <w:col w:w="9019"/>
          </w:cols>
          <w:pgMar w:left="1440" w:top="1363" w:right="1440" w:bottom="1440" w:gutter="0" w:footer="0" w:header="0"/>
        </w:sectPr>
      </w:pPr>
    </w:p>
    <w:bookmarkStart w:id="224" w:name="page225"/>
    <w:bookmarkEnd w:id="224"/>
    <w:p>
      <w:pPr>
        <w:ind w:left="620" w:right="3659"/>
        <w:spacing w:after="0" w:line="266" w:lineRule="auto"/>
        <w:rPr>
          <w:sz w:val="20"/>
          <w:szCs w:val="20"/>
          <w:color w:val="auto"/>
        </w:rPr>
      </w:pPr>
      <w:r>
        <w:rPr>
          <w:rFonts w:ascii="Arial" w:cs="Arial" w:eastAsia="Arial" w:hAnsi="Arial"/>
          <w:sz w:val="20"/>
          <w:szCs w:val="20"/>
          <w:b w:val="1"/>
          <w:bCs w:val="1"/>
          <w:color w:val="auto"/>
        </w:rPr>
        <w:t xml:space="preserve">WELLS FARGO BANK, NATIONAL ASSOCIATION, </w:t>
      </w:r>
      <w:r>
        <w:rPr>
          <w:rFonts w:ascii="Arial" w:cs="Arial" w:eastAsia="Arial" w:hAnsi="Arial"/>
          <w:sz w:val="20"/>
          <w:szCs w:val="20"/>
          <w:color w:val="auto"/>
        </w:rPr>
        <w:t>as a Lender</w:t>
      </w:r>
    </w:p>
    <w:p>
      <w:pPr>
        <w:spacing w:after="0" w:line="200" w:lineRule="exact"/>
        <w:rPr>
          <w:sz w:val="20"/>
          <w:szCs w:val="20"/>
          <w:color w:val="auto"/>
        </w:rPr>
      </w:pPr>
    </w:p>
    <w:p>
      <w:pPr>
        <w:spacing w:after="0" w:line="295" w:lineRule="exact"/>
        <w:rPr>
          <w:sz w:val="20"/>
          <w:szCs w:val="20"/>
          <w:color w:val="auto"/>
        </w:rPr>
      </w:pPr>
    </w:p>
    <w:p>
      <w:pPr>
        <w:ind w:left="620"/>
        <w:spacing w:after="0"/>
        <w:tabs>
          <w:tab w:leader="none" w:pos="14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WELLS FARGO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895350</wp:posOffset>
            </wp:positionH>
            <wp:positionV relativeFrom="paragraph">
              <wp:posOffset>24765</wp:posOffset>
            </wp:positionV>
            <wp:extent cx="344233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423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Third Amendment to Term Loan Agreement</w:t>
      </w:r>
    </w:p>
    <w:p>
      <w:pPr>
        <w:sectPr>
          <w:pgSz w:w="11900" w:h="16838" w:orient="portrait"/>
          <w:cols w:equalWidth="0" w:num="1">
            <w:col w:w="9019"/>
          </w:cols>
          <w:pgMar w:left="1440" w:top="926" w:right="1440" w:bottom="1440" w:gutter="0" w:footer="0" w:header="0"/>
        </w:sectPr>
      </w:pPr>
    </w:p>
    <w:bookmarkStart w:id="225" w:name="page226"/>
    <w:bookmarkEnd w:id="225"/>
    <w:p>
      <w:pPr>
        <w:jc w:val="center"/>
        <w:ind w:right="-20"/>
        <w:spacing w:after="0"/>
        <w:rPr>
          <w:sz w:val="20"/>
          <w:szCs w:val="20"/>
          <w:color w:val="auto"/>
        </w:rPr>
      </w:pPr>
      <w:r>
        <w:rPr>
          <w:rFonts w:ascii="Arial" w:cs="Arial" w:eastAsia="Arial" w:hAnsi="Arial"/>
          <w:sz w:val="20"/>
          <w:szCs w:val="20"/>
          <w:b w:val="1"/>
          <w:bCs w:val="1"/>
          <w:color w:val="auto"/>
        </w:rPr>
        <w:t>EXHIBIT A-1</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Marked Copy of Amended Term Loan Agreement</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[Attached]</w:t>
      </w:r>
    </w:p>
    <w:p>
      <w:pPr>
        <w:sectPr>
          <w:pgSz w:w="11900" w:h="16838" w:orient="portrait"/>
          <w:cols w:equalWidth="0" w:num="1">
            <w:col w:w="9019"/>
          </w:cols>
          <w:pgMar w:left="1440" w:top="789" w:right="1440" w:bottom="1440" w:gutter="0" w:footer="0" w:header="0"/>
        </w:sectPr>
      </w:pPr>
    </w:p>
    <w:bookmarkStart w:id="226" w:name="page227"/>
    <w:bookmarkEnd w:id="226"/>
    <w:p>
      <w:pPr>
        <w:spacing w:after="0" w:line="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687070</wp:posOffset>
            </wp:positionV>
            <wp:extent cx="7282180"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2180" cy="4127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0"/>
          <w:szCs w:val="20"/>
          <w:b w:val="1"/>
          <w:bCs w:val="1"/>
          <w:color w:val="auto"/>
        </w:rPr>
        <w:t>Conformed Copy:</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As amended by</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 xml:space="preserve">Joinder and First Amendment to Credit Agreement dated as of May 2, 2016 </w:t>
      </w:r>
      <w:r>
        <w:rPr>
          <w:rFonts w:ascii="Arial" w:cs="Arial" w:eastAsia="Arial" w:hAnsi="Arial"/>
          <w:sz w:val="20"/>
          <w:szCs w:val="20"/>
          <w:b w:val="1"/>
          <w:bCs w:val="1"/>
          <w:color w:val="FF0000"/>
          <w:strike w:val="1"/>
        </w:rPr>
        <w:t>and</w:t>
      </w:r>
      <w:r>
        <w:rPr>
          <w:rFonts w:ascii="Arial" w:cs="Arial" w:eastAsia="Arial" w:hAnsi="Arial"/>
          <w:sz w:val="20"/>
          <w:szCs w:val="20"/>
          <w:b w:val="1"/>
          <w:bCs w:val="1"/>
          <w:u w:val="single" w:color="auto"/>
          <w:color w:val="0000FF"/>
          <w:highlight w:val="lightGray"/>
        </w:rPr>
        <w:t>,</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 xml:space="preserve">Second Amendment to Term Loan Agreement dated as of May 23, 2017 </w:t>
      </w:r>
      <w:r>
        <w:rPr>
          <w:rFonts w:ascii="Arial" w:cs="Arial" w:eastAsia="Arial" w:hAnsi="Arial"/>
          <w:sz w:val="20"/>
          <w:szCs w:val="20"/>
          <w:b w:val="1"/>
          <w:bCs w:val="1"/>
          <w:u w:val="single" w:color="auto"/>
          <w:color w:val="0000FF"/>
          <w:highlight w:val="lightGray"/>
        </w:rPr>
        <w:t>and</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FF0000"/>
          <w:strike w:val="1"/>
        </w:rPr>
        <w:t>Not a legal document</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0000FF"/>
          <w:highlight w:val="lightGray"/>
        </w:rPr>
        <w:t>Third Amendment to Term Loan Agreement dated as of January 9, 2018</w:t>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Published CUSIP Deal Number: 02401JAF6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Published CUSIP Facility Number: 02401JAG4</w:t>
      </w:r>
    </w:p>
    <w:p>
      <w:pPr>
        <w:spacing w:after="0" w:line="391"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TERM LOAN AGREEMENT</w:t>
      </w:r>
    </w:p>
    <w:p>
      <w:pPr>
        <w:spacing w:after="0" w:line="207"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Dated as of March 1, 2016</w:t>
      </w:r>
    </w:p>
    <w:p>
      <w:pPr>
        <w:spacing w:after="0" w:line="207"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among</w:t>
      </w:r>
    </w:p>
    <w:p>
      <w:pPr>
        <w:spacing w:after="0" w:line="207"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AMERICAN ASSETS TRUST, L.P.,</w:t>
      </w:r>
    </w:p>
    <w:p>
      <w:pPr>
        <w:spacing w:after="0" w:line="207"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as the Borrower,</w:t>
      </w:r>
    </w:p>
    <w:p>
      <w:pPr>
        <w:spacing w:after="0" w:line="207"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AMERICAN ASSETS TRUST, INC.,</w:t>
      </w:r>
    </w:p>
    <w:p>
      <w:pPr>
        <w:spacing w:after="0" w:line="207"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as a Guarantor,</w:t>
      </w:r>
    </w:p>
    <w:p>
      <w:pPr>
        <w:spacing w:after="0" w:line="207"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U.S. BANK NATIONAL ASSOCIATION</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as Administrative Agent,</w:t>
      </w:r>
    </w:p>
    <w:p>
      <w:pPr>
        <w:spacing w:after="0" w:line="191"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The Other Lenders Party Hereto,</w:t>
      </w:r>
    </w:p>
    <w:p>
      <w:pPr>
        <w:spacing w:after="0" w:line="207"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U.S. Bank National Association,</w:t>
      </w:r>
    </w:p>
    <w:p>
      <w:pPr>
        <w:spacing w:after="0" w:line="207"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PNC CAPITAL MARKETS LLC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and</w:t>
      </w:r>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 xml:space="preserve">WELLS FARGO </w:t>
      </w:r>
      <w:r>
        <w:rPr>
          <w:rFonts w:ascii="Arial" w:cs="Arial" w:eastAsia="Arial" w:hAnsi="Arial"/>
          <w:sz w:val="19"/>
          <w:szCs w:val="19"/>
          <w:color w:val="FF0000"/>
          <w:strike w:val="1"/>
        </w:rPr>
        <w:t>BANK, NATIONAL ASSOCIATION</w:t>
      </w:r>
      <w:r>
        <w:rPr>
          <w:rFonts w:ascii="Arial" w:cs="Arial" w:eastAsia="Arial" w:hAnsi="Arial"/>
          <w:sz w:val="19"/>
          <w:szCs w:val="19"/>
          <w:b w:val="1"/>
          <w:bCs w:val="1"/>
          <w:u w:val="single" w:color="auto"/>
          <w:color w:val="0000FF"/>
          <w:highlight w:val="lightGray"/>
        </w:rPr>
        <w:t>SECURITIES, LLC</w:t>
      </w:r>
    </w:p>
    <w:p>
      <w:pPr>
        <w:spacing w:after="0" w:line="20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as Joint Lead Arrangers and Joint Bookrunners,</w:t>
      </w:r>
    </w:p>
    <w:p>
      <w:pPr>
        <w:spacing w:after="0" w:line="207"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and</w:t>
      </w:r>
    </w:p>
    <w:p>
      <w:pPr>
        <w:spacing w:after="0" w:line="207"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PNC Bank, National Association,</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as 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683895</wp:posOffset>
            </wp:positionV>
            <wp:extent cx="7282180"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2180" cy="41275"/>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260"/>
        </w:trPr>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40" w:type="dxa"/>
            <w:vAlign w:val="bottom"/>
          </w:tcPr>
          <w:p>
            <w:pPr>
              <w:jc w:val="center"/>
              <w:spacing w:after="0"/>
              <w:rPr>
                <w:sz w:val="20"/>
                <w:szCs w:val="20"/>
                <w:color w:val="auto"/>
              </w:rPr>
            </w:pPr>
            <w:r>
              <w:rPr>
                <w:rFonts w:ascii="Arial" w:cs="Arial" w:eastAsia="Arial" w:hAnsi="Arial"/>
                <w:sz w:val="20"/>
                <w:szCs w:val="20"/>
                <w:b w:val="1"/>
                <w:bCs w:val="1"/>
                <w:color w:val="auto"/>
                <w:w w:val="99"/>
              </w:rPr>
              <w:t>TABLE OF CONTENTS</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527"/>
        </w:trPr>
        <w:tc>
          <w:tcPr>
            <w:tcW w:w="10120" w:type="dxa"/>
            <w:vAlign w:val="bottom"/>
            <w:gridSpan w:val="4"/>
          </w:tcPr>
          <w:p>
            <w:pPr>
              <w:ind w:left="280"/>
              <w:spacing w:after="0"/>
              <w:rPr>
                <w:sz w:val="20"/>
                <w:szCs w:val="20"/>
                <w:color w:val="auto"/>
              </w:rPr>
            </w:pPr>
            <w:r>
              <w:rPr>
                <w:rFonts w:ascii="Arial" w:cs="Arial" w:eastAsia="Arial" w:hAnsi="Arial"/>
                <w:sz w:val="20"/>
                <w:szCs w:val="20"/>
                <w:color w:val="auto"/>
              </w:rPr>
              <w:t>Section</w:t>
            </w:r>
          </w:p>
        </w:tc>
        <w:tc>
          <w:tcPr>
            <w:tcW w:w="160" w:type="dxa"/>
            <w:vAlign w:val="bottom"/>
          </w:tcPr>
          <w:p>
            <w:pPr>
              <w:spacing w:after="0"/>
              <w:rPr>
                <w:sz w:val="24"/>
                <w:szCs w:val="24"/>
                <w:color w:val="auto"/>
              </w:rPr>
            </w:pPr>
          </w:p>
        </w:tc>
        <w:tc>
          <w:tcPr>
            <w:tcW w:w="680" w:type="dxa"/>
            <w:vAlign w:val="bottom"/>
            <w:gridSpan w:val="5"/>
          </w:tcPr>
          <w:p>
            <w:pPr>
              <w:jc w:val="right"/>
              <w:ind w:right="300"/>
              <w:spacing w:after="0"/>
              <w:rPr>
                <w:sz w:val="20"/>
                <w:szCs w:val="20"/>
                <w:color w:val="auto"/>
              </w:rPr>
            </w:pPr>
            <w:r>
              <w:rPr>
                <w:rFonts w:ascii="Arial" w:cs="Arial" w:eastAsia="Arial" w:hAnsi="Arial"/>
                <w:sz w:val="20"/>
                <w:szCs w:val="20"/>
                <w:color w:val="auto"/>
                <w:w w:val="76"/>
              </w:rPr>
              <w:t>Page</w:t>
            </w:r>
          </w:p>
        </w:tc>
      </w:tr>
      <w:tr>
        <w:trPr>
          <w:trHeight w:val="664"/>
        </w:trPr>
        <w:tc>
          <w:tcPr>
            <w:tcW w:w="2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240" w:type="dxa"/>
            <w:vAlign w:val="bottom"/>
          </w:tcPr>
          <w:p>
            <w:pPr>
              <w:jc w:val="center"/>
              <w:spacing w:after="0"/>
              <w:rPr>
                <w:sz w:val="20"/>
                <w:szCs w:val="20"/>
                <w:color w:val="auto"/>
              </w:rPr>
            </w:pPr>
            <w:r>
              <w:rPr>
                <w:rFonts w:ascii="Arial" w:cs="Arial" w:eastAsia="Arial" w:hAnsi="Arial"/>
                <w:sz w:val="20"/>
                <w:szCs w:val="20"/>
                <w:color w:val="auto"/>
                <w:w w:val="98"/>
              </w:rPr>
              <w:t>ARTICLE I</w:t>
            </w: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5"/>
        </w:trPr>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40" w:type="dxa"/>
            <w:vAlign w:val="bottom"/>
          </w:tcPr>
          <w:p>
            <w:pPr>
              <w:jc w:val="center"/>
              <w:spacing w:after="0"/>
              <w:rPr>
                <w:sz w:val="20"/>
                <w:szCs w:val="20"/>
                <w:color w:val="auto"/>
              </w:rPr>
            </w:pPr>
            <w:r>
              <w:rPr>
                <w:rFonts w:ascii="Arial" w:cs="Arial" w:eastAsia="Arial" w:hAnsi="Arial"/>
                <w:sz w:val="20"/>
                <w:szCs w:val="20"/>
                <w:color w:val="auto"/>
                <w:w w:val="97"/>
              </w:rPr>
              <w:t>DEFINITIONS AND ACCOUNTING TERMS</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07"/>
        </w:trPr>
        <w:tc>
          <w:tcPr>
            <w:tcW w:w="540" w:type="dxa"/>
            <w:vAlign w:val="bottom"/>
            <w:gridSpan w:val="2"/>
          </w:tcPr>
          <w:p>
            <w:pPr>
              <w:spacing w:after="0"/>
              <w:rPr>
                <w:sz w:val="20"/>
                <w:szCs w:val="20"/>
                <w:color w:val="auto"/>
              </w:rPr>
            </w:pPr>
            <w:r>
              <w:rPr>
                <w:rFonts w:ascii="Arial" w:cs="Arial" w:eastAsia="Arial" w:hAnsi="Arial"/>
                <w:sz w:val="20"/>
                <w:szCs w:val="20"/>
                <w:color w:val="auto"/>
              </w:rPr>
              <w:t>1.01.</w:t>
            </w:r>
          </w:p>
        </w:tc>
        <w:tc>
          <w:tcPr>
            <w:tcW w:w="9580" w:type="dxa"/>
            <w:vAlign w:val="bottom"/>
            <w:gridSpan w:val="2"/>
          </w:tcPr>
          <w:p>
            <w:pPr>
              <w:ind w:left="140"/>
              <w:spacing w:after="0"/>
              <w:rPr>
                <w:sz w:val="20"/>
                <w:szCs w:val="20"/>
                <w:color w:val="auto"/>
              </w:rPr>
            </w:pPr>
            <w:r>
              <w:rPr>
                <w:rFonts w:ascii="Arial" w:cs="Arial" w:eastAsia="Arial" w:hAnsi="Arial"/>
                <w:sz w:val="20"/>
                <w:szCs w:val="20"/>
                <w:color w:val="auto"/>
              </w:rPr>
              <w:t>Defined Terms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20"/>
                <w:szCs w:val="20"/>
                <w:color w:val="auto"/>
              </w:rPr>
              <w:t>1</w:t>
            </w:r>
          </w:p>
        </w:tc>
      </w:tr>
      <w:tr>
        <w:trPr>
          <w:trHeight w:val="220"/>
        </w:trPr>
        <w:tc>
          <w:tcPr>
            <w:tcW w:w="540" w:type="dxa"/>
            <w:vAlign w:val="bottom"/>
            <w:gridSpan w:val="2"/>
          </w:tcPr>
          <w:p>
            <w:pPr>
              <w:spacing w:after="0" w:line="220" w:lineRule="exact"/>
              <w:rPr>
                <w:sz w:val="20"/>
                <w:szCs w:val="20"/>
                <w:color w:val="auto"/>
              </w:rPr>
            </w:pPr>
            <w:r>
              <w:rPr>
                <w:rFonts w:ascii="Arial" w:cs="Arial" w:eastAsia="Arial" w:hAnsi="Arial"/>
                <w:sz w:val="20"/>
                <w:szCs w:val="20"/>
                <w:color w:val="auto"/>
              </w:rPr>
              <w:t>1.02.</w:t>
            </w:r>
          </w:p>
        </w:tc>
        <w:tc>
          <w:tcPr>
            <w:tcW w:w="9580" w:type="dxa"/>
            <w:vAlign w:val="bottom"/>
            <w:gridSpan w:val="2"/>
          </w:tcPr>
          <w:p>
            <w:pPr>
              <w:ind w:left="140"/>
              <w:spacing w:after="0" w:line="220" w:lineRule="exact"/>
              <w:rPr>
                <w:sz w:val="20"/>
                <w:szCs w:val="20"/>
                <w:color w:val="auto"/>
              </w:rPr>
            </w:pPr>
            <w:r>
              <w:rPr>
                <w:rFonts w:ascii="Arial" w:cs="Arial" w:eastAsia="Arial" w:hAnsi="Arial"/>
                <w:sz w:val="20"/>
                <w:szCs w:val="20"/>
                <w:color w:val="auto"/>
              </w:rPr>
              <w:t>Other Interpretive Provisions</w:t>
            </w:r>
          </w:p>
        </w:tc>
        <w:tc>
          <w:tcPr>
            <w:tcW w:w="300" w:type="dxa"/>
            <w:vAlign w:val="bottom"/>
            <w:gridSpan w:val="2"/>
          </w:tcPr>
          <w:p>
            <w:pPr>
              <w:jc w:val="right"/>
              <w:spacing w:after="0" w:line="220" w:lineRule="exact"/>
              <w:rPr>
                <w:sz w:val="20"/>
                <w:szCs w:val="20"/>
                <w:color w:val="auto"/>
              </w:rPr>
            </w:pPr>
            <w:r>
              <w:rPr>
                <w:rFonts w:ascii="Arial" w:cs="Arial" w:eastAsia="Arial" w:hAnsi="Arial"/>
                <w:sz w:val="20"/>
                <w:szCs w:val="20"/>
                <w:color w:val="FF0000"/>
                <w:strike w:val="1"/>
                <w:w w:val="80"/>
              </w:rPr>
              <w:t>42</w:t>
            </w:r>
          </w:p>
        </w:tc>
        <w:tc>
          <w:tcPr>
            <w:tcW w:w="240" w:type="dxa"/>
            <w:vAlign w:val="bottom"/>
            <w:tcBorders>
              <w:bottom w:val="single" w:sz="8" w:color="D6D6D6"/>
            </w:tcBorders>
            <w:shd w:val="clear" w:color="auto" w:fill="D6D6D6"/>
          </w:tcPr>
          <w:p>
            <w:pPr>
              <w:spacing w:after="0"/>
              <w:rPr>
                <w:sz w:val="19"/>
                <w:szCs w:val="19"/>
                <w:color w:val="auto"/>
              </w:rPr>
            </w:pPr>
          </w:p>
        </w:tc>
        <w:tc>
          <w:tcPr>
            <w:tcW w:w="200" w:type="dxa"/>
            <w:vAlign w:val="bottom"/>
            <w:tcBorders>
              <w:bottom w:val="single" w:sz="8" w:color="0A0AE5"/>
            </w:tcBorders>
            <w:gridSpan w:val="2"/>
            <w:shd w:val="clear" w:color="auto" w:fill="D6D6D6"/>
          </w:tcPr>
          <w:p>
            <w:pPr>
              <w:jc w:val="right"/>
              <w:spacing w:after="0" w:line="220" w:lineRule="exact"/>
              <w:rPr>
                <w:sz w:val="20"/>
                <w:szCs w:val="20"/>
                <w:color w:val="auto"/>
              </w:rPr>
            </w:pPr>
            <w:r>
              <w:rPr>
                <w:rFonts w:ascii="Arial" w:cs="Arial" w:eastAsia="Arial" w:hAnsi="Arial"/>
                <w:sz w:val="20"/>
                <w:szCs w:val="20"/>
                <w:b w:val="1"/>
                <w:bCs w:val="1"/>
                <w:color w:val="0A0AE5"/>
                <w:w w:val="80"/>
              </w:rPr>
              <w:t>40</w:t>
            </w:r>
          </w:p>
        </w:tc>
        <w:tc>
          <w:tcPr>
            <w:tcW w:w="100" w:type="dxa"/>
            <w:vAlign w:val="bottom"/>
            <w:tcBorders>
              <w:bottom w:val="single" w:sz="8" w:color="D6D6D6"/>
            </w:tcBorders>
            <w:shd w:val="clear" w:color="auto" w:fill="D6D6D6"/>
          </w:tcPr>
          <w:p>
            <w:pPr>
              <w:spacing w:after="0"/>
              <w:rPr>
                <w:sz w:val="19"/>
                <w:szCs w:val="19"/>
                <w:color w:val="auto"/>
              </w:rPr>
            </w:pPr>
          </w:p>
        </w:tc>
      </w:tr>
      <w:tr>
        <w:trPr>
          <w:trHeight w:val="255"/>
        </w:trPr>
        <w:tc>
          <w:tcPr>
            <w:tcW w:w="540" w:type="dxa"/>
            <w:vAlign w:val="bottom"/>
            <w:gridSpan w:val="2"/>
          </w:tcPr>
          <w:p>
            <w:pPr>
              <w:spacing w:after="0"/>
              <w:rPr>
                <w:sz w:val="20"/>
                <w:szCs w:val="20"/>
                <w:color w:val="auto"/>
              </w:rPr>
            </w:pPr>
            <w:r>
              <w:rPr>
                <w:rFonts w:ascii="Arial" w:cs="Arial" w:eastAsia="Arial" w:hAnsi="Arial"/>
                <w:sz w:val="20"/>
                <w:szCs w:val="20"/>
                <w:color w:val="auto"/>
              </w:rPr>
              <w:t>1.03.</w:t>
            </w:r>
          </w:p>
        </w:tc>
        <w:tc>
          <w:tcPr>
            <w:tcW w:w="9580" w:type="dxa"/>
            <w:vAlign w:val="bottom"/>
            <w:gridSpan w:val="2"/>
          </w:tcPr>
          <w:p>
            <w:pPr>
              <w:ind w:left="140"/>
              <w:spacing w:after="0"/>
              <w:rPr>
                <w:sz w:val="20"/>
                <w:szCs w:val="20"/>
                <w:color w:val="auto"/>
              </w:rPr>
            </w:pPr>
            <w:r>
              <w:rPr>
                <w:rFonts w:ascii="Arial" w:cs="Arial" w:eastAsia="Arial" w:hAnsi="Arial"/>
                <w:sz w:val="20"/>
                <w:szCs w:val="20"/>
                <w:color w:val="auto"/>
              </w:rPr>
              <w:t>Accounting Terms</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43</w:t>
            </w:r>
          </w:p>
        </w:tc>
        <w:tc>
          <w:tcPr>
            <w:tcW w:w="24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41</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540" w:type="dxa"/>
            <w:vAlign w:val="bottom"/>
            <w:gridSpan w:val="2"/>
          </w:tcPr>
          <w:p>
            <w:pPr>
              <w:spacing w:after="0"/>
              <w:rPr>
                <w:sz w:val="20"/>
                <w:szCs w:val="20"/>
                <w:color w:val="auto"/>
              </w:rPr>
            </w:pPr>
            <w:r>
              <w:rPr>
                <w:rFonts w:ascii="Arial" w:cs="Arial" w:eastAsia="Arial" w:hAnsi="Arial"/>
                <w:sz w:val="20"/>
                <w:szCs w:val="20"/>
                <w:color w:val="auto"/>
              </w:rPr>
              <w:t>1.04.</w:t>
            </w:r>
          </w:p>
        </w:tc>
        <w:tc>
          <w:tcPr>
            <w:tcW w:w="9580" w:type="dxa"/>
            <w:vAlign w:val="bottom"/>
            <w:gridSpan w:val="2"/>
          </w:tcPr>
          <w:p>
            <w:pPr>
              <w:ind w:left="140"/>
              <w:spacing w:after="0"/>
              <w:rPr>
                <w:sz w:val="20"/>
                <w:szCs w:val="20"/>
                <w:color w:val="auto"/>
              </w:rPr>
            </w:pPr>
            <w:r>
              <w:rPr>
                <w:rFonts w:ascii="Arial" w:cs="Arial" w:eastAsia="Arial" w:hAnsi="Arial"/>
                <w:sz w:val="20"/>
                <w:szCs w:val="20"/>
                <w:color w:val="auto"/>
              </w:rPr>
              <w:t>Rounding</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43</w:t>
            </w:r>
          </w:p>
        </w:tc>
        <w:tc>
          <w:tcPr>
            <w:tcW w:w="24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42</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540" w:type="dxa"/>
            <w:vAlign w:val="bottom"/>
            <w:gridSpan w:val="2"/>
          </w:tcPr>
          <w:p>
            <w:pPr>
              <w:spacing w:after="0"/>
              <w:rPr>
                <w:sz w:val="20"/>
                <w:szCs w:val="20"/>
                <w:color w:val="auto"/>
              </w:rPr>
            </w:pPr>
            <w:r>
              <w:rPr>
                <w:rFonts w:ascii="Arial" w:cs="Arial" w:eastAsia="Arial" w:hAnsi="Arial"/>
                <w:sz w:val="20"/>
                <w:szCs w:val="20"/>
                <w:color w:val="auto"/>
              </w:rPr>
              <w:t>1.05.</w:t>
            </w:r>
          </w:p>
        </w:tc>
        <w:tc>
          <w:tcPr>
            <w:tcW w:w="9580" w:type="dxa"/>
            <w:vAlign w:val="bottom"/>
            <w:gridSpan w:val="2"/>
          </w:tcPr>
          <w:p>
            <w:pPr>
              <w:ind w:left="140"/>
              <w:spacing w:after="0"/>
              <w:rPr>
                <w:sz w:val="20"/>
                <w:szCs w:val="20"/>
                <w:color w:val="auto"/>
              </w:rPr>
            </w:pPr>
            <w:r>
              <w:rPr>
                <w:rFonts w:ascii="Arial" w:cs="Arial" w:eastAsia="Arial" w:hAnsi="Arial"/>
                <w:sz w:val="20"/>
                <w:szCs w:val="20"/>
                <w:color w:val="auto"/>
              </w:rPr>
              <w:t>Times of Day; Rates</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44</w:t>
            </w:r>
          </w:p>
        </w:tc>
        <w:tc>
          <w:tcPr>
            <w:tcW w:w="24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42</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540" w:type="dxa"/>
            <w:vAlign w:val="bottom"/>
            <w:gridSpan w:val="2"/>
          </w:tcPr>
          <w:p>
            <w:pPr>
              <w:spacing w:after="0"/>
              <w:rPr>
                <w:sz w:val="20"/>
                <w:szCs w:val="20"/>
                <w:color w:val="auto"/>
              </w:rPr>
            </w:pPr>
            <w:r>
              <w:rPr>
                <w:rFonts w:ascii="Arial" w:cs="Arial" w:eastAsia="Arial" w:hAnsi="Arial"/>
                <w:sz w:val="20"/>
                <w:szCs w:val="20"/>
                <w:color w:val="auto"/>
              </w:rPr>
              <w:t>1.06.</w:t>
            </w:r>
          </w:p>
        </w:tc>
        <w:tc>
          <w:tcPr>
            <w:tcW w:w="9580" w:type="dxa"/>
            <w:vAlign w:val="bottom"/>
            <w:gridSpan w:val="2"/>
          </w:tcPr>
          <w:p>
            <w:pPr>
              <w:ind w:left="140"/>
              <w:spacing w:after="0"/>
              <w:rPr>
                <w:sz w:val="20"/>
                <w:szCs w:val="20"/>
                <w:color w:val="auto"/>
              </w:rPr>
            </w:pPr>
            <w:r>
              <w:rPr>
                <w:rFonts w:ascii="Arial" w:cs="Arial" w:eastAsia="Arial" w:hAnsi="Arial"/>
                <w:sz w:val="20"/>
                <w:szCs w:val="20"/>
                <w:color w:val="auto"/>
              </w:rPr>
              <w:t>[Intentionally Omitted]</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44</w:t>
            </w:r>
          </w:p>
        </w:tc>
        <w:tc>
          <w:tcPr>
            <w:tcW w:w="24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42</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97"/>
        </w:trPr>
        <w:tc>
          <w:tcPr>
            <w:tcW w:w="540" w:type="dxa"/>
            <w:vAlign w:val="bottom"/>
            <w:gridSpan w:val="2"/>
          </w:tcPr>
          <w:p>
            <w:pPr>
              <w:spacing w:after="0"/>
              <w:rPr>
                <w:sz w:val="20"/>
                <w:szCs w:val="20"/>
                <w:color w:val="auto"/>
              </w:rPr>
            </w:pPr>
            <w:r>
              <w:rPr>
                <w:rFonts w:ascii="Arial" w:cs="Arial" w:eastAsia="Arial" w:hAnsi="Arial"/>
                <w:sz w:val="20"/>
                <w:szCs w:val="20"/>
                <w:color w:val="auto"/>
              </w:rPr>
              <w:t>1.07.</w:t>
            </w:r>
          </w:p>
        </w:tc>
        <w:tc>
          <w:tcPr>
            <w:tcW w:w="9580" w:type="dxa"/>
            <w:vAlign w:val="bottom"/>
            <w:gridSpan w:val="2"/>
          </w:tcPr>
          <w:p>
            <w:pPr>
              <w:ind w:left="140"/>
              <w:spacing w:after="0"/>
              <w:rPr>
                <w:sz w:val="20"/>
                <w:szCs w:val="20"/>
                <w:color w:val="auto"/>
              </w:rPr>
            </w:pPr>
            <w:r>
              <w:rPr>
                <w:rFonts w:ascii="Arial" w:cs="Arial" w:eastAsia="Arial" w:hAnsi="Arial"/>
                <w:sz w:val="20"/>
                <w:szCs w:val="20"/>
                <w:color w:val="auto"/>
              </w:rPr>
              <w:t>GNMA Securities</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44</w:t>
            </w:r>
          </w:p>
        </w:tc>
        <w:tc>
          <w:tcPr>
            <w:tcW w:w="440" w:type="dxa"/>
            <w:vAlign w:val="bottom"/>
            <w:gridSpan w:val="3"/>
            <w:shd w:val="clear" w:color="auto" w:fill="D6D6D6"/>
          </w:tcPr>
          <w:p>
            <w:pPr>
              <w:jc w:val="right"/>
              <w:spacing w:after="0"/>
              <w:rPr>
                <w:sz w:val="20"/>
                <w:szCs w:val="20"/>
                <w:color w:val="auto"/>
              </w:rPr>
            </w:pPr>
            <w:r>
              <w:rPr>
                <w:rFonts w:ascii="Arial" w:cs="Arial" w:eastAsia="Arial" w:hAnsi="Arial"/>
                <w:sz w:val="20"/>
                <w:szCs w:val="20"/>
                <w:b w:val="1"/>
                <w:bCs w:val="1"/>
                <w:color w:val="0A0AE5"/>
              </w:rPr>
              <w:t>42</w:t>
            </w:r>
          </w:p>
        </w:tc>
        <w:tc>
          <w:tcPr>
            <w:tcW w:w="100" w:type="dxa"/>
            <w:vAlign w:val="bottom"/>
            <w:shd w:val="clear" w:color="auto" w:fill="D6D6D6"/>
          </w:tcPr>
          <w:p>
            <w:pPr>
              <w:spacing w:after="0"/>
              <w:rPr>
                <w:sz w:val="24"/>
                <w:szCs w:val="24"/>
                <w:color w:val="auto"/>
              </w:rPr>
            </w:pPr>
          </w:p>
        </w:tc>
      </w:tr>
      <w:tr>
        <w:trPr>
          <w:trHeight w:val="784"/>
        </w:trPr>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40" w:type="dxa"/>
            <w:vAlign w:val="bottom"/>
          </w:tcPr>
          <w:p>
            <w:pPr>
              <w:jc w:val="center"/>
              <w:spacing w:after="0"/>
              <w:rPr>
                <w:sz w:val="20"/>
                <w:szCs w:val="20"/>
                <w:color w:val="auto"/>
              </w:rPr>
            </w:pPr>
            <w:r>
              <w:rPr>
                <w:rFonts w:ascii="Arial" w:cs="Arial" w:eastAsia="Arial" w:hAnsi="Arial"/>
                <w:sz w:val="20"/>
                <w:szCs w:val="20"/>
                <w:color w:val="auto"/>
              </w:rPr>
              <w:t>ARTICLE II</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top w:val="single" w:sz="8" w:color="D6D6D6"/>
            </w:tcBorders>
          </w:tcPr>
          <w:p>
            <w:pPr>
              <w:spacing w:after="0"/>
              <w:rPr>
                <w:sz w:val="24"/>
                <w:szCs w:val="24"/>
                <w:color w:val="auto"/>
              </w:rPr>
            </w:pPr>
          </w:p>
        </w:tc>
        <w:tc>
          <w:tcPr>
            <w:tcW w:w="20" w:type="dxa"/>
            <w:vAlign w:val="bottom"/>
            <w:tcBorders>
              <w:top w:val="single" w:sz="8" w:color="0A0AE5"/>
            </w:tcBorders>
          </w:tcPr>
          <w:p>
            <w:pPr>
              <w:spacing w:after="0"/>
              <w:rPr>
                <w:sz w:val="24"/>
                <w:szCs w:val="24"/>
                <w:color w:val="auto"/>
              </w:rPr>
            </w:pPr>
          </w:p>
        </w:tc>
        <w:tc>
          <w:tcPr>
            <w:tcW w:w="180" w:type="dxa"/>
            <w:vAlign w:val="bottom"/>
            <w:tcBorders>
              <w:top w:val="single" w:sz="8" w:color="0A0AE5"/>
            </w:tcBorders>
          </w:tcPr>
          <w:p>
            <w:pPr>
              <w:spacing w:after="0"/>
              <w:rPr>
                <w:sz w:val="24"/>
                <w:szCs w:val="24"/>
                <w:color w:val="auto"/>
              </w:rPr>
            </w:pPr>
          </w:p>
        </w:tc>
        <w:tc>
          <w:tcPr>
            <w:tcW w:w="100" w:type="dxa"/>
            <w:vAlign w:val="bottom"/>
            <w:tcBorders>
              <w:top w:val="single" w:sz="8" w:color="D6D6D6"/>
            </w:tcBorders>
          </w:tcPr>
          <w:p>
            <w:pPr>
              <w:spacing w:after="0"/>
              <w:rPr>
                <w:sz w:val="24"/>
                <w:szCs w:val="24"/>
                <w:color w:val="auto"/>
              </w:rPr>
            </w:pPr>
          </w:p>
        </w:tc>
      </w:tr>
      <w:tr>
        <w:trPr>
          <w:trHeight w:val="475"/>
        </w:trPr>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40" w:type="dxa"/>
            <w:vAlign w:val="bottom"/>
          </w:tcPr>
          <w:p>
            <w:pPr>
              <w:jc w:val="center"/>
              <w:spacing w:after="0"/>
              <w:rPr>
                <w:sz w:val="20"/>
                <w:szCs w:val="20"/>
                <w:color w:val="auto"/>
              </w:rPr>
            </w:pPr>
            <w:r>
              <w:rPr>
                <w:rFonts w:ascii="Arial" w:cs="Arial" w:eastAsia="Arial" w:hAnsi="Arial"/>
                <w:sz w:val="20"/>
                <w:szCs w:val="20"/>
                <w:color w:val="auto"/>
                <w:w w:val="97"/>
              </w:rPr>
              <w:t>THE COMMITMENTS AND CREDIT EXTENSIONS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4"/>
        </w:trPr>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r>
      <w:tr>
        <w:trPr>
          <w:trHeight w:val="212"/>
        </w:trPr>
        <w:tc>
          <w:tcPr>
            <w:tcW w:w="540" w:type="dxa"/>
            <w:vAlign w:val="bottom"/>
            <w:gridSpan w:val="2"/>
          </w:tcPr>
          <w:p>
            <w:pPr>
              <w:spacing w:after="0" w:line="212" w:lineRule="exact"/>
              <w:rPr>
                <w:sz w:val="20"/>
                <w:szCs w:val="20"/>
                <w:color w:val="auto"/>
              </w:rPr>
            </w:pPr>
            <w:r>
              <w:rPr>
                <w:rFonts w:ascii="Arial" w:cs="Arial" w:eastAsia="Arial" w:hAnsi="Arial"/>
                <w:sz w:val="20"/>
                <w:szCs w:val="20"/>
                <w:color w:val="auto"/>
              </w:rPr>
              <w:t>2.01.</w:t>
            </w:r>
          </w:p>
        </w:tc>
        <w:tc>
          <w:tcPr>
            <w:tcW w:w="9580" w:type="dxa"/>
            <w:vAlign w:val="bottom"/>
            <w:gridSpan w:val="2"/>
          </w:tcPr>
          <w:p>
            <w:pPr>
              <w:ind w:left="140"/>
              <w:spacing w:after="0" w:line="212" w:lineRule="exact"/>
              <w:rPr>
                <w:sz w:val="20"/>
                <w:szCs w:val="20"/>
                <w:color w:val="auto"/>
              </w:rPr>
            </w:pPr>
            <w:r>
              <w:rPr>
                <w:rFonts w:ascii="Arial" w:cs="Arial" w:eastAsia="Arial" w:hAnsi="Arial"/>
                <w:sz w:val="20"/>
                <w:szCs w:val="20"/>
                <w:color w:val="auto"/>
              </w:rPr>
              <w:t>The Term Loans</w:t>
            </w:r>
          </w:p>
        </w:tc>
        <w:tc>
          <w:tcPr>
            <w:tcW w:w="300" w:type="dxa"/>
            <w:vAlign w:val="bottom"/>
            <w:gridSpan w:val="2"/>
          </w:tcPr>
          <w:p>
            <w:pPr>
              <w:jc w:val="right"/>
              <w:spacing w:after="0" w:line="212" w:lineRule="exact"/>
              <w:rPr>
                <w:sz w:val="20"/>
                <w:szCs w:val="20"/>
                <w:color w:val="auto"/>
              </w:rPr>
            </w:pPr>
            <w:r>
              <w:rPr>
                <w:rFonts w:ascii="Arial" w:cs="Arial" w:eastAsia="Arial" w:hAnsi="Arial"/>
                <w:sz w:val="20"/>
                <w:szCs w:val="20"/>
                <w:color w:val="FF0000"/>
                <w:strike w:val="1"/>
                <w:w w:val="80"/>
              </w:rPr>
              <w:t>44</w:t>
            </w:r>
          </w:p>
        </w:tc>
        <w:tc>
          <w:tcPr>
            <w:tcW w:w="240" w:type="dxa"/>
            <w:vAlign w:val="bottom"/>
            <w:tcBorders>
              <w:bottom w:val="single" w:sz="8" w:color="D6D6D6"/>
            </w:tcBorders>
            <w:shd w:val="clear" w:color="auto" w:fill="D6D6D6"/>
          </w:tcPr>
          <w:p>
            <w:pPr>
              <w:spacing w:after="0"/>
              <w:rPr>
                <w:sz w:val="18"/>
                <w:szCs w:val="18"/>
                <w:color w:val="auto"/>
              </w:rPr>
            </w:pPr>
          </w:p>
        </w:tc>
        <w:tc>
          <w:tcPr>
            <w:tcW w:w="200" w:type="dxa"/>
            <w:vAlign w:val="bottom"/>
            <w:tcBorders>
              <w:bottom w:val="single" w:sz="8" w:color="0A0AE5"/>
            </w:tcBorders>
            <w:gridSpan w:val="2"/>
            <w:shd w:val="clear" w:color="auto" w:fill="D6D6D6"/>
          </w:tcPr>
          <w:p>
            <w:pPr>
              <w:jc w:val="right"/>
              <w:spacing w:after="0" w:line="212" w:lineRule="exact"/>
              <w:rPr>
                <w:sz w:val="20"/>
                <w:szCs w:val="20"/>
                <w:color w:val="auto"/>
              </w:rPr>
            </w:pPr>
            <w:r>
              <w:rPr>
                <w:rFonts w:ascii="Arial" w:cs="Arial" w:eastAsia="Arial" w:hAnsi="Arial"/>
                <w:sz w:val="20"/>
                <w:szCs w:val="20"/>
                <w:b w:val="1"/>
                <w:bCs w:val="1"/>
                <w:color w:val="0A0AE5"/>
                <w:w w:val="80"/>
              </w:rPr>
              <w:t>42</w:t>
            </w:r>
          </w:p>
        </w:tc>
        <w:tc>
          <w:tcPr>
            <w:tcW w:w="100" w:type="dxa"/>
            <w:vAlign w:val="bottom"/>
            <w:tcBorders>
              <w:bottom w:val="single" w:sz="8" w:color="D6D6D6"/>
            </w:tcBorders>
            <w:shd w:val="clear" w:color="auto" w:fill="D6D6D6"/>
          </w:tcPr>
          <w:p>
            <w:pPr>
              <w:spacing w:after="0"/>
              <w:rPr>
                <w:sz w:val="18"/>
                <w:szCs w:val="18"/>
                <w:color w:val="auto"/>
              </w:rPr>
            </w:pPr>
          </w:p>
        </w:tc>
      </w:tr>
      <w:tr>
        <w:trPr>
          <w:trHeight w:val="255"/>
        </w:trPr>
        <w:tc>
          <w:tcPr>
            <w:tcW w:w="540" w:type="dxa"/>
            <w:vAlign w:val="bottom"/>
            <w:gridSpan w:val="2"/>
          </w:tcPr>
          <w:p>
            <w:pPr>
              <w:spacing w:after="0"/>
              <w:rPr>
                <w:sz w:val="20"/>
                <w:szCs w:val="20"/>
                <w:color w:val="auto"/>
              </w:rPr>
            </w:pPr>
            <w:r>
              <w:rPr>
                <w:rFonts w:ascii="Arial" w:cs="Arial" w:eastAsia="Arial" w:hAnsi="Arial"/>
                <w:sz w:val="20"/>
                <w:szCs w:val="20"/>
                <w:color w:val="auto"/>
              </w:rPr>
              <w:t>2.02.</w:t>
            </w:r>
          </w:p>
        </w:tc>
        <w:tc>
          <w:tcPr>
            <w:tcW w:w="9580" w:type="dxa"/>
            <w:vAlign w:val="bottom"/>
            <w:gridSpan w:val="2"/>
          </w:tcPr>
          <w:p>
            <w:pPr>
              <w:ind w:left="140"/>
              <w:spacing w:after="0"/>
              <w:rPr>
                <w:sz w:val="20"/>
                <w:szCs w:val="20"/>
                <w:color w:val="auto"/>
              </w:rPr>
            </w:pPr>
            <w:r>
              <w:rPr>
                <w:rFonts w:ascii="Arial" w:cs="Arial" w:eastAsia="Arial" w:hAnsi="Arial"/>
                <w:sz w:val="20"/>
                <w:szCs w:val="20"/>
                <w:color w:val="auto"/>
              </w:rPr>
              <w:t>Borrowings, Conversions and Continuations of Loans</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44</w:t>
            </w:r>
          </w:p>
        </w:tc>
        <w:tc>
          <w:tcPr>
            <w:tcW w:w="24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43</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540" w:type="dxa"/>
            <w:vAlign w:val="bottom"/>
            <w:gridSpan w:val="2"/>
          </w:tcPr>
          <w:p>
            <w:pPr>
              <w:spacing w:after="0"/>
              <w:rPr>
                <w:sz w:val="20"/>
                <w:szCs w:val="20"/>
                <w:color w:val="auto"/>
              </w:rPr>
            </w:pPr>
            <w:r>
              <w:rPr>
                <w:rFonts w:ascii="Arial" w:cs="Arial" w:eastAsia="Arial" w:hAnsi="Arial"/>
                <w:sz w:val="20"/>
                <w:szCs w:val="20"/>
                <w:color w:val="auto"/>
              </w:rPr>
              <w:t>2.03.</w:t>
            </w:r>
          </w:p>
        </w:tc>
        <w:tc>
          <w:tcPr>
            <w:tcW w:w="9580" w:type="dxa"/>
            <w:vAlign w:val="bottom"/>
            <w:gridSpan w:val="2"/>
          </w:tcPr>
          <w:p>
            <w:pPr>
              <w:ind w:left="140"/>
              <w:spacing w:after="0"/>
              <w:rPr>
                <w:sz w:val="20"/>
                <w:szCs w:val="20"/>
                <w:color w:val="auto"/>
              </w:rPr>
            </w:pPr>
            <w:r>
              <w:rPr>
                <w:rFonts w:ascii="Arial" w:cs="Arial" w:eastAsia="Arial" w:hAnsi="Arial"/>
                <w:sz w:val="20"/>
                <w:szCs w:val="20"/>
                <w:color w:val="auto"/>
              </w:rPr>
              <w:t>[Intentionally Omitted]</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46</w:t>
            </w:r>
          </w:p>
        </w:tc>
        <w:tc>
          <w:tcPr>
            <w:tcW w:w="24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44</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540" w:type="dxa"/>
            <w:vAlign w:val="bottom"/>
            <w:gridSpan w:val="2"/>
          </w:tcPr>
          <w:p>
            <w:pPr>
              <w:spacing w:after="0"/>
              <w:rPr>
                <w:sz w:val="20"/>
                <w:szCs w:val="20"/>
                <w:color w:val="auto"/>
              </w:rPr>
            </w:pPr>
            <w:r>
              <w:rPr>
                <w:rFonts w:ascii="Arial" w:cs="Arial" w:eastAsia="Arial" w:hAnsi="Arial"/>
                <w:sz w:val="20"/>
                <w:szCs w:val="20"/>
                <w:color w:val="auto"/>
              </w:rPr>
              <w:t>2.04.</w:t>
            </w:r>
          </w:p>
        </w:tc>
        <w:tc>
          <w:tcPr>
            <w:tcW w:w="9580" w:type="dxa"/>
            <w:vAlign w:val="bottom"/>
            <w:gridSpan w:val="2"/>
          </w:tcPr>
          <w:p>
            <w:pPr>
              <w:ind w:left="140"/>
              <w:spacing w:after="0"/>
              <w:rPr>
                <w:sz w:val="20"/>
                <w:szCs w:val="20"/>
                <w:color w:val="auto"/>
              </w:rPr>
            </w:pPr>
            <w:r>
              <w:rPr>
                <w:rFonts w:ascii="Arial" w:cs="Arial" w:eastAsia="Arial" w:hAnsi="Arial"/>
                <w:sz w:val="20"/>
                <w:szCs w:val="20"/>
                <w:color w:val="auto"/>
              </w:rPr>
              <w:t>[Intentionally Omitted]</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46</w:t>
            </w:r>
          </w:p>
        </w:tc>
        <w:tc>
          <w:tcPr>
            <w:tcW w:w="24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44</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540" w:type="dxa"/>
            <w:vAlign w:val="bottom"/>
            <w:gridSpan w:val="2"/>
          </w:tcPr>
          <w:p>
            <w:pPr>
              <w:spacing w:after="0"/>
              <w:rPr>
                <w:sz w:val="20"/>
                <w:szCs w:val="20"/>
                <w:color w:val="auto"/>
              </w:rPr>
            </w:pPr>
            <w:r>
              <w:rPr>
                <w:rFonts w:ascii="Arial" w:cs="Arial" w:eastAsia="Arial" w:hAnsi="Arial"/>
                <w:sz w:val="20"/>
                <w:szCs w:val="20"/>
                <w:color w:val="auto"/>
              </w:rPr>
              <w:t>2.05.</w:t>
            </w:r>
          </w:p>
        </w:tc>
        <w:tc>
          <w:tcPr>
            <w:tcW w:w="9580" w:type="dxa"/>
            <w:vAlign w:val="bottom"/>
            <w:gridSpan w:val="2"/>
          </w:tcPr>
          <w:p>
            <w:pPr>
              <w:ind w:left="140"/>
              <w:spacing w:after="0"/>
              <w:rPr>
                <w:sz w:val="20"/>
                <w:szCs w:val="20"/>
                <w:color w:val="auto"/>
              </w:rPr>
            </w:pPr>
            <w:r>
              <w:rPr>
                <w:rFonts w:ascii="Arial" w:cs="Arial" w:eastAsia="Arial" w:hAnsi="Arial"/>
                <w:sz w:val="20"/>
                <w:szCs w:val="20"/>
                <w:color w:val="auto"/>
              </w:rPr>
              <w:t>Prepayments; Prepayment Premium</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46</w:t>
            </w:r>
          </w:p>
        </w:tc>
        <w:tc>
          <w:tcPr>
            <w:tcW w:w="24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44</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540" w:type="dxa"/>
            <w:vAlign w:val="bottom"/>
            <w:gridSpan w:val="2"/>
          </w:tcPr>
          <w:p>
            <w:pPr>
              <w:spacing w:after="0"/>
              <w:rPr>
                <w:sz w:val="20"/>
                <w:szCs w:val="20"/>
                <w:color w:val="auto"/>
              </w:rPr>
            </w:pPr>
            <w:r>
              <w:rPr>
                <w:rFonts w:ascii="Arial" w:cs="Arial" w:eastAsia="Arial" w:hAnsi="Arial"/>
                <w:sz w:val="20"/>
                <w:szCs w:val="20"/>
                <w:color w:val="auto"/>
              </w:rPr>
              <w:t>2.06.</w:t>
            </w:r>
          </w:p>
        </w:tc>
        <w:tc>
          <w:tcPr>
            <w:tcW w:w="9580" w:type="dxa"/>
            <w:vAlign w:val="bottom"/>
            <w:gridSpan w:val="2"/>
          </w:tcPr>
          <w:p>
            <w:pPr>
              <w:ind w:left="140"/>
              <w:spacing w:after="0"/>
              <w:rPr>
                <w:sz w:val="20"/>
                <w:szCs w:val="20"/>
                <w:color w:val="auto"/>
              </w:rPr>
            </w:pPr>
            <w:r>
              <w:rPr>
                <w:rFonts w:ascii="Arial" w:cs="Arial" w:eastAsia="Arial" w:hAnsi="Arial"/>
                <w:sz w:val="20"/>
                <w:szCs w:val="20"/>
                <w:color w:val="auto"/>
              </w:rPr>
              <w:t>Termination or Reduction of Commitments</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47</w:t>
            </w:r>
          </w:p>
        </w:tc>
        <w:tc>
          <w:tcPr>
            <w:tcW w:w="24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45</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540" w:type="dxa"/>
            <w:vAlign w:val="bottom"/>
            <w:gridSpan w:val="2"/>
          </w:tcPr>
          <w:p>
            <w:pPr>
              <w:spacing w:after="0"/>
              <w:rPr>
                <w:sz w:val="20"/>
                <w:szCs w:val="20"/>
                <w:color w:val="auto"/>
              </w:rPr>
            </w:pPr>
            <w:r>
              <w:rPr>
                <w:rFonts w:ascii="Arial" w:cs="Arial" w:eastAsia="Arial" w:hAnsi="Arial"/>
                <w:sz w:val="20"/>
                <w:szCs w:val="20"/>
                <w:color w:val="auto"/>
              </w:rPr>
              <w:t>2.07.</w:t>
            </w:r>
          </w:p>
        </w:tc>
        <w:tc>
          <w:tcPr>
            <w:tcW w:w="9580" w:type="dxa"/>
            <w:vAlign w:val="bottom"/>
            <w:gridSpan w:val="2"/>
          </w:tcPr>
          <w:p>
            <w:pPr>
              <w:ind w:left="140"/>
              <w:spacing w:after="0"/>
              <w:rPr>
                <w:sz w:val="20"/>
                <w:szCs w:val="20"/>
                <w:color w:val="auto"/>
              </w:rPr>
            </w:pPr>
            <w:r>
              <w:rPr>
                <w:rFonts w:ascii="Arial" w:cs="Arial" w:eastAsia="Arial" w:hAnsi="Arial"/>
                <w:sz w:val="20"/>
                <w:szCs w:val="20"/>
                <w:color w:val="auto"/>
              </w:rPr>
              <w:t>Repayment of Loans</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47</w:t>
            </w:r>
          </w:p>
        </w:tc>
        <w:tc>
          <w:tcPr>
            <w:tcW w:w="24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45</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540" w:type="dxa"/>
            <w:vAlign w:val="bottom"/>
            <w:gridSpan w:val="2"/>
          </w:tcPr>
          <w:p>
            <w:pPr>
              <w:spacing w:after="0"/>
              <w:rPr>
                <w:sz w:val="20"/>
                <w:szCs w:val="20"/>
                <w:color w:val="auto"/>
              </w:rPr>
            </w:pPr>
            <w:r>
              <w:rPr>
                <w:rFonts w:ascii="Arial" w:cs="Arial" w:eastAsia="Arial" w:hAnsi="Arial"/>
                <w:sz w:val="20"/>
                <w:szCs w:val="20"/>
                <w:color w:val="auto"/>
              </w:rPr>
              <w:t>2.08.</w:t>
            </w:r>
          </w:p>
        </w:tc>
        <w:tc>
          <w:tcPr>
            <w:tcW w:w="9580" w:type="dxa"/>
            <w:vAlign w:val="bottom"/>
            <w:gridSpan w:val="2"/>
          </w:tcPr>
          <w:p>
            <w:pPr>
              <w:ind w:left="140"/>
              <w:spacing w:after="0"/>
              <w:rPr>
                <w:sz w:val="20"/>
                <w:szCs w:val="20"/>
                <w:color w:val="auto"/>
              </w:rPr>
            </w:pPr>
            <w:r>
              <w:rPr>
                <w:rFonts w:ascii="Arial" w:cs="Arial" w:eastAsia="Arial" w:hAnsi="Arial"/>
                <w:sz w:val="20"/>
                <w:szCs w:val="20"/>
                <w:color w:val="auto"/>
              </w:rPr>
              <w:t>Interest</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47</w:t>
            </w:r>
          </w:p>
        </w:tc>
        <w:tc>
          <w:tcPr>
            <w:tcW w:w="24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45</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540" w:type="dxa"/>
            <w:vAlign w:val="bottom"/>
            <w:gridSpan w:val="2"/>
          </w:tcPr>
          <w:p>
            <w:pPr>
              <w:spacing w:after="0"/>
              <w:rPr>
                <w:sz w:val="20"/>
                <w:szCs w:val="20"/>
                <w:color w:val="auto"/>
              </w:rPr>
            </w:pPr>
            <w:r>
              <w:rPr>
                <w:rFonts w:ascii="Arial" w:cs="Arial" w:eastAsia="Arial" w:hAnsi="Arial"/>
                <w:sz w:val="20"/>
                <w:szCs w:val="20"/>
                <w:color w:val="auto"/>
              </w:rPr>
              <w:t>2.09.</w:t>
            </w:r>
          </w:p>
        </w:tc>
        <w:tc>
          <w:tcPr>
            <w:tcW w:w="9580" w:type="dxa"/>
            <w:vAlign w:val="bottom"/>
            <w:gridSpan w:val="2"/>
          </w:tcPr>
          <w:p>
            <w:pPr>
              <w:ind w:left="140"/>
              <w:spacing w:after="0"/>
              <w:rPr>
                <w:sz w:val="20"/>
                <w:szCs w:val="20"/>
                <w:color w:val="auto"/>
              </w:rPr>
            </w:pPr>
            <w:r>
              <w:rPr>
                <w:rFonts w:ascii="Arial" w:cs="Arial" w:eastAsia="Arial" w:hAnsi="Arial"/>
                <w:sz w:val="20"/>
                <w:szCs w:val="20"/>
                <w:color w:val="auto"/>
              </w:rPr>
              <w:t>Fees</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47</w:t>
            </w:r>
          </w:p>
        </w:tc>
        <w:tc>
          <w:tcPr>
            <w:tcW w:w="24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46</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540" w:type="dxa"/>
            <w:vAlign w:val="bottom"/>
            <w:gridSpan w:val="2"/>
          </w:tcPr>
          <w:p>
            <w:pPr>
              <w:spacing w:after="0"/>
              <w:rPr>
                <w:sz w:val="20"/>
                <w:szCs w:val="20"/>
                <w:color w:val="auto"/>
              </w:rPr>
            </w:pPr>
            <w:r>
              <w:rPr>
                <w:rFonts w:ascii="Arial" w:cs="Arial" w:eastAsia="Arial" w:hAnsi="Arial"/>
                <w:sz w:val="20"/>
                <w:szCs w:val="20"/>
                <w:color w:val="auto"/>
              </w:rPr>
              <w:t>2.10.</w:t>
            </w:r>
          </w:p>
        </w:tc>
        <w:tc>
          <w:tcPr>
            <w:tcW w:w="9580" w:type="dxa"/>
            <w:vAlign w:val="bottom"/>
            <w:gridSpan w:val="2"/>
          </w:tcPr>
          <w:p>
            <w:pPr>
              <w:ind w:left="140"/>
              <w:spacing w:after="0"/>
              <w:rPr>
                <w:sz w:val="20"/>
                <w:szCs w:val="20"/>
                <w:color w:val="auto"/>
              </w:rPr>
            </w:pPr>
            <w:r>
              <w:rPr>
                <w:rFonts w:ascii="Arial" w:cs="Arial" w:eastAsia="Arial" w:hAnsi="Arial"/>
                <w:sz w:val="20"/>
                <w:szCs w:val="20"/>
                <w:color w:val="auto"/>
              </w:rPr>
              <w:t>Computation of Interest and Fees; Retroactive Adjustments of Applicable Rate</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48</w:t>
            </w:r>
          </w:p>
        </w:tc>
        <w:tc>
          <w:tcPr>
            <w:tcW w:w="24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46</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540" w:type="dxa"/>
            <w:vAlign w:val="bottom"/>
            <w:gridSpan w:val="2"/>
          </w:tcPr>
          <w:p>
            <w:pPr>
              <w:spacing w:after="0"/>
              <w:rPr>
                <w:sz w:val="20"/>
                <w:szCs w:val="20"/>
                <w:color w:val="auto"/>
              </w:rPr>
            </w:pPr>
            <w:r>
              <w:rPr>
                <w:rFonts w:ascii="Arial" w:cs="Arial" w:eastAsia="Arial" w:hAnsi="Arial"/>
                <w:sz w:val="20"/>
                <w:szCs w:val="20"/>
                <w:color w:val="auto"/>
              </w:rPr>
              <w:t>2.11.</w:t>
            </w:r>
          </w:p>
        </w:tc>
        <w:tc>
          <w:tcPr>
            <w:tcW w:w="9580" w:type="dxa"/>
            <w:vAlign w:val="bottom"/>
            <w:gridSpan w:val="2"/>
          </w:tcPr>
          <w:p>
            <w:pPr>
              <w:ind w:left="140"/>
              <w:spacing w:after="0"/>
              <w:rPr>
                <w:sz w:val="20"/>
                <w:szCs w:val="20"/>
                <w:color w:val="auto"/>
              </w:rPr>
            </w:pPr>
            <w:r>
              <w:rPr>
                <w:rFonts w:ascii="Arial" w:cs="Arial" w:eastAsia="Arial" w:hAnsi="Arial"/>
                <w:sz w:val="20"/>
                <w:szCs w:val="20"/>
                <w:color w:val="auto"/>
              </w:rPr>
              <w:t>Evidence of Debt</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49</w:t>
            </w:r>
          </w:p>
        </w:tc>
        <w:tc>
          <w:tcPr>
            <w:tcW w:w="24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47</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540" w:type="dxa"/>
            <w:vAlign w:val="bottom"/>
            <w:gridSpan w:val="2"/>
          </w:tcPr>
          <w:p>
            <w:pPr>
              <w:spacing w:after="0"/>
              <w:rPr>
                <w:sz w:val="20"/>
                <w:szCs w:val="20"/>
                <w:color w:val="auto"/>
              </w:rPr>
            </w:pPr>
            <w:r>
              <w:rPr>
                <w:rFonts w:ascii="Arial" w:cs="Arial" w:eastAsia="Arial" w:hAnsi="Arial"/>
                <w:sz w:val="20"/>
                <w:szCs w:val="20"/>
                <w:color w:val="auto"/>
              </w:rPr>
              <w:t>2.12.</w:t>
            </w:r>
          </w:p>
        </w:tc>
        <w:tc>
          <w:tcPr>
            <w:tcW w:w="9580" w:type="dxa"/>
            <w:vAlign w:val="bottom"/>
            <w:gridSpan w:val="2"/>
          </w:tcPr>
          <w:p>
            <w:pPr>
              <w:ind w:left="140"/>
              <w:spacing w:after="0"/>
              <w:rPr>
                <w:sz w:val="20"/>
                <w:szCs w:val="20"/>
                <w:color w:val="auto"/>
              </w:rPr>
            </w:pPr>
            <w:r>
              <w:rPr>
                <w:rFonts w:ascii="Arial" w:cs="Arial" w:eastAsia="Arial" w:hAnsi="Arial"/>
                <w:sz w:val="20"/>
                <w:szCs w:val="20"/>
                <w:color w:val="auto"/>
              </w:rPr>
              <w:t>Payments Generally; Administrative Agent’s Clawback</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49</w:t>
            </w:r>
          </w:p>
        </w:tc>
        <w:tc>
          <w:tcPr>
            <w:tcW w:w="24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47</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540" w:type="dxa"/>
            <w:vAlign w:val="bottom"/>
            <w:gridSpan w:val="2"/>
          </w:tcPr>
          <w:p>
            <w:pPr>
              <w:spacing w:after="0"/>
              <w:rPr>
                <w:sz w:val="20"/>
                <w:szCs w:val="20"/>
                <w:color w:val="auto"/>
              </w:rPr>
            </w:pPr>
            <w:r>
              <w:rPr>
                <w:rFonts w:ascii="Arial" w:cs="Arial" w:eastAsia="Arial" w:hAnsi="Arial"/>
                <w:sz w:val="20"/>
                <w:szCs w:val="20"/>
                <w:color w:val="auto"/>
              </w:rPr>
              <w:t>2.13.</w:t>
            </w:r>
          </w:p>
        </w:tc>
        <w:tc>
          <w:tcPr>
            <w:tcW w:w="9580" w:type="dxa"/>
            <w:vAlign w:val="bottom"/>
            <w:gridSpan w:val="2"/>
          </w:tcPr>
          <w:p>
            <w:pPr>
              <w:ind w:left="140"/>
              <w:spacing w:after="0"/>
              <w:rPr>
                <w:sz w:val="20"/>
                <w:szCs w:val="20"/>
                <w:color w:val="auto"/>
              </w:rPr>
            </w:pPr>
            <w:r>
              <w:rPr>
                <w:rFonts w:ascii="Arial" w:cs="Arial" w:eastAsia="Arial" w:hAnsi="Arial"/>
                <w:sz w:val="20"/>
                <w:szCs w:val="20"/>
                <w:color w:val="auto"/>
              </w:rPr>
              <w:t>Sharing of Payments by Lenders</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51</w:t>
            </w:r>
          </w:p>
        </w:tc>
        <w:tc>
          <w:tcPr>
            <w:tcW w:w="24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49</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540" w:type="dxa"/>
            <w:vAlign w:val="bottom"/>
            <w:gridSpan w:val="2"/>
          </w:tcPr>
          <w:p>
            <w:pPr>
              <w:spacing w:after="0"/>
              <w:rPr>
                <w:sz w:val="20"/>
                <w:szCs w:val="20"/>
                <w:color w:val="auto"/>
              </w:rPr>
            </w:pPr>
            <w:r>
              <w:rPr>
                <w:rFonts w:ascii="Arial" w:cs="Arial" w:eastAsia="Arial" w:hAnsi="Arial"/>
                <w:sz w:val="20"/>
                <w:szCs w:val="20"/>
                <w:color w:val="auto"/>
              </w:rPr>
              <w:t>2.14.</w:t>
            </w:r>
          </w:p>
        </w:tc>
        <w:tc>
          <w:tcPr>
            <w:tcW w:w="9580" w:type="dxa"/>
            <w:vAlign w:val="bottom"/>
            <w:gridSpan w:val="2"/>
          </w:tcPr>
          <w:p>
            <w:pPr>
              <w:ind w:left="140"/>
              <w:spacing w:after="0"/>
              <w:rPr>
                <w:sz w:val="20"/>
                <w:szCs w:val="20"/>
                <w:color w:val="auto"/>
              </w:rPr>
            </w:pPr>
            <w:r>
              <w:rPr>
                <w:rFonts w:ascii="Arial" w:cs="Arial" w:eastAsia="Arial" w:hAnsi="Arial"/>
                <w:sz w:val="20"/>
                <w:szCs w:val="20"/>
                <w:color w:val="auto"/>
              </w:rPr>
              <w:t>[Intentionally Omitted]</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52</w:t>
            </w:r>
          </w:p>
        </w:tc>
        <w:tc>
          <w:tcPr>
            <w:tcW w:w="24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50</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540" w:type="dxa"/>
            <w:vAlign w:val="bottom"/>
            <w:gridSpan w:val="2"/>
          </w:tcPr>
          <w:p>
            <w:pPr>
              <w:spacing w:after="0"/>
              <w:rPr>
                <w:sz w:val="20"/>
                <w:szCs w:val="20"/>
                <w:color w:val="auto"/>
              </w:rPr>
            </w:pPr>
            <w:r>
              <w:rPr>
                <w:rFonts w:ascii="Arial" w:cs="Arial" w:eastAsia="Arial" w:hAnsi="Arial"/>
                <w:sz w:val="20"/>
                <w:szCs w:val="20"/>
                <w:color w:val="auto"/>
              </w:rPr>
              <w:t>2.15.</w:t>
            </w:r>
          </w:p>
        </w:tc>
        <w:tc>
          <w:tcPr>
            <w:tcW w:w="9580" w:type="dxa"/>
            <w:vAlign w:val="bottom"/>
            <w:gridSpan w:val="2"/>
          </w:tcPr>
          <w:p>
            <w:pPr>
              <w:ind w:left="140"/>
              <w:spacing w:after="0"/>
              <w:rPr>
                <w:sz w:val="20"/>
                <w:szCs w:val="20"/>
                <w:color w:val="auto"/>
              </w:rPr>
            </w:pPr>
            <w:r>
              <w:rPr>
                <w:rFonts w:ascii="Arial" w:cs="Arial" w:eastAsia="Arial" w:hAnsi="Arial"/>
                <w:sz w:val="20"/>
                <w:szCs w:val="20"/>
                <w:color w:val="auto"/>
              </w:rPr>
              <w:t>[Intentionally Omitted]</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52</w:t>
            </w:r>
          </w:p>
        </w:tc>
        <w:tc>
          <w:tcPr>
            <w:tcW w:w="24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50</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540" w:type="dxa"/>
            <w:vAlign w:val="bottom"/>
            <w:gridSpan w:val="2"/>
          </w:tcPr>
          <w:p>
            <w:pPr>
              <w:spacing w:after="0"/>
              <w:rPr>
                <w:sz w:val="20"/>
                <w:szCs w:val="20"/>
                <w:color w:val="auto"/>
              </w:rPr>
            </w:pPr>
            <w:r>
              <w:rPr>
                <w:rFonts w:ascii="Arial" w:cs="Arial" w:eastAsia="Arial" w:hAnsi="Arial"/>
                <w:sz w:val="20"/>
                <w:szCs w:val="20"/>
                <w:color w:val="auto"/>
              </w:rPr>
              <w:t>2.16.</w:t>
            </w:r>
          </w:p>
        </w:tc>
        <w:tc>
          <w:tcPr>
            <w:tcW w:w="9580" w:type="dxa"/>
            <w:vAlign w:val="bottom"/>
            <w:gridSpan w:val="2"/>
          </w:tcPr>
          <w:p>
            <w:pPr>
              <w:ind w:left="140"/>
              <w:spacing w:after="0"/>
              <w:rPr>
                <w:sz w:val="20"/>
                <w:szCs w:val="20"/>
                <w:color w:val="auto"/>
              </w:rPr>
            </w:pPr>
            <w:r>
              <w:rPr>
                <w:rFonts w:ascii="Arial" w:cs="Arial" w:eastAsia="Arial" w:hAnsi="Arial"/>
                <w:sz w:val="20"/>
                <w:szCs w:val="20"/>
                <w:color w:val="auto"/>
              </w:rPr>
              <w:t>Increase in Facility</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52</w:t>
            </w:r>
          </w:p>
        </w:tc>
        <w:tc>
          <w:tcPr>
            <w:tcW w:w="24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50</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540" w:type="dxa"/>
            <w:vAlign w:val="bottom"/>
            <w:gridSpan w:val="2"/>
          </w:tcPr>
          <w:p>
            <w:pPr>
              <w:spacing w:after="0"/>
              <w:rPr>
                <w:sz w:val="20"/>
                <w:szCs w:val="20"/>
                <w:color w:val="auto"/>
              </w:rPr>
            </w:pPr>
            <w:r>
              <w:rPr>
                <w:rFonts w:ascii="Arial" w:cs="Arial" w:eastAsia="Arial" w:hAnsi="Arial"/>
                <w:sz w:val="20"/>
                <w:szCs w:val="20"/>
                <w:color w:val="auto"/>
              </w:rPr>
              <w:t>2.17.</w:t>
            </w:r>
          </w:p>
        </w:tc>
        <w:tc>
          <w:tcPr>
            <w:tcW w:w="9580" w:type="dxa"/>
            <w:vAlign w:val="bottom"/>
            <w:gridSpan w:val="2"/>
          </w:tcPr>
          <w:p>
            <w:pPr>
              <w:ind w:left="140"/>
              <w:spacing w:after="0"/>
              <w:rPr>
                <w:sz w:val="20"/>
                <w:szCs w:val="20"/>
                <w:color w:val="auto"/>
              </w:rPr>
            </w:pPr>
            <w:r>
              <w:rPr>
                <w:rFonts w:ascii="Arial" w:cs="Arial" w:eastAsia="Arial" w:hAnsi="Arial"/>
                <w:sz w:val="20"/>
                <w:szCs w:val="20"/>
                <w:color w:val="auto"/>
              </w:rPr>
              <w:t>Increase in Facility</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52</w:t>
            </w:r>
          </w:p>
        </w:tc>
        <w:tc>
          <w:tcPr>
            <w:tcW w:w="24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50</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540" w:type="dxa"/>
            <w:vAlign w:val="bottom"/>
            <w:gridSpan w:val="2"/>
          </w:tcPr>
          <w:p>
            <w:pPr>
              <w:spacing w:after="0"/>
              <w:rPr>
                <w:sz w:val="20"/>
                <w:szCs w:val="20"/>
                <w:color w:val="auto"/>
              </w:rPr>
            </w:pPr>
            <w:r>
              <w:rPr>
                <w:rFonts w:ascii="Arial" w:cs="Arial" w:eastAsia="Arial" w:hAnsi="Arial"/>
                <w:sz w:val="20"/>
                <w:szCs w:val="20"/>
                <w:color w:val="auto"/>
              </w:rPr>
              <w:t>2.18.</w:t>
            </w:r>
          </w:p>
        </w:tc>
        <w:tc>
          <w:tcPr>
            <w:tcW w:w="9580" w:type="dxa"/>
            <w:vAlign w:val="bottom"/>
            <w:gridSpan w:val="2"/>
          </w:tcPr>
          <w:p>
            <w:pPr>
              <w:ind w:left="140"/>
              <w:spacing w:after="0"/>
              <w:rPr>
                <w:sz w:val="20"/>
                <w:szCs w:val="20"/>
                <w:color w:val="auto"/>
              </w:rPr>
            </w:pPr>
            <w:r>
              <w:rPr>
                <w:rFonts w:ascii="Arial" w:cs="Arial" w:eastAsia="Arial" w:hAnsi="Arial"/>
                <w:sz w:val="20"/>
                <w:szCs w:val="20"/>
                <w:color w:val="auto"/>
              </w:rPr>
              <w:t>[Intentionally Omitted]</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54</w:t>
            </w:r>
          </w:p>
        </w:tc>
        <w:tc>
          <w:tcPr>
            <w:tcW w:w="24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52</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540" w:type="dxa"/>
            <w:vAlign w:val="bottom"/>
            <w:gridSpan w:val="2"/>
          </w:tcPr>
          <w:p>
            <w:pPr>
              <w:spacing w:after="0"/>
              <w:rPr>
                <w:sz w:val="20"/>
                <w:szCs w:val="20"/>
                <w:color w:val="auto"/>
              </w:rPr>
            </w:pPr>
            <w:r>
              <w:rPr>
                <w:rFonts w:ascii="Arial" w:cs="Arial" w:eastAsia="Arial" w:hAnsi="Arial"/>
                <w:sz w:val="20"/>
                <w:szCs w:val="20"/>
                <w:color w:val="auto"/>
              </w:rPr>
              <w:t>2.19.</w:t>
            </w:r>
          </w:p>
        </w:tc>
        <w:tc>
          <w:tcPr>
            <w:tcW w:w="9580" w:type="dxa"/>
            <w:vAlign w:val="bottom"/>
            <w:gridSpan w:val="2"/>
          </w:tcPr>
          <w:p>
            <w:pPr>
              <w:ind w:left="140"/>
              <w:spacing w:after="0"/>
              <w:rPr>
                <w:sz w:val="20"/>
                <w:szCs w:val="20"/>
                <w:color w:val="auto"/>
              </w:rPr>
            </w:pPr>
            <w:r>
              <w:rPr>
                <w:rFonts w:ascii="Arial" w:cs="Arial" w:eastAsia="Arial" w:hAnsi="Arial"/>
                <w:sz w:val="20"/>
                <w:szCs w:val="20"/>
                <w:color w:val="auto"/>
              </w:rPr>
              <w:t>Defaulting Lenders</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54</w:t>
            </w:r>
          </w:p>
        </w:tc>
        <w:tc>
          <w:tcPr>
            <w:tcW w:w="440" w:type="dxa"/>
            <w:vAlign w:val="bottom"/>
            <w:gridSpan w:val="3"/>
            <w:shd w:val="clear" w:color="auto" w:fill="D6D6D6"/>
          </w:tcPr>
          <w:p>
            <w:pPr>
              <w:jc w:val="right"/>
              <w:spacing w:after="0"/>
              <w:rPr>
                <w:sz w:val="20"/>
                <w:szCs w:val="20"/>
                <w:color w:val="auto"/>
              </w:rPr>
            </w:pPr>
            <w:r>
              <w:rPr>
                <w:rFonts w:ascii="Arial" w:cs="Arial" w:eastAsia="Arial" w:hAnsi="Arial"/>
                <w:sz w:val="20"/>
                <w:szCs w:val="20"/>
                <w:b w:val="1"/>
                <w:bCs w:val="1"/>
                <w:color w:val="0A0AE5"/>
              </w:rPr>
              <w:t>52</w:t>
            </w:r>
          </w:p>
        </w:tc>
        <w:tc>
          <w:tcPr>
            <w:tcW w:w="100" w:type="dxa"/>
            <w:vAlign w:val="bottom"/>
            <w:shd w:val="clear" w:color="auto" w:fill="D6D6D6"/>
          </w:tcPr>
          <w:p>
            <w:pPr>
              <w:spacing w:after="0"/>
              <w:rPr>
                <w:sz w:val="22"/>
                <w:szCs w:val="22"/>
                <w:color w:val="auto"/>
              </w:rPr>
            </w:pPr>
          </w:p>
        </w:tc>
      </w:tr>
      <w:tr>
        <w:trPr>
          <w:trHeight w:val="42"/>
        </w:trPr>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Borders>
              <w:top w:val="single" w:sz="8" w:color="D6D6D6"/>
            </w:tcBorders>
            <w:shd w:val="clear" w:color="auto" w:fill="D6D6D6"/>
          </w:tcPr>
          <w:p>
            <w:pPr>
              <w:spacing w:after="0"/>
              <w:rPr>
                <w:sz w:val="3"/>
                <w:szCs w:val="3"/>
                <w:color w:val="auto"/>
              </w:rPr>
            </w:pPr>
          </w:p>
        </w:tc>
        <w:tc>
          <w:tcPr>
            <w:tcW w:w="20" w:type="dxa"/>
            <w:vAlign w:val="bottom"/>
            <w:tcBorders>
              <w:top w:val="single" w:sz="8" w:color="0A0AE5"/>
            </w:tcBorders>
            <w:shd w:val="clear" w:color="auto" w:fill="D6D6D6"/>
          </w:tcPr>
          <w:p>
            <w:pPr>
              <w:spacing w:after="0"/>
              <w:rPr>
                <w:sz w:val="3"/>
                <w:szCs w:val="3"/>
                <w:color w:val="auto"/>
              </w:rPr>
            </w:pPr>
          </w:p>
        </w:tc>
        <w:tc>
          <w:tcPr>
            <w:tcW w:w="180" w:type="dxa"/>
            <w:vAlign w:val="bottom"/>
            <w:tcBorders>
              <w:top w:val="single" w:sz="8" w:color="0A0AE5"/>
            </w:tcBorders>
            <w:shd w:val="clear" w:color="auto" w:fill="D6D6D6"/>
          </w:tcPr>
          <w:p>
            <w:pPr>
              <w:spacing w:after="0"/>
              <w:rPr>
                <w:sz w:val="3"/>
                <w:szCs w:val="3"/>
                <w:color w:val="auto"/>
              </w:rPr>
            </w:pPr>
          </w:p>
        </w:tc>
        <w:tc>
          <w:tcPr>
            <w:tcW w:w="100" w:type="dxa"/>
            <w:vAlign w:val="bottom"/>
            <w:tcBorders>
              <w:top w:val="single" w:sz="8" w:color="D6D6D6"/>
            </w:tcBorders>
            <w:shd w:val="clear" w:color="auto" w:fill="D6D6D6"/>
          </w:tcPr>
          <w:p>
            <w:pPr>
              <w:spacing w:after="0"/>
              <w:rPr>
                <w:sz w:val="3"/>
                <w:szCs w:val="3"/>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560070</wp:posOffset>
            </wp:positionV>
            <wp:extent cx="7282180"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2180" cy="41275"/>
                    </a:xfrm>
                    <a:prstGeom prst="rect">
                      <a:avLst/>
                    </a:prstGeom>
                    <a:noFill/>
                  </pic:spPr>
                </pic:pic>
              </a:graphicData>
            </a:graphic>
          </wp:anchor>
        </w:drawing>
      </w:r>
    </w:p>
    <w:p>
      <w:pPr>
        <w:spacing w:after="0" w:line="330" w:lineRule="exact"/>
        <w:rPr>
          <w:sz w:val="20"/>
          <w:szCs w:val="20"/>
          <w:color w:val="auto"/>
        </w:rPr>
      </w:pPr>
    </w:p>
    <w:p>
      <w:pPr>
        <w:jc w:val="center"/>
        <w:ind w:left="600"/>
        <w:spacing w:after="0"/>
        <w:rPr>
          <w:sz w:val="20"/>
          <w:szCs w:val="20"/>
          <w:color w:val="auto"/>
        </w:rPr>
      </w:pPr>
      <w:r>
        <w:rPr>
          <w:rFonts w:ascii="Arial" w:cs="Arial" w:eastAsia="Arial" w:hAnsi="Arial"/>
          <w:sz w:val="20"/>
          <w:szCs w:val="20"/>
          <w:color w:val="auto"/>
        </w:rPr>
        <w:t>ARTICLE III</w:t>
      </w:r>
    </w:p>
    <w:p>
      <w:pPr>
        <w:spacing w:after="0" w:line="245"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TAXES, YIELD PROTECTION AND ILLEGALITY</w:t>
      </w:r>
    </w:p>
    <w:p>
      <w:pPr>
        <w:sectPr>
          <w:pgSz w:w="11900" w:h="16838" w:orient="portrait"/>
          <w:cols w:equalWidth="0" w:num="1">
            <w:col w:w="10960"/>
          </w:cols>
          <w:pgMar w:left="480" w:top="1014" w:right="45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i-</w:t>
      </w:r>
    </w:p>
    <w:p>
      <w:pPr>
        <w:sectPr>
          <w:pgSz w:w="11900" w:h="16838" w:orient="portrait"/>
          <w:cols w:equalWidth="0" w:num="1">
            <w:col w:w="10960"/>
          </w:cols>
          <w:pgMar w:left="480" w:top="1014" w:right="459" w:bottom="1440" w:gutter="0" w:footer="0" w:header="0"/>
          <w:type w:val="continuous"/>
        </w:sectPr>
      </w:pPr>
    </w:p>
    <w:bookmarkStart w:id="228" w:name="page229"/>
    <w:bookmarkEnd w:id="228"/>
    <w:tbl>
      <w:tblPr>
        <w:tblLayout w:type="fixed"/>
        <w:tblInd w:w="0" w:type="dxa"/>
        <w:tblCellMar>
          <w:top w:w="0" w:type="dxa"/>
          <w:left w:w="0" w:type="dxa"/>
          <w:bottom w:w="0" w:type="dxa"/>
          <w:right w:w="0" w:type="dxa"/>
        </w:tblCellMar>
      </w:tblPr>
      <w:tr>
        <w:trPr>
          <w:trHeight w:val="230"/>
        </w:trPr>
        <w:tc>
          <w:tcPr>
            <w:tcW w:w="540" w:type="dxa"/>
            <w:vAlign w:val="bottom"/>
          </w:tcPr>
          <w:p>
            <w:pPr>
              <w:jc w:val="right"/>
              <w:ind w:right="40"/>
              <w:spacing w:after="0"/>
              <w:rPr>
                <w:sz w:val="20"/>
                <w:szCs w:val="20"/>
                <w:color w:val="auto"/>
              </w:rPr>
            </w:pPr>
            <w:r>
              <w:rPr>
                <w:rFonts w:ascii="Arial" w:cs="Arial" w:eastAsia="Arial" w:hAnsi="Arial"/>
                <w:sz w:val="20"/>
                <w:szCs w:val="20"/>
                <w:color w:val="auto"/>
                <w:w w:val="85"/>
              </w:rPr>
              <w:t>3.01.</w:t>
            </w:r>
          </w:p>
        </w:tc>
        <w:tc>
          <w:tcPr>
            <w:tcW w:w="9580" w:type="dxa"/>
            <w:vAlign w:val="bottom"/>
          </w:tcPr>
          <w:p>
            <w:pPr>
              <w:ind w:left="140"/>
              <w:spacing w:after="0"/>
              <w:rPr>
                <w:sz w:val="20"/>
                <w:szCs w:val="20"/>
                <w:color w:val="auto"/>
              </w:rPr>
            </w:pPr>
            <w:r>
              <w:rPr>
                <w:rFonts w:ascii="Arial" w:cs="Arial" w:eastAsia="Arial" w:hAnsi="Arial"/>
                <w:sz w:val="20"/>
                <w:szCs w:val="20"/>
                <w:color w:val="auto"/>
              </w:rPr>
              <w:t>Taxes</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0"/>
              </w:rPr>
              <w:t>55</w:t>
            </w:r>
          </w:p>
        </w:tc>
        <w:tc>
          <w:tcPr>
            <w:tcW w:w="240" w:type="dxa"/>
            <w:vAlign w:val="bottom"/>
            <w:tcBorders>
              <w:bottom w:val="single" w:sz="8" w:color="D6D6D6"/>
            </w:tcBorders>
            <w:shd w:val="clear" w:color="auto" w:fill="D6D6D6"/>
          </w:tcPr>
          <w:p>
            <w:pPr>
              <w:spacing w:after="0"/>
              <w:rPr>
                <w:sz w:val="19"/>
                <w:szCs w:val="19"/>
                <w:color w:val="auto"/>
              </w:rPr>
            </w:pPr>
          </w:p>
        </w:tc>
        <w:tc>
          <w:tcPr>
            <w:tcW w:w="200" w:type="dxa"/>
            <w:vAlign w:val="bottom"/>
            <w:tcBorders>
              <w:bottom w:val="single" w:sz="8" w:color="0A0AE5"/>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53</w:t>
            </w:r>
          </w:p>
        </w:tc>
        <w:tc>
          <w:tcPr>
            <w:tcW w:w="100" w:type="dxa"/>
            <w:vAlign w:val="bottom"/>
            <w:tcBorders>
              <w:bottom w:val="single" w:sz="8" w:color="D6D6D6"/>
            </w:tcBorders>
            <w:shd w:val="clear" w:color="auto" w:fill="D6D6D6"/>
          </w:tcPr>
          <w:p>
            <w:pPr>
              <w:spacing w:after="0"/>
              <w:rPr>
                <w:sz w:val="19"/>
                <w:szCs w:val="19"/>
                <w:color w:val="auto"/>
              </w:rPr>
            </w:pPr>
          </w:p>
        </w:tc>
      </w:tr>
      <w:tr>
        <w:trPr>
          <w:trHeight w:val="255"/>
        </w:trPr>
        <w:tc>
          <w:tcPr>
            <w:tcW w:w="540" w:type="dxa"/>
            <w:vAlign w:val="bottom"/>
          </w:tcPr>
          <w:p>
            <w:pPr>
              <w:jc w:val="right"/>
              <w:ind w:right="40"/>
              <w:spacing w:after="0"/>
              <w:rPr>
                <w:sz w:val="20"/>
                <w:szCs w:val="20"/>
                <w:color w:val="auto"/>
              </w:rPr>
            </w:pPr>
            <w:r>
              <w:rPr>
                <w:rFonts w:ascii="Arial" w:cs="Arial" w:eastAsia="Arial" w:hAnsi="Arial"/>
                <w:sz w:val="20"/>
                <w:szCs w:val="20"/>
                <w:color w:val="auto"/>
                <w:w w:val="85"/>
              </w:rPr>
              <w:t>3.02.</w:t>
            </w:r>
          </w:p>
        </w:tc>
        <w:tc>
          <w:tcPr>
            <w:tcW w:w="9580" w:type="dxa"/>
            <w:vAlign w:val="bottom"/>
          </w:tcPr>
          <w:p>
            <w:pPr>
              <w:ind w:left="140"/>
              <w:spacing w:after="0"/>
              <w:rPr>
                <w:sz w:val="20"/>
                <w:szCs w:val="20"/>
                <w:color w:val="auto"/>
              </w:rPr>
            </w:pPr>
            <w:r>
              <w:rPr>
                <w:rFonts w:ascii="Arial" w:cs="Arial" w:eastAsia="Arial" w:hAnsi="Arial"/>
                <w:sz w:val="20"/>
                <w:szCs w:val="20"/>
                <w:color w:val="auto"/>
              </w:rPr>
              <w:t>Illegality</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0"/>
              </w:rPr>
              <w:t>59</w:t>
            </w:r>
          </w:p>
        </w:tc>
        <w:tc>
          <w:tcPr>
            <w:tcW w:w="24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58</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540" w:type="dxa"/>
            <w:vAlign w:val="bottom"/>
          </w:tcPr>
          <w:p>
            <w:pPr>
              <w:jc w:val="right"/>
              <w:ind w:right="40"/>
              <w:spacing w:after="0"/>
              <w:rPr>
                <w:sz w:val="20"/>
                <w:szCs w:val="20"/>
                <w:color w:val="auto"/>
              </w:rPr>
            </w:pPr>
            <w:r>
              <w:rPr>
                <w:rFonts w:ascii="Arial" w:cs="Arial" w:eastAsia="Arial" w:hAnsi="Arial"/>
                <w:sz w:val="20"/>
                <w:szCs w:val="20"/>
                <w:color w:val="auto"/>
                <w:w w:val="85"/>
              </w:rPr>
              <w:t>3.03.</w:t>
            </w:r>
          </w:p>
        </w:tc>
        <w:tc>
          <w:tcPr>
            <w:tcW w:w="9580" w:type="dxa"/>
            <w:vAlign w:val="bottom"/>
          </w:tcPr>
          <w:p>
            <w:pPr>
              <w:ind w:left="140"/>
              <w:spacing w:after="0"/>
              <w:rPr>
                <w:sz w:val="20"/>
                <w:szCs w:val="20"/>
                <w:color w:val="auto"/>
              </w:rPr>
            </w:pPr>
            <w:r>
              <w:rPr>
                <w:rFonts w:ascii="Arial" w:cs="Arial" w:eastAsia="Arial" w:hAnsi="Arial"/>
                <w:sz w:val="20"/>
                <w:szCs w:val="20"/>
                <w:color w:val="auto"/>
              </w:rPr>
              <w:t>Inability to Determine Rates</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0"/>
              </w:rPr>
              <w:t>60</w:t>
            </w:r>
          </w:p>
        </w:tc>
        <w:tc>
          <w:tcPr>
            <w:tcW w:w="24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58</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97"/>
        </w:trPr>
        <w:tc>
          <w:tcPr>
            <w:tcW w:w="540" w:type="dxa"/>
            <w:vAlign w:val="bottom"/>
          </w:tcPr>
          <w:p>
            <w:pPr>
              <w:jc w:val="right"/>
              <w:ind w:right="40"/>
              <w:spacing w:after="0"/>
              <w:rPr>
                <w:sz w:val="20"/>
                <w:szCs w:val="20"/>
                <w:color w:val="auto"/>
              </w:rPr>
            </w:pPr>
            <w:r>
              <w:rPr>
                <w:rFonts w:ascii="Arial" w:cs="Arial" w:eastAsia="Arial" w:hAnsi="Arial"/>
                <w:sz w:val="20"/>
                <w:szCs w:val="20"/>
                <w:color w:val="auto"/>
                <w:w w:val="85"/>
              </w:rPr>
              <w:t>3.04.</w:t>
            </w:r>
          </w:p>
        </w:tc>
        <w:tc>
          <w:tcPr>
            <w:tcW w:w="9580" w:type="dxa"/>
            <w:vAlign w:val="bottom"/>
          </w:tcPr>
          <w:p>
            <w:pPr>
              <w:ind w:left="140"/>
              <w:spacing w:after="0"/>
              <w:rPr>
                <w:sz w:val="20"/>
                <w:szCs w:val="20"/>
                <w:color w:val="auto"/>
              </w:rPr>
            </w:pPr>
            <w:r>
              <w:rPr>
                <w:rFonts w:ascii="Arial" w:cs="Arial" w:eastAsia="Arial" w:hAnsi="Arial"/>
                <w:sz w:val="20"/>
                <w:szCs w:val="20"/>
                <w:color w:val="auto"/>
              </w:rPr>
              <w:t>Increased Costs; Reserves on Eurodollar Rate Loans</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0"/>
              </w:rPr>
              <w:t>61</w:t>
            </w:r>
          </w:p>
        </w:tc>
        <w:tc>
          <w:tcPr>
            <w:tcW w:w="240" w:type="dxa"/>
            <w:vAlign w:val="bottom"/>
            <w:tcBorders>
              <w:bottom w:val="single" w:sz="8" w:color="D6D6D6"/>
            </w:tcBorders>
            <w:shd w:val="clear" w:color="auto" w:fill="D6D6D6"/>
          </w:tcPr>
          <w:p>
            <w:pPr>
              <w:spacing w:after="0"/>
              <w:rPr>
                <w:sz w:val="24"/>
                <w:szCs w:val="24"/>
                <w:color w:val="auto"/>
              </w:rPr>
            </w:pPr>
          </w:p>
        </w:tc>
        <w:tc>
          <w:tcPr>
            <w:tcW w:w="200" w:type="dxa"/>
            <w:vAlign w:val="bottom"/>
            <w:tcBorders>
              <w:bottom w:val="single" w:sz="8" w:color="0A0AE5"/>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60</w:t>
            </w:r>
          </w:p>
        </w:tc>
        <w:tc>
          <w:tcPr>
            <w:tcW w:w="100" w:type="dxa"/>
            <w:vAlign w:val="bottom"/>
            <w:tcBorders>
              <w:bottom w:val="single" w:sz="8" w:color="D6D6D6"/>
            </w:tcBorders>
            <w:shd w:val="clear" w:color="auto" w:fill="D6D6D6"/>
          </w:tcPr>
          <w:p>
            <w:pPr>
              <w:spacing w:after="0"/>
              <w:rPr>
                <w:sz w:val="24"/>
                <w:szCs w:val="24"/>
                <w:color w:val="auto"/>
              </w:rPr>
            </w:pPr>
          </w:p>
        </w:tc>
      </w:tr>
      <w:tr>
        <w:trPr>
          <w:trHeight w:val="267"/>
        </w:trPr>
        <w:tc>
          <w:tcPr>
            <w:tcW w:w="540" w:type="dxa"/>
            <w:vAlign w:val="bottom"/>
          </w:tcPr>
          <w:p>
            <w:pPr>
              <w:jc w:val="right"/>
              <w:ind w:right="40"/>
              <w:spacing w:after="0"/>
              <w:rPr>
                <w:sz w:val="20"/>
                <w:szCs w:val="20"/>
                <w:color w:val="auto"/>
              </w:rPr>
            </w:pPr>
            <w:r>
              <w:rPr>
                <w:rFonts w:ascii="Arial" w:cs="Arial" w:eastAsia="Arial" w:hAnsi="Arial"/>
                <w:sz w:val="20"/>
                <w:szCs w:val="20"/>
                <w:color w:val="auto"/>
                <w:w w:val="85"/>
              </w:rPr>
              <w:t>3.05.</w:t>
            </w:r>
          </w:p>
        </w:tc>
        <w:tc>
          <w:tcPr>
            <w:tcW w:w="9580" w:type="dxa"/>
            <w:vAlign w:val="bottom"/>
          </w:tcPr>
          <w:p>
            <w:pPr>
              <w:ind w:left="140"/>
              <w:spacing w:after="0"/>
              <w:rPr>
                <w:sz w:val="20"/>
                <w:szCs w:val="20"/>
                <w:color w:val="auto"/>
              </w:rPr>
            </w:pPr>
            <w:r>
              <w:rPr>
                <w:rFonts w:ascii="Arial" w:cs="Arial" w:eastAsia="Arial" w:hAnsi="Arial"/>
                <w:sz w:val="20"/>
                <w:szCs w:val="20"/>
                <w:color w:val="auto"/>
              </w:rPr>
              <w:t>Compensation for Losses</w:t>
            </w:r>
          </w:p>
        </w:tc>
        <w:tc>
          <w:tcPr>
            <w:tcW w:w="300" w:type="dxa"/>
            <w:vAlign w:val="bottom"/>
          </w:tcPr>
          <w:p>
            <w:pPr>
              <w:spacing w:after="0"/>
              <w:rPr>
                <w:sz w:val="23"/>
                <w:szCs w:val="23"/>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20"/>
                <w:szCs w:val="20"/>
                <w:color w:val="auto"/>
              </w:rPr>
              <w:t>62</w:t>
            </w:r>
          </w:p>
        </w:tc>
      </w:tr>
      <w:tr>
        <w:trPr>
          <w:trHeight w:val="220"/>
        </w:trPr>
        <w:tc>
          <w:tcPr>
            <w:tcW w:w="540" w:type="dxa"/>
            <w:vAlign w:val="bottom"/>
          </w:tcPr>
          <w:p>
            <w:pPr>
              <w:jc w:val="right"/>
              <w:ind w:right="40"/>
              <w:spacing w:after="0" w:line="220" w:lineRule="exact"/>
              <w:rPr>
                <w:sz w:val="20"/>
                <w:szCs w:val="20"/>
                <w:color w:val="auto"/>
              </w:rPr>
            </w:pPr>
            <w:r>
              <w:rPr>
                <w:rFonts w:ascii="Arial" w:cs="Arial" w:eastAsia="Arial" w:hAnsi="Arial"/>
                <w:sz w:val="20"/>
                <w:szCs w:val="20"/>
                <w:color w:val="auto"/>
                <w:w w:val="85"/>
              </w:rPr>
              <w:t>3.06.</w:t>
            </w:r>
          </w:p>
        </w:tc>
        <w:tc>
          <w:tcPr>
            <w:tcW w:w="9580" w:type="dxa"/>
            <w:vAlign w:val="bottom"/>
          </w:tcPr>
          <w:p>
            <w:pPr>
              <w:ind w:left="140"/>
              <w:spacing w:after="0" w:line="220" w:lineRule="exact"/>
              <w:rPr>
                <w:sz w:val="20"/>
                <w:szCs w:val="20"/>
                <w:color w:val="auto"/>
              </w:rPr>
            </w:pPr>
            <w:r>
              <w:rPr>
                <w:rFonts w:ascii="Arial" w:cs="Arial" w:eastAsia="Arial" w:hAnsi="Arial"/>
                <w:sz w:val="20"/>
                <w:szCs w:val="20"/>
                <w:color w:val="auto"/>
              </w:rPr>
              <w:t>Mitigation Obligations; Replacement of Lenders</w:t>
            </w:r>
          </w:p>
        </w:tc>
        <w:tc>
          <w:tcPr>
            <w:tcW w:w="300" w:type="dxa"/>
            <w:vAlign w:val="bottom"/>
          </w:tcPr>
          <w:p>
            <w:pPr>
              <w:jc w:val="right"/>
              <w:spacing w:after="0" w:line="220" w:lineRule="exact"/>
              <w:rPr>
                <w:sz w:val="20"/>
                <w:szCs w:val="20"/>
                <w:color w:val="auto"/>
              </w:rPr>
            </w:pPr>
            <w:r>
              <w:rPr>
                <w:rFonts w:ascii="Arial" w:cs="Arial" w:eastAsia="Arial" w:hAnsi="Arial"/>
                <w:sz w:val="20"/>
                <w:szCs w:val="20"/>
                <w:color w:val="FF0000"/>
                <w:strike w:val="1"/>
                <w:w w:val="80"/>
              </w:rPr>
              <w:t>63</w:t>
            </w:r>
          </w:p>
        </w:tc>
        <w:tc>
          <w:tcPr>
            <w:tcW w:w="240" w:type="dxa"/>
            <w:vAlign w:val="bottom"/>
            <w:tcBorders>
              <w:bottom w:val="single" w:sz="8" w:color="D6D6D6"/>
            </w:tcBorders>
            <w:shd w:val="clear" w:color="auto" w:fill="D6D6D6"/>
          </w:tcPr>
          <w:p>
            <w:pPr>
              <w:spacing w:after="0"/>
              <w:rPr>
                <w:sz w:val="19"/>
                <w:szCs w:val="19"/>
                <w:color w:val="auto"/>
              </w:rPr>
            </w:pPr>
          </w:p>
        </w:tc>
        <w:tc>
          <w:tcPr>
            <w:tcW w:w="200" w:type="dxa"/>
            <w:vAlign w:val="bottom"/>
            <w:tcBorders>
              <w:bottom w:val="single" w:sz="8" w:color="0A0AE5"/>
            </w:tcBorders>
            <w:shd w:val="clear" w:color="auto" w:fill="D6D6D6"/>
          </w:tcPr>
          <w:p>
            <w:pPr>
              <w:jc w:val="right"/>
              <w:spacing w:after="0" w:line="220" w:lineRule="exact"/>
              <w:rPr>
                <w:sz w:val="20"/>
                <w:szCs w:val="20"/>
                <w:color w:val="auto"/>
              </w:rPr>
            </w:pPr>
            <w:r>
              <w:rPr>
                <w:rFonts w:ascii="Arial" w:cs="Arial" w:eastAsia="Arial" w:hAnsi="Arial"/>
                <w:sz w:val="20"/>
                <w:szCs w:val="20"/>
                <w:b w:val="1"/>
                <w:bCs w:val="1"/>
                <w:color w:val="0A0AE5"/>
                <w:w w:val="80"/>
              </w:rPr>
              <w:t>62</w:t>
            </w:r>
          </w:p>
        </w:tc>
        <w:tc>
          <w:tcPr>
            <w:tcW w:w="100" w:type="dxa"/>
            <w:vAlign w:val="bottom"/>
            <w:tcBorders>
              <w:bottom w:val="single" w:sz="8" w:color="D6D6D6"/>
            </w:tcBorders>
            <w:shd w:val="clear" w:color="auto" w:fill="D6D6D6"/>
          </w:tcPr>
          <w:p>
            <w:pPr>
              <w:spacing w:after="0"/>
              <w:rPr>
                <w:sz w:val="19"/>
                <w:szCs w:val="19"/>
                <w:color w:val="auto"/>
              </w:rPr>
            </w:pPr>
          </w:p>
        </w:tc>
      </w:tr>
      <w:tr>
        <w:trPr>
          <w:trHeight w:val="255"/>
        </w:trPr>
        <w:tc>
          <w:tcPr>
            <w:tcW w:w="540" w:type="dxa"/>
            <w:vAlign w:val="bottom"/>
          </w:tcPr>
          <w:p>
            <w:pPr>
              <w:jc w:val="right"/>
              <w:ind w:right="40"/>
              <w:spacing w:after="0"/>
              <w:rPr>
                <w:sz w:val="20"/>
                <w:szCs w:val="20"/>
                <w:color w:val="auto"/>
              </w:rPr>
            </w:pPr>
            <w:r>
              <w:rPr>
                <w:rFonts w:ascii="Arial" w:cs="Arial" w:eastAsia="Arial" w:hAnsi="Arial"/>
                <w:sz w:val="20"/>
                <w:szCs w:val="20"/>
                <w:color w:val="auto"/>
                <w:w w:val="85"/>
              </w:rPr>
              <w:t>3.07.</w:t>
            </w:r>
          </w:p>
        </w:tc>
        <w:tc>
          <w:tcPr>
            <w:tcW w:w="9580" w:type="dxa"/>
            <w:vAlign w:val="bottom"/>
          </w:tcPr>
          <w:p>
            <w:pPr>
              <w:ind w:left="140"/>
              <w:spacing w:after="0"/>
              <w:rPr>
                <w:sz w:val="20"/>
                <w:szCs w:val="20"/>
                <w:color w:val="auto"/>
              </w:rPr>
            </w:pPr>
            <w:r>
              <w:rPr>
                <w:rFonts w:ascii="Arial" w:cs="Arial" w:eastAsia="Arial" w:hAnsi="Arial"/>
                <w:sz w:val="20"/>
                <w:szCs w:val="20"/>
                <w:color w:val="auto"/>
              </w:rPr>
              <w:t>Survival</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0"/>
              </w:rPr>
              <w:t>64</w:t>
            </w:r>
          </w:p>
        </w:tc>
        <w:tc>
          <w:tcPr>
            <w:tcW w:w="440" w:type="dxa"/>
            <w:vAlign w:val="bottom"/>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rPr>
              <w:t>63</w:t>
            </w:r>
          </w:p>
        </w:tc>
        <w:tc>
          <w:tcPr>
            <w:tcW w:w="100" w:type="dxa"/>
            <w:vAlign w:val="bottom"/>
            <w:shd w:val="clear" w:color="auto" w:fill="D6D6D6"/>
          </w:tcPr>
          <w:p>
            <w:pPr>
              <w:spacing w:after="0"/>
              <w:rPr>
                <w:sz w:val="22"/>
                <w:szCs w:val="22"/>
                <w:color w:val="auto"/>
              </w:rPr>
            </w:pPr>
          </w:p>
        </w:tc>
      </w:tr>
      <w:tr>
        <w:trPr>
          <w:trHeight w:val="42"/>
        </w:trPr>
        <w:tc>
          <w:tcPr>
            <w:tcW w:w="540" w:type="dxa"/>
            <w:vAlign w:val="bottom"/>
          </w:tcPr>
          <w:p>
            <w:pPr>
              <w:spacing w:after="0"/>
              <w:rPr>
                <w:sz w:val="3"/>
                <w:szCs w:val="3"/>
                <w:color w:val="auto"/>
              </w:rPr>
            </w:pPr>
          </w:p>
        </w:tc>
        <w:tc>
          <w:tcPr>
            <w:tcW w:w="9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Borders>
              <w:top w:val="single" w:sz="8" w:color="D6D6D6"/>
            </w:tcBorders>
            <w:shd w:val="clear" w:color="auto" w:fill="D6D6D6"/>
          </w:tcPr>
          <w:p>
            <w:pPr>
              <w:spacing w:after="0"/>
              <w:rPr>
                <w:sz w:val="3"/>
                <w:szCs w:val="3"/>
                <w:color w:val="auto"/>
              </w:rPr>
            </w:pPr>
          </w:p>
        </w:tc>
        <w:tc>
          <w:tcPr>
            <w:tcW w:w="200" w:type="dxa"/>
            <w:vAlign w:val="bottom"/>
            <w:tcBorders>
              <w:top w:val="single" w:sz="8" w:color="0A0AE5"/>
            </w:tcBorders>
            <w:shd w:val="clear" w:color="auto" w:fill="D6D6D6"/>
          </w:tcPr>
          <w:p>
            <w:pPr>
              <w:spacing w:after="0"/>
              <w:rPr>
                <w:sz w:val="3"/>
                <w:szCs w:val="3"/>
                <w:color w:val="auto"/>
              </w:rPr>
            </w:pPr>
          </w:p>
        </w:tc>
        <w:tc>
          <w:tcPr>
            <w:tcW w:w="100" w:type="dxa"/>
            <w:vAlign w:val="bottom"/>
            <w:tcBorders>
              <w:top w:val="single" w:sz="8" w:color="D6D6D6"/>
            </w:tcBorders>
            <w:shd w:val="clear" w:color="auto" w:fill="D6D6D6"/>
          </w:tcPr>
          <w:p>
            <w:pPr>
              <w:spacing w:after="0"/>
              <w:rPr>
                <w:sz w:val="3"/>
                <w:szCs w:val="3"/>
                <w:color w:val="auto"/>
              </w:rPr>
            </w:pPr>
          </w:p>
        </w:tc>
      </w:tr>
    </w:tbl>
    <w:p>
      <w:pPr>
        <w:spacing w:after="0" w:line="331"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ARTICLE IV</w:t>
      </w: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CONDITIONS PRECEDENT TO CREDIT EXTENSIONS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gridSpan w:val="3"/>
          </w:tcPr>
          <w:p>
            <w:pPr>
              <w:ind w:left="20"/>
              <w:spacing w:after="0"/>
              <w:rPr>
                <w:sz w:val="20"/>
                <w:szCs w:val="20"/>
                <w:color w:val="auto"/>
              </w:rPr>
            </w:pPr>
            <w:r>
              <w:rPr>
                <w:rFonts w:ascii="Arial" w:cs="Arial" w:eastAsia="Arial" w:hAnsi="Arial"/>
                <w:sz w:val="20"/>
                <w:szCs w:val="20"/>
                <w:color w:val="auto"/>
              </w:rPr>
              <w:t>4.01.</w:t>
            </w:r>
          </w:p>
        </w:tc>
        <w:tc>
          <w:tcPr>
            <w:tcW w:w="9560" w:type="dxa"/>
            <w:vAlign w:val="bottom"/>
            <w:gridSpan w:val="5"/>
          </w:tcPr>
          <w:p>
            <w:pPr>
              <w:ind w:left="120"/>
              <w:spacing w:after="0"/>
              <w:rPr>
                <w:sz w:val="20"/>
                <w:szCs w:val="20"/>
                <w:color w:val="auto"/>
              </w:rPr>
            </w:pPr>
            <w:r>
              <w:rPr>
                <w:rFonts w:ascii="Arial" w:cs="Arial" w:eastAsia="Arial" w:hAnsi="Arial"/>
                <w:sz w:val="20"/>
                <w:szCs w:val="20"/>
                <w:color w:val="auto"/>
              </w:rPr>
              <w:t>Conditions of Effectiveness</w:t>
            </w:r>
          </w:p>
        </w:tc>
        <w:tc>
          <w:tcPr>
            <w:tcW w:w="340" w:type="dxa"/>
            <w:vAlign w:val="bottom"/>
            <w:tcBorders>
              <w:right w:val="single" w:sz="8" w:color="D6D6D6"/>
            </w:tcBorders>
          </w:tcPr>
          <w:p>
            <w:pPr>
              <w:jc w:val="right"/>
              <w:ind w:right="40"/>
              <w:spacing w:after="0"/>
              <w:rPr>
                <w:sz w:val="20"/>
                <w:szCs w:val="20"/>
                <w:color w:val="auto"/>
              </w:rPr>
            </w:pPr>
            <w:r>
              <w:rPr>
                <w:rFonts w:ascii="Arial" w:cs="Arial" w:eastAsia="Arial" w:hAnsi="Arial"/>
                <w:sz w:val="20"/>
                <w:szCs w:val="20"/>
                <w:color w:val="FF0000"/>
                <w:strike w:val="1"/>
                <w:w w:val="80"/>
              </w:rPr>
              <w:t>64</w:t>
            </w:r>
          </w:p>
        </w:tc>
        <w:tc>
          <w:tcPr>
            <w:tcW w:w="420" w:type="dxa"/>
            <w:vAlign w:val="bottom"/>
            <w:tcBorders>
              <w:right w:val="single" w:sz="8" w:color="D6D6D6"/>
            </w:tcBorders>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rPr>
              <w:t>63</w:t>
            </w:r>
          </w:p>
        </w:tc>
        <w:tc>
          <w:tcPr>
            <w:tcW w:w="80" w:type="dxa"/>
            <w:vAlign w:val="bottom"/>
            <w:shd w:val="clear" w:color="auto" w:fill="D6D6D6"/>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40" w:type="dxa"/>
            <w:vAlign w:val="bottom"/>
            <w:tcBorders>
              <w:right w:val="single" w:sz="8" w:color="D6D6D6"/>
            </w:tcBorders>
          </w:tcPr>
          <w:p>
            <w:pPr>
              <w:spacing w:after="0" w:line="20" w:lineRule="exact"/>
              <w:rPr>
                <w:sz w:val="1"/>
                <w:szCs w:val="1"/>
                <w:color w:val="auto"/>
              </w:rPr>
            </w:pPr>
          </w:p>
        </w:tc>
        <w:tc>
          <w:tcPr>
            <w:tcW w:w="220" w:type="dxa"/>
            <w:vAlign w:val="bottom"/>
            <w:tcBorders>
              <w:right w:val="single" w:sz="8" w:color="0A0AE5"/>
            </w:tcBorders>
            <w:shd w:val="clear" w:color="auto" w:fill="D6D6D6"/>
          </w:tcPr>
          <w:p>
            <w:pPr>
              <w:spacing w:after="0" w:line="20" w:lineRule="exact"/>
              <w:rPr>
                <w:sz w:val="1"/>
                <w:szCs w:val="1"/>
                <w:color w:val="auto"/>
              </w:rPr>
            </w:pPr>
          </w:p>
        </w:tc>
        <w:tc>
          <w:tcPr>
            <w:tcW w:w="200" w:type="dxa"/>
            <w:vAlign w:val="bottom"/>
            <w:tcBorders>
              <w:right w:val="single" w:sz="8" w:color="D6D6D6"/>
            </w:tcBorders>
            <w:shd w:val="clear" w:color="auto" w:fill="0A0AE5"/>
          </w:tcPr>
          <w:p>
            <w:pPr>
              <w:spacing w:after="0" w:line="20" w:lineRule="exact"/>
              <w:rPr>
                <w:sz w:val="1"/>
                <w:szCs w:val="1"/>
                <w:color w:val="auto"/>
              </w:rPr>
            </w:pPr>
          </w:p>
        </w:tc>
        <w:tc>
          <w:tcPr>
            <w:tcW w:w="80" w:type="dxa"/>
            <w:vAlign w:val="bottom"/>
            <w:shd w:val="clear" w:color="auto" w:fill="D6D6D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Arial" w:cs="Arial" w:eastAsia="Arial" w:hAnsi="Arial"/>
                <w:sz w:val="20"/>
                <w:szCs w:val="20"/>
                <w:color w:val="auto"/>
              </w:rPr>
              <w:t>4.02.   Conditions to All Credit Extensions</w:t>
            </w:r>
          </w:p>
        </w:tc>
        <w:tc>
          <w:tcPr>
            <w:tcW w:w="340" w:type="dxa"/>
            <w:vAlign w:val="bottom"/>
            <w:tcBorders>
              <w:right w:val="single" w:sz="8" w:color="D6D6D6"/>
            </w:tcBorders>
          </w:tcPr>
          <w:p>
            <w:pPr>
              <w:jc w:val="right"/>
              <w:ind w:right="40"/>
              <w:spacing w:after="0"/>
              <w:rPr>
                <w:sz w:val="20"/>
                <w:szCs w:val="20"/>
                <w:color w:val="auto"/>
              </w:rPr>
            </w:pPr>
            <w:r>
              <w:rPr>
                <w:rFonts w:ascii="Arial" w:cs="Arial" w:eastAsia="Arial" w:hAnsi="Arial"/>
                <w:sz w:val="20"/>
                <w:szCs w:val="20"/>
                <w:color w:val="FF0000"/>
                <w:strike w:val="1"/>
                <w:w w:val="80"/>
              </w:rPr>
              <w:t>66</w:t>
            </w:r>
          </w:p>
        </w:tc>
        <w:tc>
          <w:tcPr>
            <w:tcW w:w="420" w:type="dxa"/>
            <w:vAlign w:val="bottom"/>
            <w:tcBorders>
              <w:right w:val="single" w:sz="8" w:color="D6D6D6"/>
            </w:tcBorders>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rPr>
              <w:t>68</w:t>
            </w:r>
          </w:p>
        </w:tc>
        <w:tc>
          <w:tcPr>
            <w:tcW w:w="80" w:type="dxa"/>
            <w:vAlign w:val="bottom"/>
            <w:shd w:val="clear" w:color="auto" w:fill="D6D6D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5"/>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40" w:type="dxa"/>
            <w:vAlign w:val="bottom"/>
          </w:tcPr>
          <w:p>
            <w:pPr>
              <w:jc w:val="center"/>
              <w:ind w:right="2060"/>
              <w:spacing w:after="0"/>
              <w:rPr>
                <w:sz w:val="20"/>
                <w:szCs w:val="20"/>
                <w:color w:val="auto"/>
              </w:rPr>
            </w:pPr>
            <w:r>
              <w:rPr>
                <w:rFonts w:ascii="Arial" w:cs="Arial" w:eastAsia="Arial" w:hAnsi="Arial"/>
                <w:sz w:val="20"/>
                <w:szCs w:val="20"/>
                <w:color w:val="auto"/>
                <w:w w:val="98"/>
              </w:rPr>
              <w:t>ARTICLE V</w:t>
            </w:r>
          </w:p>
        </w:tc>
        <w:tc>
          <w:tcPr>
            <w:tcW w:w="340" w:type="dxa"/>
            <w:vAlign w:val="bottom"/>
          </w:tcPr>
          <w:p>
            <w:pPr>
              <w:spacing w:after="0"/>
              <w:rPr>
                <w:sz w:val="24"/>
                <w:szCs w:val="24"/>
                <w:color w:val="auto"/>
              </w:rPr>
            </w:pPr>
          </w:p>
        </w:tc>
        <w:tc>
          <w:tcPr>
            <w:tcW w:w="220" w:type="dxa"/>
            <w:vAlign w:val="bottom"/>
            <w:tcBorders>
              <w:top w:val="single" w:sz="8" w:color="D6D6D6"/>
            </w:tcBorders>
          </w:tcPr>
          <w:p>
            <w:pPr>
              <w:spacing w:after="0"/>
              <w:rPr>
                <w:sz w:val="24"/>
                <w:szCs w:val="24"/>
                <w:color w:val="auto"/>
              </w:rPr>
            </w:pPr>
          </w:p>
        </w:tc>
        <w:tc>
          <w:tcPr>
            <w:tcW w:w="200" w:type="dxa"/>
            <w:vAlign w:val="bottom"/>
            <w:tcBorders>
              <w:top w:val="single" w:sz="8" w:color="0A0AE5"/>
            </w:tcBorders>
          </w:tcPr>
          <w:p>
            <w:pPr>
              <w:spacing w:after="0"/>
              <w:rPr>
                <w:sz w:val="24"/>
                <w:szCs w:val="24"/>
                <w:color w:val="auto"/>
              </w:rPr>
            </w:pPr>
          </w:p>
        </w:tc>
        <w:tc>
          <w:tcPr>
            <w:tcW w:w="80" w:type="dxa"/>
            <w:vAlign w:val="bottom"/>
            <w:tcBorders>
              <w:top w:val="single" w:sz="8" w:color="D6D6D6"/>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40" w:type="dxa"/>
            <w:vAlign w:val="bottom"/>
          </w:tcPr>
          <w:p>
            <w:pPr>
              <w:jc w:val="center"/>
              <w:ind w:right="2040"/>
              <w:spacing w:after="0"/>
              <w:rPr>
                <w:sz w:val="20"/>
                <w:szCs w:val="20"/>
                <w:color w:val="auto"/>
              </w:rPr>
            </w:pPr>
            <w:r>
              <w:rPr>
                <w:rFonts w:ascii="Arial" w:cs="Arial" w:eastAsia="Arial" w:hAnsi="Arial"/>
                <w:sz w:val="20"/>
                <w:szCs w:val="20"/>
                <w:color w:val="auto"/>
                <w:w w:val="94"/>
              </w:rPr>
              <w:t>REPRESENTATIONS AND WARRANTIES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0" w:type="dxa"/>
            <w:vAlign w:val="bottom"/>
            <w:gridSpan w:val="2"/>
          </w:tcPr>
          <w:p>
            <w:pPr>
              <w:spacing w:after="0" w:line="212" w:lineRule="exact"/>
              <w:rPr>
                <w:sz w:val="20"/>
                <w:szCs w:val="20"/>
                <w:color w:val="auto"/>
              </w:rPr>
            </w:pPr>
            <w:r>
              <w:rPr>
                <w:rFonts w:ascii="Arial" w:cs="Arial" w:eastAsia="Arial" w:hAnsi="Arial"/>
                <w:sz w:val="20"/>
                <w:szCs w:val="20"/>
                <w:color w:val="auto"/>
                <w:w w:val="85"/>
              </w:rPr>
              <w:t>5.01.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360" w:type="dxa"/>
            <w:vAlign w:val="bottom"/>
            <w:gridSpan w:val="4"/>
          </w:tcPr>
          <w:p>
            <w:pPr>
              <w:spacing w:after="0" w:line="212" w:lineRule="exact"/>
              <w:rPr>
                <w:sz w:val="20"/>
                <w:szCs w:val="20"/>
                <w:color w:val="auto"/>
              </w:rPr>
            </w:pPr>
            <w:r>
              <w:rPr>
                <w:rFonts w:ascii="Arial" w:cs="Arial" w:eastAsia="Arial" w:hAnsi="Arial"/>
                <w:sz w:val="20"/>
                <w:szCs w:val="20"/>
                <w:color w:val="auto"/>
              </w:rPr>
              <w:t>Existence, Qualification and Power</w:t>
            </w:r>
          </w:p>
        </w:tc>
        <w:tc>
          <w:tcPr>
            <w:tcW w:w="340" w:type="dxa"/>
            <w:vAlign w:val="bottom"/>
          </w:tcPr>
          <w:p>
            <w:pPr>
              <w:jc w:val="right"/>
              <w:ind w:right="20"/>
              <w:spacing w:after="0" w:line="212" w:lineRule="exact"/>
              <w:rPr>
                <w:sz w:val="20"/>
                <w:szCs w:val="20"/>
                <w:color w:val="auto"/>
              </w:rPr>
            </w:pPr>
            <w:r>
              <w:rPr>
                <w:rFonts w:ascii="Arial" w:cs="Arial" w:eastAsia="Arial" w:hAnsi="Arial"/>
                <w:sz w:val="20"/>
                <w:szCs w:val="20"/>
                <w:color w:val="FF0000"/>
                <w:strike w:val="1"/>
                <w:w w:val="89"/>
              </w:rPr>
              <w:t>67</w:t>
            </w:r>
          </w:p>
        </w:tc>
        <w:tc>
          <w:tcPr>
            <w:tcW w:w="220" w:type="dxa"/>
            <w:vAlign w:val="bottom"/>
            <w:tcBorders>
              <w:bottom w:val="single" w:sz="8" w:color="D6D6D6"/>
              <w:right w:val="single" w:sz="8" w:color="D6D6D6"/>
            </w:tcBorders>
            <w:shd w:val="clear" w:color="auto" w:fill="D6D6D6"/>
          </w:tcPr>
          <w:p>
            <w:pPr>
              <w:spacing w:after="0"/>
              <w:rPr>
                <w:sz w:val="18"/>
                <w:szCs w:val="18"/>
                <w:color w:val="auto"/>
              </w:rPr>
            </w:pPr>
          </w:p>
        </w:tc>
        <w:tc>
          <w:tcPr>
            <w:tcW w:w="200" w:type="dxa"/>
            <w:vAlign w:val="bottom"/>
            <w:tcBorders>
              <w:bottom w:val="single" w:sz="8" w:color="0A0AE5"/>
              <w:right w:val="single" w:sz="8" w:color="D6D6D6"/>
            </w:tcBorders>
            <w:shd w:val="clear" w:color="auto" w:fill="D6D6D6"/>
          </w:tcPr>
          <w:p>
            <w:pPr>
              <w:jc w:val="right"/>
              <w:spacing w:after="0" w:line="212" w:lineRule="exact"/>
              <w:rPr>
                <w:sz w:val="20"/>
                <w:szCs w:val="20"/>
                <w:color w:val="auto"/>
              </w:rPr>
            </w:pPr>
            <w:r>
              <w:rPr>
                <w:rFonts w:ascii="Arial" w:cs="Arial" w:eastAsia="Arial" w:hAnsi="Arial"/>
                <w:sz w:val="20"/>
                <w:szCs w:val="20"/>
                <w:b w:val="1"/>
                <w:bCs w:val="1"/>
                <w:color w:val="0A0AE5"/>
                <w:w w:val="80"/>
              </w:rPr>
              <w:t>66</w:t>
            </w:r>
          </w:p>
        </w:tc>
        <w:tc>
          <w:tcPr>
            <w:tcW w:w="80" w:type="dxa"/>
            <w:vAlign w:val="bottom"/>
            <w:tcBorders>
              <w:bottom w:val="single" w:sz="8" w:color="D6D6D6"/>
            </w:tcBorders>
            <w:shd w:val="clear" w:color="auto" w:fill="D6D6D6"/>
          </w:tcPr>
          <w:p>
            <w:pPr>
              <w:spacing w:after="0"/>
              <w:rPr>
                <w:sz w:val="18"/>
                <w:szCs w:val="18"/>
                <w:color w:val="auto"/>
              </w:rPr>
            </w:pPr>
          </w:p>
        </w:tc>
        <w:tc>
          <w:tcPr>
            <w:tcW w:w="20" w:type="dxa"/>
            <w:vAlign w:val="bottom"/>
            <w:tcBorders>
              <w:bottom w:val="single" w:sz="8" w:color="D6D6D6"/>
            </w:tcBorders>
            <w:shd w:val="clear" w:color="auto" w:fill="D6D6D6"/>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00" w:type="dxa"/>
            <w:vAlign w:val="bottom"/>
            <w:gridSpan w:val="2"/>
          </w:tcPr>
          <w:p>
            <w:pPr>
              <w:spacing w:after="0"/>
              <w:rPr>
                <w:sz w:val="20"/>
                <w:szCs w:val="20"/>
                <w:color w:val="auto"/>
              </w:rPr>
            </w:pPr>
            <w:r>
              <w:rPr>
                <w:rFonts w:ascii="Arial" w:cs="Arial" w:eastAsia="Arial" w:hAnsi="Arial"/>
                <w:sz w:val="20"/>
                <w:szCs w:val="20"/>
                <w:color w:val="auto"/>
                <w:w w:val="85"/>
              </w:rPr>
              <w:t>5.02.</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360" w:type="dxa"/>
            <w:vAlign w:val="bottom"/>
            <w:gridSpan w:val="4"/>
          </w:tcPr>
          <w:p>
            <w:pPr>
              <w:spacing w:after="0"/>
              <w:rPr>
                <w:sz w:val="20"/>
                <w:szCs w:val="20"/>
                <w:color w:val="auto"/>
              </w:rPr>
            </w:pPr>
            <w:r>
              <w:rPr>
                <w:rFonts w:ascii="Arial" w:cs="Arial" w:eastAsia="Arial" w:hAnsi="Arial"/>
                <w:sz w:val="20"/>
                <w:szCs w:val="20"/>
                <w:color w:val="auto"/>
              </w:rPr>
              <w:t>Authorization; No Contravention</w:t>
            </w:r>
          </w:p>
        </w:tc>
        <w:tc>
          <w:tcPr>
            <w:tcW w:w="340" w:type="dxa"/>
            <w:vAlign w:val="bottom"/>
          </w:tcPr>
          <w:p>
            <w:pPr>
              <w:jc w:val="right"/>
              <w:ind w:right="20"/>
              <w:spacing w:after="0"/>
              <w:rPr>
                <w:sz w:val="20"/>
                <w:szCs w:val="20"/>
                <w:color w:val="auto"/>
              </w:rPr>
            </w:pPr>
            <w:r>
              <w:rPr>
                <w:rFonts w:ascii="Arial" w:cs="Arial" w:eastAsia="Arial" w:hAnsi="Arial"/>
                <w:sz w:val="20"/>
                <w:szCs w:val="20"/>
                <w:color w:val="FF0000"/>
                <w:strike w:val="1"/>
                <w:w w:val="89"/>
              </w:rPr>
              <w:t>67</w:t>
            </w:r>
          </w:p>
        </w:tc>
        <w:tc>
          <w:tcPr>
            <w:tcW w:w="220" w:type="dxa"/>
            <w:vAlign w:val="bottom"/>
            <w:tcBorders>
              <w:bottom w:val="single" w:sz="8" w:color="D6D6D6"/>
              <w:right w:val="single" w:sz="8" w:color="D6D6D6"/>
            </w:tcBorders>
            <w:shd w:val="clear" w:color="auto" w:fill="D6D6D6"/>
          </w:tcPr>
          <w:p>
            <w:pPr>
              <w:spacing w:after="0"/>
              <w:rPr>
                <w:sz w:val="22"/>
                <w:szCs w:val="22"/>
                <w:color w:val="auto"/>
              </w:rPr>
            </w:pPr>
          </w:p>
        </w:tc>
        <w:tc>
          <w:tcPr>
            <w:tcW w:w="200" w:type="dxa"/>
            <w:vAlign w:val="bottom"/>
            <w:tcBorders>
              <w:bottom w:val="single" w:sz="8" w:color="0A0AE5"/>
              <w:right w:val="single" w:sz="8" w:color="D6D6D6"/>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66</w:t>
            </w:r>
          </w:p>
        </w:tc>
        <w:tc>
          <w:tcPr>
            <w:tcW w:w="80" w:type="dxa"/>
            <w:vAlign w:val="bottom"/>
            <w:tcBorders>
              <w:bottom w:val="single" w:sz="8" w:color="D6D6D6"/>
            </w:tcBorders>
            <w:shd w:val="clear" w:color="auto" w:fill="D6D6D6"/>
          </w:tcPr>
          <w:p>
            <w:pPr>
              <w:spacing w:after="0"/>
              <w:rPr>
                <w:sz w:val="22"/>
                <w:szCs w:val="22"/>
                <w:color w:val="auto"/>
              </w:rPr>
            </w:pPr>
          </w:p>
        </w:tc>
        <w:tc>
          <w:tcPr>
            <w:tcW w:w="20" w:type="dxa"/>
            <w:vAlign w:val="bottom"/>
            <w:tcBorders>
              <w:bottom w:val="single" w:sz="8" w:color="D6D6D6"/>
            </w:tcBorders>
            <w:shd w:val="clear" w:color="auto" w:fill="D6D6D6"/>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400" w:type="dxa"/>
            <w:vAlign w:val="bottom"/>
            <w:gridSpan w:val="2"/>
          </w:tcPr>
          <w:p>
            <w:pPr>
              <w:spacing w:after="0"/>
              <w:rPr>
                <w:sz w:val="20"/>
                <w:szCs w:val="20"/>
                <w:color w:val="auto"/>
              </w:rPr>
            </w:pPr>
            <w:r>
              <w:rPr>
                <w:rFonts w:ascii="Arial" w:cs="Arial" w:eastAsia="Arial" w:hAnsi="Arial"/>
                <w:sz w:val="20"/>
                <w:szCs w:val="20"/>
                <w:color w:val="auto"/>
                <w:w w:val="85"/>
              </w:rPr>
              <w:t>5.03.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360" w:type="dxa"/>
            <w:vAlign w:val="bottom"/>
            <w:gridSpan w:val="4"/>
          </w:tcPr>
          <w:p>
            <w:pPr>
              <w:spacing w:after="0"/>
              <w:rPr>
                <w:sz w:val="20"/>
                <w:szCs w:val="20"/>
                <w:color w:val="auto"/>
              </w:rPr>
            </w:pPr>
            <w:r>
              <w:rPr>
                <w:rFonts w:ascii="Arial" w:cs="Arial" w:eastAsia="Arial" w:hAnsi="Arial"/>
                <w:sz w:val="20"/>
                <w:szCs w:val="20"/>
                <w:color w:val="auto"/>
              </w:rPr>
              <w:t>Governmental Authorization; Other Consents</w:t>
            </w:r>
          </w:p>
        </w:tc>
        <w:tc>
          <w:tcPr>
            <w:tcW w:w="340" w:type="dxa"/>
            <w:vAlign w:val="bottom"/>
          </w:tcPr>
          <w:p>
            <w:pPr>
              <w:jc w:val="right"/>
              <w:ind w:right="20"/>
              <w:spacing w:after="0"/>
              <w:rPr>
                <w:sz w:val="20"/>
                <w:szCs w:val="20"/>
                <w:color w:val="auto"/>
              </w:rPr>
            </w:pPr>
            <w:r>
              <w:rPr>
                <w:rFonts w:ascii="Arial" w:cs="Arial" w:eastAsia="Arial" w:hAnsi="Arial"/>
                <w:sz w:val="20"/>
                <w:szCs w:val="20"/>
                <w:color w:val="FF0000"/>
                <w:strike w:val="1"/>
                <w:w w:val="89"/>
              </w:rPr>
              <w:t>67</w:t>
            </w:r>
          </w:p>
        </w:tc>
        <w:tc>
          <w:tcPr>
            <w:tcW w:w="220" w:type="dxa"/>
            <w:vAlign w:val="bottom"/>
            <w:tcBorders>
              <w:bottom w:val="single" w:sz="8" w:color="D6D6D6"/>
              <w:right w:val="single" w:sz="8" w:color="D6D6D6"/>
            </w:tcBorders>
            <w:shd w:val="clear" w:color="auto" w:fill="D6D6D6"/>
          </w:tcPr>
          <w:p>
            <w:pPr>
              <w:spacing w:after="0"/>
              <w:rPr>
                <w:sz w:val="24"/>
                <w:szCs w:val="24"/>
                <w:color w:val="auto"/>
              </w:rPr>
            </w:pPr>
          </w:p>
        </w:tc>
        <w:tc>
          <w:tcPr>
            <w:tcW w:w="200" w:type="dxa"/>
            <w:vAlign w:val="bottom"/>
            <w:tcBorders>
              <w:bottom w:val="single" w:sz="8" w:color="0A0AE5"/>
              <w:right w:val="single" w:sz="8" w:color="D6D6D6"/>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66</w:t>
            </w:r>
          </w:p>
        </w:tc>
        <w:tc>
          <w:tcPr>
            <w:tcW w:w="80" w:type="dxa"/>
            <w:vAlign w:val="bottom"/>
            <w:tcBorders>
              <w:bottom w:val="single" w:sz="8" w:color="D6D6D6"/>
            </w:tcBorders>
            <w:shd w:val="clear" w:color="auto" w:fill="D6D6D6"/>
          </w:tcPr>
          <w:p>
            <w:pPr>
              <w:spacing w:after="0"/>
              <w:rPr>
                <w:sz w:val="24"/>
                <w:szCs w:val="24"/>
                <w:color w:val="auto"/>
              </w:rPr>
            </w:pPr>
          </w:p>
        </w:tc>
        <w:tc>
          <w:tcPr>
            <w:tcW w:w="20" w:type="dxa"/>
            <w:vAlign w:val="bottom"/>
            <w:tcBorders>
              <w:bottom w:val="single" w:sz="8" w:color="D6D6D6"/>
            </w:tcBorders>
            <w:shd w:val="clear" w:color="auto" w:fill="D6D6D6"/>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0" w:type="dxa"/>
            <w:vAlign w:val="bottom"/>
            <w:gridSpan w:val="2"/>
          </w:tcPr>
          <w:p>
            <w:pPr>
              <w:spacing w:after="0"/>
              <w:rPr>
                <w:sz w:val="20"/>
                <w:szCs w:val="20"/>
                <w:color w:val="auto"/>
              </w:rPr>
            </w:pPr>
            <w:r>
              <w:rPr>
                <w:rFonts w:ascii="Arial" w:cs="Arial" w:eastAsia="Arial" w:hAnsi="Arial"/>
                <w:sz w:val="20"/>
                <w:szCs w:val="20"/>
                <w:color w:val="auto"/>
                <w:w w:val="85"/>
              </w:rPr>
              <w:t>5.04.</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360" w:type="dxa"/>
            <w:vAlign w:val="bottom"/>
            <w:gridSpan w:val="4"/>
          </w:tcPr>
          <w:p>
            <w:pPr>
              <w:spacing w:after="0"/>
              <w:rPr>
                <w:sz w:val="20"/>
                <w:szCs w:val="20"/>
                <w:color w:val="auto"/>
              </w:rPr>
            </w:pPr>
            <w:r>
              <w:rPr>
                <w:rFonts w:ascii="Arial" w:cs="Arial" w:eastAsia="Arial" w:hAnsi="Arial"/>
                <w:sz w:val="20"/>
                <w:szCs w:val="20"/>
                <w:color w:val="auto"/>
              </w:rPr>
              <w:t>Binding Effect</w:t>
            </w:r>
          </w:p>
        </w:tc>
        <w:tc>
          <w:tcPr>
            <w:tcW w:w="34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67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400" w:type="dxa"/>
            <w:vAlign w:val="bottom"/>
            <w:gridSpan w:val="2"/>
          </w:tcPr>
          <w:p>
            <w:pPr>
              <w:spacing w:after="0" w:line="228" w:lineRule="exact"/>
              <w:rPr>
                <w:sz w:val="20"/>
                <w:szCs w:val="20"/>
                <w:color w:val="auto"/>
              </w:rPr>
            </w:pPr>
            <w:r>
              <w:rPr>
                <w:rFonts w:ascii="Arial" w:cs="Arial" w:eastAsia="Arial" w:hAnsi="Arial"/>
                <w:sz w:val="20"/>
                <w:szCs w:val="20"/>
                <w:color w:val="auto"/>
                <w:w w:val="85"/>
              </w:rPr>
              <w:t>5.05.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360" w:type="dxa"/>
            <w:vAlign w:val="bottom"/>
            <w:gridSpan w:val="4"/>
          </w:tcPr>
          <w:p>
            <w:pPr>
              <w:spacing w:after="0" w:line="228" w:lineRule="exact"/>
              <w:rPr>
                <w:sz w:val="20"/>
                <w:szCs w:val="20"/>
                <w:color w:val="auto"/>
              </w:rPr>
            </w:pPr>
            <w:r>
              <w:rPr>
                <w:rFonts w:ascii="Arial" w:cs="Arial" w:eastAsia="Arial" w:hAnsi="Arial"/>
                <w:sz w:val="20"/>
                <w:szCs w:val="20"/>
                <w:color w:val="auto"/>
              </w:rPr>
              <w:t>Financial Statements; No Material Adverse Effect</w:t>
            </w:r>
          </w:p>
        </w:tc>
        <w:tc>
          <w:tcPr>
            <w:tcW w:w="340" w:type="dxa"/>
            <w:vAlign w:val="bottom"/>
          </w:tcPr>
          <w:p>
            <w:pPr>
              <w:jc w:val="right"/>
              <w:ind w:right="20"/>
              <w:spacing w:after="0" w:line="228" w:lineRule="exact"/>
              <w:rPr>
                <w:sz w:val="20"/>
                <w:szCs w:val="20"/>
                <w:color w:val="auto"/>
              </w:rPr>
            </w:pPr>
            <w:r>
              <w:rPr>
                <w:rFonts w:ascii="Arial" w:cs="Arial" w:eastAsia="Arial" w:hAnsi="Arial"/>
                <w:sz w:val="20"/>
                <w:szCs w:val="20"/>
                <w:color w:val="FF0000"/>
                <w:strike w:val="1"/>
                <w:w w:val="89"/>
              </w:rPr>
              <w:t>68</w:t>
            </w:r>
          </w:p>
        </w:tc>
        <w:tc>
          <w:tcPr>
            <w:tcW w:w="220" w:type="dxa"/>
            <w:vAlign w:val="bottom"/>
            <w:tcBorders>
              <w:bottom w:val="single" w:sz="8" w:color="D6D6D6"/>
              <w:right w:val="single" w:sz="8" w:color="D6D6D6"/>
            </w:tcBorders>
            <w:shd w:val="clear" w:color="auto" w:fill="D6D6D6"/>
          </w:tcPr>
          <w:p>
            <w:pPr>
              <w:spacing w:after="0"/>
              <w:rPr>
                <w:sz w:val="19"/>
                <w:szCs w:val="19"/>
                <w:color w:val="auto"/>
              </w:rPr>
            </w:pPr>
          </w:p>
        </w:tc>
        <w:tc>
          <w:tcPr>
            <w:tcW w:w="200" w:type="dxa"/>
            <w:vAlign w:val="bottom"/>
            <w:tcBorders>
              <w:bottom w:val="single" w:sz="8" w:color="0A0AE5"/>
              <w:right w:val="single" w:sz="8" w:color="D6D6D6"/>
            </w:tcBorders>
            <w:shd w:val="clear" w:color="auto" w:fill="D6D6D6"/>
          </w:tcPr>
          <w:p>
            <w:pPr>
              <w:jc w:val="right"/>
              <w:spacing w:after="0" w:line="228" w:lineRule="exact"/>
              <w:rPr>
                <w:sz w:val="20"/>
                <w:szCs w:val="20"/>
                <w:color w:val="auto"/>
              </w:rPr>
            </w:pPr>
            <w:r>
              <w:rPr>
                <w:rFonts w:ascii="Arial" w:cs="Arial" w:eastAsia="Arial" w:hAnsi="Arial"/>
                <w:sz w:val="20"/>
                <w:szCs w:val="20"/>
                <w:b w:val="1"/>
                <w:bCs w:val="1"/>
                <w:color w:val="0A0AE5"/>
                <w:w w:val="80"/>
              </w:rPr>
              <w:t>67</w:t>
            </w:r>
          </w:p>
        </w:tc>
        <w:tc>
          <w:tcPr>
            <w:tcW w:w="80" w:type="dxa"/>
            <w:vAlign w:val="bottom"/>
            <w:tcBorders>
              <w:bottom w:val="single" w:sz="8" w:color="D6D6D6"/>
            </w:tcBorders>
            <w:shd w:val="clear" w:color="auto" w:fill="D6D6D6"/>
          </w:tcPr>
          <w:p>
            <w:pPr>
              <w:spacing w:after="0"/>
              <w:rPr>
                <w:sz w:val="19"/>
                <w:szCs w:val="19"/>
                <w:color w:val="auto"/>
              </w:rPr>
            </w:pPr>
          </w:p>
        </w:tc>
        <w:tc>
          <w:tcPr>
            <w:tcW w:w="20" w:type="dxa"/>
            <w:vAlign w:val="bottom"/>
            <w:tcBorders>
              <w:bottom w:val="single" w:sz="8" w:color="D6D6D6"/>
            </w:tcBorders>
            <w:shd w:val="clear" w:color="auto" w:fill="D6D6D6"/>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00" w:type="dxa"/>
            <w:vAlign w:val="bottom"/>
            <w:gridSpan w:val="2"/>
          </w:tcPr>
          <w:p>
            <w:pPr>
              <w:spacing w:after="0"/>
              <w:rPr>
                <w:sz w:val="20"/>
                <w:szCs w:val="20"/>
                <w:color w:val="auto"/>
              </w:rPr>
            </w:pPr>
            <w:r>
              <w:rPr>
                <w:rFonts w:ascii="Arial" w:cs="Arial" w:eastAsia="Arial" w:hAnsi="Arial"/>
                <w:sz w:val="20"/>
                <w:szCs w:val="20"/>
                <w:color w:val="auto"/>
                <w:w w:val="85"/>
              </w:rPr>
              <w:t>5.06.</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360" w:type="dxa"/>
            <w:vAlign w:val="bottom"/>
            <w:gridSpan w:val="4"/>
          </w:tcPr>
          <w:p>
            <w:pPr>
              <w:spacing w:after="0"/>
              <w:rPr>
                <w:sz w:val="20"/>
                <w:szCs w:val="20"/>
                <w:color w:val="auto"/>
              </w:rPr>
            </w:pPr>
            <w:r>
              <w:rPr>
                <w:rFonts w:ascii="Arial" w:cs="Arial" w:eastAsia="Arial" w:hAnsi="Arial"/>
                <w:sz w:val="20"/>
                <w:szCs w:val="20"/>
                <w:color w:val="auto"/>
              </w:rPr>
              <w:t>Litigation</w:t>
            </w:r>
          </w:p>
        </w:tc>
        <w:tc>
          <w:tcPr>
            <w:tcW w:w="340" w:type="dxa"/>
            <w:vAlign w:val="bottom"/>
          </w:tcPr>
          <w:p>
            <w:pPr>
              <w:jc w:val="right"/>
              <w:ind w:right="20"/>
              <w:spacing w:after="0"/>
              <w:rPr>
                <w:sz w:val="20"/>
                <w:szCs w:val="20"/>
                <w:color w:val="auto"/>
              </w:rPr>
            </w:pPr>
            <w:r>
              <w:rPr>
                <w:rFonts w:ascii="Arial" w:cs="Arial" w:eastAsia="Arial" w:hAnsi="Arial"/>
                <w:sz w:val="20"/>
                <w:szCs w:val="20"/>
                <w:color w:val="FF0000"/>
                <w:strike w:val="1"/>
                <w:w w:val="89"/>
              </w:rPr>
              <w:t>68</w:t>
            </w:r>
          </w:p>
        </w:tc>
        <w:tc>
          <w:tcPr>
            <w:tcW w:w="220" w:type="dxa"/>
            <w:vAlign w:val="bottom"/>
            <w:tcBorders>
              <w:bottom w:val="single" w:sz="8" w:color="D6D6D6"/>
              <w:right w:val="single" w:sz="8" w:color="D6D6D6"/>
            </w:tcBorders>
            <w:shd w:val="clear" w:color="auto" w:fill="D6D6D6"/>
          </w:tcPr>
          <w:p>
            <w:pPr>
              <w:spacing w:after="0"/>
              <w:rPr>
                <w:sz w:val="24"/>
                <w:szCs w:val="24"/>
                <w:color w:val="auto"/>
              </w:rPr>
            </w:pPr>
          </w:p>
        </w:tc>
        <w:tc>
          <w:tcPr>
            <w:tcW w:w="200" w:type="dxa"/>
            <w:vAlign w:val="bottom"/>
            <w:tcBorders>
              <w:bottom w:val="single" w:sz="8" w:color="0A0AE5"/>
              <w:right w:val="single" w:sz="8" w:color="D6D6D6"/>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67</w:t>
            </w:r>
          </w:p>
        </w:tc>
        <w:tc>
          <w:tcPr>
            <w:tcW w:w="80" w:type="dxa"/>
            <w:vAlign w:val="bottom"/>
            <w:tcBorders>
              <w:bottom w:val="single" w:sz="8" w:color="D6D6D6"/>
            </w:tcBorders>
            <w:shd w:val="clear" w:color="auto" w:fill="D6D6D6"/>
          </w:tcPr>
          <w:p>
            <w:pPr>
              <w:spacing w:after="0"/>
              <w:rPr>
                <w:sz w:val="24"/>
                <w:szCs w:val="24"/>
                <w:color w:val="auto"/>
              </w:rPr>
            </w:pPr>
          </w:p>
        </w:tc>
        <w:tc>
          <w:tcPr>
            <w:tcW w:w="20" w:type="dxa"/>
            <w:vAlign w:val="bottom"/>
            <w:tcBorders>
              <w:bottom w:val="single" w:sz="8" w:color="D6D6D6"/>
            </w:tcBorders>
            <w:shd w:val="clear" w:color="auto" w:fill="D6D6D6"/>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0" w:type="dxa"/>
            <w:vAlign w:val="bottom"/>
            <w:gridSpan w:val="2"/>
          </w:tcPr>
          <w:p>
            <w:pPr>
              <w:spacing w:after="0"/>
              <w:rPr>
                <w:sz w:val="20"/>
                <w:szCs w:val="20"/>
                <w:color w:val="auto"/>
              </w:rPr>
            </w:pPr>
            <w:r>
              <w:rPr>
                <w:rFonts w:ascii="Arial" w:cs="Arial" w:eastAsia="Arial" w:hAnsi="Arial"/>
                <w:sz w:val="20"/>
                <w:szCs w:val="20"/>
                <w:color w:val="auto"/>
                <w:w w:val="85"/>
              </w:rPr>
              <w:t>5.07.</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360" w:type="dxa"/>
            <w:vAlign w:val="bottom"/>
            <w:gridSpan w:val="4"/>
          </w:tcPr>
          <w:p>
            <w:pPr>
              <w:spacing w:after="0"/>
              <w:rPr>
                <w:sz w:val="20"/>
                <w:szCs w:val="20"/>
                <w:color w:val="auto"/>
              </w:rPr>
            </w:pPr>
            <w:r>
              <w:rPr>
                <w:rFonts w:ascii="Arial" w:cs="Arial" w:eastAsia="Arial" w:hAnsi="Arial"/>
                <w:sz w:val="20"/>
                <w:szCs w:val="20"/>
                <w:color w:val="auto"/>
              </w:rPr>
              <w:t>No Default</w:t>
            </w:r>
          </w:p>
        </w:tc>
        <w:tc>
          <w:tcPr>
            <w:tcW w:w="34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68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400" w:type="dxa"/>
            <w:vAlign w:val="bottom"/>
            <w:gridSpan w:val="2"/>
          </w:tcPr>
          <w:p>
            <w:pPr>
              <w:spacing w:after="0" w:line="228" w:lineRule="exact"/>
              <w:rPr>
                <w:sz w:val="20"/>
                <w:szCs w:val="20"/>
                <w:color w:val="auto"/>
              </w:rPr>
            </w:pPr>
            <w:r>
              <w:rPr>
                <w:rFonts w:ascii="Arial" w:cs="Arial" w:eastAsia="Arial" w:hAnsi="Arial"/>
                <w:sz w:val="20"/>
                <w:szCs w:val="20"/>
                <w:color w:val="auto"/>
                <w:w w:val="85"/>
              </w:rPr>
              <w:t>5.08.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360" w:type="dxa"/>
            <w:vAlign w:val="bottom"/>
            <w:gridSpan w:val="4"/>
          </w:tcPr>
          <w:p>
            <w:pPr>
              <w:spacing w:after="0" w:line="228" w:lineRule="exact"/>
              <w:rPr>
                <w:sz w:val="20"/>
                <w:szCs w:val="20"/>
                <w:color w:val="auto"/>
              </w:rPr>
            </w:pPr>
            <w:r>
              <w:rPr>
                <w:rFonts w:ascii="Arial" w:cs="Arial" w:eastAsia="Arial" w:hAnsi="Arial"/>
                <w:sz w:val="20"/>
                <w:szCs w:val="20"/>
                <w:color w:val="auto"/>
              </w:rPr>
              <w:t>Ownership of Property; Liens</w:t>
            </w:r>
          </w:p>
        </w:tc>
        <w:tc>
          <w:tcPr>
            <w:tcW w:w="340" w:type="dxa"/>
            <w:vAlign w:val="bottom"/>
          </w:tcPr>
          <w:p>
            <w:pPr>
              <w:jc w:val="right"/>
              <w:ind w:right="20"/>
              <w:spacing w:after="0" w:line="228" w:lineRule="exact"/>
              <w:rPr>
                <w:sz w:val="20"/>
                <w:szCs w:val="20"/>
                <w:color w:val="auto"/>
              </w:rPr>
            </w:pPr>
            <w:r>
              <w:rPr>
                <w:rFonts w:ascii="Arial" w:cs="Arial" w:eastAsia="Arial" w:hAnsi="Arial"/>
                <w:sz w:val="20"/>
                <w:szCs w:val="20"/>
                <w:color w:val="FF0000"/>
                <w:strike w:val="1"/>
                <w:w w:val="89"/>
              </w:rPr>
              <w:t>69</w:t>
            </w:r>
          </w:p>
        </w:tc>
        <w:tc>
          <w:tcPr>
            <w:tcW w:w="220" w:type="dxa"/>
            <w:vAlign w:val="bottom"/>
            <w:tcBorders>
              <w:bottom w:val="single" w:sz="8" w:color="D6D6D6"/>
              <w:right w:val="single" w:sz="8" w:color="D6D6D6"/>
            </w:tcBorders>
            <w:shd w:val="clear" w:color="auto" w:fill="D6D6D6"/>
          </w:tcPr>
          <w:p>
            <w:pPr>
              <w:spacing w:after="0"/>
              <w:rPr>
                <w:sz w:val="19"/>
                <w:szCs w:val="19"/>
                <w:color w:val="auto"/>
              </w:rPr>
            </w:pPr>
          </w:p>
        </w:tc>
        <w:tc>
          <w:tcPr>
            <w:tcW w:w="200" w:type="dxa"/>
            <w:vAlign w:val="bottom"/>
            <w:tcBorders>
              <w:bottom w:val="single" w:sz="8" w:color="0A0AE5"/>
              <w:right w:val="single" w:sz="8" w:color="D6D6D6"/>
            </w:tcBorders>
            <w:shd w:val="clear" w:color="auto" w:fill="D6D6D6"/>
          </w:tcPr>
          <w:p>
            <w:pPr>
              <w:jc w:val="right"/>
              <w:spacing w:after="0" w:line="228" w:lineRule="exact"/>
              <w:rPr>
                <w:sz w:val="20"/>
                <w:szCs w:val="20"/>
                <w:color w:val="auto"/>
              </w:rPr>
            </w:pPr>
            <w:r>
              <w:rPr>
                <w:rFonts w:ascii="Arial" w:cs="Arial" w:eastAsia="Arial" w:hAnsi="Arial"/>
                <w:sz w:val="20"/>
                <w:szCs w:val="20"/>
                <w:b w:val="1"/>
                <w:bCs w:val="1"/>
                <w:color w:val="0A0AE5"/>
                <w:w w:val="80"/>
              </w:rPr>
              <w:t>68</w:t>
            </w:r>
          </w:p>
        </w:tc>
        <w:tc>
          <w:tcPr>
            <w:tcW w:w="80" w:type="dxa"/>
            <w:vAlign w:val="bottom"/>
            <w:tcBorders>
              <w:bottom w:val="single" w:sz="8" w:color="D6D6D6"/>
            </w:tcBorders>
            <w:shd w:val="clear" w:color="auto" w:fill="D6D6D6"/>
          </w:tcPr>
          <w:p>
            <w:pPr>
              <w:spacing w:after="0"/>
              <w:rPr>
                <w:sz w:val="19"/>
                <w:szCs w:val="19"/>
                <w:color w:val="auto"/>
              </w:rPr>
            </w:pPr>
          </w:p>
        </w:tc>
        <w:tc>
          <w:tcPr>
            <w:tcW w:w="20" w:type="dxa"/>
            <w:vAlign w:val="bottom"/>
            <w:tcBorders>
              <w:bottom w:val="single" w:sz="8" w:color="D6D6D6"/>
            </w:tcBorders>
            <w:shd w:val="clear" w:color="auto" w:fill="D6D6D6"/>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00" w:type="dxa"/>
            <w:vAlign w:val="bottom"/>
            <w:gridSpan w:val="2"/>
          </w:tcPr>
          <w:p>
            <w:pPr>
              <w:spacing w:after="0"/>
              <w:rPr>
                <w:sz w:val="20"/>
                <w:szCs w:val="20"/>
                <w:color w:val="auto"/>
              </w:rPr>
            </w:pPr>
            <w:r>
              <w:rPr>
                <w:rFonts w:ascii="Arial" w:cs="Arial" w:eastAsia="Arial" w:hAnsi="Arial"/>
                <w:sz w:val="20"/>
                <w:szCs w:val="20"/>
                <w:color w:val="auto"/>
                <w:w w:val="85"/>
              </w:rPr>
              <w:t>5.09.</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360" w:type="dxa"/>
            <w:vAlign w:val="bottom"/>
            <w:gridSpan w:val="4"/>
          </w:tcPr>
          <w:p>
            <w:pPr>
              <w:spacing w:after="0"/>
              <w:rPr>
                <w:sz w:val="20"/>
                <w:szCs w:val="20"/>
                <w:color w:val="auto"/>
              </w:rPr>
            </w:pPr>
            <w:r>
              <w:rPr>
                <w:rFonts w:ascii="Arial" w:cs="Arial" w:eastAsia="Arial" w:hAnsi="Arial"/>
                <w:sz w:val="20"/>
                <w:szCs w:val="20"/>
                <w:color w:val="auto"/>
              </w:rPr>
              <w:t>Environmental Compliance</w:t>
            </w:r>
          </w:p>
        </w:tc>
        <w:tc>
          <w:tcPr>
            <w:tcW w:w="340" w:type="dxa"/>
            <w:vAlign w:val="bottom"/>
          </w:tcPr>
          <w:p>
            <w:pPr>
              <w:jc w:val="right"/>
              <w:ind w:right="20"/>
              <w:spacing w:after="0"/>
              <w:rPr>
                <w:sz w:val="20"/>
                <w:szCs w:val="20"/>
                <w:color w:val="auto"/>
              </w:rPr>
            </w:pPr>
            <w:r>
              <w:rPr>
                <w:rFonts w:ascii="Arial" w:cs="Arial" w:eastAsia="Arial" w:hAnsi="Arial"/>
                <w:sz w:val="20"/>
                <w:szCs w:val="20"/>
                <w:color w:val="FF0000"/>
                <w:strike w:val="1"/>
                <w:w w:val="89"/>
              </w:rPr>
              <w:t>69</w:t>
            </w:r>
          </w:p>
        </w:tc>
        <w:tc>
          <w:tcPr>
            <w:tcW w:w="220" w:type="dxa"/>
            <w:vAlign w:val="bottom"/>
            <w:tcBorders>
              <w:bottom w:val="single" w:sz="8" w:color="D6D6D6"/>
              <w:right w:val="single" w:sz="8" w:color="D6D6D6"/>
            </w:tcBorders>
            <w:shd w:val="clear" w:color="auto" w:fill="D6D6D6"/>
          </w:tcPr>
          <w:p>
            <w:pPr>
              <w:spacing w:after="0"/>
              <w:rPr>
                <w:sz w:val="22"/>
                <w:szCs w:val="22"/>
                <w:color w:val="auto"/>
              </w:rPr>
            </w:pPr>
          </w:p>
        </w:tc>
        <w:tc>
          <w:tcPr>
            <w:tcW w:w="200" w:type="dxa"/>
            <w:vAlign w:val="bottom"/>
            <w:tcBorders>
              <w:bottom w:val="single" w:sz="8" w:color="0A0AE5"/>
              <w:right w:val="single" w:sz="8" w:color="D6D6D6"/>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68</w:t>
            </w:r>
          </w:p>
        </w:tc>
        <w:tc>
          <w:tcPr>
            <w:tcW w:w="80" w:type="dxa"/>
            <w:vAlign w:val="bottom"/>
            <w:tcBorders>
              <w:bottom w:val="single" w:sz="8" w:color="D6D6D6"/>
            </w:tcBorders>
            <w:shd w:val="clear" w:color="auto" w:fill="D6D6D6"/>
          </w:tcPr>
          <w:p>
            <w:pPr>
              <w:spacing w:after="0"/>
              <w:rPr>
                <w:sz w:val="22"/>
                <w:szCs w:val="22"/>
                <w:color w:val="auto"/>
              </w:rPr>
            </w:pPr>
          </w:p>
        </w:tc>
        <w:tc>
          <w:tcPr>
            <w:tcW w:w="20" w:type="dxa"/>
            <w:vAlign w:val="bottom"/>
            <w:tcBorders>
              <w:bottom w:val="single" w:sz="8" w:color="D6D6D6"/>
            </w:tcBorders>
            <w:shd w:val="clear" w:color="auto" w:fill="D6D6D6"/>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0" w:type="dxa"/>
            <w:vAlign w:val="bottom"/>
            <w:gridSpan w:val="2"/>
          </w:tcPr>
          <w:p>
            <w:pPr>
              <w:spacing w:after="0"/>
              <w:rPr>
                <w:sz w:val="20"/>
                <w:szCs w:val="20"/>
                <w:color w:val="auto"/>
              </w:rPr>
            </w:pPr>
            <w:r>
              <w:rPr>
                <w:rFonts w:ascii="Arial" w:cs="Arial" w:eastAsia="Arial" w:hAnsi="Arial"/>
                <w:sz w:val="20"/>
                <w:szCs w:val="20"/>
                <w:color w:val="auto"/>
                <w:w w:val="85"/>
              </w:rPr>
              <w:t>5.10.</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360" w:type="dxa"/>
            <w:vAlign w:val="bottom"/>
            <w:gridSpan w:val="4"/>
          </w:tcPr>
          <w:p>
            <w:pPr>
              <w:spacing w:after="0"/>
              <w:rPr>
                <w:sz w:val="20"/>
                <w:szCs w:val="20"/>
                <w:color w:val="auto"/>
              </w:rPr>
            </w:pPr>
            <w:r>
              <w:rPr>
                <w:rFonts w:ascii="Arial" w:cs="Arial" w:eastAsia="Arial" w:hAnsi="Arial"/>
                <w:sz w:val="20"/>
                <w:szCs w:val="20"/>
                <w:color w:val="auto"/>
              </w:rPr>
              <w:t>Insurance</w:t>
            </w:r>
          </w:p>
        </w:tc>
        <w:tc>
          <w:tcPr>
            <w:tcW w:w="340" w:type="dxa"/>
            <w:vAlign w:val="bottom"/>
          </w:tcPr>
          <w:p>
            <w:pPr>
              <w:jc w:val="right"/>
              <w:ind w:right="20"/>
              <w:spacing w:after="0"/>
              <w:rPr>
                <w:sz w:val="20"/>
                <w:szCs w:val="20"/>
                <w:color w:val="auto"/>
              </w:rPr>
            </w:pPr>
            <w:r>
              <w:rPr>
                <w:rFonts w:ascii="Arial" w:cs="Arial" w:eastAsia="Arial" w:hAnsi="Arial"/>
                <w:sz w:val="20"/>
                <w:szCs w:val="20"/>
                <w:color w:val="FF0000"/>
                <w:strike w:val="1"/>
                <w:w w:val="89"/>
              </w:rPr>
              <w:t>70</w:t>
            </w:r>
          </w:p>
        </w:tc>
        <w:tc>
          <w:tcPr>
            <w:tcW w:w="220" w:type="dxa"/>
            <w:vAlign w:val="bottom"/>
            <w:tcBorders>
              <w:bottom w:val="single" w:sz="8" w:color="D6D6D6"/>
              <w:right w:val="single" w:sz="8" w:color="D6D6D6"/>
            </w:tcBorders>
            <w:shd w:val="clear" w:color="auto" w:fill="D6D6D6"/>
          </w:tcPr>
          <w:p>
            <w:pPr>
              <w:spacing w:after="0"/>
              <w:rPr>
                <w:sz w:val="22"/>
                <w:szCs w:val="22"/>
                <w:color w:val="auto"/>
              </w:rPr>
            </w:pPr>
          </w:p>
        </w:tc>
        <w:tc>
          <w:tcPr>
            <w:tcW w:w="200" w:type="dxa"/>
            <w:vAlign w:val="bottom"/>
            <w:tcBorders>
              <w:bottom w:val="single" w:sz="8" w:color="0A0AE5"/>
              <w:right w:val="single" w:sz="8" w:color="D6D6D6"/>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69</w:t>
            </w:r>
          </w:p>
        </w:tc>
        <w:tc>
          <w:tcPr>
            <w:tcW w:w="80" w:type="dxa"/>
            <w:vAlign w:val="bottom"/>
            <w:tcBorders>
              <w:bottom w:val="single" w:sz="8" w:color="D6D6D6"/>
            </w:tcBorders>
            <w:shd w:val="clear" w:color="auto" w:fill="D6D6D6"/>
          </w:tcPr>
          <w:p>
            <w:pPr>
              <w:spacing w:after="0"/>
              <w:rPr>
                <w:sz w:val="22"/>
                <w:szCs w:val="22"/>
                <w:color w:val="auto"/>
              </w:rPr>
            </w:pPr>
          </w:p>
        </w:tc>
        <w:tc>
          <w:tcPr>
            <w:tcW w:w="20" w:type="dxa"/>
            <w:vAlign w:val="bottom"/>
            <w:tcBorders>
              <w:bottom w:val="single" w:sz="8" w:color="D6D6D6"/>
            </w:tcBorders>
            <w:shd w:val="clear" w:color="auto" w:fill="D6D6D6"/>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0" w:type="dxa"/>
            <w:vAlign w:val="bottom"/>
            <w:gridSpan w:val="2"/>
          </w:tcPr>
          <w:p>
            <w:pPr>
              <w:spacing w:after="0"/>
              <w:rPr>
                <w:sz w:val="20"/>
                <w:szCs w:val="20"/>
                <w:color w:val="auto"/>
              </w:rPr>
            </w:pPr>
            <w:r>
              <w:rPr>
                <w:rFonts w:ascii="Arial" w:cs="Arial" w:eastAsia="Arial" w:hAnsi="Arial"/>
                <w:sz w:val="20"/>
                <w:szCs w:val="20"/>
                <w:color w:val="auto"/>
                <w:w w:val="85"/>
              </w:rPr>
              <w:t>5.11.</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360" w:type="dxa"/>
            <w:vAlign w:val="bottom"/>
            <w:gridSpan w:val="4"/>
          </w:tcPr>
          <w:p>
            <w:pPr>
              <w:spacing w:after="0"/>
              <w:rPr>
                <w:sz w:val="20"/>
                <w:szCs w:val="20"/>
                <w:color w:val="auto"/>
              </w:rPr>
            </w:pPr>
            <w:r>
              <w:rPr>
                <w:rFonts w:ascii="Arial" w:cs="Arial" w:eastAsia="Arial" w:hAnsi="Arial"/>
                <w:sz w:val="20"/>
                <w:szCs w:val="20"/>
                <w:color w:val="auto"/>
              </w:rPr>
              <w:t>Taxes</w:t>
            </w:r>
          </w:p>
        </w:tc>
        <w:tc>
          <w:tcPr>
            <w:tcW w:w="340" w:type="dxa"/>
            <w:vAlign w:val="bottom"/>
          </w:tcPr>
          <w:p>
            <w:pPr>
              <w:jc w:val="right"/>
              <w:ind w:right="20"/>
              <w:spacing w:after="0"/>
              <w:rPr>
                <w:sz w:val="20"/>
                <w:szCs w:val="20"/>
                <w:color w:val="auto"/>
              </w:rPr>
            </w:pPr>
            <w:r>
              <w:rPr>
                <w:rFonts w:ascii="Arial" w:cs="Arial" w:eastAsia="Arial" w:hAnsi="Arial"/>
                <w:sz w:val="20"/>
                <w:szCs w:val="20"/>
                <w:color w:val="FF0000"/>
                <w:strike w:val="1"/>
                <w:w w:val="89"/>
              </w:rPr>
              <w:t>70</w:t>
            </w:r>
          </w:p>
        </w:tc>
        <w:tc>
          <w:tcPr>
            <w:tcW w:w="220" w:type="dxa"/>
            <w:vAlign w:val="bottom"/>
            <w:tcBorders>
              <w:bottom w:val="single" w:sz="8" w:color="D6D6D6"/>
              <w:right w:val="single" w:sz="8" w:color="D6D6D6"/>
            </w:tcBorders>
            <w:shd w:val="clear" w:color="auto" w:fill="D6D6D6"/>
          </w:tcPr>
          <w:p>
            <w:pPr>
              <w:spacing w:after="0"/>
              <w:rPr>
                <w:sz w:val="22"/>
                <w:szCs w:val="22"/>
                <w:color w:val="auto"/>
              </w:rPr>
            </w:pPr>
          </w:p>
        </w:tc>
        <w:tc>
          <w:tcPr>
            <w:tcW w:w="200" w:type="dxa"/>
            <w:vAlign w:val="bottom"/>
            <w:tcBorders>
              <w:bottom w:val="single" w:sz="8" w:color="0A0AE5"/>
              <w:right w:val="single" w:sz="8" w:color="D6D6D6"/>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69</w:t>
            </w:r>
          </w:p>
        </w:tc>
        <w:tc>
          <w:tcPr>
            <w:tcW w:w="80" w:type="dxa"/>
            <w:vAlign w:val="bottom"/>
            <w:tcBorders>
              <w:bottom w:val="single" w:sz="8" w:color="D6D6D6"/>
            </w:tcBorders>
            <w:shd w:val="clear" w:color="auto" w:fill="D6D6D6"/>
          </w:tcPr>
          <w:p>
            <w:pPr>
              <w:spacing w:after="0"/>
              <w:rPr>
                <w:sz w:val="22"/>
                <w:szCs w:val="22"/>
                <w:color w:val="auto"/>
              </w:rPr>
            </w:pPr>
          </w:p>
        </w:tc>
        <w:tc>
          <w:tcPr>
            <w:tcW w:w="20" w:type="dxa"/>
            <w:vAlign w:val="bottom"/>
            <w:tcBorders>
              <w:bottom w:val="single" w:sz="8" w:color="D6D6D6"/>
            </w:tcBorders>
            <w:shd w:val="clear" w:color="auto" w:fill="D6D6D6"/>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0" w:type="dxa"/>
            <w:vAlign w:val="bottom"/>
            <w:gridSpan w:val="2"/>
          </w:tcPr>
          <w:p>
            <w:pPr>
              <w:spacing w:after="0"/>
              <w:rPr>
                <w:sz w:val="20"/>
                <w:szCs w:val="20"/>
                <w:color w:val="auto"/>
              </w:rPr>
            </w:pPr>
            <w:r>
              <w:rPr>
                <w:rFonts w:ascii="Arial" w:cs="Arial" w:eastAsia="Arial" w:hAnsi="Arial"/>
                <w:sz w:val="20"/>
                <w:szCs w:val="20"/>
                <w:color w:val="auto"/>
                <w:w w:val="85"/>
              </w:rPr>
              <w:t>5.12.</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360" w:type="dxa"/>
            <w:vAlign w:val="bottom"/>
            <w:gridSpan w:val="4"/>
          </w:tcPr>
          <w:p>
            <w:pPr>
              <w:spacing w:after="0"/>
              <w:rPr>
                <w:sz w:val="20"/>
                <w:szCs w:val="20"/>
                <w:color w:val="auto"/>
              </w:rPr>
            </w:pPr>
            <w:r>
              <w:rPr>
                <w:rFonts w:ascii="Arial" w:cs="Arial" w:eastAsia="Arial" w:hAnsi="Arial"/>
                <w:sz w:val="20"/>
                <w:szCs w:val="20"/>
                <w:color w:val="auto"/>
              </w:rPr>
              <w:t>ERISA Compliance</w:t>
            </w:r>
          </w:p>
        </w:tc>
        <w:tc>
          <w:tcPr>
            <w:tcW w:w="340" w:type="dxa"/>
            <w:vAlign w:val="bottom"/>
          </w:tcPr>
          <w:p>
            <w:pPr>
              <w:jc w:val="right"/>
              <w:ind w:right="20"/>
              <w:spacing w:after="0"/>
              <w:rPr>
                <w:sz w:val="20"/>
                <w:szCs w:val="20"/>
                <w:color w:val="auto"/>
              </w:rPr>
            </w:pPr>
            <w:r>
              <w:rPr>
                <w:rFonts w:ascii="Arial" w:cs="Arial" w:eastAsia="Arial" w:hAnsi="Arial"/>
                <w:sz w:val="20"/>
                <w:szCs w:val="20"/>
                <w:color w:val="FF0000"/>
                <w:strike w:val="1"/>
                <w:w w:val="89"/>
              </w:rPr>
              <w:t>70</w:t>
            </w:r>
          </w:p>
        </w:tc>
        <w:tc>
          <w:tcPr>
            <w:tcW w:w="220" w:type="dxa"/>
            <w:vAlign w:val="bottom"/>
            <w:tcBorders>
              <w:bottom w:val="single" w:sz="8" w:color="D6D6D6"/>
              <w:right w:val="single" w:sz="8" w:color="D6D6D6"/>
            </w:tcBorders>
            <w:shd w:val="clear" w:color="auto" w:fill="D6D6D6"/>
          </w:tcPr>
          <w:p>
            <w:pPr>
              <w:spacing w:after="0"/>
              <w:rPr>
                <w:sz w:val="22"/>
                <w:szCs w:val="22"/>
                <w:color w:val="auto"/>
              </w:rPr>
            </w:pPr>
          </w:p>
        </w:tc>
        <w:tc>
          <w:tcPr>
            <w:tcW w:w="200" w:type="dxa"/>
            <w:vAlign w:val="bottom"/>
            <w:tcBorders>
              <w:bottom w:val="single" w:sz="8" w:color="0A0AE5"/>
              <w:right w:val="single" w:sz="8" w:color="D6D6D6"/>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69</w:t>
            </w:r>
          </w:p>
        </w:tc>
        <w:tc>
          <w:tcPr>
            <w:tcW w:w="80" w:type="dxa"/>
            <w:vAlign w:val="bottom"/>
            <w:tcBorders>
              <w:bottom w:val="single" w:sz="8" w:color="D6D6D6"/>
            </w:tcBorders>
            <w:shd w:val="clear" w:color="auto" w:fill="D6D6D6"/>
          </w:tcPr>
          <w:p>
            <w:pPr>
              <w:spacing w:after="0"/>
              <w:rPr>
                <w:sz w:val="22"/>
                <w:szCs w:val="22"/>
                <w:color w:val="auto"/>
              </w:rPr>
            </w:pPr>
          </w:p>
        </w:tc>
        <w:tc>
          <w:tcPr>
            <w:tcW w:w="20" w:type="dxa"/>
            <w:vAlign w:val="bottom"/>
            <w:tcBorders>
              <w:bottom w:val="single" w:sz="8" w:color="D6D6D6"/>
            </w:tcBorders>
            <w:shd w:val="clear" w:color="auto" w:fill="D6D6D6"/>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0" w:type="dxa"/>
            <w:vAlign w:val="bottom"/>
            <w:gridSpan w:val="2"/>
          </w:tcPr>
          <w:p>
            <w:pPr>
              <w:spacing w:after="0"/>
              <w:rPr>
                <w:sz w:val="20"/>
                <w:szCs w:val="20"/>
                <w:color w:val="auto"/>
              </w:rPr>
            </w:pPr>
            <w:r>
              <w:rPr>
                <w:rFonts w:ascii="Arial" w:cs="Arial" w:eastAsia="Arial" w:hAnsi="Arial"/>
                <w:sz w:val="20"/>
                <w:szCs w:val="20"/>
                <w:color w:val="auto"/>
                <w:w w:val="85"/>
              </w:rPr>
              <w:t>5.13.</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360" w:type="dxa"/>
            <w:vAlign w:val="bottom"/>
            <w:gridSpan w:val="4"/>
          </w:tcPr>
          <w:p>
            <w:pPr>
              <w:spacing w:after="0"/>
              <w:rPr>
                <w:sz w:val="20"/>
                <w:szCs w:val="20"/>
                <w:color w:val="auto"/>
              </w:rPr>
            </w:pPr>
            <w:r>
              <w:rPr>
                <w:rFonts w:ascii="Arial" w:cs="Arial" w:eastAsia="Arial" w:hAnsi="Arial"/>
                <w:sz w:val="20"/>
                <w:szCs w:val="20"/>
                <w:color w:val="auto"/>
              </w:rPr>
              <w:t>Subsidiaries; Equity Interests; Loan Parties</w:t>
            </w:r>
          </w:p>
        </w:tc>
        <w:tc>
          <w:tcPr>
            <w:tcW w:w="340" w:type="dxa"/>
            <w:vAlign w:val="bottom"/>
          </w:tcPr>
          <w:p>
            <w:pPr>
              <w:jc w:val="right"/>
              <w:ind w:right="20"/>
              <w:spacing w:after="0"/>
              <w:rPr>
                <w:sz w:val="20"/>
                <w:szCs w:val="20"/>
                <w:color w:val="auto"/>
              </w:rPr>
            </w:pPr>
            <w:r>
              <w:rPr>
                <w:rFonts w:ascii="Arial" w:cs="Arial" w:eastAsia="Arial" w:hAnsi="Arial"/>
                <w:sz w:val="20"/>
                <w:szCs w:val="20"/>
                <w:color w:val="FF0000"/>
                <w:strike w:val="1"/>
                <w:w w:val="89"/>
              </w:rPr>
              <w:t>71</w:t>
            </w:r>
          </w:p>
        </w:tc>
        <w:tc>
          <w:tcPr>
            <w:tcW w:w="220" w:type="dxa"/>
            <w:vAlign w:val="bottom"/>
            <w:tcBorders>
              <w:bottom w:val="single" w:sz="8" w:color="D6D6D6"/>
              <w:right w:val="single" w:sz="8" w:color="D6D6D6"/>
            </w:tcBorders>
            <w:shd w:val="clear" w:color="auto" w:fill="D6D6D6"/>
          </w:tcPr>
          <w:p>
            <w:pPr>
              <w:spacing w:after="0"/>
              <w:rPr>
                <w:sz w:val="22"/>
                <w:szCs w:val="22"/>
                <w:color w:val="auto"/>
              </w:rPr>
            </w:pPr>
          </w:p>
        </w:tc>
        <w:tc>
          <w:tcPr>
            <w:tcW w:w="200" w:type="dxa"/>
            <w:vAlign w:val="bottom"/>
            <w:tcBorders>
              <w:bottom w:val="single" w:sz="8" w:color="0A0AE5"/>
              <w:right w:val="single" w:sz="8" w:color="D6D6D6"/>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70</w:t>
            </w:r>
          </w:p>
        </w:tc>
        <w:tc>
          <w:tcPr>
            <w:tcW w:w="80" w:type="dxa"/>
            <w:vAlign w:val="bottom"/>
            <w:tcBorders>
              <w:bottom w:val="single" w:sz="8" w:color="D6D6D6"/>
            </w:tcBorders>
            <w:shd w:val="clear" w:color="auto" w:fill="D6D6D6"/>
          </w:tcPr>
          <w:p>
            <w:pPr>
              <w:spacing w:after="0"/>
              <w:rPr>
                <w:sz w:val="22"/>
                <w:szCs w:val="22"/>
                <w:color w:val="auto"/>
              </w:rPr>
            </w:pPr>
          </w:p>
        </w:tc>
        <w:tc>
          <w:tcPr>
            <w:tcW w:w="20" w:type="dxa"/>
            <w:vAlign w:val="bottom"/>
            <w:tcBorders>
              <w:bottom w:val="single" w:sz="8" w:color="D6D6D6"/>
            </w:tcBorders>
            <w:shd w:val="clear" w:color="auto" w:fill="D6D6D6"/>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0" w:type="dxa"/>
            <w:vAlign w:val="bottom"/>
            <w:gridSpan w:val="2"/>
          </w:tcPr>
          <w:p>
            <w:pPr>
              <w:spacing w:after="0"/>
              <w:rPr>
                <w:sz w:val="20"/>
                <w:szCs w:val="20"/>
                <w:color w:val="auto"/>
              </w:rPr>
            </w:pPr>
            <w:r>
              <w:rPr>
                <w:rFonts w:ascii="Arial" w:cs="Arial" w:eastAsia="Arial" w:hAnsi="Arial"/>
                <w:sz w:val="20"/>
                <w:szCs w:val="20"/>
                <w:color w:val="auto"/>
                <w:w w:val="85"/>
              </w:rPr>
              <w:t>5.14.</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360" w:type="dxa"/>
            <w:vAlign w:val="bottom"/>
            <w:gridSpan w:val="4"/>
          </w:tcPr>
          <w:p>
            <w:pPr>
              <w:spacing w:after="0"/>
              <w:rPr>
                <w:sz w:val="20"/>
                <w:szCs w:val="20"/>
                <w:color w:val="auto"/>
              </w:rPr>
            </w:pPr>
            <w:r>
              <w:rPr>
                <w:rFonts w:ascii="Arial" w:cs="Arial" w:eastAsia="Arial" w:hAnsi="Arial"/>
                <w:sz w:val="20"/>
                <w:szCs w:val="20"/>
                <w:color w:val="auto"/>
              </w:rPr>
              <w:t>Margin Regulations; Investment Company Act</w:t>
            </w:r>
          </w:p>
        </w:tc>
        <w:tc>
          <w:tcPr>
            <w:tcW w:w="340" w:type="dxa"/>
            <w:vAlign w:val="bottom"/>
          </w:tcPr>
          <w:p>
            <w:pPr>
              <w:jc w:val="right"/>
              <w:ind w:right="20"/>
              <w:spacing w:after="0"/>
              <w:rPr>
                <w:sz w:val="20"/>
                <w:szCs w:val="20"/>
                <w:color w:val="auto"/>
              </w:rPr>
            </w:pPr>
            <w:r>
              <w:rPr>
                <w:rFonts w:ascii="Arial" w:cs="Arial" w:eastAsia="Arial" w:hAnsi="Arial"/>
                <w:sz w:val="20"/>
                <w:szCs w:val="20"/>
                <w:color w:val="FF0000"/>
                <w:strike w:val="1"/>
                <w:w w:val="89"/>
              </w:rPr>
              <w:t>72</w:t>
            </w:r>
          </w:p>
        </w:tc>
        <w:tc>
          <w:tcPr>
            <w:tcW w:w="220" w:type="dxa"/>
            <w:vAlign w:val="bottom"/>
            <w:tcBorders>
              <w:bottom w:val="single" w:sz="8" w:color="D6D6D6"/>
              <w:right w:val="single" w:sz="8" w:color="D6D6D6"/>
            </w:tcBorders>
            <w:shd w:val="clear" w:color="auto" w:fill="D6D6D6"/>
          </w:tcPr>
          <w:p>
            <w:pPr>
              <w:spacing w:after="0"/>
              <w:rPr>
                <w:sz w:val="22"/>
                <w:szCs w:val="22"/>
                <w:color w:val="auto"/>
              </w:rPr>
            </w:pPr>
          </w:p>
        </w:tc>
        <w:tc>
          <w:tcPr>
            <w:tcW w:w="200" w:type="dxa"/>
            <w:vAlign w:val="bottom"/>
            <w:tcBorders>
              <w:bottom w:val="single" w:sz="8" w:color="0A0AE5"/>
              <w:right w:val="single" w:sz="8" w:color="D6D6D6"/>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71</w:t>
            </w:r>
          </w:p>
        </w:tc>
        <w:tc>
          <w:tcPr>
            <w:tcW w:w="80" w:type="dxa"/>
            <w:vAlign w:val="bottom"/>
            <w:tcBorders>
              <w:bottom w:val="single" w:sz="8" w:color="D6D6D6"/>
            </w:tcBorders>
            <w:shd w:val="clear" w:color="auto" w:fill="D6D6D6"/>
          </w:tcPr>
          <w:p>
            <w:pPr>
              <w:spacing w:after="0"/>
              <w:rPr>
                <w:sz w:val="22"/>
                <w:szCs w:val="22"/>
                <w:color w:val="auto"/>
              </w:rPr>
            </w:pPr>
          </w:p>
        </w:tc>
        <w:tc>
          <w:tcPr>
            <w:tcW w:w="20" w:type="dxa"/>
            <w:vAlign w:val="bottom"/>
            <w:tcBorders>
              <w:bottom w:val="single" w:sz="8" w:color="D6D6D6"/>
            </w:tcBorders>
            <w:shd w:val="clear" w:color="auto" w:fill="D6D6D6"/>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0" w:type="dxa"/>
            <w:vAlign w:val="bottom"/>
            <w:gridSpan w:val="2"/>
          </w:tcPr>
          <w:p>
            <w:pPr>
              <w:spacing w:after="0"/>
              <w:rPr>
                <w:sz w:val="20"/>
                <w:szCs w:val="20"/>
                <w:color w:val="auto"/>
              </w:rPr>
            </w:pPr>
            <w:r>
              <w:rPr>
                <w:rFonts w:ascii="Arial" w:cs="Arial" w:eastAsia="Arial" w:hAnsi="Arial"/>
                <w:sz w:val="20"/>
                <w:szCs w:val="20"/>
                <w:color w:val="auto"/>
                <w:w w:val="85"/>
              </w:rPr>
              <w:t>5.15.</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360" w:type="dxa"/>
            <w:vAlign w:val="bottom"/>
            <w:gridSpan w:val="4"/>
          </w:tcPr>
          <w:p>
            <w:pPr>
              <w:spacing w:after="0"/>
              <w:rPr>
                <w:sz w:val="20"/>
                <w:szCs w:val="20"/>
                <w:color w:val="auto"/>
              </w:rPr>
            </w:pPr>
            <w:r>
              <w:rPr>
                <w:rFonts w:ascii="Arial" w:cs="Arial" w:eastAsia="Arial" w:hAnsi="Arial"/>
                <w:sz w:val="20"/>
                <w:szCs w:val="20"/>
                <w:color w:val="auto"/>
              </w:rPr>
              <w:t>Disclosure</w:t>
            </w:r>
          </w:p>
        </w:tc>
        <w:tc>
          <w:tcPr>
            <w:tcW w:w="340" w:type="dxa"/>
            <w:vAlign w:val="bottom"/>
          </w:tcPr>
          <w:p>
            <w:pPr>
              <w:jc w:val="right"/>
              <w:ind w:right="20"/>
              <w:spacing w:after="0"/>
              <w:rPr>
                <w:sz w:val="20"/>
                <w:szCs w:val="20"/>
                <w:color w:val="auto"/>
              </w:rPr>
            </w:pPr>
            <w:r>
              <w:rPr>
                <w:rFonts w:ascii="Arial" w:cs="Arial" w:eastAsia="Arial" w:hAnsi="Arial"/>
                <w:sz w:val="20"/>
                <w:szCs w:val="20"/>
                <w:color w:val="FF0000"/>
                <w:strike w:val="1"/>
                <w:w w:val="89"/>
              </w:rPr>
              <w:t>72</w:t>
            </w:r>
          </w:p>
        </w:tc>
        <w:tc>
          <w:tcPr>
            <w:tcW w:w="220" w:type="dxa"/>
            <w:vAlign w:val="bottom"/>
            <w:tcBorders>
              <w:bottom w:val="single" w:sz="8" w:color="D6D6D6"/>
              <w:right w:val="single" w:sz="8" w:color="D6D6D6"/>
            </w:tcBorders>
            <w:shd w:val="clear" w:color="auto" w:fill="D6D6D6"/>
          </w:tcPr>
          <w:p>
            <w:pPr>
              <w:spacing w:after="0"/>
              <w:rPr>
                <w:sz w:val="22"/>
                <w:szCs w:val="22"/>
                <w:color w:val="auto"/>
              </w:rPr>
            </w:pPr>
          </w:p>
        </w:tc>
        <w:tc>
          <w:tcPr>
            <w:tcW w:w="200" w:type="dxa"/>
            <w:vAlign w:val="bottom"/>
            <w:tcBorders>
              <w:bottom w:val="single" w:sz="8" w:color="0A0AE5"/>
              <w:right w:val="single" w:sz="8" w:color="D6D6D6"/>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71</w:t>
            </w:r>
          </w:p>
        </w:tc>
        <w:tc>
          <w:tcPr>
            <w:tcW w:w="80" w:type="dxa"/>
            <w:vAlign w:val="bottom"/>
            <w:tcBorders>
              <w:bottom w:val="single" w:sz="8" w:color="D6D6D6"/>
            </w:tcBorders>
            <w:shd w:val="clear" w:color="auto" w:fill="D6D6D6"/>
          </w:tcPr>
          <w:p>
            <w:pPr>
              <w:spacing w:after="0"/>
              <w:rPr>
                <w:sz w:val="22"/>
                <w:szCs w:val="22"/>
                <w:color w:val="auto"/>
              </w:rPr>
            </w:pPr>
          </w:p>
        </w:tc>
        <w:tc>
          <w:tcPr>
            <w:tcW w:w="20" w:type="dxa"/>
            <w:vAlign w:val="bottom"/>
            <w:tcBorders>
              <w:bottom w:val="single" w:sz="8" w:color="D6D6D6"/>
            </w:tcBorders>
            <w:shd w:val="clear" w:color="auto" w:fill="D6D6D6"/>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0" w:type="dxa"/>
            <w:vAlign w:val="bottom"/>
            <w:gridSpan w:val="2"/>
          </w:tcPr>
          <w:p>
            <w:pPr>
              <w:spacing w:after="0"/>
              <w:rPr>
                <w:sz w:val="20"/>
                <w:szCs w:val="20"/>
                <w:color w:val="auto"/>
              </w:rPr>
            </w:pPr>
            <w:r>
              <w:rPr>
                <w:rFonts w:ascii="Arial" w:cs="Arial" w:eastAsia="Arial" w:hAnsi="Arial"/>
                <w:sz w:val="20"/>
                <w:szCs w:val="20"/>
                <w:color w:val="auto"/>
                <w:w w:val="85"/>
              </w:rPr>
              <w:t>5.16.</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360" w:type="dxa"/>
            <w:vAlign w:val="bottom"/>
            <w:gridSpan w:val="4"/>
          </w:tcPr>
          <w:p>
            <w:pPr>
              <w:spacing w:after="0"/>
              <w:rPr>
                <w:sz w:val="20"/>
                <w:szCs w:val="20"/>
                <w:color w:val="auto"/>
              </w:rPr>
            </w:pPr>
            <w:r>
              <w:rPr>
                <w:rFonts w:ascii="Arial" w:cs="Arial" w:eastAsia="Arial" w:hAnsi="Arial"/>
                <w:sz w:val="20"/>
                <w:szCs w:val="20"/>
                <w:color w:val="auto"/>
              </w:rPr>
              <w:t>Compliance with Laws</w:t>
            </w:r>
          </w:p>
        </w:tc>
        <w:tc>
          <w:tcPr>
            <w:tcW w:w="340" w:type="dxa"/>
            <w:vAlign w:val="bottom"/>
          </w:tcPr>
          <w:p>
            <w:pPr>
              <w:jc w:val="right"/>
              <w:ind w:right="20"/>
              <w:spacing w:after="0"/>
              <w:rPr>
                <w:sz w:val="20"/>
                <w:szCs w:val="20"/>
                <w:color w:val="auto"/>
              </w:rPr>
            </w:pPr>
            <w:r>
              <w:rPr>
                <w:rFonts w:ascii="Arial" w:cs="Arial" w:eastAsia="Arial" w:hAnsi="Arial"/>
                <w:sz w:val="20"/>
                <w:szCs w:val="20"/>
                <w:color w:val="FF0000"/>
                <w:strike w:val="1"/>
                <w:w w:val="89"/>
              </w:rPr>
              <w:t>72</w:t>
            </w:r>
          </w:p>
        </w:tc>
        <w:tc>
          <w:tcPr>
            <w:tcW w:w="220" w:type="dxa"/>
            <w:vAlign w:val="bottom"/>
            <w:tcBorders>
              <w:bottom w:val="single" w:sz="8" w:color="D6D6D6"/>
              <w:right w:val="single" w:sz="8" w:color="D6D6D6"/>
            </w:tcBorders>
            <w:shd w:val="clear" w:color="auto" w:fill="D6D6D6"/>
          </w:tcPr>
          <w:p>
            <w:pPr>
              <w:spacing w:after="0"/>
              <w:rPr>
                <w:sz w:val="22"/>
                <w:szCs w:val="22"/>
                <w:color w:val="auto"/>
              </w:rPr>
            </w:pPr>
          </w:p>
        </w:tc>
        <w:tc>
          <w:tcPr>
            <w:tcW w:w="200" w:type="dxa"/>
            <w:vAlign w:val="bottom"/>
            <w:tcBorders>
              <w:bottom w:val="single" w:sz="8" w:color="0A0AE5"/>
              <w:right w:val="single" w:sz="8" w:color="D6D6D6"/>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71</w:t>
            </w:r>
          </w:p>
        </w:tc>
        <w:tc>
          <w:tcPr>
            <w:tcW w:w="80" w:type="dxa"/>
            <w:vAlign w:val="bottom"/>
            <w:tcBorders>
              <w:bottom w:val="single" w:sz="8" w:color="D6D6D6"/>
            </w:tcBorders>
            <w:shd w:val="clear" w:color="auto" w:fill="D6D6D6"/>
          </w:tcPr>
          <w:p>
            <w:pPr>
              <w:spacing w:after="0"/>
              <w:rPr>
                <w:sz w:val="22"/>
                <w:szCs w:val="22"/>
                <w:color w:val="auto"/>
              </w:rPr>
            </w:pPr>
          </w:p>
        </w:tc>
        <w:tc>
          <w:tcPr>
            <w:tcW w:w="20" w:type="dxa"/>
            <w:vAlign w:val="bottom"/>
            <w:tcBorders>
              <w:bottom w:val="single" w:sz="8" w:color="D6D6D6"/>
            </w:tcBorders>
            <w:shd w:val="clear" w:color="auto" w:fill="D6D6D6"/>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0" w:type="dxa"/>
            <w:vAlign w:val="bottom"/>
            <w:gridSpan w:val="2"/>
          </w:tcPr>
          <w:p>
            <w:pPr>
              <w:spacing w:after="0"/>
              <w:rPr>
                <w:sz w:val="20"/>
                <w:szCs w:val="20"/>
                <w:color w:val="auto"/>
              </w:rPr>
            </w:pPr>
            <w:r>
              <w:rPr>
                <w:rFonts w:ascii="Arial" w:cs="Arial" w:eastAsia="Arial" w:hAnsi="Arial"/>
                <w:sz w:val="20"/>
                <w:szCs w:val="20"/>
                <w:color w:val="auto"/>
                <w:w w:val="85"/>
              </w:rPr>
              <w:t>5.17.</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360" w:type="dxa"/>
            <w:vAlign w:val="bottom"/>
            <w:gridSpan w:val="4"/>
          </w:tcPr>
          <w:p>
            <w:pPr>
              <w:spacing w:after="0"/>
              <w:rPr>
                <w:sz w:val="20"/>
                <w:szCs w:val="20"/>
                <w:color w:val="auto"/>
              </w:rPr>
            </w:pPr>
            <w:r>
              <w:rPr>
                <w:rFonts w:ascii="Arial" w:cs="Arial" w:eastAsia="Arial" w:hAnsi="Arial"/>
                <w:sz w:val="20"/>
                <w:szCs w:val="20"/>
                <w:color w:val="auto"/>
              </w:rPr>
              <w:t>Intentionally Omitted</w:t>
            </w:r>
          </w:p>
        </w:tc>
        <w:tc>
          <w:tcPr>
            <w:tcW w:w="340" w:type="dxa"/>
            <w:vAlign w:val="bottom"/>
          </w:tcPr>
          <w:p>
            <w:pPr>
              <w:jc w:val="right"/>
              <w:ind w:right="20"/>
              <w:spacing w:after="0"/>
              <w:rPr>
                <w:sz w:val="20"/>
                <w:szCs w:val="20"/>
                <w:color w:val="auto"/>
              </w:rPr>
            </w:pPr>
            <w:r>
              <w:rPr>
                <w:rFonts w:ascii="Arial" w:cs="Arial" w:eastAsia="Arial" w:hAnsi="Arial"/>
                <w:sz w:val="20"/>
                <w:szCs w:val="20"/>
                <w:color w:val="FF0000"/>
                <w:strike w:val="1"/>
                <w:w w:val="89"/>
              </w:rPr>
              <w:t>72</w:t>
            </w:r>
          </w:p>
        </w:tc>
        <w:tc>
          <w:tcPr>
            <w:tcW w:w="220" w:type="dxa"/>
            <w:vAlign w:val="bottom"/>
            <w:tcBorders>
              <w:bottom w:val="single" w:sz="8" w:color="D6D6D6"/>
              <w:right w:val="single" w:sz="8" w:color="D6D6D6"/>
            </w:tcBorders>
            <w:shd w:val="clear" w:color="auto" w:fill="D6D6D6"/>
          </w:tcPr>
          <w:p>
            <w:pPr>
              <w:spacing w:after="0"/>
              <w:rPr>
                <w:sz w:val="22"/>
                <w:szCs w:val="22"/>
                <w:color w:val="auto"/>
              </w:rPr>
            </w:pPr>
          </w:p>
        </w:tc>
        <w:tc>
          <w:tcPr>
            <w:tcW w:w="200" w:type="dxa"/>
            <w:vAlign w:val="bottom"/>
            <w:tcBorders>
              <w:bottom w:val="single" w:sz="8" w:color="0A0AE5"/>
              <w:right w:val="single" w:sz="8" w:color="D6D6D6"/>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71</w:t>
            </w:r>
          </w:p>
        </w:tc>
        <w:tc>
          <w:tcPr>
            <w:tcW w:w="80" w:type="dxa"/>
            <w:vAlign w:val="bottom"/>
            <w:tcBorders>
              <w:bottom w:val="single" w:sz="8" w:color="D6D6D6"/>
            </w:tcBorders>
            <w:shd w:val="clear" w:color="auto" w:fill="D6D6D6"/>
          </w:tcPr>
          <w:p>
            <w:pPr>
              <w:spacing w:after="0"/>
              <w:rPr>
                <w:sz w:val="22"/>
                <w:szCs w:val="22"/>
                <w:color w:val="auto"/>
              </w:rPr>
            </w:pPr>
          </w:p>
        </w:tc>
        <w:tc>
          <w:tcPr>
            <w:tcW w:w="20" w:type="dxa"/>
            <w:vAlign w:val="bottom"/>
            <w:tcBorders>
              <w:bottom w:val="single" w:sz="8" w:color="D6D6D6"/>
            </w:tcBorders>
            <w:shd w:val="clear" w:color="auto" w:fill="D6D6D6"/>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0" w:type="dxa"/>
            <w:vAlign w:val="bottom"/>
            <w:gridSpan w:val="2"/>
          </w:tcPr>
          <w:p>
            <w:pPr>
              <w:spacing w:after="0"/>
              <w:rPr>
                <w:sz w:val="20"/>
                <w:szCs w:val="20"/>
                <w:color w:val="auto"/>
              </w:rPr>
            </w:pPr>
            <w:r>
              <w:rPr>
                <w:rFonts w:ascii="Arial" w:cs="Arial" w:eastAsia="Arial" w:hAnsi="Arial"/>
                <w:sz w:val="20"/>
                <w:szCs w:val="20"/>
                <w:color w:val="auto"/>
                <w:w w:val="85"/>
              </w:rPr>
              <w:t>5.18.</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360" w:type="dxa"/>
            <w:vAlign w:val="bottom"/>
            <w:gridSpan w:val="4"/>
          </w:tcPr>
          <w:p>
            <w:pPr>
              <w:spacing w:after="0"/>
              <w:rPr>
                <w:sz w:val="20"/>
                <w:szCs w:val="20"/>
                <w:color w:val="auto"/>
              </w:rPr>
            </w:pPr>
            <w:r>
              <w:rPr>
                <w:rFonts w:ascii="Arial" w:cs="Arial" w:eastAsia="Arial" w:hAnsi="Arial"/>
                <w:sz w:val="20"/>
                <w:szCs w:val="20"/>
                <w:color w:val="auto"/>
              </w:rPr>
              <w:t>Intellectual Property; Licenses, Etc</w:t>
            </w:r>
          </w:p>
        </w:tc>
        <w:tc>
          <w:tcPr>
            <w:tcW w:w="340" w:type="dxa"/>
            <w:vAlign w:val="bottom"/>
          </w:tcPr>
          <w:p>
            <w:pPr>
              <w:jc w:val="right"/>
              <w:ind w:right="20"/>
              <w:spacing w:after="0"/>
              <w:rPr>
                <w:sz w:val="20"/>
                <w:szCs w:val="20"/>
                <w:color w:val="auto"/>
              </w:rPr>
            </w:pPr>
            <w:r>
              <w:rPr>
                <w:rFonts w:ascii="Arial" w:cs="Arial" w:eastAsia="Arial" w:hAnsi="Arial"/>
                <w:sz w:val="20"/>
                <w:szCs w:val="20"/>
                <w:color w:val="FF0000"/>
                <w:strike w:val="1"/>
                <w:w w:val="89"/>
              </w:rPr>
              <w:t>72</w:t>
            </w:r>
          </w:p>
        </w:tc>
        <w:tc>
          <w:tcPr>
            <w:tcW w:w="220" w:type="dxa"/>
            <w:vAlign w:val="bottom"/>
            <w:tcBorders>
              <w:bottom w:val="single" w:sz="8" w:color="D6D6D6"/>
              <w:right w:val="single" w:sz="8" w:color="D6D6D6"/>
            </w:tcBorders>
            <w:shd w:val="clear" w:color="auto" w:fill="D6D6D6"/>
          </w:tcPr>
          <w:p>
            <w:pPr>
              <w:spacing w:after="0"/>
              <w:rPr>
                <w:sz w:val="22"/>
                <w:szCs w:val="22"/>
                <w:color w:val="auto"/>
              </w:rPr>
            </w:pPr>
          </w:p>
        </w:tc>
        <w:tc>
          <w:tcPr>
            <w:tcW w:w="200" w:type="dxa"/>
            <w:vAlign w:val="bottom"/>
            <w:tcBorders>
              <w:bottom w:val="single" w:sz="8" w:color="0A0AE5"/>
              <w:right w:val="single" w:sz="8" w:color="D6D6D6"/>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71</w:t>
            </w:r>
          </w:p>
        </w:tc>
        <w:tc>
          <w:tcPr>
            <w:tcW w:w="80" w:type="dxa"/>
            <w:vAlign w:val="bottom"/>
            <w:tcBorders>
              <w:bottom w:val="single" w:sz="8" w:color="D6D6D6"/>
            </w:tcBorders>
            <w:shd w:val="clear" w:color="auto" w:fill="D6D6D6"/>
          </w:tcPr>
          <w:p>
            <w:pPr>
              <w:spacing w:after="0"/>
              <w:rPr>
                <w:sz w:val="22"/>
                <w:szCs w:val="22"/>
                <w:color w:val="auto"/>
              </w:rPr>
            </w:pPr>
          </w:p>
        </w:tc>
        <w:tc>
          <w:tcPr>
            <w:tcW w:w="20" w:type="dxa"/>
            <w:vAlign w:val="bottom"/>
            <w:tcBorders>
              <w:bottom w:val="single" w:sz="8" w:color="D6D6D6"/>
            </w:tcBorders>
            <w:shd w:val="clear" w:color="auto" w:fill="D6D6D6"/>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0" w:type="dxa"/>
            <w:vAlign w:val="bottom"/>
            <w:gridSpan w:val="2"/>
          </w:tcPr>
          <w:p>
            <w:pPr>
              <w:spacing w:after="0"/>
              <w:rPr>
                <w:sz w:val="20"/>
                <w:szCs w:val="20"/>
                <w:color w:val="auto"/>
              </w:rPr>
            </w:pPr>
            <w:r>
              <w:rPr>
                <w:rFonts w:ascii="Arial" w:cs="Arial" w:eastAsia="Arial" w:hAnsi="Arial"/>
                <w:sz w:val="20"/>
                <w:szCs w:val="20"/>
                <w:color w:val="auto"/>
                <w:w w:val="85"/>
              </w:rPr>
              <w:t>5.19.</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360" w:type="dxa"/>
            <w:vAlign w:val="bottom"/>
            <w:gridSpan w:val="4"/>
          </w:tcPr>
          <w:p>
            <w:pPr>
              <w:spacing w:after="0"/>
              <w:rPr>
                <w:sz w:val="20"/>
                <w:szCs w:val="20"/>
                <w:color w:val="auto"/>
              </w:rPr>
            </w:pPr>
            <w:r>
              <w:rPr>
                <w:rFonts w:ascii="Arial" w:cs="Arial" w:eastAsia="Arial" w:hAnsi="Arial"/>
                <w:sz w:val="20"/>
                <w:szCs w:val="20"/>
                <w:color w:val="auto"/>
              </w:rPr>
              <w:t>Solvency</w:t>
            </w:r>
          </w:p>
        </w:tc>
        <w:tc>
          <w:tcPr>
            <w:tcW w:w="340" w:type="dxa"/>
            <w:vAlign w:val="bottom"/>
          </w:tcPr>
          <w:p>
            <w:pPr>
              <w:jc w:val="right"/>
              <w:ind w:right="20"/>
              <w:spacing w:after="0"/>
              <w:rPr>
                <w:sz w:val="20"/>
                <w:szCs w:val="20"/>
                <w:color w:val="auto"/>
              </w:rPr>
            </w:pPr>
            <w:r>
              <w:rPr>
                <w:rFonts w:ascii="Arial" w:cs="Arial" w:eastAsia="Arial" w:hAnsi="Arial"/>
                <w:sz w:val="20"/>
                <w:szCs w:val="20"/>
                <w:color w:val="FF0000"/>
                <w:strike w:val="1"/>
                <w:w w:val="89"/>
              </w:rPr>
              <w:t>73</w:t>
            </w:r>
          </w:p>
        </w:tc>
        <w:tc>
          <w:tcPr>
            <w:tcW w:w="220" w:type="dxa"/>
            <w:vAlign w:val="bottom"/>
            <w:tcBorders>
              <w:bottom w:val="single" w:sz="8" w:color="D6D6D6"/>
              <w:right w:val="single" w:sz="8" w:color="D6D6D6"/>
            </w:tcBorders>
            <w:shd w:val="clear" w:color="auto" w:fill="D6D6D6"/>
          </w:tcPr>
          <w:p>
            <w:pPr>
              <w:spacing w:after="0"/>
              <w:rPr>
                <w:sz w:val="22"/>
                <w:szCs w:val="22"/>
                <w:color w:val="auto"/>
              </w:rPr>
            </w:pPr>
          </w:p>
        </w:tc>
        <w:tc>
          <w:tcPr>
            <w:tcW w:w="200" w:type="dxa"/>
            <w:vAlign w:val="bottom"/>
            <w:tcBorders>
              <w:bottom w:val="single" w:sz="8" w:color="0A0AE5"/>
              <w:right w:val="single" w:sz="8" w:color="D6D6D6"/>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72</w:t>
            </w:r>
          </w:p>
        </w:tc>
        <w:tc>
          <w:tcPr>
            <w:tcW w:w="80" w:type="dxa"/>
            <w:vAlign w:val="bottom"/>
            <w:tcBorders>
              <w:bottom w:val="single" w:sz="8" w:color="D6D6D6"/>
            </w:tcBorders>
            <w:shd w:val="clear" w:color="auto" w:fill="D6D6D6"/>
          </w:tcPr>
          <w:p>
            <w:pPr>
              <w:spacing w:after="0"/>
              <w:rPr>
                <w:sz w:val="22"/>
                <w:szCs w:val="22"/>
                <w:color w:val="auto"/>
              </w:rPr>
            </w:pPr>
          </w:p>
        </w:tc>
        <w:tc>
          <w:tcPr>
            <w:tcW w:w="20" w:type="dxa"/>
            <w:vAlign w:val="bottom"/>
            <w:tcBorders>
              <w:bottom w:val="single" w:sz="8" w:color="D6D6D6"/>
            </w:tcBorders>
            <w:shd w:val="clear" w:color="auto" w:fill="D6D6D6"/>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0" w:type="dxa"/>
            <w:vAlign w:val="bottom"/>
            <w:gridSpan w:val="2"/>
          </w:tcPr>
          <w:p>
            <w:pPr>
              <w:spacing w:after="0"/>
              <w:rPr>
                <w:sz w:val="20"/>
                <w:szCs w:val="20"/>
                <w:color w:val="auto"/>
              </w:rPr>
            </w:pPr>
            <w:r>
              <w:rPr>
                <w:rFonts w:ascii="Arial" w:cs="Arial" w:eastAsia="Arial" w:hAnsi="Arial"/>
                <w:sz w:val="20"/>
                <w:szCs w:val="20"/>
                <w:color w:val="auto"/>
                <w:w w:val="85"/>
              </w:rPr>
              <w:t>5.20.</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360" w:type="dxa"/>
            <w:vAlign w:val="bottom"/>
            <w:gridSpan w:val="4"/>
          </w:tcPr>
          <w:p>
            <w:pPr>
              <w:spacing w:after="0"/>
              <w:rPr>
                <w:sz w:val="20"/>
                <w:szCs w:val="20"/>
                <w:color w:val="auto"/>
              </w:rPr>
            </w:pPr>
            <w:r>
              <w:rPr>
                <w:rFonts w:ascii="Arial" w:cs="Arial" w:eastAsia="Arial" w:hAnsi="Arial"/>
                <w:sz w:val="20"/>
                <w:szCs w:val="20"/>
                <w:color w:val="auto"/>
              </w:rPr>
              <w:t>Casualty, Etc</w:t>
            </w:r>
          </w:p>
        </w:tc>
        <w:tc>
          <w:tcPr>
            <w:tcW w:w="340" w:type="dxa"/>
            <w:vAlign w:val="bottom"/>
          </w:tcPr>
          <w:p>
            <w:pPr>
              <w:jc w:val="right"/>
              <w:ind w:right="20"/>
              <w:spacing w:after="0"/>
              <w:rPr>
                <w:sz w:val="20"/>
                <w:szCs w:val="20"/>
                <w:color w:val="auto"/>
              </w:rPr>
            </w:pPr>
            <w:r>
              <w:rPr>
                <w:rFonts w:ascii="Arial" w:cs="Arial" w:eastAsia="Arial" w:hAnsi="Arial"/>
                <w:sz w:val="20"/>
                <w:szCs w:val="20"/>
                <w:color w:val="FF0000"/>
                <w:strike w:val="1"/>
                <w:w w:val="89"/>
              </w:rPr>
              <w:t>73</w:t>
            </w:r>
          </w:p>
        </w:tc>
        <w:tc>
          <w:tcPr>
            <w:tcW w:w="220" w:type="dxa"/>
            <w:vAlign w:val="bottom"/>
            <w:tcBorders>
              <w:bottom w:val="single" w:sz="8" w:color="D6D6D6"/>
              <w:right w:val="single" w:sz="8" w:color="D6D6D6"/>
            </w:tcBorders>
            <w:shd w:val="clear" w:color="auto" w:fill="D6D6D6"/>
          </w:tcPr>
          <w:p>
            <w:pPr>
              <w:spacing w:after="0"/>
              <w:rPr>
                <w:sz w:val="22"/>
                <w:szCs w:val="22"/>
                <w:color w:val="auto"/>
              </w:rPr>
            </w:pPr>
          </w:p>
        </w:tc>
        <w:tc>
          <w:tcPr>
            <w:tcW w:w="200" w:type="dxa"/>
            <w:vAlign w:val="bottom"/>
            <w:tcBorders>
              <w:bottom w:val="single" w:sz="8" w:color="0A0AE5"/>
              <w:right w:val="single" w:sz="8" w:color="D6D6D6"/>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72</w:t>
            </w:r>
          </w:p>
        </w:tc>
        <w:tc>
          <w:tcPr>
            <w:tcW w:w="80" w:type="dxa"/>
            <w:vAlign w:val="bottom"/>
            <w:tcBorders>
              <w:bottom w:val="single" w:sz="8" w:color="D6D6D6"/>
            </w:tcBorders>
            <w:shd w:val="clear" w:color="auto" w:fill="D6D6D6"/>
          </w:tcPr>
          <w:p>
            <w:pPr>
              <w:spacing w:after="0"/>
              <w:rPr>
                <w:sz w:val="22"/>
                <w:szCs w:val="22"/>
                <w:color w:val="auto"/>
              </w:rPr>
            </w:pPr>
          </w:p>
        </w:tc>
        <w:tc>
          <w:tcPr>
            <w:tcW w:w="20" w:type="dxa"/>
            <w:vAlign w:val="bottom"/>
            <w:tcBorders>
              <w:bottom w:val="single" w:sz="8" w:color="D6D6D6"/>
            </w:tcBorders>
            <w:shd w:val="clear" w:color="auto" w:fill="D6D6D6"/>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0" w:type="dxa"/>
            <w:vAlign w:val="bottom"/>
            <w:gridSpan w:val="2"/>
          </w:tcPr>
          <w:p>
            <w:pPr>
              <w:spacing w:after="0"/>
              <w:rPr>
                <w:sz w:val="20"/>
                <w:szCs w:val="20"/>
                <w:color w:val="auto"/>
              </w:rPr>
            </w:pPr>
            <w:r>
              <w:rPr>
                <w:rFonts w:ascii="Arial" w:cs="Arial" w:eastAsia="Arial" w:hAnsi="Arial"/>
                <w:sz w:val="20"/>
                <w:szCs w:val="20"/>
                <w:color w:val="auto"/>
                <w:w w:val="85"/>
              </w:rPr>
              <w:t>5.21.</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360" w:type="dxa"/>
            <w:vAlign w:val="bottom"/>
            <w:gridSpan w:val="4"/>
          </w:tcPr>
          <w:p>
            <w:pPr>
              <w:spacing w:after="0"/>
              <w:rPr>
                <w:sz w:val="20"/>
                <w:szCs w:val="20"/>
                <w:color w:val="auto"/>
              </w:rPr>
            </w:pPr>
            <w:r>
              <w:rPr>
                <w:rFonts w:ascii="Arial" w:cs="Arial" w:eastAsia="Arial" w:hAnsi="Arial"/>
                <w:sz w:val="20"/>
                <w:szCs w:val="20"/>
                <w:color w:val="auto"/>
              </w:rPr>
              <w:t>Labor Matters</w:t>
            </w:r>
          </w:p>
        </w:tc>
        <w:tc>
          <w:tcPr>
            <w:tcW w:w="340" w:type="dxa"/>
            <w:vAlign w:val="bottom"/>
          </w:tcPr>
          <w:p>
            <w:pPr>
              <w:jc w:val="right"/>
              <w:ind w:right="20"/>
              <w:spacing w:after="0"/>
              <w:rPr>
                <w:sz w:val="20"/>
                <w:szCs w:val="20"/>
                <w:color w:val="auto"/>
              </w:rPr>
            </w:pPr>
            <w:r>
              <w:rPr>
                <w:rFonts w:ascii="Arial" w:cs="Arial" w:eastAsia="Arial" w:hAnsi="Arial"/>
                <w:sz w:val="20"/>
                <w:szCs w:val="20"/>
                <w:color w:val="FF0000"/>
                <w:strike w:val="1"/>
                <w:w w:val="89"/>
              </w:rPr>
              <w:t>73</w:t>
            </w:r>
          </w:p>
        </w:tc>
        <w:tc>
          <w:tcPr>
            <w:tcW w:w="220" w:type="dxa"/>
            <w:vAlign w:val="bottom"/>
            <w:tcBorders>
              <w:bottom w:val="single" w:sz="8" w:color="D6D6D6"/>
              <w:right w:val="single" w:sz="8" w:color="D6D6D6"/>
            </w:tcBorders>
            <w:shd w:val="clear" w:color="auto" w:fill="D6D6D6"/>
          </w:tcPr>
          <w:p>
            <w:pPr>
              <w:spacing w:after="0"/>
              <w:rPr>
                <w:sz w:val="22"/>
                <w:szCs w:val="22"/>
                <w:color w:val="auto"/>
              </w:rPr>
            </w:pPr>
          </w:p>
        </w:tc>
        <w:tc>
          <w:tcPr>
            <w:tcW w:w="200" w:type="dxa"/>
            <w:vAlign w:val="bottom"/>
            <w:tcBorders>
              <w:bottom w:val="single" w:sz="8" w:color="0A0AE5"/>
              <w:right w:val="single" w:sz="8" w:color="D6D6D6"/>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72</w:t>
            </w:r>
          </w:p>
        </w:tc>
        <w:tc>
          <w:tcPr>
            <w:tcW w:w="80" w:type="dxa"/>
            <w:vAlign w:val="bottom"/>
            <w:tcBorders>
              <w:bottom w:val="single" w:sz="8" w:color="D6D6D6"/>
            </w:tcBorders>
            <w:shd w:val="clear" w:color="auto" w:fill="D6D6D6"/>
          </w:tcPr>
          <w:p>
            <w:pPr>
              <w:spacing w:after="0"/>
              <w:rPr>
                <w:sz w:val="22"/>
                <w:szCs w:val="22"/>
                <w:color w:val="auto"/>
              </w:rPr>
            </w:pPr>
          </w:p>
        </w:tc>
        <w:tc>
          <w:tcPr>
            <w:tcW w:w="20" w:type="dxa"/>
            <w:vAlign w:val="bottom"/>
            <w:tcBorders>
              <w:bottom w:val="single" w:sz="8" w:color="D6D6D6"/>
            </w:tcBorders>
            <w:shd w:val="clear" w:color="auto" w:fill="D6D6D6"/>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0" w:type="dxa"/>
            <w:vAlign w:val="bottom"/>
            <w:gridSpan w:val="2"/>
          </w:tcPr>
          <w:p>
            <w:pPr>
              <w:spacing w:after="0"/>
              <w:rPr>
                <w:sz w:val="20"/>
                <w:szCs w:val="20"/>
                <w:color w:val="auto"/>
              </w:rPr>
            </w:pPr>
            <w:r>
              <w:rPr>
                <w:rFonts w:ascii="Arial" w:cs="Arial" w:eastAsia="Arial" w:hAnsi="Arial"/>
                <w:sz w:val="20"/>
                <w:szCs w:val="20"/>
                <w:color w:val="auto"/>
                <w:w w:val="85"/>
              </w:rPr>
              <w:t>5.22.</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360" w:type="dxa"/>
            <w:vAlign w:val="bottom"/>
            <w:gridSpan w:val="4"/>
          </w:tcPr>
          <w:p>
            <w:pPr>
              <w:spacing w:after="0"/>
              <w:rPr>
                <w:sz w:val="20"/>
                <w:szCs w:val="20"/>
                <w:color w:val="auto"/>
              </w:rPr>
            </w:pPr>
            <w:r>
              <w:rPr>
                <w:rFonts w:ascii="Arial" w:cs="Arial" w:eastAsia="Arial" w:hAnsi="Arial"/>
                <w:sz w:val="20"/>
                <w:szCs w:val="20"/>
                <w:color w:val="auto"/>
              </w:rPr>
              <w:t>Anti-Corruption Laws; Sanctions; Anti-Terrorism Laws</w:t>
            </w:r>
          </w:p>
        </w:tc>
        <w:tc>
          <w:tcPr>
            <w:tcW w:w="340" w:type="dxa"/>
            <w:vAlign w:val="bottom"/>
          </w:tcPr>
          <w:p>
            <w:pPr>
              <w:jc w:val="right"/>
              <w:ind w:right="20"/>
              <w:spacing w:after="0"/>
              <w:rPr>
                <w:sz w:val="20"/>
                <w:szCs w:val="20"/>
                <w:color w:val="auto"/>
              </w:rPr>
            </w:pPr>
            <w:r>
              <w:rPr>
                <w:rFonts w:ascii="Arial" w:cs="Arial" w:eastAsia="Arial" w:hAnsi="Arial"/>
                <w:sz w:val="20"/>
                <w:szCs w:val="20"/>
                <w:color w:val="FF0000"/>
                <w:strike w:val="1"/>
                <w:w w:val="89"/>
              </w:rPr>
              <w:t>73</w:t>
            </w:r>
          </w:p>
        </w:tc>
        <w:tc>
          <w:tcPr>
            <w:tcW w:w="220" w:type="dxa"/>
            <w:vAlign w:val="bottom"/>
            <w:tcBorders>
              <w:bottom w:val="single" w:sz="8" w:color="D6D6D6"/>
              <w:right w:val="single" w:sz="8" w:color="D6D6D6"/>
            </w:tcBorders>
            <w:shd w:val="clear" w:color="auto" w:fill="D6D6D6"/>
          </w:tcPr>
          <w:p>
            <w:pPr>
              <w:spacing w:after="0"/>
              <w:rPr>
                <w:sz w:val="22"/>
                <w:szCs w:val="22"/>
                <w:color w:val="auto"/>
              </w:rPr>
            </w:pPr>
          </w:p>
        </w:tc>
        <w:tc>
          <w:tcPr>
            <w:tcW w:w="200" w:type="dxa"/>
            <w:vAlign w:val="bottom"/>
            <w:tcBorders>
              <w:bottom w:val="single" w:sz="8" w:color="0A0AE5"/>
              <w:right w:val="single" w:sz="8" w:color="D6D6D6"/>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72</w:t>
            </w:r>
          </w:p>
        </w:tc>
        <w:tc>
          <w:tcPr>
            <w:tcW w:w="80" w:type="dxa"/>
            <w:vAlign w:val="bottom"/>
            <w:tcBorders>
              <w:bottom w:val="single" w:sz="8" w:color="D6D6D6"/>
            </w:tcBorders>
            <w:shd w:val="clear" w:color="auto" w:fill="D6D6D6"/>
          </w:tcPr>
          <w:p>
            <w:pPr>
              <w:spacing w:after="0"/>
              <w:rPr>
                <w:sz w:val="22"/>
                <w:szCs w:val="22"/>
                <w:color w:val="auto"/>
              </w:rPr>
            </w:pPr>
          </w:p>
        </w:tc>
        <w:tc>
          <w:tcPr>
            <w:tcW w:w="20" w:type="dxa"/>
            <w:vAlign w:val="bottom"/>
            <w:tcBorders>
              <w:bottom w:val="single" w:sz="8" w:color="D6D6D6"/>
            </w:tcBorders>
            <w:shd w:val="clear" w:color="auto" w:fill="D6D6D6"/>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100" w:type="dxa"/>
            <w:vAlign w:val="bottom"/>
            <w:gridSpan w:val="7"/>
          </w:tcPr>
          <w:p>
            <w:pPr>
              <w:ind w:left="300"/>
              <w:spacing w:after="0"/>
              <w:rPr>
                <w:sz w:val="20"/>
                <w:szCs w:val="20"/>
                <w:color w:val="auto"/>
              </w:rPr>
            </w:pPr>
            <w:r>
              <w:rPr>
                <w:rFonts w:ascii="Arial" w:cs="Arial" w:eastAsia="Arial" w:hAnsi="Arial"/>
                <w:sz w:val="20"/>
                <w:szCs w:val="20"/>
                <w:color w:val="auto"/>
              </w:rPr>
              <w:t>5.23. REIT Status; Stock Exchange Listing</w:t>
            </w:r>
          </w:p>
        </w:tc>
        <w:tc>
          <w:tcPr>
            <w:tcW w:w="340" w:type="dxa"/>
            <w:vAlign w:val="bottom"/>
          </w:tcPr>
          <w:p>
            <w:pPr>
              <w:jc w:val="right"/>
              <w:ind w:right="20"/>
              <w:spacing w:after="0"/>
              <w:rPr>
                <w:sz w:val="20"/>
                <w:szCs w:val="20"/>
                <w:color w:val="auto"/>
              </w:rPr>
            </w:pPr>
            <w:r>
              <w:rPr>
                <w:rFonts w:ascii="Arial" w:cs="Arial" w:eastAsia="Arial" w:hAnsi="Arial"/>
                <w:sz w:val="20"/>
                <w:szCs w:val="20"/>
                <w:color w:val="FF0000"/>
                <w:strike w:val="1"/>
                <w:w w:val="89"/>
              </w:rPr>
              <w:t>73</w:t>
            </w:r>
          </w:p>
        </w:tc>
        <w:tc>
          <w:tcPr>
            <w:tcW w:w="220" w:type="dxa"/>
            <w:vAlign w:val="bottom"/>
            <w:tcBorders>
              <w:bottom w:val="single" w:sz="8" w:color="D6D6D6"/>
              <w:right w:val="single" w:sz="8" w:color="D6D6D6"/>
            </w:tcBorders>
            <w:shd w:val="clear" w:color="auto" w:fill="D6D6D6"/>
          </w:tcPr>
          <w:p>
            <w:pPr>
              <w:spacing w:after="0"/>
              <w:rPr>
                <w:sz w:val="22"/>
                <w:szCs w:val="22"/>
                <w:color w:val="auto"/>
              </w:rPr>
            </w:pPr>
          </w:p>
        </w:tc>
        <w:tc>
          <w:tcPr>
            <w:tcW w:w="200" w:type="dxa"/>
            <w:vAlign w:val="bottom"/>
            <w:tcBorders>
              <w:bottom w:val="single" w:sz="8" w:color="0A0AE5"/>
              <w:right w:val="single" w:sz="8" w:color="D6D6D6"/>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72</w:t>
            </w:r>
          </w:p>
        </w:tc>
        <w:tc>
          <w:tcPr>
            <w:tcW w:w="80" w:type="dxa"/>
            <w:vAlign w:val="bottom"/>
            <w:tcBorders>
              <w:bottom w:val="single" w:sz="8" w:color="D6D6D6"/>
            </w:tcBorders>
            <w:shd w:val="clear" w:color="auto" w:fill="D6D6D6"/>
          </w:tcPr>
          <w:p>
            <w:pPr>
              <w:spacing w:after="0"/>
              <w:rPr>
                <w:sz w:val="22"/>
                <w:szCs w:val="22"/>
                <w:color w:val="auto"/>
              </w:rPr>
            </w:pPr>
          </w:p>
        </w:tc>
        <w:tc>
          <w:tcPr>
            <w:tcW w:w="20" w:type="dxa"/>
            <w:vAlign w:val="bottom"/>
            <w:tcBorders>
              <w:bottom w:val="single" w:sz="8" w:color="D6D6D6"/>
            </w:tcBorders>
            <w:shd w:val="clear" w:color="auto" w:fill="D6D6D6"/>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21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714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Borders>
              <w:right w:val="single" w:sz="8" w:color="D6D6D6"/>
            </w:tcBorders>
            <w:gridSpan w:val="2"/>
            <w:vMerge w:val="restart"/>
            <w:shd w:val="clear" w:color="auto" w:fill="D6D6D6"/>
          </w:tcPr>
          <w:p>
            <w:pPr>
              <w:jc w:val="right"/>
              <w:spacing w:after="0"/>
              <w:rPr>
                <w:sz w:val="20"/>
                <w:szCs w:val="20"/>
                <w:color w:val="auto"/>
              </w:rPr>
            </w:pPr>
            <w:r>
              <w:rPr>
                <w:rFonts w:ascii="Arial" w:cs="Arial" w:eastAsia="Arial" w:hAnsi="Arial"/>
                <w:sz w:val="20"/>
                <w:szCs w:val="20"/>
                <w:b w:val="1"/>
                <w:bCs w:val="1"/>
                <w:color w:val="0A0AE5"/>
              </w:rPr>
              <w:t>72</w:t>
            </w:r>
          </w:p>
        </w:tc>
        <w:tc>
          <w:tcPr>
            <w:tcW w:w="80" w:type="dxa"/>
            <w:vAlign w:val="bottom"/>
            <w:shd w:val="clear" w:color="auto" w:fill="D6D6D6"/>
          </w:tcPr>
          <w:p>
            <w:pPr>
              <w:spacing w:after="0"/>
              <w:rPr>
                <w:sz w:val="5"/>
                <w:szCs w:val="5"/>
                <w:color w:val="auto"/>
              </w:rPr>
            </w:pPr>
          </w:p>
        </w:tc>
        <w:tc>
          <w:tcPr>
            <w:tcW w:w="20" w:type="dxa"/>
            <w:vAlign w:val="bottom"/>
            <w:shd w:val="clear" w:color="auto" w:fill="D6D6D6"/>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380" w:type="dxa"/>
            <w:vAlign w:val="bottom"/>
            <w:shd w:val="clear" w:color="auto" w:fill="D6D6D6"/>
          </w:tcPr>
          <w:p>
            <w:pPr>
              <w:spacing w:after="0" w:line="187" w:lineRule="exact"/>
              <w:rPr>
                <w:sz w:val="20"/>
                <w:szCs w:val="20"/>
                <w:color w:val="auto"/>
              </w:rPr>
            </w:pPr>
            <w:r>
              <w:rPr>
                <w:rFonts w:ascii="Arial" w:cs="Arial" w:eastAsia="Arial" w:hAnsi="Arial"/>
                <w:sz w:val="20"/>
                <w:szCs w:val="20"/>
                <w:b w:val="1"/>
                <w:bCs w:val="1"/>
                <w:color w:val="0A0AE5"/>
                <w:highlight w:val="lightGray"/>
                <w:w w:val="80"/>
              </w:rPr>
              <w:t>5.</w:t>
            </w:r>
            <w:r>
              <w:rPr>
                <w:rFonts w:ascii="Arial" w:cs="Arial" w:eastAsia="Arial" w:hAnsi="Arial"/>
                <w:sz w:val="20"/>
                <w:szCs w:val="20"/>
                <w:b w:val="1"/>
                <w:bCs w:val="1"/>
                <w:u w:val="single" w:color="auto"/>
                <w:color w:val="0A0AE5"/>
                <w:highlight w:val="lightGray"/>
                <w:w w:val="80"/>
              </w:rPr>
              <w:t>24.</w:t>
            </w:r>
          </w:p>
        </w:tc>
        <w:tc>
          <w:tcPr>
            <w:tcW w:w="16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180" w:type="dxa"/>
            <w:vAlign w:val="bottom"/>
            <w:shd w:val="clear" w:color="auto" w:fill="D6D6D6"/>
          </w:tcPr>
          <w:p>
            <w:pPr>
              <w:spacing w:after="0" w:line="187" w:lineRule="exact"/>
              <w:rPr>
                <w:sz w:val="20"/>
                <w:szCs w:val="20"/>
                <w:color w:val="auto"/>
              </w:rPr>
            </w:pPr>
            <w:r>
              <w:rPr>
                <w:rFonts w:ascii="Arial" w:cs="Arial" w:eastAsia="Arial" w:hAnsi="Arial"/>
                <w:sz w:val="20"/>
                <w:szCs w:val="20"/>
                <w:b w:val="1"/>
                <w:bCs w:val="1"/>
                <w:color w:val="0A0AE5"/>
                <w:highlight w:val="lightGray"/>
                <w:w w:val="91"/>
              </w:rPr>
              <w:t>EEA Financial Institution</w:t>
            </w:r>
          </w:p>
        </w:tc>
        <w:tc>
          <w:tcPr>
            <w:tcW w:w="20" w:type="dxa"/>
            <w:vAlign w:val="bottom"/>
            <w:vMerge w:val="continue"/>
          </w:tcPr>
          <w:p>
            <w:pPr>
              <w:spacing w:after="0"/>
              <w:rPr>
                <w:sz w:val="18"/>
                <w:szCs w:val="18"/>
                <w:color w:val="auto"/>
              </w:rPr>
            </w:pPr>
          </w:p>
        </w:tc>
        <w:tc>
          <w:tcPr>
            <w:tcW w:w="71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Borders>
              <w:right w:val="single" w:sz="8" w:color="D6D6D6"/>
            </w:tcBorders>
            <w:gridSpan w:val="2"/>
            <w:vMerge w:val="continue"/>
            <w:shd w:val="clear" w:color="auto" w:fill="D6D6D6"/>
          </w:tcPr>
          <w:p>
            <w:pPr>
              <w:spacing w:after="0"/>
              <w:rPr>
                <w:sz w:val="18"/>
                <w:szCs w:val="18"/>
                <w:color w:val="auto"/>
              </w:rPr>
            </w:pPr>
          </w:p>
        </w:tc>
        <w:tc>
          <w:tcPr>
            <w:tcW w:w="80" w:type="dxa"/>
            <w:vAlign w:val="bottom"/>
            <w:shd w:val="clear" w:color="auto" w:fill="D6D6D6"/>
          </w:tcPr>
          <w:p>
            <w:pPr>
              <w:spacing w:after="0"/>
              <w:rPr>
                <w:sz w:val="18"/>
                <w:szCs w:val="18"/>
                <w:color w:val="auto"/>
              </w:rPr>
            </w:pPr>
          </w:p>
        </w:tc>
        <w:tc>
          <w:tcPr>
            <w:tcW w:w="20" w:type="dxa"/>
            <w:vAlign w:val="bottom"/>
            <w:shd w:val="clear" w:color="auto" w:fill="D6D6D6"/>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0" w:type="dxa"/>
            <w:vAlign w:val="bottom"/>
            <w:tcBorders>
              <w:top w:val="single" w:sz="8" w:color="0A0AE5"/>
            </w:tcBorders>
          </w:tcPr>
          <w:p>
            <w:pPr>
              <w:spacing w:after="0" w:line="20" w:lineRule="exact"/>
              <w:rPr>
                <w:sz w:val="1"/>
                <w:szCs w:val="1"/>
                <w:color w:val="auto"/>
              </w:rPr>
            </w:pPr>
          </w:p>
        </w:tc>
        <w:tc>
          <w:tcPr>
            <w:tcW w:w="380" w:type="dxa"/>
            <w:vAlign w:val="bottom"/>
            <w:tcBorders>
              <w:top w:val="single" w:sz="8" w:color="0A0AE5"/>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A0AE5"/>
            </w:tcBorders>
          </w:tcPr>
          <w:p>
            <w:pPr>
              <w:spacing w:after="0" w:line="20" w:lineRule="exact"/>
              <w:rPr>
                <w:sz w:val="1"/>
                <w:szCs w:val="1"/>
                <w:color w:val="auto"/>
              </w:rPr>
            </w:pPr>
          </w:p>
        </w:tc>
        <w:tc>
          <w:tcPr>
            <w:tcW w:w="2180" w:type="dxa"/>
            <w:vAlign w:val="bottom"/>
            <w:tcBorders>
              <w:top w:val="single" w:sz="8" w:color="0A0AE5"/>
            </w:tcBorders>
          </w:tcPr>
          <w:p>
            <w:pPr>
              <w:spacing w:after="0" w:line="20" w:lineRule="exact"/>
              <w:rPr>
                <w:sz w:val="1"/>
                <w:szCs w:val="1"/>
                <w:color w:val="auto"/>
              </w:rPr>
            </w:pPr>
          </w:p>
        </w:tc>
        <w:tc>
          <w:tcPr>
            <w:tcW w:w="20" w:type="dxa"/>
            <w:vAlign w:val="bottom"/>
            <w:tcBorders>
              <w:top w:val="single" w:sz="8" w:color="0A0AE5"/>
            </w:tcBorders>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D6D6D6"/>
              <w:right w:val="single" w:sz="8" w:color="D6D6D6"/>
            </w:tcBorders>
            <w:shd w:val="clear" w:color="auto" w:fill="D6D6D6"/>
          </w:tcPr>
          <w:p>
            <w:pPr>
              <w:spacing w:after="0" w:line="20" w:lineRule="exact"/>
              <w:rPr>
                <w:sz w:val="1"/>
                <w:szCs w:val="1"/>
                <w:color w:val="auto"/>
              </w:rPr>
            </w:pPr>
          </w:p>
        </w:tc>
        <w:tc>
          <w:tcPr>
            <w:tcW w:w="200" w:type="dxa"/>
            <w:vAlign w:val="bottom"/>
            <w:tcBorders>
              <w:top w:val="single" w:sz="8" w:color="0A0AE5"/>
              <w:right w:val="single" w:sz="8" w:color="D6D6D6"/>
            </w:tcBorders>
            <w:shd w:val="clear" w:color="auto" w:fill="D6D6D6"/>
          </w:tcPr>
          <w:p>
            <w:pPr>
              <w:spacing w:after="0" w:line="20" w:lineRule="exact"/>
              <w:rPr>
                <w:sz w:val="1"/>
                <w:szCs w:val="1"/>
                <w:color w:val="auto"/>
              </w:rPr>
            </w:pPr>
          </w:p>
        </w:tc>
        <w:tc>
          <w:tcPr>
            <w:tcW w:w="80" w:type="dxa"/>
            <w:vAlign w:val="bottom"/>
            <w:tcBorders>
              <w:top w:val="single" w:sz="8" w:color="D6D6D6"/>
            </w:tcBorders>
            <w:shd w:val="clear" w:color="auto" w:fill="D6D6D6"/>
          </w:tcPr>
          <w:p>
            <w:pPr>
              <w:spacing w:after="0" w:line="20" w:lineRule="exact"/>
              <w:rPr>
                <w:sz w:val="1"/>
                <w:szCs w:val="1"/>
                <w:color w:val="auto"/>
              </w:rPr>
            </w:pPr>
          </w:p>
        </w:tc>
        <w:tc>
          <w:tcPr>
            <w:tcW w:w="20" w:type="dxa"/>
            <w:vAlign w:val="bottom"/>
            <w:tcBorders>
              <w:top w:val="single" w:sz="8" w:color="D6D6D6"/>
            </w:tcBorders>
            <w:shd w:val="clear" w:color="auto" w:fill="D6D6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ARTICLE VI</w:t>
      </w: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AFFIRMATIVE COVENANTS</w:t>
      </w:r>
    </w:p>
    <w:p>
      <w:pPr>
        <w:sectPr>
          <w:pgSz w:w="11900" w:h="16838" w:orient="portrait"/>
          <w:cols w:equalWidth="0" w:num="1">
            <w:col w:w="10980"/>
          </w:cols>
          <w:pgMar w:left="480" w:top="110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ii-</w:t>
      </w:r>
    </w:p>
    <w:p>
      <w:pPr>
        <w:sectPr>
          <w:pgSz w:w="11900" w:h="16838" w:orient="portrait"/>
          <w:cols w:equalWidth="0" w:num="1">
            <w:col w:w="10980"/>
          </w:cols>
          <w:pgMar w:left="480" w:top="1109" w:right="439" w:bottom="1440" w:gutter="0" w:footer="0" w:header="0"/>
          <w:type w:val="continuous"/>
        </w:sectPr>
      </w:pPr>
    </w:p>
    <w:bookmarkStart w:id="229" w:name="page230"/>
    <w:bookmarkEnd w:id="229"/>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6.01.</w:t>
            </w:r>
          </w:p>
        </w:tc>
        <w:tc>
          <w:tcPr>
            <w:tcW w:w="9380" w:type="dxa"/>
            <w:vAlign w:val="bottom"/>
            <w:gridSpan w:val="2"/>
          </w:tcPr>
          <w:p>
            <w:pPr>
              <w:spacing w:after="0"/>
              <w:rPr>
                <w:sz w:val="20"/>
                <w:szCs w:val="20"/>
                <w:color w:val="auto"/>
              </w:rPr>
            </w:pPr>
            <w:r>
              <w:rPr>
                <w:rFonts w:ascii="Arial" w:cs="Arial" w:eastAsia="Arial" w:hAnsi="Arial"/>
                <w:sz w:val="20"/>
                <w:szCs w:val="20"/>
                <w:color w:val="auto"/>
              </w:rPr>
              <w:t>Financial Statements</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74</w:t>
            </w:r>
          </w:p>
        </w:tc>
        <w:tc>
          <w:tcPr>
            <w:tcW w:w="220" w:type="dxa"/>
            <w:vAlign w:val="bottom"/>
            <w:tcBorders>
              <w:bottom w:val="single" w:sz="8" w:color="D6D6D6"/>
            </w:tcBorders>
            <w:shd w:val="clear" w:color="auto" w:fill="D6D6D6"/>
          </w:tcPr>
          <w:p>
            <w:pPr>
              <w:spacing w:after="0"/>
              <w:rPr>
                <w:sz w:val="19"/>
                <w:szCs w:val="19"/>
                <w:color w:val="auto"/>
              </w:rPr>
            </w:pPr>
          </w:p>
        </w:tc>
        <w:tc>
          <w:tcPr>
            <w:tcW w:w="200" w:type="dxa"/>
            <w:vAlign w:val="bottom"/>
            <w:tcBorders>
              <w:bottom w:val="single" w:sz="8" w:color="0A0AE5"/>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73</w:t>
            </w:r>
          </w:p>
        </w:tc>
        <w:tc>
          <w:tcPr>
            <w:tcW w:w="100" w:type="dxa"/>
            <w:vAlign w:val="bottom"/>
            <w:tcBorders>
              <w:bottom w:val="single" w:sz="8" w:color="D6D6D6"/>
            </w:tcBorders>
            <w:shd w:val="clear" w:color="auto" w:fill="D6D6D6"/>
          </w:tcPr>
          <w:p>
            <w:pPr>
              <w:spacing w:after="0"/>
              <w:rPr>
                <w:sz w:val="19"/>
                <w:szCs w:val="19"/>
                <w:color w:val="auto"/>
              </w:rPr>
            </w:pPr>
          </w:p>
        </w:tc>
      </w:tr>
      <w:tr>
        <w:trPr>
          <w:trHeight w:val="255"/>
        </w:trPr>
        <w:tc>
          <w:tcPr>
            <w:tcW w:w="760" w:type="dxa"/>
            <w:vAlign w:val="bottom"/>
          </w:tcPr>
          <w:p>
            <w:pPr>
              <w:spacing w:after="0"/>
              <w:rPr>
                <w:sz w:val="20"/>
                <w:szCs w:val="20"/>
                <w:color w:val="auto"/>
              </w:rPr>
            </w:pPr>
            <w:r>
              <w:rPr>
                <w:rFonts w:ascii="Arial" w:cs="Arial" w:eastAsia="Arial" w:hAnsi="Arial"/>
                <w:sz w:val="20"/>
                <w:szCs w:val="20"/>
                <w:color w:val="auto"/>
              </w:rPr>
              <w:t>6.02.</w:t>
            </w:r>
          </w:p>
        </w:tc>
        <w:tc>
          <w:tcPr>
            <w:tcW w:w="9380" w:type="dxa"/>
            <w:vAlign w:val="bottom"/>
            <w:gridSpan w:val="2"/>
          </w:tcPr>
          <w:p>
            <w:pPr>
              <w:spacing w:after="0"/>
              <w:rPr>
                <w:sz w:val="20"/>
                <w:szCs w:val="20"/>
                <w:color w:val="auto"/>
              </w:rPr>
            </w:pPr>
            <w:r>
              <w:rPr>
                <w:rFonts w:ascii="Arial" w:cs="Arial" w:eastAsia="Arial" w:hAnsi="Arial"/>
                <w:sz w:val="20"/>
                <w:szCs w:val="20"/>
                <w:color w:val="auto"/>
              </w:rPr>
              <w:t>Certificates; Other Information</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75</w:t>
            </w:r>
          </w:p>
        </w:tc>
        <w:tc>
          <w:tcPr>
            <w:tcW w:w="22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74</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97"/>
        </w:trPr>
        <w:tc>
          <w:tcPr>
            <w:tcW w:w="760" w:type="dxa"/>
            <w:vAlign w:val="bottom"/>
          </w:tcPr>
          <w:p>
            <w:pPr>
              <w:spacing w:after="0"/>
              <w:rPr>
                <w:sz w:val="20"/>
                <w:szCs w:val="20"/>
                <w:color w:val="auto"/>
              </w:rPr>
            </w:pPr>
            <w:r>
              <w:rPr>
                <w:rFonts w:ascii="Arial" w:cs="Arial" w:eastAsia="Arial" w:hAnsi="Arial"/>
                <w:sz w:val="20"/>
                <w:szCs w:val="20"/>
                <w:color w:val="auto"/>
              </w:rPr>
              <w:t>6.03.</w:t>
            </w:r>
          </w:p>
        </w:tc>
        <w:tc>
          <w:tcPr>
            <w:tcW w:w="9380" w:type="dxa"/>
            <w:vAlign w:val="bottom"/>
            <w:gridSpan w:val="2"/>
          </w:tcPr>
          <w:p>
            <w:pPr>
              <w:spacing w:after="0"/>
              <w:rPr>
                <w:sz w:val="20"/>
                <w:szCs w:val="20"/>
                <w:color w:val="auto"/>
              </w:rPr>
            </w:pPr>
            <w:r>
              <w:rPr>
                <w:rFonts w:ascii="Arial" w:cs="Arial" w:eastAsia="Arial" w:hAnsi="Arial"/>
                <w:sz w:val="20"/>
                <w:szCs w:val="20"/>
                <w:color w:val="auto"/>
              </w:rPr>
              <w:t>Notices</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77</w:t>
            </w:r>
          </w:p>
        </w:tc>
        <w:tc>
          <w:tcPr>
            <w:tcW w:w="220" w:type="dxa"/>
            <w:vAlign w:val="bottom"/>
            <w:tcBorders>
              <w:bottom w:val="single" w:sz="8" w:color="D6D6D6"/>
            </w:tcBorders>
            <w:shd w:val="clear" w:color="auto" w:fill="D6D6D6"/>
          </w:tcPr>
          <w:p>
            <w:pPr>
              <w:spacing w:after="0"/>
              <w:rPr>
                <w:sz w:val="24"/>
                <w:szCs w:val="24"/>
                <w:color w:val="auto"/>
              </w:rPr>
            </w:pPr>
          </w:p>
        </w:tc>
        <w:tc>
          <w:tcPr>
            <w:tcW w:w="200" w:type="dxa"/>
            <w:vAlign w:val="bottom"/>
            <w:tcBorders>
              <w:bottom w:val="single" w:sz="8" w:color="0A0AE5"/>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76</w:t>
            </w:r>
          </w:p>
        </w:tc>
        <w:tc>
          <w:tcPr>
            <w:tcW w:w="100" w:type="dxa"/>
            <w:vAlign w:val="bottom"/>
            <w:tcBorders>
              <w:bottom w:val="single" w:sz="8" w:color="D6D6D6"/>
            </w:tcBorders>
            <w:shd w:val="clear" w:color="auto" w:fill="D6D6D6"/>
          </w:tcPr>
          <w:p>
            <w:pPr>
              <w:spacing w:after="0"/>
              <w:rPr>
                <w:sz w:val="24"/>
                <w:szCs w:val="24"/>
                <w:color w:val="auto"/>
              </w:rPr>
            </w:pPr>
          </w:p>
        </w:tc>
      </w:tr>
      <w:tr>
        <w:trPr>
          <w:trHeight w:val="267"/>
        </w:trPr>
        <w:tc>
          <w:tcPr>
            <w:tcW w:w="760" w:type="dxa"/>
            <w:vAlign w:val="bottom"/>
          </w:tcPr>
          <w:p>
            <w:pPr>
              <w:spacing w:after="0"/>
              <w:rPr>
                <w:sz w:val="20"/>
                <w:szCs w:val="20"/>
                <w:color w:val="auto"/>
              </w:rPr>
            </w:pPr>
            <w:r>
              <w:rPr>
                <w:rFonts w:ascii="Arial" w:cs="Arial" w:eastAsia="Arial" w:hAnsi="Arial"/>
                <w:sz w:val="20"/>
                <w:szCs w:val="20"/>
                <w:color w:val="auto"/>
              </w:rPr>
              <w:t>6.04.</w:t>
            </w:r>
          </w:p>
        </w:tc>
        <w:tc>
          <w:tcPr>
            <w:tcW w:w="9380" w:type="dxa"/>
            <w:vAlign w:val="bottom"/>
            <w:gridSpan w:val="2"/>
          </w:tcPr>
          <w:p>
            <w:pPr>
              <w:spacing w:after="0"/>
              <w:rPr>
                <w:sz w:val="20"/>
                <w:szCs w:val="20"/>
                <w:color w:val="auto"/>
              </w:rPr>
            </w:pPr>
            <w:r>
              <w:rPr>
                <w:rFonts w:ascii="Arial" w:cs="Arial" w:eastAsia="Arial" w:hAnsi="Arial"/>
                <w:sz w:val="20"/>
                <w:szCs w:val="20"/>
                <w:color w:val="auto"/>
              </w:rPr>
              <w:t>Payment of Obligations</w:t>
            </w:r>
          </w:p>
        </w:tc>
        <w:tc>
          <w:tcPr>
            <w:tcW w:w="320" w:type="dxa"/>
            <w:vAlign w:val="bottom"/>
          </w:tcPr>
          <w:p>
            <w:pPr>
              <w:spacing w:after="0"/>
              <w:rPr>
                <w:sz w:val="23"/>
                <w:szCs w:val="23"/>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77</w:t>
            </w:r>
          </w:p>
        </w:tc>
        <w:tc>
          <w:tcPr>
            <w:tcW w:w="100" w:type="dxa"/>
            <w:vAlign w:val="bottom"/>
          </w:tcPr>
          <w:p>
            <w:pPr>
              <w:spacing w:after="0"/>
              <w:rPr>
                <w:sz w:val="23"/>
                <w:szCs w:val="23"/>
                <w:color w:val="auto"/>
              </w:rPr>
            </w:pPr>
          </w:p>
        </w:tc>
      </w:tr>
      <w:tr>
        <w:trPr>
          <w:trHeight w:val="220"/>
        </w:trPr>
        <w:tc>
          <w:tcPr>
            <w:tcW w:w="760" w:type="dxa"/>
            <w:vAlign w:val="bottom"/>
          </w:tcPr>
          <w:p>
            <w:pPr>
              <w:spacing w:after="0" w:line="220" w:lineRule="exact"/>
              <w:rPr>
                <w:sz w:val="20"/>
                <w:szCs w:val="20"/>
                <w:color w:val="auto"/>
              </w:rPr>
            </w:pPr>
            <w:r>
              <w:rPr>
                <w:rFonts w:ascii="Arial" w:cs="Arial" w:eastAsia="Arial" w:hAnsi="Arial"/>
                <w:sz w:val="20"/>
                <w:szCs w:val="20"/>
                <w:color w:val="auto"/>
              </w:rPr>
              <w:t>6.05.</w:t>
            </w:r>
          </w:p>
        </w:tc>
        <w:tc>
          <w:tcPr>
            <w:tcW w:w="9380" w:type="dxa"/>
            <w:vAlign w:val="bottom"/>
            <w:gridSpan w:val="2"/>
          </w:tcPr>
          <w:p>
            <w:pPr>
              <w:spacing w:after="0" w:line="220" w:lineRule="exact"/>
              <w:rPr>
                <w:sz w:val="20"/>
                <w:szCs w:val="20"/>
                <w:color w:val="auto"/>
              </w:rPr>
            </w:pPr>
            <w:r>
              <w:rPr>
                <w:rFonts w:ascii="Arial" w:cs="Arial" w:eastAsia="Arial" w:hAnsi="Arial"/>
                <w:sz w:val="20"/>
                <w:szCs w:val="20"/>
                <w:color w:val="auto"/>
              </w:rPr>
              <w:t>Preservation of Existence, Etc</w:t>
            </w:r>
          </w:p>
        </w:tc>
        <w:tc>
          <w:tcPr>
            <w:tcW w:w="320" w:type="dxa"/>
            <w:vAlign w:val="bottom"/>
          </w:tcPr>
          <w:p>
            <w:pPr>
              <w:jc w:val="right"/>
              <w:ind w:right="20"/>
              <w:spacing w:after="0" w:line="220" w:lineRule="exact"/>
              <w:rPr>
                <w:sz w:val="20"/>
                <w:szCs w:val="20"/>
                <w:color w:val="auto"/>
              </w:rPr>
            </w:pPr>
            <w:r>
              <w:rPr>
                <w:rFonts w:ascii="Arial" w:cs="Arial" w:eastAsia="Arial" w:hAnsi="Arial"/>
                <w:sz w:val="20"/>
                <w:szCs w:val="20"/>
                <w:color w:val="FF0000"/>
                <w:strike w:val="1"/>
                <w:w w:val="80"/>
              </w:rPr>
              <w:t>78</w:t>
            </w:r>
          </w:p>
        </w:tc>
        <w:tc>
          <w:tcPr>
            <w:tcW w:w="220" w:type="dxa"/>
            <w:vAlign w:val="bottom"/>
            <w:tcBorders>
              <w:bottom w:val="single" w:sz="8" w:color="D6D6D6"/>
            </w:tcBorders>
            <w:shd w:val="clear" w:color="auto" w:fill="D6D6D6"/>
          </w:tcPr>
          <w:p>
            <w:pPr>
              <w:spacing w:after="0"/>
              <w:rPr>
                <w:sz w:val="19"/>
                <w:szCs w:val="19"/>
                <w:color w:val="auto"/>
              </w:rPr>
            </w:pPr>
          </w:p>
        </w:tc>
        <w:tc>
          <w:tcPr>
            <w:tcW w:w="200" w:type="dxa"/>
            <w:vAlign w:val="bottom"/>
            <w:tcBorders>
              <w:bottom w:val="single" w:sz="8" w:color="0A0AE5"/>
            </w:tcBorders>
            <w:shd w:val="clear" w:color="auto" w:fill="D6D6D6"/>
          </w:tcPr>
          <w:p>
            <w:pPr>
              <w:jc w:val="right"/>
              <w:spacing w:after="0" w:line="220" w:lineRule="exact"/>
              <w:rPr>
                <w:sz w:val="20"/>
                <w:szCs w:val="20"/>
                <w:color w:val="auto"/>
              </w:rPr>
            </w:pPr>
            <w:r>
              <w:rPr>
                <w:rFonts w:ascii="Arial" w:cs="Arial" w:eastAsia="Arial" w:hAnsi="Arial"/>
                <w:sz w:val="20"/>
                <w:szCs w:val="20"/>
                <w:b w:val="1"/>
                <w:bCs w:val="1"/>
                <w:color w:val="0A0AE5"/>
                <w:w w:val="80"/>
              </w:rPr>
              <w:t>77</w:t>
            </w:r>
          </w:p>
        </w:tc>
        <w:tc>
          <w:tcPr>
            <w:tcW w:w="100" w:type="dxa"/>
            <w:vAlign w:val="bottom"/>
            <w:tcBorders>
              <w:bottom w:val="single" w:sz="8" w:color="D6D6D6"/>
            </w:tcBorders>
            <w:shd w:val="clear" w:color="auto" w:fill="D6D6D6"/>
          </w:tcPr>
          <w:p>
            <w:pPr>
              <w:spacing w:after="0"/>
              <w:rPr>
                <w:sz w:val="19"/>
                <w:szCs w:val="19"/>
                <w:color w:val="auto"/>
              </w:rPr>
            </w:pPr>
          </w:p>
        </w:tc>
      </w:tr>
      <w:tr>
        <w:trPr>
          <w:trHeight w:val="255"/>
        </w:trPr>
        <w:tc>
          <w:tcPr>
            <w:tcW w:w="760" w:type="dxa"/>
            <w:vAlign w:val="bottom"/>
          </w:tcPr>
          <w:p>
            <w:pPr>
              <w:spacing w:after="0"/>
              <w:rPr>
                <w:sz w:val="20"/>
                <w:szCs w:val="20"/>
                <w:color w:val="auto"/>
              </w:rPr>
            </w:pPr>
            <w:r>
              <w:rPr>
                <w:rFonts w:ascii="Arial" w:cs="Arial" w:eastAsia="Arial" w:hAnsi="Arial"/>
                <w:sz w:val="20"/>
                <w:szCs w:val="20"/>
                <w:color w:val="auto"/>
              </w:rPr>
              <w:t>6.06.</w:t>
            </w:r>
          </w:p>
        </w:tc>
        <w:tc>
          <w:tcPr>
            <w:tcW w:w="9380" w:type="dxa"/>
            <w:vAlign w:val="bottom"/>
            <w:gridSpan w:val="2"/>
          </w:tcPr>
          <w:p>
            <w:pPr>
              <w:spacing w:after="0"/>
              <w:rPr>
                <w:sz w:val="20"/>
                <w:szCs w:val="20"/>
                <w:color w:val="auto"/>
              </w:rPr>
            </w:pPr>
            <w:r>
              <w:rPr>
                <w:rFonts w:ascii="Arial" w:cs="Arial" w:eastAsia="Arial" w:hAnsi="Arial"/>
                <w:sz w:val="20"/>
                <w:szCs w:val="20"/>
                <w:color w:val="auto"/>
              </w:rPr>
              <w:t>Maintenance of Properties</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78</w:t>
            </w:r>
          </w:p>
        </w:tc>
        <w:tc>
          <w:tcPr>
            <w:tcW w:w="22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77</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97"/>
        </w:trPr>
        <w:tc>
          <w:tcPr>
            <w:tcW w:w="760" w:type="dxa"/>
            <w:vAlign w:val="bottom"/>
          </w:tcPr>
          <w:p>
            <w:pPr>
              <w:spacing w:after="0"/>
              <w:rPr>
                <w:sz w:val="20"/>
                <w:szCs w:val="20"/>
                <w:color w:val="auto"/>
              </w:rPr>
            </w:pPr>
            <w:r>
              <w:rPr>
                <w:rFonts w:ascii="Arial" w:cs="Arial" w:eastAsia="Arial" w:hAnsi="Arial"/>
                <w:sz w:val="20"/>
                <w:szCs w:val="20"/>
                <w:color w:val="auto"/>
              </w:rPr>
              <w:t>6.07.</w:t>
            </w:r>
          </w:p>
        </w:tc>
        <w:tc>
          <w:tcPr>
            <w:tcW w:w="9380" w:type="dxa"/>
            <w:vAlign w:val="bottom"/>
            <w:gridSpan w:val="2"/>
          </w:tcPr>
          <w:p>
            <w:pPr>
              <w:spacing w:after="0"/>
              <w:rPr>
                <w:sz w:val="20"/>
                <w:szCs w:val="20"/>
                <w:color w:val="auto"/>
              </w:rPr>
            </w:pPr>
            <w:r>
              <w:rPr>
                <w:rFonts w:ascii="Arial" w:cs="Arial" w:eastAsia="Arial" w:hAnsi="Arial"/>
                <w:sz w:val="20"/>
                <w:szCs w:val="20"/>
                <w:color w:val="auto"/>
              </w:rPr>
              <w:t>Maintenance of Insurance</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78</w:t>
            </w:r>
          </w:p>
        </w:tc>
        <w:tc>
          <w:tcPr>
            <w:tcW w:w="220" w:type="dxa"/>
            <w:vAlign w:val="bottom"/>
            <w:tcBorders>
              <w:bottom w:val="single" w:sz="8" w:color="D6D6D6"/>
            </w:tcBorders>
            <w:shd w:val="clear" w:color="auto" w:fill="D6D6D6"/>
          </w:tcPr>
          <w:p>
            <w:pPr>
              <w:spacing w:after="0"/>
              <w:rPr>
                <w:sz w:val="24"/>
                <w:szCs w:val="24"/>
                <w:color w:val="auto"/>
              </w:rPr>
            </w:pPr>
          </w:p>
        </w:tc>
        <w:tc>
          <w:tcPr>
            <w:tcW w:w="200" w:type="dxa"/>
            <w:vAlign w:val="bottom"/>
            <w:tcBorders>
              <w:bottom w:val="single" w:sz="8" w:color="0A0AE5"/>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77</w:t>
            </w:r>
          </w:p>
        </w:tc>
        <w:tc>
          <w:tcPr>
            <w:tcW w:w="100" w:type="dxa"/>
            <w:vAlign w:val="bottom"/>
            <w:tcBorders>
              <w:bottom w:val="single" w:sz="8" w:color="D6D6D6"/>
            </w:tcBorders>
            <w:shd w:val="clear" w:color="auto" w:fill="D6D6D6"/>
          </w:tcPr>
          <w:p>
            <w:pPr>
              <w:spacing w:after="0"/>
              <w:rPr>
                <w:sz w:val="24"/>
                <w:szCs w:val="24"/>
                <w:color w:val="auto"/>
              </w:rPr>
            </w:pPr>
          </w:p>
        </w:tc>
      </w:tr>
      <w:tr>
        <w:trPr>
          <w:trHeight w:val="267"/>
        </w:trPr>
        <w:tc>
          <w:tcPr>
            <w:tcW w:w="760" w:type="dxa"/>
            <w:vAlign w:val="bottom"/>
          </w:tcPr>
          <w:p>
            <w:pPr>
              <w:spacing w:after="0"/>
              <w:rPr>
                <w:sz w:val="20"/>
                <w:szCs w:val="20"/>
                <w:color w:val="auto"/>
              </w:rPr>
            </w:pPr>
            <w:r>
              <w:rPr>
                <w:rFonts w:ascii="Arial" w:cs="Arial" w:eastAsia="Arial" w:hAnsi="Arial"/>
                <w:sz w:val="20"/>
                <w:szCs w:val="20"/>
                <w:color w:val="auto"/>
              </w:rPr>
              <w:t>6.08.</w:t>
            </w:r>
          </w:p>
        </w:tc>
        <w:tc>
          <w:tcPr>
            <w:tcW w:w="9380" w:type="dxa"/>
            <w:vAlign w:val="bottom"/>
            <w:gridSpan w:val="2"/>
          </w:tcPr>
          <w:p>
            <w:pPr>
              <w:spacing w:after="0"/>
              <w:rPr>
                <w:sz w:val="20"/>
                <w:szCs w:val="20"/>
                <w:color w:val="auto"/>
              </w:rPr>
            </w:pPr>
            <w:r>
              <w:rPr>
                <w:rFonts w:ascii="Arial" w:cs="Arial" w:eastAsia="Arial" w:hAnsi="Arial"/>
                <w:sz w:val="20"/>
                <w:szCs w:val="20"/>
                <w:color w:val="auto"/>
              </w:rPr>
              <w:t>Compliance with Laws</w:t>
            </w:r>
          </w:p>
        </w:tc>
        <w:tc>
          <w:tcPr>
            <w:tcW w:w="320" w:type="dxa"/>
            <w:vAlign w:val="bottom"/>
          </w:tcPr>
          <w:p>
            <w:pPr>
              <w:spacing w:after="0"/>
              <w:rPr>
                <w:sz w:val="23"/>
                <w:szCs w:val="23"/>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78</w:t>
            </w:r>
          </w:p>
        </w:tc>
        <w:tc>
          <w:tcPr>
            <w:tcW w:w="100" w:type="dxa"/>
            <w:vAlign w:val="bottom"/>
          </w:tcPr>
          <w:p>
            <w:pPr>
              <w:spacing w:after="0"/>
              <w:rPr>
                <w:sz w:val="23"/>
                <w:szCs w:val="23"/>
                <w:color w:val="auto"/>
              </w:rPr>
            </w:pPr>
          </w:p>
        </w:tc>
      </w:tr>
      <w:tr>
        <w:trPr>
          <w:trHeight w:val="220"/>
        </w:trPr>
        <w:tc>
          <w:tcPr>
            <w:tcW w:w="760" w:type="dxa"/>
            <w:vAlign w:val="bottom"/>
          </w:tcPr>
          <w:p>
            <w:pPr>
              <w:spacing w:after="0" w:line="220" w:lineRule="exact"/>
              <w:rPr>
                <w:sz w:val="20"/>
                <w:szCs w:val="20"/>
                <w:color w:val="auto"/>
              </w:rPr>
            </w:pPr>
            <w:r>
              <w:rPr>
                <w:rFonts w:ascii="Arial" w:cs="Arial" w:eastAsia="Arial" w:hAnsi="Arial"/>
                <w:sz w:val="20"/>
                <w:szCs w:val="20"/>
                <w:color w:val="auto"/>
              </w:rPr>
              <w:t>6.09.</w:t>
            </w:r>
          </w:p>
        </w:tc>
        <w:tc>
          <w:tcPr>
            <w:tcW w:w="9380" w:type="dxa"/>
            <w:vAlign w:val="bottom"/>
            <w:gridSpan w:val="2"/>
          </w:tcPr>
          <w:p>
            <w:pPr>
              <w:spacing w:after="0" w:line="220" w:lineRule="exact"/>
              <w:rPr>
                <w:sz w:val="20"/>
                <w:szCs w:val="20"/>
                <w:color w:val="auto"/>
              </w:rPr>
            </w:pPr>
            <w:r>
              <w:rPr>
                <w:rFonts w:ascii="Arial" w:cs="Arial" w:eastAsia="Arial" w:hAnsi="Arial"/>
                <w:sz w:val="20"/>
                <w:szCs w:val="20"/>
                <w:color w:val="auto"/>
              </w:rPr>
              <w:t>Books and Records</w:t>
            </w:r>
          </w:p>
        </w:tc>
        <w:tc>
          <w:tcPr>
            <w:tcW w:w="320" w:type="dxa"/>
            <w:vAlign w:val="bottom"/>
          </w:tcPr>
          <w:p>
            <w:pPr>
              <w:jc w:val="right"/>
              <w:ind w:right="20"/>
              <w:spacing w:after="0" w:line="220" w:lineRule="exact"/>
              <w:rPr>
                <w:sz w:val="20"/>
                <w:szCs w:val="20"/>
                <w:color w:val="auto"/>
              </w:rPr>
            </w:pPr>
            <w:r>
              <w:rPr>
                <w:rFonts w:ascii="Arial" w:cs="Arial" w:eastAsia="Arial" w:hAnsi="Arial"/>
                <w:sz w:val="20"/>
                <w:szCs w:val="20"/>
                <w:color w:val="FF0000"/>
                <w:strike w:val="1"/>
                <w:w w:val="80"/>
              </w:rPr>
              <w:t>79</w:t>
            </w:r>
          </w:p>
        </w:tc>
        <w:tc>
          <w:tcPr>
            <w:tcW w:w="220" w:type="dxa"/>
            <w:vAlign w:val="bottom"/>
            <w:tcBorders>
              <w:bottom w:val="single" w:sz="8" w:color="D6D6D6"/>
            </w:tcBorders>
            <w:shd w:val="clear" w:color="auto" w:fill="D6D6D6"/>
          </w:tcPr>
          <w:p>
            <w:pPr>
              <w:spacing w:after="0"/>
              <w:rPr>
                <w:sz w:val="19"/>
                <w:szCs w:val="19"/>
                <w:color w:val="auto"/>
              </w:rPr>
            </w:pPr>
          </w:p>
        </w:tc>
        <w:tc>
          <w:tcPr>
            <w:tcW w:w="200" w:type="dxa"/>
            <w:vAlign w:val="bottom"/>
            <w:tcBorders>
              <w:bottom w:val="single" w:sz="8" w:color="0A0AE5"/>
            </w:tcBorders>
            <w:shd w:val="clear" w:color="auto" w:fill="D6D6D6"/>
          </w:tcPr>
          <w:p>
            <w:pPr>
              <w:jc w:val="right"/>
              <w:spacing w:after="0" w:line="220" w:lineRule="exact"/>
              <w:rPr>
                <w:sz w:val="20"/>
                <w:szCs w:val="20"/>
                <w:color w:val="auto"/>
              </w:rPr>
            </w:pPr>
            <w:r>
              <w:rPr>
                <w:rFonts w:ascii="Arial" w:cs="Arial" w:eastAsia="Arial" w:hAnsi="Arial"/>
                <w:sz w:val="20"/>
                <w:szCs w:val="20"/>
                <w:b w:val="1"/>
                <w:bCs w:val="1"/>
                <w:color w:val="0A0AE5"/>
                <w:w w:val="80"/>
              </w:rPr>
              <w:t>78</w:t>
            </w:r>
          </w:p>
        </w:tc>
        <w:tc>
          <w:tcPr>
            <w:tcW w:w="100" w:type="dxa"/>
            <w:vAlign w:val="bottom"/>
            <w:tcBorders>
              <w:bottom w:val="single" w:sz="8" w:color="D6D6D6"/>
            </w:tcBorders>
            <w:shd w:val="clear" w:color="auto" w:fill="D6D6D6"/>
          </w:tcPr>
          <w:p>
            <w:pPr>
              <w:spacing w:after="0"/>
              <w:rPr>
                <w:sz w:val="19"/>
                <w:szCs w:val="19"/>
                <w:color w:val="auto"/>
              </w:rPr>
            </w:pPr>
          </w:p>
        </w:tc>
      </w:tr>
      <w:tr>
        <w:trPr>
          <w:trHeight w:val="255"/>
        </w:trPr>
        <w:tc>
          <w:tcPr>
            <w:tcW w:w="760" w:type="dxa"/>
            <w:vAlign w:val="bottom"/>
          </w:tcPr>
          <w:p>
            <w:pPr>
              <w:spacing w:after="0"/>
              <w:rPr>
                <w:sz w:val="20"/>
                <w:szCs w:val="20"/>
                <w:color w:val="auto"/>
              </w:rPr>
            </w:pPr>
            <w:r>
              <w:rPr>
                <w:rFonts w:ascii="Arial" w:cs="Arial" w:eastAsia="Arial" w:hAnsi="Arial"/>
                <w:sz w:val="20"/>
                <w:szCs w:val="20"/>
                <w:color w:val="auto"/>
              </w:rPr>
              <w:t>6.10.</w:t>
            </w:r>
          </w:p>
        </w:tc>
        <w:tc>
          <w:tcPr>
            <w:tcW w:w="9380" w:type="dxa"/>
            <w:vAlign w:val="bottom"/>
            <w:gridSpan w:val="2"/>
          </w:tcPr>
          <w:p>
            <w:pPr>
              <w:spacing w:after="0"/>
              <w:rPr>
                <w:sz w:val="20"/>
                <w:szCs w:val="20"/>
                <w:color w:val="auto"/>
              </w:rPr>
            </w:pPr>
            <w:r>
              <w:rPr>
                <w:rFonts w:ascii="Arial" w:cs="Arial" w:eastAsia="Arial" w:hAnsi="Arial"/>
                <w:sz w:val="20"/>
                <w:szCs w:val="20"/>
                <w:color w:val="auto"/>
              </w:rPr>
              <w:t>Inspection Rights</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79</w:t>
            </w:r>
          </w:p>
        </w:tc>
        <w:tc>
          <w:tcPr>
            <w:tcW w:w="22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78</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760" w:type="dxa"/>
            <w:vAlign w:val="bottom"/>
          </w:tcPr>
          <w:p>
            <w:pPr>
              <w:spacing w:after="0"/>
              <w:rPr>
                <w:sz w:val="20"/>
                <w:szCs w:val="20"/>
                <w:color w:val="auto"/>
              </w:rPr>
            </w:pPr>
            <w:r>
              <w:rPr>
                <w:rFonts w:ascii="Arial" w:cs="Arial" w:eastAsia="Arial" w:hAnsi="Arial"/>
                <w:sz w:val="20"/>
                <w:szCs w:val="20"/>
                <w:color w:val="auto"/>
              </w:rPr>
              <w:t>6.11.</w:t>
            </w:r>
          </w:p>
        </w:tc>
        <w:tc>
          <w:tcPr>
            <w:tcW w:w="9380" w:type="dxa"/>
            <w:vAlign w:val="bottom"/>
            <w:gridSpan w:val="2"/>
          </w:tcPr>
          <w:p>
            <w:pPr>
              <w:spacing w:after="0"/>
              <w:rPr>
                <w:sz w:val="20"/>
                <w:szCs w:val="20"/>
                <w:color w:val="auto"/>
              </w:rPr>
            </w:pPr>
            <w:r>
              <w:rPr>
                <w:rFonts w:ascii="Arial" w:cs="Arial" w:eastAsia="Arial" w:hAnsi="Arial"/>
                <w:sz w:val="20"/>
                <w:szCs w:val="20"/>
                <w:color w:val="auto"/>
              </w:rPr>
              <w:t>Use of Proceeds</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79</w:t>
            </w:r>
          </w:p>
        </w:tc>
        <w:tc>
          <w:tcPr>
            <w:tcW w:w="22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78</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760" w:type="dxa"/>
            <w:vAlign w:val="bottom"/>
          </w:tcPr>
          <w:p>
            <w:pPr>
              <w:spacing w:after="0"/>
              <w:rPr>
                <w:sz w:val="20"/>
                <w:szCs w:val="20"/>
                <w:color w:val="auto"/>
              </w:rPr>
            </w:pPr>
            <w:r>
              <w:rPr>
                <w:rFonts w:ascii="Arial" w:cs="Arial" w:eastAsia="Arial" w:hAnsi="Arial"/>
                <w:sz w:val="20"/>
                <w:szCs w:val="20"/>
                <w:color w:val="auto"/>
              </w:rPr>
              <w:t>6.12.</w:t>
            </w:r>
          </w:p>
        </w:tc>
        <w:tc>
          <w:tcPr>
            <w:tcW w:w="9380" w:type="dxa"/>
            <w:vAlign w:val="bottom"/>
            <w:gridSpan w:val="2"/>
          </w:tcPr>
          <w:p>
            <w:pPr>
              <w:spacing w:after="0"/>
              <w:rPr>
                <w:sz w:val="20"/>
                <w:szCs w:val="20"/>
                <w:color w:val="auto"/>
              </w:rPr>
            </w:pPr>
            <w:r>
              <w:rPr>
                <w:rFonts w:ascii="Arial" w:cs="Arial" w:eastAsia="Arial" w:hAnsi="Arial"/>
                <w:sz w:val="20"/>
                <w:szCs w:val="20"/>
                <w:color w:val="auto"/>
              </w:rPr>
              <w:t>Additional Guarantors</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79</w:t>
            </w:r>
          </w:p>
        </w:tc>
        <w:tc>
          <w:tcPr>
            <w:tcW w:w="22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78</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760" w:type="dxa"/>
            <w:vAlign w:val="bottom"/>
          </w:tcPr>
          <w:p>
            <w:pPr>
              <w:spacing w:after="0"/>
              <w:rPr>
                <w:sz w:val="20"/>
                <w:szCs w:val="20"/>
                <w:color w:val="auto"/>
              </w:rPr>
            </w:pPr>
            <w:r>
              <w:rPr>
                <w:rFonts w:ascii="Arial" w:cs="Arial" w:eastAsia="Arial" w:hAnsi="Arial"/>
                <w:sz w:val="20"/>
                <w:szCs w:val="20"/>
                <w:color w:val="auto"/>
              </w:rPr>
              <w:t>6.13.</w:t>
            </w:r>
          </w:p>
        </w:tc>
        <w:tc>
          <w:tcPr>
            <w:tcW w:w="9380" w:type="dxa"/>
            <w:vAlign w:val="bottom"/>
            <w:gridSpan w:val="2"/>
          </w:tcPr>
          <w:p>
            <w:pPr>
              <w:spacing w:after="0"/>
              <w:rPr>
                <w:sz w:val="20"/>
                <w:szCs w:val="20"/>
                <w:color w:val="auto"/>
              </w:rPr>
            </w:pPr>
            <w:r>
              <w:rPr>
                <w:rFonts w:ascii="Arial" w:cs="Arial" w:eastAsia="Arial" w:hAnsi="Arial"/>
                <w:sz w:val="20"/>
                <w:szCs w:val="20"/>
                <w:color w:val="auto"/>
              </w:rPr>
              <w:t>Compliance with Environmental Laws</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80</w:t>
            </w:r>
          </w:p>
        </w:tc>
        <w:tc>
          <w:tcPr>
            <w:tcW w:w="22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79</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97"/>
        </w:trPr>
        <w:tc>
          <w:tcPr>
            <w:tcW w:w="760" w:type="dxa"/>
            <w:vAlign w:val="bottom"/>
          </w:tcPr>
          <w:p>
            <w:pPr>
              <w:spacing w:after="0"/>
              <w:rPr>
                <w:sz w:val="20"/>
                <w:szCs w:val="20"/>
                <w:color w:val="auto"/>
              </w:rPr>
            </w:pPr>
            <w:r>
              <w:rPr>
                <w:rFonts w:ascii="Arial" w:cs="Arial" w:eastAsia="Arial" w:hAnsi="Arial"/>
                <w:sz w:val="20"/>
                <w:szCs w:val="20"/>
                <w:color w:val="auto"/>
              </w:rPr>
              <w:t>6.14.</w:t>
            </w:r>
          </w:p>
        </w:tc>
        <w:tc>
          <w:tcPr>
            <w:tcW w:w="9380" w:type="dxa"/>
            <w:vAlign w:val="bottom"/>
            <w:gridSpan w:val="2"/>
          </w:tcPr>
          <w:p>
            <w:pPr>
              <w:spacing w:after="0"/>
              <w:rPr>
                <w:sz w:val="20"/>
                <w:szCs w:val="20"/>
                <w:color w:val="auto"/>
              </w:rPr>
            </w:pPr>
            <w:r>
              <w:rPr>
                <w:rFonts w:ascii="Arial" w:cs="Arial" w:eastAsia="Arial" w:hAnsi="Arial"/>
                <w:sz w:val="20"/>
                <w:szCs w:val="20"/>
                <w:color w:val="auto"/>
              </w:rPr>
              <w:t>Further Assurances</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80</w:t>
            </w:r>
          </w:p>
        </w:tc>
        <w:tc>
          <w:tcPr>
            <w:tcW w:w="220" w:type="dxa"/>
            <w:vAlign w:val="bottom"/>
            <w:tcBorders>
              <w:bottom w:val="single" w:sz="8" w:color="D6D6D6"/>
            </w:tcBorders>
            <w:shd w:val="clear" w:color="auto" w:fill="D6D6D6"/>
          </w:tcPr>
          <w:p>
            <w:pPr>
              <w:spacing w:after="0"/>
              <w:rPr>
                <w:sz w:val="24"/>
                <w:szCs w:val="24"/>
                <w:color w:val="auto"/>
              </w:rPr>
            </w:pPr>
          </w:p>
        </w:tc>
        <w:tc>
          <w:tcPr>
            <w:tcW w:w="200" w:type="dxa"/>
            <w:vAlign w:val="bottom"/>
            <w:tcBorders>
              <w:bottom w:val="single" w:sz="8" w:color="0A0AE5"/>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79</w:t>
            </w:r>
          </w:p>
        </w:tc>
        <w:tc>
          <w:tcPr>
            <w:tcW w:w="100" w:type="dxa"/>
            <w:vAlign w:val="bottom"/>
            <w:tcBorders>
              <w:bottom w:val="single" w:sz="8" w:color="D6D6D6"/>
            </w:tcBorders>
            <w:shd w:val="clear" w:color="auto" w:fill="D6D6D6"/>
          </w:tcPr>
          <w:p>
            <w:pPr>
              <w:spacing w:after="0"/>
              <w:rPr>
                <w:sz w:val="24"/>
                <w:szCs w:val="24"/>
                <w:color w:val="auto"/>
              </w:rPr>
            </w:pPr>
          </w:p>
        </w:tc>
      </w:tr>
      <w:tr>
        <w:trPr>
          <w:trHeight w:val="260"/>
        </w:trPr>
        <w:tc>
          <w:tcPr>
            <w:tcW w:w="760" w:type="dxa"/>
            <w:vAlign w:val="bottom"/>
          </w:tcPr>
          <w:p>
            <w:pPr>
              <w:spacing w:after="0"/>
              <w:rPr>
                <w:sz w:val="20"/>
                <w:szCs w:val="20"/>
                <w:color w:val="auto"/>
              </w:rPr>
            </w:pPr>
            <w:r>
              <w:rPr>
                <w:rFonts w:ascii="Arial" w:cs="Arial" w:eastAsia="Arial" w:hAnsi="Arial"/>
                <w:sz w:val="20"/>
                <w:szCs w:val="20"/>
                <w:color w:val="auto"/>
              </w:rPr>
              <w:t>6.15.</w:t>
            </w:r>
          </w:p>
        </w:tc>
        <w:tc>
          <w:tcPr>
            <w:tcW w:w="2340" w:type="dxa"/>
            <w:vAlign w:val="bottom"/>
          </w:tcPr>
          <w:p>
            <w:pPr>
              <w:spacing w:after="0"/>
              <w:rPr>
                <w:sz w:val="20"/>
                <w:szCs w:val="20"/>
                <w:color w:val="auto"/>
              </w:rPr>
            </w:pPr>
            <w:r>
              <w:rPr>
                <w:rFonts w:ascii="Arial" w:cs="Arial" w:eastAsia="Arial" w:hAnsi="Arial"/>
                <w:sz w:val="20"/>
                <w:szCs w:val="20"/>
                <w:color w:val="EE2724"/>
                <w:strike w:val="1"/>
                <w:w w:val="90"/>
              </w:rPr>
              <w:t>Maintenance of REIT Status;</w:t>
            </w:r>
          </w:p>
        </w:tc>
        <w:tc>
          <w:tcPr>
            <w:tcW w:w="7040" w:type="dxa"/>
            <w:vAlign w:val="bottom"/>
          </w:tcPr>
          <w:p>
            <w:pPr>
              <w:ind w:left="60"/>
              <w:spacing w:after="0"/>
              <w:rPr>
                <w:sz w:val="20"/>
                <w:szCs w:val="20"/>
                <w:color w:val="auto"/>
              </w:rPr>
            </w:pPr>
            <w:r>
              <w:rPr>
                <w:rFonts w:ascii="Arial" w:cs="Arial" w:eastAsia="Arial" w:hAnsi="Arial"/>
                <w:sz w:val="20"/>
                <w:szCs w:val="20"/>
                <w:color w:val="auto"/>
              </w:rPr>
              <w:t>New York Stock Exchange Listing</w:t>
            </w:r>
          </w:p>
        </w:tc>
        <w:tc>
          <w:tcPr>
            <w:tcW w:w="32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80</w:t>
            </w:r>
          </w:p>
        </w:tc>
        <w:tc>
          <w:tcPr>
            <w:tcW w:w="100" w:type="dxa"/>
            <w:vAlign w:val="bottom"/>
          </w:tcPr>
          <w:p>
            <w:pPr>
              <w:spacing w:after="0"/>
              <w:rPr>
                <w:sz w:val="22"/>
                <w:szCs w:val="22"/>
                <w:color w:val="auto"/>
              </w:rPr>
            </w:pPr>
          </w:p>
        </w:tc>
      </w:tr>
      <w:tr>
        <w:trPr>
          <w:trHeight w:val="275"/>
        </w:trPr>
        <w:tc>
          <w:tcPr>
            <w:tcW w:w="760" w:type="dxa"/>
            <w:vAlign w:val="bottom"/>
          </w:tcPr>
          <w:p>
            <w:pPr>
              <w:spacing w:after="0"/>
              <w:rPr>
                <w:sz w:val="20"/>
                <w:szCs w:val="20"/>
                <w:color w:val="auto"/>
              </w:rPr>
            </w:pPr>
            <w:r>
              <w:rPr>
                <w:rFonts w:ascii="Arial" w:cs="Arial" w:eastAsia="Arial" w:hAnsi="Arial"/>
                <w:sz w:val="20"/>
                <w:szCs w:val="20"/>
                <w:color w:val="auto"/>
              </w:rPr>
              <w:t>6.16.</w:t>
            </w:r>
          </w:p>
        </w:tc>
        <w:tc>
          <w:tcPr>
            <w:tcW w:w="9380" w:type="dxa"/>
            <w:vAlign w:val="bottom"/>
            <w:gridSpan w:val="2"/>
          </w:tcPr>
          <w:p>
            <w:pPr>
              <w:spacing w:after="0"/>
              <w:rPr>
                <w:sz w:val="20"/>
                <w:szCs w:val="20"/>
                <w:color w:val="auto"/>
              </w:rPr>
            </w:pPr>
            <w:r>
              <w:rPr>
                <w:rFonts w:ascii="Arial" w:cs="Arial" w:eastAsia="Arial" w:hAnsi="Arial"/>
                <w:sz w:val="20"/>
                <w:szCs w:val="20"/>
                <w:color w:val="auto"/>
              </w:rPr>
              <w:t>Material Contracts</w:t>
            </w:r>
          </w:p>
        </w:tc>
        <w:tc>
          <w:tcPr>
            <w:tcW w:w="320" w:type="dxa"/>
            <w:vAlign w:val="bottom"/>
          </w:tcPr>
          <w:p>
            <w:pPr>
              <w:spacing w:after="0"/>
              <w:rPr>
                <w:sz w:val="23"/>
                <w:szCs w:val="23"/>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80</w:t>
            </w:r>
          </w:p>
        </w:tc>
        <w:tc>
          <w:tcPr>
            <w:tcW w:w="100" w:type="dxa"/>
            <w:vAlign w:val="bottom"/>
          </w:tcPr>
          <w:p>
            <w:pPr>
              <w:spacing w:after="0"/>
              <w:rPr>
                <w:sz w:val="23"/>
                <w:szCs w:val="23"/>
                <w:color w:val="auto"/>
              </w:rPr>
            </w:pPr>
          </w:p>
        </w:tc>
      </w:tr>
      <w:tr>
        <w:trPr>
          <w:trHeight w:val="600"/>
        </w:trPr>
        <w:tc>
          <w:tcPr>
            <w:tcW w:w="7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040" w:type="dxa"/>
            <w:vAlign w:val="bottom"/>
          </w:tcPr>
          <w:p>
            <w:pPr>
              <w:jc w:val="center"/>
              <w:ind w:right="1580"/>
              <w:spacing w:after="0"/>
              <w:rPr>
                <w:sz w:val="20"/>
                <w:szCs w:val="20"/>
                <w:color w:val="auto"/>
              </w:rPr>
            </w:pPr>
            <w:r>
              <w:rPr>
                <w:rFonts w:ascii="Arial" w:cs="Arial" w:eastAsia="Arial" w:hAnsi="Arial"/>
                <w:sz w:val="20"/>
                <w:szCs w:val="20"/>
                <w:color w:val="auto"/>
              </w:rPr>
              <w:t>ARTICLE VII</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5"/>
        </w:trPr>
        <w:tc>
          <w:tcPr>
            <w:tcW w:w="76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7040" w:type="dxa"/>
            <w:vAlign w:val="bottom"/>
          </w:tcPr>
          <w:p>
            <w:pPr>
              <w:jc w:val="center"/>
              <w:ind w:right="1600"/>
              <w:spacing w:after="0"/>
              <w:rPr>
                <w:sz w:val="20"/>
                <w:szCs w:val="20"/>
                <w:color w:val="auto"/>
              </w:rPr>
            </w:pPr>
            <w:r>
              <w:rPr>
                <w:rFonts w:ascii="Arial" w:cs="Arial" w:eastAsia="Arial" w:hAnsi="Arial"/>
                <w:sz w:val="20"/>
                <w:szCs w:val="20"/>
                <w:color w:val="auto"/>
                <w:w w:val="97"/>
              </w:rPr>
              <w:t>NEGATIVE COVENANTS</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340"/>
        </w:trPr>
        <w:tc>
          <w:tcPr>
            <w:tcW w:w="7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760" w:type="dxa"/>
            <w:vAlign w:val="bottom"/>
          </w:tcPr>
          <w:p>
            <w:pPr>
              <w:spacing w:after="0" w:line="212" w:lineRule="exact"/>
              <w:rPr>
                <w:sz w:val="20"/>
                <w:szCs w:val="20"/>
                <w:color w:val="auto"/>
              </w:rPr>
            </w:pPr>
            <w:r>
              <w:rPr>
                <w:rFonts w:ascii="Arial" w:cs="Arial" w:eastAsia="Arial" w:hAnsi="Arial"/>
                <w:sz w:val="20"/>
                <w:szCs w:val="20"/>
                <w:color w:val="auto"/>
              </w:rPr>
              <w:t>7.01.</w:t>
            </w:r>
          </w:p>
        </w:tc>
        <w:tc>
          <w:tcPr>
            <w:tcW w:w="9380" w:type="dxa"/>
            <w:vAlign w:val="bottom"/>
            <w:gridSpan w:val="2"/>
          </w:tcPr>
          <w:p>
            <w:pPr>
              <w:spacing w:after="0" w:line="212" w:lineRule="exact"/>
              <w:rPr>
                <w:sz w:val="20"/>
                <w:szCs w:val="20"/>
                <w:color w:val="auto"/>
              </w:rPr>
            </w:pPr>
            <w:r>
              <w:rPr>
                <w:rFonts w:ascii="Arial" w:cs="Arial" w:eastAsia="Arial" w:hAnsi="Arial"/>
                <w:sz w:val="20"/>
                <w:szCs w:val="20"/>
                <w:color w:val="auto"/>
              </w:rPr>
              <w:t>Liens</w:t>
            </w:r>
          </w:p>
        </w:tc>
        <w:tc>
          <w:tcPr>
            <w:tcW w:w="320" w:type="dxa"/>
            <w:vAlign w:val="bottom"/>
          </w:tcPr>
          <w:p>
            <w:pPr>
              <w:jc w:val="right"/>
              <w:ind w:right="20"/>
              <w:spacing w:after="0" w:line="212" w:lineRule="exact"/>
              <w:rPr>
                <w:sz w:val="20"/>
                <w:szCs w:val="20"/>
                <w:color w:val="auto"/>
              </w:rPr>
            </w:pPr>
            <w:r>
              <w:rPr>
                <w:rFonts w:ascii="Arial" w:cs="Arial" w:eastAsia="Arial" w:hAnsi="Arial"/>
                <w:sz w:val="20"/>
                <w:szCs w:val="20"/>
                <w:color w:val="FF0000"/>
                <w:strike w:val="1"/>
                <w:w w:val="80"/>
              </w:rPr>
              <w:t>81</w:t>
            </w:r>
          </w:p>
        </w:tc>
        <w:tc>
          <w:tcPr>
            <w:tcW w:w="220" w:type="dxa"/>
            <w:vAlign w:val="bottom"/>
            <w:tcBorders>
              <w:bottom w:val="single" w:sz="8" w:color="D6D6D6"/>
            </w:tcBorders>
            <w:shd w:val="clear" w:color="auto" w:fill="D6D6D6"/>
          </w:tcPr>
          <w:p>
            <w:pPr>
              <w:spacing w:after="0"/>
              <w:rPr>
                <w:sz w:val="18"/>
                <w:szCs w:val="18"/>
                <w:color w:val="auto"/>
              </w:rPr>
            </w:pPr>
          </w:p>
        </w:tc>
        <w:tc>
          <w:tcPr>
            <w:tcW w:w="200" w:type="dxa"/>
            <w:vAlign w:val="bottom"/>
            <w:tcBorders>
              <w:bottom w:val="single" w:sz="8" w:color="0A0AE5"/>
            </w:tcBorders>
            <w:shd w:val="clear" w:color="auto" w:fill="D6D6D6"/>
          </w:tcPr>
          <w:p>
            <w:pPr>
              <w:jc w:val="right"/>
              <w:spacing w:after="0" w:line="212" w:lineRule="exact"/>
              <w:rPr>
                <w:sz w:val="20"/>
                <w:szCs w:val="20"/>
                <w:color w:val="auto"/>
              </w:rPr>
            </w:pPr>
            <w:r>
              <w:rPr>
                <w:rFonts w:ascii="Arial" w:cs="Arial" w:eastAsia="Arial" w:hAnsi="Arial"/>
                <w:sz w:val="20"/>
                <w:szCs w:val="20"/>
                <w:b w:val="1"/>
                <w:bCs w:val="1"/>
                <w:color w:val="0A0AE5"/>
                <w:w w:val="80"/>
              </w:rPr>
              <w:t>80</w:t>
            </w:r>
          </w:p>
        </w:tc>
        <w:tc>
          <w:tcPr>
            <w:tcW w:w="100" w:type="dxa"/>
            <w:vAlign w:val="bottom"/>
            <w:tcBorders>
              <w:bottom w:val="single" w:sz="8" w:color="D6D6D6"/>
            </w:tcBorders>
            <w:shd w:val="clear" w:color="auto" w:fill="D6D6D6"/>
          </w:tcPr>
          <w:p>
            <w:pPr>
              <w:spacing w:after="0"/>
              <w:rPr>
                <w:sz w:val="18"/>
                <w:szCs w:val="18"/>
                <w:color w:val="auto"/>
              </w:rPr>
            </w:pPr>
          </w:p>
        </w:tc>
      </w:tr>
      <w:tr>
        <w:trPr>
          <w:trHeight w:val="297"/>
        </w:trPr>
        <w:tc>
          <w:tcPr>
            <w:tcW w:w="760" w:type="dxa"/>
            <w:vAlign w:val="bottom"/>
          </w:tcPr>
          <w:p>
            <w:pPr>
              <w:spacing w:after="0"/>
              <w:rPr>
                <w:sz w:val="20"/>
                <w:szCs w:val="20"/>
                <w:color w:val="auto"/>
              </w:rPr>
            </w:pPr>
            <w:r>
              <w:rPr>
                <w:rFonts w:ascii="Arial" w:cs="Arial" w:eastAsia="Arial" w:hAnsi="Arial"/>
                <w:sz w:val="20"/>
                <w:szCs w:val="20"/>
                <w:color w:val="auto"/>
              </w:rPr>
              <w:t>7.02.</w:t>
            </w:r>
          </w:p>
        </w:tc>
        <w:tc>
          <w:tcPr>
            <w:tcW w:w="9380" w:type="dxa"/>
            <w:vAlign w:val="bottom"/>
            <w:gridSpan w:val="2"/>
          </w:tcPr>
          <w:p>
            <w:pPr>
              <w:spacing w:after="0"/>
              <w:rPr>
                <w:sz w:val="20"/>
                <w:szCs w:val="20"/>
                <w:color w:val="auto"/>
              </w:rPr>
            </w:pPr>
            <w:r>
              <w:rPr>
                <w:rFonts w:ascii="Arial" w:cs="Arial" w:eastAsia="Arial" w:hAnsi="Arial"/>
                <w:sz w:val="20"/>
                <w:szCs w:val="20"/>
                <w:color w:val="auto"/>
              </w:rPr>
              <w:t>Indebtedness</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83</w:t>
            </w:r>
          </w:p>
        </w:tc>
        <w:tc>
          <w:tcPr>
            <w:tcW w:w="220" w:type="dxa"/>
            <w:vAlign w:val="bottom"/>
            <w:tcBorders>
              <w:bottom w:val="single" w:sz="8" w:color="D6D6D6"/>
            </w:tcBorders>
            <w:shd w:val="clear" w:color="auto" w:fill="D6D6D6"/>
          </w:tcPr>
          <w:p>
            <w:pPr>
              <w:spacing w:after="0"/>
              <w:rPr>
                <w:sz w:val="24"/>
                <w:szCs w:val="24"/>
                <w:color w:val="auto"/>
              </w:rPr>
            </w:pPr>
          </w:p>
        </w:tc>
        <w:tc>
          <w:tcPr>
            <w:tcW w:w="200" w:type="dxa"/>
            <w:vAlign w:val="bottom"/>
            <w:tcBorders>
              <w:bottom w:val="single" w:sz="8" w:color="0A0AE5"/>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82</w:t>
            </w:r>
          </w:p>
        </w:tc>
        <w:tc>
          <w:tcPr>
            <w:tcW w:w="100" w:type="dxa"/>
            <w:vAlign w:val="bottom"/>
            <w:tcBorders>
              <w:bottom w:val="single" w:sz="8" w:color="D6D6D6"/>
            </w:tcBorders>
            <w:shd w:val="clear" w:color="auto" w:fill="D6D6D6"/>
          </w:tcPr>
          <w:p>
            <w:pPr>
              <w:spacing w:after="0"/>
              <w:rPr>
                <w:sz w:val="24"/>
                <w:szCs w:val="24"/>
                <w:color w:val="auto"/>
              </w:rPr>
            </w:pPr>
          </w:p>
        </w:tc>
      </w:tr>
      <w:tr>
        <w:trPr>
          <w:trHeight w:val="267"/>
        </w:trPr>
        <w:tc>
          <w:tcPr>
            <w:tcW w:w="760" w:type="dxa"/>
            <w:vAlign w:val="bottom"/>
          </w:tcPr>
          <w:p>
            <w:pPr>
              <w:spacing w:after="0"/>
              <w:rPr>
                <w:sz w:val="20"/>
                <w:szCs w:val="20"/>
                <w:color w:val="auto"/>
              </w:rPr>
            </w:pPr>
            <w:r>
              <w:rPr>
                <w:rFonts w:ascii="Arial" w:cs="Arial" w:eastAsia="Arial" w:hAnsi="Arial"/>
                <w:sz w:val="20"/>
                <w:szCs w:val="20"/>
                <w:color w:val="auto"/>
              </w:rPr>
              <w:t>7.03.</w:t>
            </w:r>
          </w:p>
        </w:tc>
        <w:tc>
          <w:tcPr>
            <w:tcW w:w="9380" w:type="dxa"/>
            <w:vAlign w:val="bottom"/>
            <w:gridSpan w:val="2"/>
          </w:tcPr>
          <w:p>
            <w:pPr>
              <w:spacing w:after="0"/>
              <w:rPr>
                <w:sz w:val="20"/>
                <w:szCs w:val="20"/>
                <w:color w:val="auto"/>
              </w:rPr>
            </w:pPr>
            <w:r>
              <w:rPr>
                <w:rFonts w:ascii="Arial" w:cs="Arial" w:eastAsia="Arial" w:hAnsi="Arial"/>
                <w:sz w:val="20"/>
                <w:szCs w:val="20"/>
                <w:color w:val="auto"/>
              </w:rPr>
              <w:t>Investments</w:t>
            </w:r>
          </w:p>
        </w:tc>
        <w:tc>
          <w:tcPr>
            <w:tcW w:w="320" w:type="dxa"/>
            <w:vAlign w:val="bottom"/>
          </w:tcPr>
          <w:p>
            <w:pPr>
              <w:spacing w:after="0"/>
              <w:rPr>
                <w:sz w:val="23"/>
                <w:szCs w:val="23"/>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83</w:t>
            </w:r>
          </w:p>
        </w:tc>
        <w:tc>
          <w:tcPr>
            <w:tcW w:w="100" w:type="dxa"/>
            <w:vAlign w:val="bottom"/>
          </w:tcPr>
          <w:p>
            <w:pPr>
              <w:spacing w:after="0"/>
              <w:rPr>
                <w:sz w:val="23"/>
                <w:szCs w:val="23"/>
                <w:color w:val="auto"/>
              </w:rPr>
            </w:pPr>
          </w:p>
        </w:tc>
      </w:tr>
      <w:tr>
        <w:trPr>
          <w:trHeight w:val="220"/>
        </w:trPr>
        <w:tc>
          <w:tcPr>
            <w:tcW w:w="760" w:type="dxa"/>
            <w:vAlign w:val="bottom"/>
          </w:tcPr>
          <w:p>
            <w:pPr>
              <w:spacing w:after="0" w:line="220" w:lineRule="exact"/>
              <w:rPr>
                <w:sz w:val="20"/>
                <w:szCs w:val="20"/>
                <w:color w:val="auto"/>
              </w:rPr>
            </w:pPr>
            <w:r>
              <w:rPr>
                <w:rFonts w:ascii="Arial" w:cs="Arial" w:eastAsia="Arial" w:hAnsi="Arial"/>
                <w:sz w:val="20"/>
                <w:szCs w:val="20"/>
                <w:color w:val="auto"/>
              </w:rPr>
              <w:t>7.04.</w:t>
            </w:r>
          </w:p>
        </w:tc>
        <w:tc>
          <w:tcPr>
            <w:tcW w:w="9380" w:type="dxa"/>
            <w:vAlign w:val="bottom"/>
            <w:gridSpan w:val="2"/>
          </w:tcPr>
          <w:p>
            <w:pPr>
              <w:spacing w:after="0" w:line="220" w:lineRule="exact"/>
              <w:rPr>
                <w:sz w:val="20"/>
                <w:szCs w:val="20"/>
                <w:color w:val="auto"/>
              </w:rPr>
            </w:pPr>
            <w:r>
              <w:rPr>
                <w:rFonts w:ascii="Arial" w:cs="Arial" w:eastAsia="Arial" w:hAnsi="Arial"/>
                <w:sz w:val="20"/>
                <w:szCs w:val="20"/>
                <w:color w:val="auto"/>
              </w:rPr>
              <w:t>Fundamental Changes</w:t>
            </w:r>
          </w:p>
        </w:tc>
        <w:tc>
          <w:tcPr>
            <w:tcW w:w="320" w:type="dxa"/>
            <w:vAlign w:val="bottom"/>
          </w:tcPr>
          <w:p>
            <w:pPr>
              <w:jc w:val="right"/>
              <w:ind w:right="20"/>
              <w:spacing w:after="0" w:line="220" w:lineRule="exact"/>
              <w:rPr>
                <w:sz w:val="20"/>
                <w:szCs w:val="20"/>
                <w:color w:val="auto"/>
              </w:rPr>
            </w:pPr>
            <w:r>
              <w:rPr>
                <w:rFonts w:ascii="Arial" w:cs="Arial" w:eastAsia="Arial" w:hAnsi="Arial"/>
                <w:sz w:val="20"/>
                <w:szCs w:val="20"/>
                <w:color w:val="FF0000"/>
                <w:strike w:val="1"/>
                <w:w w:val="80"/>
              </w:rPr>
              <w:t>85</w:t>
            </w:r>
          </w:p>
        </w:tc>
        <w:tc>
          <w:tcPr>
            <w:tcW w:w="220" w:type="dxa"/>
            <w:vAlign w:val="bottom"/>
            <w:tcBorders>
              <w:bottom w:val="single" w:sz="8" w:color="D6D6D6"/>
            </w:tcBorders>
            <w:shd w:val="clear" w:color="auto" w:fill="D6D6D6"/>
          </w:tcPr>
          <w:p>
            <w:pPr>
              <w:spacing w:after="0"/>
              <w:rPr>
                <w:sz w:val="19"/>
                <w:szCs w:val="19"/>
                <w:color w:val="auto"/>
              </w:rPr>
            </w:pPr>
          </w:p>
        </w:tc>
        <w:tc>
          <w:tcPr>
            <w:tcW w:w="200" w:type="dxa"/>
            <w:vAlign w:val="bottom"/>
            <w:tcBorders>
              <w:bottom w:val="single" w:sz="8" w:color="0A0AE5"/>
            </w:tcBorders>
            <w:shd w:val="clear" w:color="auto" w:fill="D6D6D6"/>
          </w:tcPr>
          <w:p>
            <w:pPr>
              <w:jc w:val="right"/>
              <w:spacing w:after="0" w:line="220" w:lineRule="exact"/>
              <w:rPr>
                <w:sz w:val="20"/>
                <w:szCs w:val="20"/>
                <w:color w:val="auto"/>
              </w:rPr>
            </w:pPr>
            <w:r>
              <w:rPr>
                <w:rFonts w:ascii="Arial" w:cs="Arial" w:eastAsia="Arial" w:hAnsi="Arial"/>
                <w:sz w:val="20"/>
                <w:szCs w:val="20"/>
                <w:b w:val="1"/>
                <w:bCs w:val="1"/>
                <w:color w:val="0A0AE5"/>
                <w:w w:val="80"/>
              </w:rPr>
              <w:t>83</w:t>
            </w:r>
          </w:p>
        </w:tc>
        <w:tc>
          <w:tcPr>
            <w:tcW w:w="100" w:type="dxa"/>
            <w:vAlign w:val="bottom"/>
            <w:tcBorders>
              <w:bottom w:val="single" w:sz="8" w:color="D6D6D6"/>
            </w:tcBorders>
            <w:shd w:val="clear" w:color="auto" w:fill="D6D6D6"/>
          </w:tcPr>
          <w:p>
            <w:pPr>
              <w:spacing w:after="0"/>
              <w:rPr>
                <w:sz w:val="19"/>
                <w:szCs w:val="19"/>
                <w:color w:val="auto"/>
              </w:rPr>
            </w:pPr>
          </w:p>
        </w:tc>
      </w:tr>
      <w:tr>
        <w:trPr>
          <w:trHeight w:val="255"/>
        </w:trPr>
        <w:tc>
          <w:tcPr>
            <w:tcW w:w="760" w:type="dxa"/>
            <w:vAlign w:val="bottom"/>
          </w:tcPr>
          <w:p>
            <w:pPr>
              <w:spacing w:after="0"/>
              <w:rPr>
                <w:sz w:val="20"/>
                <w:szCs w:val="20"/>
                <w:color w:val="auto"/>
              </w:rPr>
            </w:pPr>
            <w:r>
              <w:rPr>
                <w:rFonts w:ascii="Arial" w:cs="Arial" w:eastAsia="Arial" w:hAnsi="Arial"/>
                <w:sz w:val="20"/>
                <w:szCs w:val="20"/>
                <w:color w:val="auto"/>
              </w:rPr>
              <w:t>7.05.</w:t>
            </w:r>
          </w:p>
        </w:tc>
        <w:tc>
          <w:tcPr>
            <w:tcW w:w="9380" w:type="dxa"/>
            <w:vAlign w:val="bottom"/>
            <w:gridSpan w:val="2"/>
          </w:tcPr>
          <w:p>
            <w:pPr>
              <w:spacing w:after="0"/>
              <w:rPr>
                <w:sz w:val="20"/>
                <w:szCs w:val="20"/>
                <w:color w:val="auto"/>
              </w:rPr>
            </w:pPr>
            <w:r>
              <w:rPr>
                <w:rFonts w:ascii="Arial" w:cs="Arial" w:eastAsia="Arial" w:hAnsi="Arial"/>
                <w:sz w:val="20"/>
                <w:szCs w:val="20"/>
                <w:color w:val="auto"/>
              </w:rPr>
              <w:t>Dispositions</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86</w:t>
            </w:r>
          </w:p>
        </w:tc>
        <w:tc>
          <w:tcPr>
            <w:tcW w:w="22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83</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760" w:type="dxa"/>
            <w:vAlign w:val="bottom"/>
          </w:tcPr>
          <w:p>
            <w:pPr>
              <w:spacing w:after="0"/>
              <w:rPr>
                <w:sz w:val="20"/>
                <w:szCs w:val="20"/>
                <w:color w:val="auto"/>
              </w:rPr>
            </w:pPr>
            <w:r>
              <w:rPr>
                <w:rFonts w:ascii="Arial" w:cs="Arial" w:eastAsia="Arial" w:hAnsi="Arial"/>
                <w:sz w:val="20"/>
                <w:szCs w:val="20"/>
                <w:color w:val="auto"/>
              </w:rPr>
              <w:t>7.06.</w:t>
            </w:r>
          </w:p>
        </w:tc>
        <w:tc>
          <w:tcPr>
            <w:tcW w:w="9380" w:type="dxa"/>
            <w:vAlign w:val="bottom"/>
            <w:gridSpan w:val="2"/>
          </w:tcPr>
          <w:p>
            <w:pPr>
              <w:spacing w:after="0"/>
              <w:rPr>
                <w:sz w:val="20"/>
                <w:szCs w:val="20"/>
                <w:color w:val="auto"/>
              </w:rPr>
            </w:pPr>
            <w:r>
              <w:rPr>
                <w:rFonts w:ascii="Arial" w:cs="Arial" w:eastAsia="Arial" w:hAnsi="Arial"/>
                <w:sz w:val="20"/>
                <w:szCs w:val="20"/>
                <w:color w:val="auto"/>
              </w:rPr>
              <w:t>Restricted Payments</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86</w:t>
            </w:r>
          </w:p>
        </w:tc>
        <w:tc>
          <w:tcPr>
            <w:tcW w:w="22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83</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760" w:type="dxa"/>
            <w:vAlign w:val="bottom"/>
          </w:tcPr>
          <w:p>
            <w:pPr>
              <w:spacing w:after="0"/>
              <w:rPr>
                <w:sz w:val="20"/>
                <w:szCs w:val="20"/>
                <w:color w:val="auto"/>
              </w:rPr>
            </w:pPr>
            <w:r>
              <w:rPr>
                <w:rFonts w:ascii="Arial" w:cs="Arial" w:eastAsia="Arial" w:hAnsi="Arial"/>
                <w:sz w:val="20"/>
                <w:szCs w:val="20"/>
                <w:color w:val="auto"/>
              </w:rPr>
              <w:t>7.07.</w:t>
            </w:r>
          </w:p>
        </w:tc>
        <w:tc>
          <w:tcPr>
            <w:tcW w:w="9380" w:type="dxa"/>
            <w:vAlign w:val="bottom"/>
            <w:gridSpan w:val="2"/>
          </w:tcPr>
          <w:p>
            <w:pPr>
              <w:spacing w:after="0"/>
              <w:rPr>
                <w:sz w:val="20"/>
                <w:szCs w:val="20"/>
                <w:color w:val="auto"/>
              </w:rPr>
            </w:pPr>
            <w:r>
              <w:rPr>
                <w:rFonts w:ascii="Arial" w:cs="Arial" w:eastAsia="Arial" w:hAnsi="Arial"/>
                <w:sz w:val="20"/>
                <w:szCs w:val="20"/>
                <w:color w:val="auto"/>
              </w:rPr>
              <w:t>Change in Nature of Business</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87</w:t>
            </w:r>
          </w:p>
        </w:tc>
        <w:tc>
          <w:tcPr>
            <w:tcW w:w="22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84</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760" w:type="dxa"/>
            <w:vAlign w:val="bottom"/>
          </w:tcPr>
          <w:p>
            <w:pPr>
              <w:spacing w:after="0"/>
              <w:rPr>
                <w:sz w:val="20"/>
                <w:szCs w:val="20"/>
                <w:color w:val="auto"/>
              </w:rPr>
            </w:pPr>
            <w:r>
              <w:rPr>
                <w:rFonts w:ascii="Arial" w:cs="Arial" w:eastAsia="Arial" w:hAnsi="Arial"/>
                <w:sz w:val="20"/>
                <w:szCs w:val="20"/>
                <w:color w:val="auto"/>
              </w:rPr>
              <w:t>7.08.</w:t>
            </w:r>
          </w:p>
        </w:tc>
        <w:tc>
          <w:tcPr>
            <w:tcW w:w="9380" w:type="dxa"/>
            <w:vAlign w:val="bottom"/>
            <w:gridSpan w:val="2"/>
          </w:tcPr>
          <w:p>
            <w:pPr>
              <w:spacing w:after="0"/>
              <w:rPr>
                <w:sz w:val="20"/>
                <w:szCs w:val="20"/>
                <w:color w:val="auto"/>
              </w:rPr>
            </w:pPr>
            <w:r>
              <w:rPr>
                <w:rFonts w:ascii="Arial" w:cs="Arial" w:eastAsia="Arial" w:hAnsi="Arial"/>
                <w:sz w:val="20"/>
                <w:szCs w:val="20"/>
                <w:color w:val="auto"/>
              </w:rPr>
              <w:t>Transactions with Affiliates</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87</w:t>
            </w:r>
          </w:p>
        </w:tc>
        <w:tc>
          <w:tcPr>
            <w:tcW w:w="22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84</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760" w:type="dxa"/>
            <w:vAlign w:val="bottom"/>
          </w:tcPr>
          <w:p>
            <w:pPr>
              <w:spacing w:after="0"/>
              <w:rPr>
                <w:sz w:val="20"/>
                <w:szCs w:val="20"/>
                <w:color w:val="auto"/>
              </w:rPr>
            </w:pPr>
            <w:r>
              <w:rPr>
                <w:rFonts w:ascii="Arial" w:cs="Arial" w:eastAsia="Arial" w:hAnsi="Arial"/>
                <w:sz w:val="20"/>
                <w:szCs w:val="20"/>
                <w:color w:val="auto"/>
              </w:rPr>
              <w:t>7.09.</w:t>
            </w:r>
          </w:p>
        </w:tc>
        <w:tc>
          <w:tcPr>
            <w:tcW w:w="9380" w:type="dxa"/>
            <w:vAlign w:val="bottom"/>
            <w:gridSpan w:val="2"/>
          </w:tcPr>
          <w:p>
            <w:pPr>
              <w:spacing w:after="0"/>
              <w:rPr>
                <w:sz w:val="20"/>
                <w:szCs w:val="20"/>
                <w:color w:val="auto"/>
              </w:rPr>
            </w:pPr>
            <w:r>
              <w:rPr>
                <w:rFonts w:ascii="Arial" w:cs="Arial" w:eastAsia="Arial" w:hAnsi="Arial"/>
                <w:sz w:val="20"/>
                <w:szCs w:val="20"/>
                <w:color w:val="auto"/>
              </w:rPr>
              <w:t>Burdensome Agreements</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87</w:t>
            </w:r>
          </w:p>
        </w:tc>
        <w:tc>
          <w:tcPr>
            <w:tcW w:w="22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85</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760" w:type="dxa"/>
            <w:vAlign w:val="bottom"/>
          </w:tcPr>
          <w:p>
            <w:pPr>
              <w:spacing w:after="0"/>
              <w:rPr>
                <w:sz w:val="20"/>
                <w:szCs w:val="20"/>
                <w:color w:val="auto"/>
              </w:rPr>
            </w:pPr>
            <w:r>
              <w:rPr>
                <w:rFonts w:ascii="Arial" w:cs="Arial" w:eastAsia="Arial" w:hAnsi="Arial"/>
                <w:sz w:val="20"/>
                <w:szCs w:val="20"/>
                <w:color w:val="auto"/>
              </w:rPr>
              <w:t>7.10.</w:t>
            </w:r>
          </w:p>
        </w:tc>
        <w:tc>
          <w:tcPr>
            <w:tcW w:w="9380" w:type="dxa"/>
            <w:vAlign w:val="bottom"/>
            <w:gridSpan w:val="2"/>
          </w:tcPr>
          <w:p>
            <w:pPr>
              <w:spacing w:after="0"/>
              <w:rPr>
                <w:sz w:val="20"/>
                <w:szCs w:val="20"/>
                <w:color w:val="auto"/>
              </w:rPr>
            </w:pPr>
            <w:r>
              <w:rPr>
                <w:rFonts w:ascii="Arial" w:cs="Arial" w:eastAsia="Arial" w:hAnsi="Arial"/>
                <w:sz w:val="20"/>
                <w:szCs w:val="20"/>
                <w:color w:val="auto"/>
              </w:rPr>
              <w:t>Use of Proceeds</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88</w:t>
            </w:r>
          </w:p>
        </w:tc>
        <w:tc>
          <w:tcPr>
            <w:tcW w:w="22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85</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760" w:type="dxa"/>
            <w:vAlign w:val="bottom"/>
          </w:tcPr>
          <w:p>
            <w:pPr>
              <w:spacing w:after="0"/>
              <w:rPr>
                <w:sz w:val="20"/>
                <w:szCs w:val="20"/>
                <w:color w:val="auto"/>
              </w:rPr>
            </w:pPr>
            <w:r>
              <w:rPr>
                <w:rFonts w:ascii="Arial" w:cs="Arial" w:eastAsia="Arial" w:hAnsi="Arial"/>
                <w:sz w:val="20"/>
                <w:szCs w:val="20"/>
                <w:color w:val="auto"/>
              </w:rPr>
              <w:t>7.11.</w:t>
            </w:r>
          </w:p>
        </w:tc>
        <w:tc>
          <w:tcPr>
            <w:tcW w:w="9380" w:type="dxa"/>
            <w:vAlign w:val="bottom"/>
            <w:gridSpan w:val="2"/>
          </w:tcPr>
          <w:p>
            <w:pPr>
              <w:spacing w:after="0"/>
              <w:rPr>
                <w:sz w:val="20"/>
                <w:szCs w:val="20"/>
                <w:color w:val="auto"/>
              </w:rPr>
            </w:pPr>
            <w:r>
              <w:rPr>
                <w:rFonts w:ascii="Arial" w:cs="Arial" w:eastAsia="Arial" w:hAnsi="Arial"/>
                <w:sz w:val="20"/>
                <w:szCs w:val="20"/>
                <w:color w:val="auto"/>
              </w:rPr>
              <w:t>Financial Covenants</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88</w:t>
            </w:r>
          </w:p>
        </w:tc>
        <w:tc>
          <w:tcPr>
            <w:tcW w:w="22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85</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760" w:type="dxa"/>
            <w:vAlign w:val="bottom"/>
          </w:tcPr>
          <w:p>
            <w:pPr>
              <w:spacing w:after="0"/>
              <w:rPr>
                <w:sz w:val="20"/>
                <w:szCs w:val="20"/>
                <w:color w:val="auto"/>
              </w:rPr>
            </w:pPr>
            <w:r>
              <w:rPr>
                <w:rFonts w:ascii="Arial" w:cs="Arial" w:eastAsia="Arial" w:hAnsi="Arial"/>
                <w:sz w:val="20"/>
                <w:szCs w:val="20"/>
                <w:color w:val="auto"/>
              </w:rPr>
              <w:t>7.12.</w:t>
            </w:r>
          </w:p>
        </w:tc>
        <w:tc>
          <w:tcPr>
            <w:tcW w:w="9380" w:type="dxa"/>
            <w:vAlign w:val="bottom"/>
            <w:gridSpan w:val="2"/>
          </w:tcPr>
          <w:p>
            <w:pPr>
              <w:spacing w:after="0"/>
              <w:rPr>
                <w:sz w:val="20"/>
                <w:szCs w:val="20"/>
                <w:color w:val="auto"/>
              </w:rPr>
            </w:pPr>
            <w:r>
              <w:rPr>
                <w:rFonts w:ascii="Arial" w:cs="Arial" w:eastAsia="Arial" w:hAnsi="Arial"/>
                <w:sz w:val="20"/>
                <w:szCs w:val="20"/>
                <w:color w:val="auto"/>
              </w:rPr>
              <w:t>Accounting Changes</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88</w:t>
            </w:r>
          </w:p>
        </w:tc>
        <w:tc>
          <w:tcPr>
            <w:tcW w:w="22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85</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760" w:type="dxa"/>
            <w:vAlign w:val="bottom"/>
          </w:tcPr>
          <w:p>
            <w:pPr>
              <w:spacing w:after="0"/>
              <w:rPr>
                <w:sz w:val="20"/>
                <w:szCs w:val="20"/>
                <w:color w:val="auto"/>
              </w:rPr>
            </w:pPr>
            <w:r>
              <w:rPr>
                <w:rFonts w:ascii="Arial" w:cs="Arial" w:eastAsia="Arial" w:hAnsi="Arial"/>
                <w:sz w:val="20"/>
                <w:szCs w:val="20"/>
                <w:color w:val="auto"/>
              </w:rPr>
              <w:t>7.13.</w:t>
            </w:r>
          </w:p>
        </w:tc>
        <w:tc>
          <w:tcPr>
            <w:tcW w:w="9380" w:type="dxa"/>
            <w:vAlign w:val="bottom"/>
            <w:gridSpan w:val="2"/>
          </w:tcPr>
          <w:p>
            <w:pPr>
              <w:spacing w:after="0"/>
              <w:rPr>
                <w:sz w:val="20"/>
                <w:szCs w:val="20"/>
                <w:color w:val="auto"/>
              </w:rPr>
            </w:pPr>
            <w:r>
              <w:rPr>
                <w:rFonts w:ascii="Arial" w:cs="Arial" w:eastAsia="Arial" w:hAnsi="Arial"/>
                <w:sz w:val="20"/>
                <w:szCs w:val="20"/>
                <w:color w:val="auto"/>
              </w:rPr>
              <w:t>Amendment, Waivers and Terminations of Certain Agreements</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88</w:t>
            </w:r>
          </w:p>
        </w:tc>
        <w:tc>
          <w:tcPr>
            <w:tcW w:w="22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86</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760" w:type="dxa"/>
            <w:vAlign w:val="bottom"/>
          </w:tcPr>
          <w:p>
            <w:pPr>
              <w:spacing w:after="0"/>
              <w:rPr>
                <w:sz w:val="20"/>
                <w:szCs w:val="20"/>
                <w:color w:val="auto"/>
              </w:rPr>
            </w:pPr>
            <w:r>
              <w:rPr>
                <w:rFonts w:ascii="Arial" w:cs="Arial" w:eastAsia="Arial" w:hAnsi="Arial"/>
                <w:sz w:val="20"/>
                <w:szCs w:val="20"/>
                <w:color w:val="auto"/>
              </w:rPr>
              <w:t>7.14.</w:t>
            </w:r>
          </w:p>
        </w:tc>
        <w:tc>
          <w:tcPr>
            <w:tcW w:w="9380" w:type="dxa"/>
            <w:vAlign w:val="bottom"/>
            <w:gridSpan w:val="2"/>
          </w:tcPr>
          <w:p>
            <w:pPr>
              <w:spacing w:after="0"/>
              <w:rPr>
                <w:sz w:val="20"/>
                <w:szCs w:val="20"/>
                <w:color w:val="auto"/>
              </w:rPr>
            </w:pPr>
            <w:r>
              <w:rPr>
                <w:rFonts w:ascii="Arial" w:cs="Arial" w:eastAsia="Arial" w:hAnsi="Arial"/>
                <w:sz w:val="20"/>
                <w:szCs w:val="20"/>
                <w:color w:val="auto"/>
              </w:rPr>
              <w:t>Tax Sharing and Indemnification Agreements</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89</w:t>
            </w:r>
          </w:p>
        </w:tc>
        <w:tc>
          <w:tcPr>
            <w:tcW w:w="22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86</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760" w:type="dxa"/>
            <w:vAlign w:val="bottom"/>
          </w:tcPr>
          <w:p>
            <w:pPr>
              <w:spacing w:after="0"/>
              <w:rPr>
                <w:sz w:val="20"/>
                <w:szCs w:val="20"/>
                <w:color w:val="auto"/>
              </w:rPr>
            </w:pPr>
            <w:r>
              <w:rPr>
                <w:rFonts w:ascii="Arial" w:cs="Arial" w:eastAsia="Arial" w:hAnsi="Arial"/>
                <w:sz w:val="20"/>
                <w:szCs w:val="20"/>
                <w:color w:val="auto"/>
              </w:rPr>
              <w:t>7.15.</w:t>
            </w:r>
          </w:p>
        </w:tc>
        <w:tc>
          <w:tcPr>
            <w:tcW w:w="9380" w:type="dxa"/>
            <w:vAlign w:val="bottom"/>
            <w:gridSpan w:val="2"/>
          </w:tcPr>
          <w:p>
            <w:pPr>
              <w:spacing w:after="0"/>
              <w:rPr>
                <w:sz w:val="20"/>
                <w:szCs w:val="20"/>
                <w:color w:val="auto"/>
              </w:rPr>
            </w:pPr>
            <w:r>
              <w:rPr>
                <w:rFonts w:ascii="Arial" w:cs="Arial" w:eastAsia="Arial" w:hAnsi="Arial"/>
                <w:sz w:val="20"/>
                <w:szCs w:val="20"/>
                <w:color w:val="auto"/>
              </w:rPr>
              <w:t>Sanctions; Anti-Corruption Laws</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89</w:t>
            </w:r>
          </w:p>
        </w:tc>
        <w:tc>
          <w:tcPr>
            <w:tcW w:w="420" w:type="dxa"/>
            <w:vAlign w:val="bottom"/>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rPr>
              <w:t>86</w:t>
            </w:r>
          </w:p>
        </w:tc>
        <w:tc>
          <w:tcPr>
            <w:tcW w:w="100" w:type="dxa"/>
            <w:vAlign w:val="bottom"/>
            <w:shd w:val="clear" w:color="auto" w:fill="D6D6D6"/>
          </w:tcPr>
          <w:p>
            <w:pPr>
              <w:spacing w:after="0"/>
              <w:rPr>
                <w:sz w:val="22"/>
                <w:szCs w:val="22"/>
                <w:color w:val="auto"/>
              </w:rPr>
            </w:pPr>
          </w:p>
        </w:tc>
      </w:tr>
      <w:tr>
        <w:trPr>
          <w:trHeight w:val="42"/>
        </w:trPr>
        <w:tc>
          <w:tcPr>
            <w:tcW w:w="7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7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Borders>
              <w:top w:val="single" w:sz="8" w:color="D6D6D6"/>
            </w:tcBorders>
            <w:shd w:val="clear" w:color="auto" w:fill="D6D6D6"/>
          </w:tcPr>
          <w:p>
            <w:pPr>
              <w:spacing w:after="0"/>
              <w:rPr>
                <w:sz w:val="3"/>
                <w:szCs w:val="3"/>
                <w:color w:val="auto"/>
              </w:rPr>
            </w:pPr>
          </w:p>
        </w:tc>
        <w:tc>
          <w:tcPr>
            <w:tcW w:w="200" w:type="dxa"/>
            <w:vAlign w:val="bottom"/>
            <w:tcBorders>
              <w:top w:val="single" w:sz="8" w:color="0A0AE5"/>
            </w:tcBorders>
            <w:shd w:val="clear" w:color="auto" w:fill="D6D6D6"/>
          </w:tcPr>
          <w:p>
            <w:pPr>
              <w:spacing w:after="0"/>
              <w:rPr>
                <w:sz w:val="3"/>
                <w:szCs w:val="3"/>
                <w:color w:val="auto"/>
              </w:rPr>
            </w:pPr>
          </w:p>
        </w:tc>
        <w:tc>
          <w:tcPr>
            <w:tcW w:w="100" w:type="dxa"/>
            <w:vAlign w:val="bottom"/>
            <w:tcBorders>
              <w:top w:val="single" w:sz="8" w:color="D6D6D6"/>
            </w:tcBorders>
            <w:shd w:val="clear" w:color="auto" w:fill="D6D6D6"/>
          </w:tcPr>
          <w:p>
            <w:pPr>
              <w:spacing w:after="0"/>
              <w:rPr>
                <w:sz w:val="3"/>
                <w:szCs w:val="3"/>
                <w:color w:val="auto"/>
              </w:rPr>
            </w:pPr>
          </w:p>
        </w:tc>
      </w:tr>
    </w:tbl>
    <w:p>
      <w:pPr>
        <w:spacing w:after="0" w:line="331" w:lineRule="exact"/>
        <w:rPr>
          <w:sz w:val="20"/>
          <w:szCs w:val="20"/>
          <w:color w:val="auto"/>
        </w:rPr>
      </w:pPr>
    </w:p>
    <w:p>
      <w:pPr>
        <w:jc w:val="center"/>
        <w:ind w:left="600"/>
        <w:spacing w:after="0"/>
        <w:rPr>
          <w:sz w:val="20"/>
          <w:szCs w:val="20"/>
          <w:color w:val="auto"/>
        </w:rPr>
      </w:pPr>
      <w:r>
        <w:rPr>
          <w:rFonts w:ascii="Arial" w:cs="Arial" w:eastAsia="Arial" w:hAnsi="Arial"/>
          <w:sz w:val="20"/>
          <w:szCs w:val="20"/>
          <w:color w:val="auto"/>
        </w:rPr>
        <w:t>ARTICLE VIII</w:t>
      </w:r>
    </w:p>
    <w:p>
      <w:pPr>
        <w:spacing w:after="0" w:line="45" w:lineRule="exact"/>
        <w:rPr>
          <w:sz w:val="20"/>
          <w:szCs w:val="20"/>
          <w:color w:val="auto"/>
        </w:rPr>
      </w:pPr>
    </w:p>
    <w:p>
      <w:pPr>
        <w:jc w:val="center"/>
        <w:ind w:left="600"/>
        <w:spacing w:after="0"/>
        <w:rPr>
          <w:sz w:val="20"/>
          <w:szCs w:val="20"/>
          <w:color w:val="auto"/>
        </w:rPr>
      </w:pPr>
      <w:r>
        <w:rPr>
          <w:rFonts w:ascii="Arial" w:cs="Arial" w:eastAsia="Arial" w:hAnsi="Arial"/>
          <w:sz w:val="20"/>
          <w:szCs w:val="20"/>
          <w:color w:val="auto"/>
        </w:rPr>
        <w:t>EVENTS OF DEFAULT AND REMEDIES</w:t>
      </w:r>
    </w:p>
    <w:p>
      <w:pPr>
        <w:spacing w:after="0" w:line="200" w:lineRule="exact"/>
        <w:rPr>
          <w:sz w:val="20"/>
          <w:szCs w:val="20"/>
          <w:color w:val="auto"/>
        </w:rPr>
      </w:pP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iii-</w:t>
      </w:r>
    </w:p>
    <w:p>
      <w:pPr>
        <w:sectPr>
          <w:pgSz w:w="11900" w:h="16838" w:orient="portrait"/>
          <w:cols w:equalWidth="0" w:num="1">
            <w:col w:w="10980"/>
          </w:cols>
          <w:pgMar w:left="480" w:top="1109" w:right="439"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230"/>
        </w:trPr>
        <w:tc>
          <w:tcPr>
            <w:tcW w:w="580" w:type="dxa"/>
            <w:vAlign w:val="bottom"/>
          </w:tcPr>
          <w:p>
            <w:pPr>
              <w:jc w:val="right"/>
              <w:ind w:right="80"/>
              <w:spacing w:after="0"/>
              <w:rPr>
                <w:sz w:val="20"/>
                <w:szCs w:val="20"/>
                <w:color w:val="auto"/>
              </w:rPr>
            </w:pPr>
            <w:r>
              <w:rPr>
                <w:rFonts w:ascii="Arial" w:cs="Arial" w:eastAsia="Arial" w:hAnsi="Arial"/>
                <w:sz w:val="20"/>
                <w:szCs w:val="20"/>
                <w:color w:val="auto"/>
                <w:w w:val="85"/>
              </w:rPr>
              <w:t>8.01.</w:t>
            </w:r>
          </w:p>
        </w:tc>
        <w:tc>
          <w:tcPr>
            <w:tcW w:w="9560" w:type="dxa"/>
            <w:vAlign w:val="bottom"/>
          </w:tcPr>
          <w:p>
            <w:pPr>
              <w:ind w:left="180"/>
              <w:spacing w:after="0"/>
              <w:rPr>
                <w:sz w:val="20"/>
                <w:szCs w:val="20"/>
                <w:color w:val="auto"/>
              </w:rPr>
            </w:pPr>
            <w:r>
              <w:rPr>
                <w:rFonts w:ascii="Arial" w:cs="Arial" w:eastAsia="Arial" w:hAnsi="Arial"/>
                <w:sz w:val="20"/>
                <w:szCs w:val="20"/>
                <w:color w:val="auto"/>
              </w:rPr>
              <w:t>Events of Default</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89</w:t>
            </w:r>
          </w:p>
        </w:tc>
        <w:tc>
          <w:tcPr>
            <w:tcW w:w="220" w:type="dxa"/>
            <w:vAlign w:val="bottom"/>
            <w:tcBorders>
              <w:bottom w:val="single" w:sz="8" w:color="D6D6D6"/>
            </w:tcBorders>
            <w:shd w:val="clear" w:color="auto" w:fill="D6D6D6"/>
          </w:tcPr>
          <w:p>
            <w:pPr>
              <w:spacing w:after="0"/>
              <w:rPr>
                <w:sz w:val="19"/>
                <w:szCs w:val="19"/>
                <w:color w:val="auto"/>
              </w:rPr>
            </w:pPr>
          </w:p>
        </w:tc>
        <w:tc>
          <w:tcPr>
            <w:tcW w:w="200" w:type="dxa"/>
            <w:vAlign w:val="bottom"/>
            <w:tcBorders>
              <w:bottom w:val="single" w:sz="8" w:color="0A0AE5"/>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86</w:t>
            </w:r>
          </w:p>
        </w:tc>
        <w:tc>
          <w:tcPr>
            <w:tcW w:w="100" w:type="dxa"/>
            <w:vAlign w:val="bottom"/>
            <w:tcBorders>
              <w:bottom w:val="single" w:sz="8" w:color="D6D6D6"/>
            </w:tcBorders>
            <w:shd w:val="clear" w:color="auto" w:fill="D6D6D6"/>
          </w:tcPr>
          <w:p>
            <w:pPr>
              <w:spacing w:after="0"/>
              <w:rPr>
                <w:sz w:val="19"/>
                <w:szCs w:val="19"/>
                <w:color w:val="auto"/>
              </w:rPr>
            </w:pPr>
          </w:p>
        </w:tc>
      </w:tr>
      <w:tr>
        <w:trPr>
          <w:trHeight w:val="255"/>
        </w:trPr>
        <w:tc>
          <w:tcPr>
            <w:tcW w:w="580" w:type="dxa"/>
            <w:vAlign w:val="bottom"/>
          </w:tcPr>
          <w:p>
            <w:pPr>
              <w:jc w:val="right"/>
              <w:ind w:right="80"/>
              <w:spacing w:after="0"/>
              <w:rPr>
                <w:sz w:val="20"/>
                <w:szCs w:val="20"/>
                <w:color w:val="auto"/>
              </w:rPr>
            </w:pPr>
            <w:r>
              <w:rPr>
                <w:rFonts w:ascii="Arial" w:cs="Arial" w:eastAsia="Arial" w:hAnsi="Arial"/>
                <w:sz w:val="20"/>
                <w:szCs w:val="20"/>
                <w:color w:val="auto"/>
                <w:w w:val="85"/>
              </w:rPr>
              <w:t>8.02.</w:t>
            </w:r>
          </w:p>
        </w:tc>
        <w:tc>
          <w:tcPr>
            <w:tcW w:w="9560" w:type="dxa"/>
            <w:vAlign w:val="bottom"/>
          </w:tcPr>
          <w:p>
            <w:pPr>
              <w:ind w:left="180"/>
              <w:spacing w:after="0"/>
              <w:rPr>
                <w:sz w:val="20"/>
                <w:szCs w:val="20"/>
                <w:color w:val="auto"/>
              </w:rPr>
            </w:pPr>
            <w:r>
              <w:rPr>
                <w:rFonts w:ascii="Arial" w:cs="Arial" w:eastAsia="Arial" w:hAnsi="Arial"/>
                <w:sz w:val="20"/>
                <w:szCs w:val="20"/>
                <w:color w:val="auto"/>
              </w:rPr>
              <w:t>Remedies upon Event of Default</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91</w:t>
            </w:r>
          </w:p>
        </w:tc>
        <w:tc>
          <w:tcPr>
            <w:tcW w:w="220" w:type="dxa"/>
            <w:vAlign w:val="bottom"/>
            <w:tcBorders>
              <w:bottom w:val="single" w:sz="8" w:color="D6D6D6"/>
            </w:tcBorders>
            <w:shd w:val="clear" w:color="auto" w:fill="D6D6D6"/>
          </w:tcPr>
          <w:p>
            <w:pPr>
              <w:spacing w:after="0"/>
              <w:rPr>
                <w:sz w:val="22"/>
                <w:szCs w:val="22"/>
                <w:color w:val="auto"/>
              </w:rPr>
            </w:pPr>
          </w:p>
        </w:tc>
        <w:tc>
          <w:tcPr>
            <w:tcW w:w="200" w:type="dxa"/>
            <w:vAlign w:val="bottom"/>
            <w:tcBorders>
              <w:bottom w:val="single" w:sz="8" w:color="0A0AE5"/>
            </w:tcBorders>
            <w:shd w:val="clear" w:color="auto" w:fill="D6D6D6"/>
          </w:tcPr>
          <w:p>
            <w:pPr>
              <w:jc w:val="right"/>
              <w:spacing w:after="0"/>
              <w:rPr>
                <w:sz w:val="20"/>
                <w:szCs w:val="20"/>
                <w:color w:val="auto"/>
              </w:rPr>
            </w:pPr>
            <w:r>
              <w:rPr>
                <w:rFonts w:ascii="Arial" w:cs="Arial" w:eastAsia="Arial" w:hAnsi="Arial"/>
                <w:sz w:val="20"/>
                <w:szCs w:val="20"/>
                <w:b w:val="1"/>
                <w:bCs w:val="1"/>
                <w:color w:val="0A0AE5"/>
                <w:w w:val="80"/>
              </w:rPr>
              <w:t>89</w:t>
            </w:r>
          </w:p>
        </w:tc>
        <w:tc>
          <w:tcPr>
            <w:tcW w:w="100" w:type="dxa"/>
            <w:vAlign w:val="bottom"/>
            <w:tcBorders>
              <w:bottom w:val="single" w:sz="8" w:color="D6D6D6"/>
            </w:tcBorders>
            <w:shd w:val="clear" w:color="auto" w:fill="D6D6D6"/>
          </w:tcPr>
          <w:p>
            <w:pPr>
              <w:spacing w:after="0"/>
              <w:rPr>
                <w:sz w:val="22"/>
                <w:szCs w:val="22"/>
                <w:color w:val="auto"/>
              </w:rPr>
            </w:pPr>
          </w:p>
        </w:tc>
      </w:tr>
      <w:tr>
        <w:trPr>
          <w:trHeight w:val="255"/>
        </w:trPr>
        <w:tc>
          <w:tcPr>
            <w:tcW w:w="580" w:type="dxa"/>
            <w:vAlign w:val="bottom"/>
          </w:tcPr>
          <w:p>
            <w:pPr>
              <w:jc w:val="right"/>
              <w:ind w:right="80"/>
              <w:spacing w:after="0"/>
              <w:rPr>
                <w:sz w:val="20"/>
                <w:szCs w:val="20"/>
                <w:color w:val="auto"/>
              </w:rPr>
            </w:pPr>
            <w:r>
              <w:rPr>
                <w:rFonts w:ascii="Arial" w:cs="Arial" w:eastAsia="Arial" w:hAnsi="Arial"/>
                <w:sz w:val="20"/>
                <w:szCs w:val="20"/>
                <w:color w:val="auto"/>
                <w:w w:val="85"/>
              </w:rPr>
              <w:t>8.03.</w:t>
            </w:r>
          </w:p>
        </w:tc>
        <w:tc>
          <w:tcPr>
            <w:tcW w:w="9560" w:type="dxa"/>
            <w:vAlign w:val="bottom"/>
          </w:tcPr>
          <w:p>
            <w:pPr>
              <w:ind w:left="180"/>
              <w:spacing w:after="0"/>
              <w:rPr>
                <w:sz w:val="20"/>
                <w:szCs w:val="20"/>
                <w:color w:val="auto"/>
              </w:rPr>
            </w:pPr>
            <w:r>
              <w:rPr>
                <w:rFonts w:ascii="Arial" w:cs="Arial" w:eastAsia="Arial" w:hAnsi="Arial"/>
                <w:sz w:val="20"/>
                <w:szCs w:val="20"/>
                <w:color w:val="auto"/>
              </w:rPr>
              <w:t>Application of Funds</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92</w:t>
            </w:r>
          </w:p>
        </w:tc>
        <w:tc>
          <w:tcPr>
            <w:tcW w:w="420" w:type="dxa"/>
            <w:vAlign w:val="bottom"/>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rPr>
              <w:t>89</w:t>
            </w:r>
          </w:p>
        </w:tc>
        <w:tc>
          <w:tcPr>
            <w:tcW w:w="100" w:type="dxa"/>
            <w:vAlign w:val="bottom"/>
            <w:shd w:val="clear" w:color="auto" w:fill="D6D6D6"/>
          </w:tcPr>
          <w:p>
            <w:pPr>
              <w:spacing w:after="0"/>
              <w:rPr>
                <w:sz w:val="22"/>
                <w:szCs w:val="22"/>
                <w:color w:val="auto"/>
              </w:rPr>
            </w:pPr>
          </w:p>
        </w:tc>
      </w:tr>
      <w:tr>
        <w:trPr>
          <w:trHeight w:val="42"/>
        </w:trPr>
        <w:tc>
          <w:tcPr>
            <w:tcW w:w="580" w:type="dxa"/>
            <w:vAlign w:val="bottom"/>
          </w:tcPr>
          <w:p>
            <w:pPr>
              <w:spacing w:after="0"/>
              <w:rPr>
                <w:sz w:val="3"/>
                <w:szCs w:val="3"/>
                <w:color w:val="auto"/>
              </w:rPr>
            </w:pPr>
          </w:p>
        </w:tc>
        <w:tc>
          <w:tcPr>
            <w:tcW w:w="9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Borders>
              <w:top w:val="single" w:sz="8" w:color="D6D6D6"/>
            </w:tcBorders>
            <w:shd w:val="clear" w:color="auto" w:fill="D6D6D6"/>
          </w:tcPr>
          <w:p>
            <w:pPr>
              <w:spacing w:after="0"/>
              <w:rPr>
                <w:sz w:val="3"/>
                <w:szCs w:val="3"/>
                <w:color w:val="auto"/>
              </w:rPr>
            </w:pPr>
          </w:p>
        </w:tc>
        <w:tc>
          <w:tcPr>
            <w:tcW w:w="200" w:type="dxa"/>
            <w:vAlign w:val="bottom"/>
            <w:tcBorders>
              <w:top w:val="single" w:sz="8" w:color="0A0AE5"/>
            </w:tcBorders>
            <w:shd w:val="clear" w:color="auto" w:fill="D6D6D6"/>
          </w:tcPr>
          <w:p>
            <w:pPr>
              <w:spacing w:after="0"/>
              <w:rPr>
                <w:sz w:val="3"/>
                <w:szCs w:val="3"/>
                <w:color w:val="auto"/>
              </w:rPr>
            </w:pPr>
          </w:p>
        </w:tc>
        <w:tc>
          <w:tcPr>
            <w:tcW w:w="100" w:type="dxa"/>
            <w:vAlign w:val="bottom"/>
            <w:tcBorders>
              <w:top w:val="single" w:sz="8" w:color="D6D6D6"/>
            </w:tcBorders>
            <w:shd w:val="clear" w:color="auto" w:fill="D6D6D6"/>
          </w:tcPr>
          <w:p>
            <w:pPr>
              <w:spacing w:after="0"/>
              <w:rPr>
                <w:sz w:val="3"/>
                <w:szCs w:val="3"/>
                <w:color w:val="auto"/>
              </w:rPr>
            </w:pPr>
          </w:p>
        </w:tc>
      </w:tr>
    </w:tbl>
    <w:p>
      <w:pPr>
        <w:spacing w:after="0" w:line="331" w:lineRule="exact"/>
        <w:rPr>
          <w:sz w:val="20"/>
          <w:szCs w:val="20"/>
          <w:color w:val="auto"/>
        </w:rPr>
      </w:pPr>
    </w:p>
    <w:p>
      <w:pPr>
        <w:jc w:val="center"/>
        <w:ind w:left="600"/>
        <w:spacing w:after="0"/>
        <w:rPr>
          <w:sz w:val="20"/>
          <w:szCs w:val="20"/>
          <w:color w:val="auto"/>
        </w:rPr>
      </w:pPr>
      <w:r>
        <w:rPr>
          <w:rFonts w:ascii="Arial" w:cs="Arial" w:eastAsia="Arial" w:hAnsi="Arial"/>
          <w:sz w:val="20"/>
          <w:szCs w:val="20"/>
          <w:color w:val="auto"/>
        </w:rPr>
        <w:t>ARTICLE IX</w:t>
      </w:r>
    </w:p>
    <w:p>
      <w:pPr>
        <w:spacing w:after="0" w:line="45" w:lineRule="exact"/>
        <w:rPr>
          <w:sz w:val="20"/>
          <w:szCs w:val="20"/>
          <w:color w:val="auto"/>
        </w:rPr>
      </w:pPr>
    </w:p>
    <w:p>
      <w:pPr>
        <w:jc w:val="center"/>
        <w:ind w:left="600"/>
        <w:spacing w:after="0"/>
        <w:rPr>
          <w:sz w:val="20"/>
          <w:szCs w:val="20"/>
          <w:color w:val="auto"/>
        </w:rPr>
      </w:pPr>
      <w:r>
        <w:rPr>
          <w:rFonts w:ascii="Arial" w:cs="Arial" w:eastAsia="Arial" w:hAnsi="Arial"/>
          <w:sz w:val="20"/>
          <w:szCs w:val="20"/>
          <w:color w:val="auto"/>
        </w:rPr>
        <w:t>ADMINISTRATIVE AGENT</w:t>
      </w:r>
    </w:p>
    <w:p>
      <w:pPr>
        <w:spacing w:after="0" w:line="34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60" w:type="dxa"/>
            <w:vAlign w:val="bottom"/>
            <w:gridSpan w:val="3"/>
          </w:tcPr>
          <w:p>
            <w:pPr>
              <w:ind w:left="20"/>
              <w:spacing w:after="0"/>
              <w:rPr>
                <w:sz w:val="20"/>
                <w:szCs w:val="20"/>
                <w:color w:val="auto"/>
              </w:rPr>
            </w:pPr>
            <w:r>
              <w:rPr>
                <w:rFonts w:ascii="Arial" w:cs="Arial" w:eastAsia="Arial" w:hAnsi="Arial"/>
                <w:sz w:val="20"/>
                <w:szCs w:val="20"/>
                <w:color w:val="auto"/>
              </w:rPr>
              <w:t>9.01.</w:t>
            </w:r>
          </w:p>
        </w:tc>
        <w:tc>
          <w:tcPr>
            <w:tcW w:w="9240" w:type="dxa"/>
            <w:vAlign w:val="bottom"/>
            <w:gridSpan w:val="4"/>
          </w:tcPr>
          <w:p>
            <w:pPr>
              <w:ind w:left="20"/>
              <w:spacing w:after="0"/>
              <w:rPr>
                <w:sz w:val="20"/>
                <w:szCs w:val="20"/>
                <w:color w:val="auto"/>
              </w:rPr>
            </w:pPr>
            <w:r>
              <w:rPr>
                <w:rFonts w:ascii="Arial" w:cs="Arial" w:eastAsia="Arial" w:hAnsi="Arial"/>
                <w:sz w:val="20"/>
                <w:szCs w:val="20"/>
                <w:color w:val="auto"/>
              </w:rPr>
              <w:t>Appointment and Authority</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93</w:t>
            </w:r>
          </w:p>
        </w:tc>
        <w:tc>
          <w:tcPr>
            <w:tcW w:w="420" w:type="dxa"/>
            <w:vAlign w:val="bottom"/>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rPr>
              <w:t>90</w:t>
            </w:r>
          </w:p>
        </w:tc>
        <w:tc>
          <w:tcPr>
            <w:tcW w:w="100" w:type="dxa"/>
            <w:vAlign w:val="bottom"/>
            <w:shd w:val="clear" w:color="auto" w:fill="D6D6D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D6D6D6"/>
          </w:tcPr>
          <w:p>
            <w:pPr>
              <w:spacing w:after="0" w:line="20" w:lineRule="exact"/>
              <w:rPr>
                <w:sz w:val="1"/>
                <w:szCs w:val="1"/>
                <w:color w:val="auto"/>
              </w:rPr>
            </w:pPr>
          </w:p>
        </w:tc>
        <w:tc>
          <w:tcPr>
            <w:tcW w:w="200" w:type="dxa"/>
            <w:vAlign w:val="bottom"/>
            <w:shd w:val="clear" w:color="auto" w:fill="0A0AE5"/>
          </w:tcPr>
          <w:p>
            <w:pPr>
              <w:spacing w:after="0" w:line="20" w:lineRule="exact"/>
              <w:rPr>
                <w:sz w:val="1"/>
                <w:szCs w:val="1"/>
                <w:color w:val="auto"/>
              </w:rPr>
            </w:pPr>
          </w:p>
        </w:tc>
        <w:tc>
          <w:tcPr>
            <w:tcW w:w="100" w:type="dxa"/>
            <w:vAlign w:val="bottom"/>
            <w:shd w:val="clear" w:color="auto" w:fill="D6D6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60" w:type="dxa"/>
            <w:vAlign w:val="bottom"/>
            <w:gridSpan w:val="3"/>
          </w:tcPr>
          <w:p>
            <w:pPr>
              <w:ind w:left="20"/>
              <w:spacing w:after="0"/>
              <w:rPr>
                <w:sz w:val="20"/>
                <w:szCs w:val="20"/>
                <w:color w:val="auto"/>
              </w:rPr>
            </w:pPr>
            <w:r>
              <w:rPr>
                <w:rFonts w:ascii="Arial" w:cs="Arial" w:eastAsia="Arial" w:hAnsi="Arial"/>
                <w:sz w:val="20"/>
                <w:szCs w:val="20"/>
                <w:color w:val="auto"/>
              </w:rPr>
              <w:t>9.02.</w:t>
            </w:r>
          </w:p>
        </w:tc>
        <w:tc>
          <w:tcPr>
            <w:tcW w:w="9240" w:type="dxa"/>
            <w:vAlign w:val="bottom"/>
            <w:gridSpan w:val="4"/>
          </w:tcPr>
          <w:p>
            <w:pPr>
              <w:ind w:left="20"/>
              <w:spacing w:after="0"/>
              <w:rPr>
                <w:sz w:val="20"/>
                <w:szCs w:val="20"/>
                <w:color w:val="auto"/>
              </w:rPr>
            </w:pPr>
            <w:r>
              <w:rPr>
                <w:rFonts w:ascii="Arial" w:cs="Arial" w:eastAsia="Arial" w:hAnsi="Arial"/>
                <w:sz w:val="20"/>
                <w:szCs w:val="20"/>
                <w:color w:val="auto"/>
              </w:rPr>
              <w:t>Rights as a Lender</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93</w:t>
            </w:r>
          </w:p>
        </w:tc>
        <w:tc>
          <w:tcPr>
            <w:tcW w:w="420" w:type="dxa"/>
            <w:vAlign w:val="bottom"/>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rPr>
              <w:t>90</w:t>
            </w:r>
          </w:p>
        </w:tc>
        <w:tc>
          <w:tcPr>
            <w:tcW w:w="100" w:type="dxa"/>
            <w:vAlign w:val="bottom"/>
            <w:shd w:val="clear" w:color="auto" w:fill="D6D6D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D6D6D6"/>
          </w:tcPr>
          <w:p>
            <w:pPr>
              <w:spacing w:after="0" w:line="20" w:lineRule="exact"/>
              <w:rPr>
                <w:sz w:val="1"/>
                <w:szCs w:val="1"/>
                <w:color w:val="auto"/>
              </w:rPr>
            </w:pPr>
          </w:p>
        </w:tc>
        <w:tc>
          <w:tcPr>
            <w:tcW w:w="200" w:type="dxa"/>
            <w:vAlign w:val="bottom"/>
            <w:shd w:val="clear" w:color="auto" w:fill="0A0AE5"/>
          </w:tcPr>
          <w:p>
            <w:pPr>
              <w:spacing w:after="0" w:line="20" w:lineRule="exact"/>
              <w:rPr>
                <w:sz w:val="1"/>
                <w:szCs w:val="1"/>
                <w:color w:val="auto"/>
              </w:rPr>
            </w:pPr>
          </w:p>
        </w:tc>
        <w:tc>
          <w:tcPr>
            <w:tcW w:w="100" w:type="dxa"/>
            <w:vAlign w:val="bottom"/>
            <w:shd w:val="clear" w:color="auto" w:fill="D6D6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60" w:type="dxa"/>
            <w:vAlign w:val="bottom"/>
            <w:gridSpan w:val="3"/>
          </w:tcPr>
          <w:p>
            <w:pPr>
              <w:ind w:left="20"/>
              <w:spacing w:after="0"/>
              <w:rPr>
                <w:sz w:val="20"/>
                <w:szCs w:val="20"/>
                <w:color w:val="auto"/>
              </w:rPr>
            </w:pPr>
            <w:r>
              <w:rPr>
                <w:rFonts w:ascii="Arial" w:cs="Arial" w:eastAsia="Arial" w:hAnsi="Arial"/>
                <w:sz w:val="20"/>
                <w:szCs w:val="20"/>
                <w:color w:val="auto"/>
              </w:rPr>
              <w:t>9.03.</w:t>
            </w:r>
          </w:p>
        </w:tc>
        <w:tc>
          <w:tcPr>
            <w:tcW w:w="9240" w:type="dxa"/>
            <w:vAlign w:val="bottom"/>
            <w:gridSpan w:val="4"/>
          </w:tcPr>
          <w:p>
            <w:pPr>
              <w:ind w:left="20"/>
              <w:spacing w:after="0"/>
              <w:rPr>
                <w:sz w:val="20"/>
                <w:szCs w:val="20"/>
                <w:color w:val="auto"/>
              </w:rPr>
            </w:pPr>
            <w:r>
              <w:rPr>
                <w:rFonts w:ascii="Arial" w:cs="Arial" w:eastAsia="Arial" w:hAnsi="Arial"/>
                <w:sz w:val="20"/>
                <w:szCs w:val="20"/>
                <w:color w:val="auto"/>
              </w:rPr>
              <w:t>Exculpatory Provisions</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93</w:t>
            </w:r>
          </w:p>
        </w:tc>
        <w:tc>
          <w:tcPr>
            <w:tcW w:w="420" w:type="dxa"/>
            <w:vAlign w:val="bottom"/>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rPr>
              <w:t>90</w:t>
            </w:r>
          </w:p>
        </w:tc>
        <w:tc>
          <w:tcPr>
            <w:tcW w:w="100" w:type="dxa"/>
            <w:vAlign w:val="bottom"/>
            <w:shd w:val="clear" w:color="auto" w:fill="D6D6D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D6D6D6"/>
          </w:tcPr>
          <w:p>
            <w:pPr>
              <w:spacing w:after="0" w:line="20" w:lineRule="exact"/>
              <w:rPr>
                <w:sz w:val="1"/>
                <w:szCs w:val="1"/>
                <w:color w:val="auto"/>
              </w:rPr>
            </w:pPr>
          </w:p>
        </w:tc>
        <w:tc>
          <w:tcPr>
            <w:tcW w:w="200" w:type="dxa"/>
            <w:vAlign w:val="bottom"/>
            <w:shd w:val="clear" w:color="auto" w:fill="0A0AE5"/>
          </w:tcPr>
          <w:p>
            <w:pPr>
              <w:spacing w:after="0" w:line="20" w:lineRule="exact"/>
              <w:rPr>
                <w:sz w:val="1"/>
                <w:szCs w:val="1"/>
                <w:color w:val="auto"/>
              </w:rPr>
            </w:pPr>
          </w:p>
        </w:tc>
        <w:tc>
          <w:tcPr>
            <w:tcW w:w="100" w:type="dxa"/>
            <w:vAlign w:val="bottom"/>
            <w:shd w:val="clear" w:color="auto" w:fill="D6D6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60" w:type="dxa"/>
            <w:vAlign w:val="bottom"/>
            <w:gridSpan w:val="3"/>
          </w:tcPr>
          <w:p>
            <w:pPr>
              <w:ind w:left="20"/>
              <w:spacing w:after="0"/>
              <w:rPr>
                <w:sz w:val="20"/>
                <w:szCs w:val="20"/>
                <w:color w:val="auto"/>
              </w:rPr>
            </w:pPr>
            <w:r>
              <w:rPr>
                <w:rFonts w:ascii="Arial" w:cs="Arial" w:eastAsia="Arial" w:hAnsi="Arial"/>
                <w:sz w:val="20"/>
                <w:szCs w:val="20"/>
                <w:color w:val="auto"/>
              </w:rPr>
              <w:t>9.04.</w:t>
            </w:r>
          </w:p>
        </w:tc>
        <w:tc>
          <w:tcPr>
            <w:tcW w:w="9240" w:type="dxa"/>
            <w:vAlign w:val="bottom"/>
            <w:gridSpan w:val="4"/>
          </w:tcPr>
          <w:p>
            <w:pPr>
              <w:ind w:left="20"/>
              <w:spacing w:after="0"/>
              <w:rPr>
                <w:sz w:val="20"/>
                <w:szCs w:val="20"/>
                <w:color w:val="auto"/>
              </w:rPr>
            </w:pPr>
            <w:r>
              <w:rPr>
                <w:rFonts w:ascii="Arial" w:cs="Arial" w:eastAsia="Arial" w:hAnsi="Arial"/>
                <w:sz w:val="20"/>
                <w:szCs w:val="20"/>
                <w:color w:val="auto"/>
              </w:rPr>
              <w:t>Reliance by Administrative Agent</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94</w:t>
            </w:r>
          </w:p>
        </w:tc>
        <w:tc>
          <w:tcPr>
            <w:tcW w:w="420" w:type="dxa"/>
            <w:vAlign w:val="bottom"/>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rPr>
              <w:t>91</w:t>
            </w:r>
          </w:p>
        </w:tc>
        <w:tc>
          <w:tcPr>
            <w:tcW w:w="100" w:type="dxa"/>
            <w:vAlign w:val="bottom"/>
            <w:shd w:val="clear" w:color="auto" w:fill="D6D6D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D6D6D6"/>
          </w:tcPr>
          <w:p>
            <w:pPr>
              <w:spacing w:after="0" w:line="20" w:lineRule="exact"/>
              <w:rPr>
                <w:sz w:val="1"/>
                <w:szCs w:val="1"/>
                <w:color w:val="auto"/>
              </w:rPr>
            </w:pPr>
          </w:p>
        </w:tc>
        <w:tc>
          <w:tcPr>
            <w:tcW w:w="200" w:type="dxa"/>
            <w:vAlign w:val="bottom"/>
            <w:shd w:val="clear" w:color="auto" w:fill="0A0AE5"/>
          </w:tcPr>
          <w:p>
            <w:pPr>
              <w:spacing w:after="0" w:line="20" w:lineRule="exact"/>
              <w:rPr>
                <w:sz w:val="1"/>
                <w:szCs w:val="1"/>
                <w:color w:val="auto"/>
              </w:rPr>
            </w:pPr>
          </w:p>
        </w:tc>
        <w:tc>
          <w:tcPr>
            <w:tcW w:w="100" w:type="dxa"/>
            <w:vAlign w:val="bottom"/>
            <w:shd w:val="clear" w:color="auto" w:fill="D6D6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60" w:type="dxa"/>
            <w:vAlign w:val="bottom"/>
            <w:gridSpan w:val="3"/>
          </w:tcPr>
          <w:p>
            <w:pPr>
              <w:ind w:left="20"/>
              <w:spacing w:after="0"/>
              <w:rPr>
                <w:sz w:val="20"/>
                <w:szCs w:val="20"/>
                <w:color w:val="auto"/>
              </w:rPr>
            </w:pPr>
            <w:r>
              <w:rPr>
                <w:rFonts w:ascii="Arial" w:cs="Arial" w:eastAsia="Arial" w:hAnsi="Arial"/>
                <w:sz w:val="20"/>
                <w:szCs w:val="20"/>
                <w:color w:val="auto"/>
              </w:rPr>
              <w:t>9.05.</w:t>
            </w:r>
          </w:p>
        </w:tc>
        <w:tc>
          <w:tcPr>
            <w:tcW w:w="9240" w:type="dxa"/>
            <w:vAlign w:val="bottom"/>
            <w:gridSpan w:val="4"/>
          </w:tcPr>
          <w:p>
            <w:pPr>
              <w:ind w:left="20"/>
              <w:spacing w:after="0"/>
              <w:rPr>
                <w:sz w:val="20"/>
                <w:szCs w:val="20"/>
                <w:color w:val="auto"/>
              </w:rPr>
            </w:pPr>
            <w:r>
              <w:rPr>
                <w:rFonts w:ascii="Arial" w:cs="Arial" w:eastAsia="Arial" w:hAnsi="Arial"/>
                <w:sz w:val="20"/>
                <w:szCs w:val="20"/>
                <w:color w:val="auto"/>
              </w:rPr>
              <w:t>Delegation of Duties</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95</w:t>
            </w:r>
          </w:p>
        </w:tc>
        <w:tc>
          <w:tcPr>
            <w:tcW w:w="420" w:type="dxa"/>
            <w:vAlign w:val="bottom"/>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rPr>
              <w:t>92</w:t>
            </w:r>
          </w:p>
        </w:tc>
        <w:tc>
          <w:tcPr>
            <w:tcW w:w="100" w:type="dxa"/>
            <w:vAlign w:val="bottom"/>
            <w:shd w:val="clear" w:color="auto" w:fill="D6D6D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D6D6D6"/>
          </w:tcPr>
          <w:p>
            <w:pPr>
              <w:spacing w:after="0" w:line="20" w:lineRule="exact"/>
              <w:rPr>
                <w:sz w:val="1"/>
                <w:szCs w:val="1"/>
                <w:color w:val="auto"/>
              </w:rPr>
            </w:pPr>
          </w:p>
        </w:tc>
        <w:tc>
          <w:tcPr>
            <w:tcW w:w="200" w:type="dxa"/>
            <w:vAlign w:val="bottom"/>
            <w:shd w:val="clear" w:color="auto" w:fill="0A0AE5"/>
          </w:tcPr>
          <w:p>
            <w:pPr>
              <w:spacing w:after="0" w:line="20" w:lineRule="exact"/>
              <w:rPr>
                <w:sz w:val="1"/>
                <w:szCs w:val="1"/>
                <w:color w:val="auto"/>
              </w:rPr>
            </w:pPr>
          </w:p>
        </w:tc>
        <w:tc>
          <w:tcPr>
            <w:tcW w:w="100" w:type="dxa"/>
            <w:vAlign w:val="bottom"/>
            <w:shd w:val="clear" w:color="auto" w:fill="D6D6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60" w:type="dxa"/>
            <w:vAlign w:val="bottom"/>
            <w:gridSpan w:val="3"/>
          </w:tcPr>
          <w:p>
            <w:pPr>
              <w:ind w:left="20"/>
              <w:spacing w:after="0"/>
              <w:rPr>
                <w:sz w:val="20"/>
                <w:szCs w:val="20"/>
                <w:color w:val="auto"/>
              </w:rPr>
            </w:pPr>
            <w:r>
              <w:rPr>
                <w:rFonts w:ascii="Arial" w:cs="Arial" w:eastAsia="Arial" w:hAnsi="Arial"/>
                <w:sz w:val="20"/>
                <w:szCs w:val="20"/>
                <w:color w:val="auto"/>
              </w:rPr>
              <w:t>9.06.</w:t>
            </w:r>
          </w:p>
        </w:tc>
        <w:tc>
          <w:tcPr>
            <w:tcW w:w="9240" w:type="dxa"/>
            <w:vAlign w:val="bottom"/>
            <w:gridSpan w:val="4"/>
          </w:tcPr>
          <w:p>
            <w:pPr>
              <w:ind w:left="20"/>
              <w:spacing w:after="0"/>
              <w:rPr>
                <w:sz w:val="20"/>
                <w:szCs w:val="20"/>
                <w:color w:val="auto"/>
              </w:rPr>
            </w:pPr>
            <w:r>
              <w:rPr>
                <w:rFonts w:ascii="Arial" w:cs="Arial" w:eastAsia="Arial" w:hAnsi="Arial"/>
                <w:sz w:val="20"/>
                <w:szCs w:val="20"/>
                <w:color w:val="auto"/>
              </w:rPr>
              <w:t>Resignation of Administrative Agent</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95</w:t>
            </w:r>
          </w:p>
        </w:tc>
        <w:tc>
          <w:tcPr>
            <w:tcW w:w="420" w:type="dxa"/>
            <w:vAlign w:val="bottom"/>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rPr>
              <w:t>92</w:t>
            </w:r>
          </w:p>
        </w:tc>
        <w:tc>
          <w:tcPr>
            <w:tcW w:w="100" w:type="dxa"/>
            <w:vAlign w:val="bottom"/>
            <w:shd w:val="clear" w:color="auto" w:fill="D6D6D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D6D6D6"/>
          </w:tcPr>
          <w:p>
            <w:pPr>
              <w:spacing w:after="0" w:line="20" w:lineRule="exact"/>
              <w:rPr>
                <w:sz w:val="1"/>
                <w:szCs w:val="1"/>
                <w:color w:val="auto"/>
              </w:rPr>
            </w:pPr>
          </w:p>
        </w:tc>
        <w:tc>
          <w:tcPr>
            <w:tcW w:w="200" w:type="dxa"/>
            <w:vAlign w:val="bottom"/>
            <w:shd w:val="clear" w:color="auto" w:fill="0A0AE5"/>
          </w:tcPr>
          <w:p>
            <w:pPr>
              <w:spacing w:after="0" w:line="20" w:lineRule="exact"/>
              <w:rPr>
                <w:sz w:val="1"/>
                <w:szCs w:val="1"/>
                <w:color w:val="auto"/>
              </w:rPr>
            </w:pPr>
          </w:p>
        </w:tc>
        <w:tc>
          <w:tcPr>
            <w:tcW w:w="100" w:type="dxa"/>
            <w:vAlign w:val="bottom"/>
            <w:shd w:val="clear" w:color="auto" w:fill="D6D6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60" w:type="dxa"/>
            <w:vAlign w:val="bottom"/>
            <w:gridSpan w:val="3"/>
          </w:tcPr>
          <w:p>
            <w:pPr>
              <w:ind w:left="20"/>
              <w:spacing w:after="0"/>
              <w:rPr>
                <w:sz w:val="20"/>
                <w:szCs w:val="20"/>
                <w:color w:val="auto"/>
              </w:rPr>
            </w:pPr>
            <w:r>
              <w:rPr>
                <w:rFonts w:ascii="Arial" w:cs="Arial" w:eastAsia="Arial" w:hAnsi="Arial"/>
                <w:sz w:val="20"/>
                <w:szCs w:val="20"/>
                <w:color w:val="auto"/>
              </w:rPr>
              <w:t>9.07.</w:t>
            </w:r>
          </w:p>
        </w:tc>
        <w:tc>
          <w:tcPr>
            <w:tcW w:w="9240" w:type="dxa"/>
            <w:vAlign w:val="bottom"/>
            <w:gridSpan w:val="4"/>
          </w:tcPr>
          <w:p>
            <w:pPr>
              <w:ind w:left="20"/>
              <w:spacing w:after="0"/>
              <w:rPr>
                <w:sz w:val="20"/>
                <w:szCs w:val="20"/>
                <w:color w:val="auto"/>
              </w:rPr>
            </w:pPr>
            <w:r>
              <w:rPr>
                <w:rFonts w:ascii="Arial" w:cs="Arial" w:eastAsia="Arial" w:hAnsi="Arial"/>
                <w:sz w:val="20"/>
                <w:szCs w:val="20"/>
                <w:color w:val="auto"/>
              </w:rPr>
              <w:t>Non-Reliance on Administrative Agent and Other Lenders</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96</w:t>
            </w:r>
          </w:p>
        </w:tc>
        <w:tc>
          <w:tcPr>
            <w:tcW w:w="420" w:type="dxa"/>
            <w:vAlign w:val="bottom"/>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rPr>
              <w:t>93</w:t>
            </w:r>
          </w:p>
        </w:tc>
        <w:tc>
          <w:tcPr>
            <w:tcW w:w="100" w:type="dxa"/>
            <w:vAlign w:val="bottom"/>
            <w:shd w:val="clear" w:color="auto" w:fill="D6D6D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D6D6D6"/>
          </w:tcPr>
          <w:p>
            <w:pPr>
              <w:spacing w:after="0" w:line="20" w:lineRule="exact"/>
              <w:rPr>
                <w:sz w:val="1"/>
                <w:szCs w:val="1"/>
                <w:color w:val="auto"/>
              </w:rPr>
            </w:pPr>
          </w:p>
        </w:tc>
        <w:tc>
          <w:tcPr>
            <w:tcW w:w="200" w:type="dxa"/>
            <w:vAlign w:val="bottom"/>
            <w:shd w:val="clear" w:color="auto" w:fill="0A0AE5"/>
          </w:tcPr>
          <w:p>
            <w:pPr>
              <w:spacing w:after="0" w:line="20" w:lineRule="exact"/>
              <w:rPr>
                <w:sz w:val="1"/>
                <w:szCs w:val="1"/>
                <w:color w:val="auto"/>
              </w:rPr>
            </w:pPr>
          </w:p>
        </w:tc>
        <w:tc>
          <w:tcPr>
            <w:tcW w:w="100" w:type="dxa"/>
            <w:vAlign w:val="bottom"/>
            <w:shd w:val="clear" w:color="auto" w:fill="D6D6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60" w:type="dxa"/>
            <w:vAlign w:val="bottom"/>
            <w:gridSpan w:val="3"/>
          </w:tcPr>
          <w:p>
            <w:pPr>
              <w:ind w:left="20"/>
              <w:spacing w:after="0"/>
              <w:rPr>
                <w:sz w:val="20"/>
                <w:szCs w:val="20"/>
                <w:color w:val="auto"/>
              </w:rPr>
            </w:pPr>
            <w:r>
              <w:rPr>
                <w:rFonts w:ascii="Arial" w:cs="Arial" w:eastAsia="Arial" w:hAnsi="Arial"/>
                <w:sz w:val="20"/>
                <w:szCs w:val="20"/>
                <w:color w:val="auto"/>
              </w:rPr>
              <w:t>9.08.</w:t>
            </w:r>
          </w:p>
        </w:tc>
        <w:tc>
          <w:tcPr>
            <w:tcW w:w="9240" w:type="dxa"/>
            <w:vAlign w:val="bottom"/>
            <w:gridSpan w:val="4"/>
          </w:tcPr>
          <w:p>
            <w:pPr>
              <w:ind w:left="20"/>
              <w:spacing w:after="0"/>
              <w:rPr>
                <w:sz w:val="20"/>
                <w:szCs w:val="20"/>
                <w:color w:val="auto"/>
              </w:rPr>
            </w:pPr>
            <w:r>
              <w:rPr>
                <w:rFonts w:ascii="Arial" w:cs="Arial" w:eastAsia="Arial" w:hAnsi="Arial"/>
                <w:sz w:val="20"/>
                <w:szCs w:val="20"/>
                <w:color w:val="auto"/>
              </w:rPr>
              <w:t>No Other Duties, Etc</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96</w:t>
            </w:r>
          </w:p>
        </w:tc>
        <w:tc>
          <w:tcPr>
            <w:tcW w:w="420" w:type="dxa"/>
            <w:vAlign w:val="bottom"/>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rPr>
              <w:t>94</w:t>
            </w:r>
          </w:p>
        </w:tc>
        <w:tc>
          <w:tcPr>
            <w:tcW w:w="100" w:type="dxa"/>
            <w:vAlign w:val="bottom"/>
            <w:shd w:val="clear" w:color="auto" w:fill="D6D6D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D6D6D6"/>
          </w:tcPr>
          <w:p>
            <w:pPr>
              <w:spacing w:after="0" w:line="20" w:lineRule="exact"/>
              <w:rPr>
                <w:sz w:val="1"/>
                <w:szCs w:val="1"/>
                <w:color w:val="auto"/>
              </w:rPr>
            </w:pPr>
          </w:p>
        </w:tc>
        <w:tc>
          <w:tcPr>
            <w:tcW w:w="200" w:type="dxa"/>
            <w:vAlign w:val="bottom"/>
            <w:shd w:val="clear" w:color="auto" w:fill="0A0AE5"/>
          </w:tcPr>
          <w:p>
            <w:pPr>
              <w:spacing w:after="0" w:line="20" w:lineRule="exact"/>
              <w:rPr>
                <w:sz w:val="1"/>
                <w:szCs w:val="1"/>
                <w:color w:val="auto"/>
              </w:rPr>
            </w:pPr>
          </w:p>
        </w:tc>
        <w:tc>
          <w:tcPr>
            <w:tcW w:w="100" w:type="dxa"/>
            <w:vAlign w:val="bottom"/>
            <w:shd w:val="clear" w:color="auto" w:fill="D6D6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60" w:type="dxa"/>
            <w:vAlign w:val="bottom"/>
            <w:gridSpan w:val="3"/>
          </w:tcPr>
          <w:p>
            <w:pPr>
              <w:ind w:left="20"/>
              <w:spacing w:after="0"/>
              <w:rPr>
                <w:sz w:val="20"/>
                <w:szCs w:val="20"/>
                <w:color w:val="auto"/>
              </w:rPr>
            </w:pPr>
            <w:r>
              <w:rPr>
                <w:rFonts w:ascii="Arial" w:cs="Arial" w:eastAsia="Arial" w:hAnsi="Arial"/>
                <w:sz w:val="20"/>
                <w:szCs w:val="20"/>
                <w:color w:val="auto"/>
              </w:rPr>
              <w:t>9.09.</w:t>
            </w:r>
          </w:p>
        </w:tc>
        <w:tc>
          <w:tcPr>
            <w:tcW w:w="9240" w:type="dxa"/>
            <w:vAlign w:val="bottom"/>
            <w:gridSpan w:val="4"/>
          </w:tcPr>
          <w:p>
            <w:pPr>
              <w:ind w:left="20"/>
              <w:spacing w:after="0"/>
              <w:rPr>
                <w:sz w:val="20"/>
                <w:szCs w:val="20"/>
                <w:color w:val="auto"/>
              </w:rPr>
            </w:pPr>
            <w:r>
              <w:rPr>
                <w:rFonts w:ascii="Arial" w:cs="Arial" w:eastAsia="Arial" w:hAnsi="Arial"/>
                <w:sz w:val="20"/>
                <w:szCs w:val="20"/>
                <w:color w:val="auto"/>
              </w:rPr>
              <w:t>Administrative Agent May File Proofs of Claim</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96</w:t>
            </w:r>
          </w:p>
        </w:tc>
        <w:tc>
          <w:tcPr>
            <w:tcW w:w="420" w:type="dxa"/>
            <w:vAlign w:val="bottom"/>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rPr>
              <w:t>94</w:t>
            </w:r>
          </w:p>
        </w:tc>
        <w:tc>
          <w:tcPr>
            <w:tcW w:w="100" w:type="dxa"/>
            <w:vAlign w:val="bottom"/>
            <w:shd w:val="clear" w:color="auto" w:fill="D6D6D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D6D6D6"/>
          </w:tcPr>
          <w:p>
            <w:pPr>
              <w:spacing w:after="0" w:line="20" w:lineRule="exact"/>
              <w:rPr>
                <w:sz w:val="1"/>
                <w:szCs w:val="1"/>
                <w:color w:val="auto"/>
              </w:rPr>
            </w:pPr>
          </w:p>
        </w:tc>
        <w:tc>
          <w:tcPr>
            <w:tcW w:w="200" w:type="dxa"/>
            <w:vAlign w:val="bottom"/>
            <w:shd w:val="clear" w:color="auto" w:fill="0A0AE5"/>
          </w:tcPr>
          <w:p>
            <w:pPr>
              <w:spacing w:after="0" w:line="20" w:lineRule="exact"/>
              <w:rPr>
                <w:sz w:val="1"/>
                <w:szCs w:val="1"/>
                <w:color w:val="auto"/>
              </w:rPr>
            </w:pPr>
          </w:p>
        </w:tc>
        <w:tc>
          <w:tcPr>
            <w:tcW w:w="100" w:type="dxa"/>
            <w:vAlign w:val="bottom"/>
            <w:shd w:val="clear" w:color="auto" w:fill="D6D6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60" w:type="dxa"/>
            <w:vAlign w:val="bottom"/>
            <w:gridSpan w:val="3"/>
          </w:tcPr>
          <w:p>
            <w:pPr>
              <w:ind w:left="20"/>
              <w:spacing w:after="0"/>
              <w:rPr>
                <w:sz w:val="20"/>
                <w:szCs w:val="20"/>
                <w:color w:val="auto"/>
              </w:rPr>
            </w:pPr>
            <w:r>
              <w:rPr>
                <w:rFonts w:ascii="Arial" w:cs="Arial" w:eastAsia="Arial" w:hAnsi="Arial"/>
                <w:sz w:val="20"/>
                <w:szCs w:val="20"/>
                <w:color w:val="auto"/>
              </w:rPr>
              <w:t>9.10.</w:t>
            </w:r>
          </w:p>
        </w:tc>
        <w:tc>
          <w:tcPr>
            <w:tcW w:w="9240" w:type="dxa"/>
            <w:vAlign w:val="bottom"/>
            <w:gridSpan w:val="4"/>
          </w:tcPr>
          <w:p>
            <w:pPr>
              <w:ind w:left="20"/>
              <w:spacing w:after="0"/>
              <w:rPr>
                <w:sz w:val="20"/>
                <w:szCs w:val="20"/>
                <w:color w:val="auto"/>
              </w:rPr>
            </w:pPr>
            <w:r>
              <w:rPr>
                <w:rFonts w:ascii="Arial" w:cs="Arial" w:eastAsia="Arial" w:hAnsi="Arial"/>
                <w:sz w:val="20"/>
                <w:szCs w:val="20"/>
                <w:color w:val="auto"/>
              </w:rPr>
              <w:t>Guaranty Matters</w:t>
            </w:r>
          </w:p>
        </w:tc>
        <w:tc>
          <w:tcPr>
            <w:tcW w:w="320" w:type="dxa"/>
            <w:vAlign w:val="bottom"/>
          </w:tcPr>
          <w:p>
            <w:pPr>
              <w:jc w:val="right"/>
              <w:ind w:right="20"/>
              <w:spacing w:after="0"/>
              <w:rPr>
                <w:sz w:val="20"/>
                <w:szCs w:val="20"/>
                <w:color w:val="auto"/>
              </w:rPr>
            </w:pPr>
            <w:r>
              <w:rPr>
                <w:rFonts w:ascii="Arial" w:cs="Arial" w:eastAsia="Arial" w:hAnsi="Arial"/>
                <w:sz w:val="20"/>
                <w:szCs w:val="20"/>
                <w:color w:val="FF0000"/>
                <w:strike w:val="1"/>
                <w:w w:val="80"/>
              </w:rPr>
              <w:t>97</w:t>
            </w:r>
          </w:p>
        </w:tc>
        <w:tc>
          <w:tcPr>
            <w:tcW w:w="420" w:type="dxa"/>
            <w:vAlign w:val="bottom"/>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rPr>
              <w:t>94</w:t>
            </w:r>
          </w:p>
        </w:tc>
        <w:tc>
          <w:tcPr>
            <w:tcW w:w="100" w:type="dxa"/>
            <w:vAlign w:val="bottom"/>
            <w:shd w:val="clear" w:color="auto" w:fill="D6D6D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D6D6D6"/>
          </w:tcPr>
          <w:p>
            <w:pPr>
              <w:spacing w:after="0" w:line="20" w:lineRule="exact"/>
              <w:rPr>
                <w:sz w:val="1"/>
                <w:szCs w:val="1"/>
                <w:color w:val="auto"/>
              </w:rPr>
            </w:pPr>
          </w:p>
        </w:tc>
        <w:tc>
          <w:tcPr>
            <w:tcW w:w="200" w:type="dxa"/>
            <w:vAlign w:val="bottom"/>
            <w:shd w:val="clear" w:color="auto" w:fill="0A0AE5"/>
          </w:tcPr>
          <w:p>
            <w:pPr>
              <w:spacing w:after="0" w:line="20" w:lineRule="exact"/>
              <w:rPr>
                <w:sz w:val="1"/>
                <w:szCs w:val="1"/>
                <w:color w:val="auto"/>
              </w:rPr>
            </w:pPr>
          </w:p>
        </w:tc>
        <w:tc>
          <w:tcPr>
            <w:tcW w:w="100" w:type="dxa"/>
            <w:vAlign w:val="bottom"/>
            <w:shd w:val="clear" w:color="auto" w:fill="D6D6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366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5540" w:type="dxa"/>
            <w:vAlign w:val="bottom"/>
            <w:vMerge w:val="restart"/>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gridSpan w:val="2"/>
            <w:vMerge w:val="restart"/>
            <w:shd w:val="clear" w:color="auto" w:fill="D6D6D6"/>
          </w:tcPr>
          <w:p>
            <w:pPr>
              <w:jc w:val="right"/>
              <w:spacing w:after="0"/>
              <w:rPr>
                <w:sz w:val="20"/>
                <w:szCs w:val="20"/>
                <w:color w:val="auto"/>
              </w:rPr>
            </w:pPr>
            <w:r>
              <w:rPr>
                <w:rFonts w:ascii="Arial" w:cs="Arial" w:eastAsia="Arial" w:hAnsi="Arial"/>
                <w:sz w:val="20"/>
                <w:szCs w:val="20"/>
                <w:b w:val="1"/>
                <w:bCs w:val="1"/>
                <w:color w:val="0A0AE5"/>
              </w:rPr>
              <w:t>95</w:t>
            </w:r>
          </w:p>
        </w:tc>
        <w:tc>
          <w:tcPr>
            <w:tcW w:w="100" w:type="dxa"/>
            <w:vAlign w:val="bottom"/>
            <w:vMerge w:val="restart"/>
            <w:shd w:val="clear" w:color="auto" w:fill="D6D6D6"/>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760" w:type="dxa"/>
            <w:vAlign w:val="bottom"/>
            <w:gridSpan w:val="3"/>
            <w:vMerge w:val="restart"/>
            <w:shd w:val="clear" w:color="auto" w:fill="D6D6D6"/>
          </w:tcPr>
          <w:p>
            <w:pPr>
              <w:ind w:left="20"/>
              <w:spacing w:after="0" w:line="212" w:lineRule="exact"/>
              <w:rPr>
                <w:sz w:val="20"/>
                <w:szCs w:val="20"/>
                <w:color w:val="auto"/>
              </w:rPr>
            </w:pPr>
            <w:r>
              <w:rPr>
                <w:rFonts w:ascii="Arial" w:cs="Arial" w:eastAsia="Arial" w:hAnsi="Arial"/>
                <w:sz w:val="20"/>
                <w:szCs w:val="20"/>
                <w:b w:val="1"/>
                <w:bCs w:val="1"/>
                <w:color w:val="0A0AE5"/>
              </w:rPr>
              <w:t>9.</w:t>
            </w:r>
            <w:r>
              <w:rPr>
                <w:rFonts w:ascii="Arial" w:cs="Arial" w:eastAsia="Arial" w:hAnsi="Arial"/>
                <w:sz w:val="20"/>
                <w:szCs w:val="20"/>
                <w:b w:val="1"/>
                <w:bCs w:val="1"/>
                <w:u w:val="single" w:color="auto"/>
                <w:color w:val="0A0AE5"/>
              </w:rPr>
              <w:t>11.</w:t>
            </w:r>
          </w:p>
        </w:tc>
        <w:tc>
          <w:tcPr>
            <w:tcW w:w="20" w:type="dxa"/>
            <w:vAlign w:val="bottom"/>
            <w:vMerge w:val="continue"/>
          </w:tcPr>
          <w:p>
            <w:pPr>
              <w:spacing w:after="0"/>
              <w:rPr>
                <w:sz w:val="2"/>
                <w:szCs w:val="2"/>
                <w:color w:val="auto"/>
              </w:rPr>
            </w:pPr>
          </w:p>
        </w:tc>
        <w:tc>
          <w:tcPr>
            <w:tcW w:w="36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55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gridSpan w:val="2"/>
            <w:vMerge w:val="continue"/>
            <w:shd w:val="clear" w:color="auto" w:fill="D6D6D6"/>
          </w:tcPr>
          <w:p>
            <w:pPr>
              <w:spacing w:after="0"/>
              <w:rPr>
                <w:sz w:val="2"/>
                <w:szCs w:val="2"/>
                <w:color w:val="auto"/>
              </w:rPr>
            </w:pPr>
          </w:p>
        </w:tc>
        <w:tc>
          <w:tcPr>
            <w:tcW w:w="100" w:type="dxa"/>
            <w:vAlign w:val="bottom"/>
            <w:vMerge w:val="continue"/>
            <w:shd w:val="clear" w:color="auto" w:fill="D6D6D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760" w:type="dxa"/>
            <w:vAlign w:val="bottom"/>
            <w:gridSpan w:val="3"/>
            <w:vMerge w:val="continue"/>
            <w:shd w:val="clear" w:color="auto" w:fill="D6D6D6"/>
          </w:tcPr>
          <w:p>
            <w:pPr>
              <w:spacing w:after="0"/>
              <w:rPr>
                <w:sz w:val="18"/>
                <w:szCs w:val="18"/>
                <w:color w:val="auto"/>
              </w:rPr>
            </w:pPr>
          </w:p>
        </w:tc>
        <w:tc>
          <w:tcPr>
            <w:tcW w:w="20" w:type="dxa"/>
            <w:vAlign w:val="bottom"/>
            <w:vMerge w:val="continue"/>
          </w:tcPr>
          <w:p>
            <w:pPr>
              <w:spacing w:after="0"/>
              <w:rPr>
                <w:sz w:val="18"/>
                <w:szCs w:val="18"/>
                <w:color w:val="auto"/>
              </w:rPr>
            </w:pPr>
          </w:p>
        </w:tc>
        <w:tc>
          <w:tcPr>
            <w:tcW w:w="3660" w:type="dxa"/>
            <w:vAlign w:val="bottom"/>
            <w:shd w:val="clear" w:color="auto" w:fill="D6D6D6"/>
          </w:tcPr>
          <w:p>
            <w:pPr>
              <w:spacing w:after="0" w:line="187" w:lineRule="exact"/>
              <w:rPr>
                <w:sz w:val="20"/>
                <w:szCs w:val="20"/>
                <w:color w:val="auto"/>
              </w:rPr>
            </w:pPr>
            <w:r>
              <w:rPr>
                <w:rFonts w:ascii="Arial" w:cs="Arial" w:eastAsia="Arial" w:hAnsi="Arial"/>
                <w:sz w:val="20"/>
                <w:szCs w:val="20"/>
                <w:b w:val="1"/>
                <w:bCs w:val="1"/>
                <w:color w:val="0A0AE5"/>
                <w:highlight w:val="lightGray"/>
                <w:w w:val="90"/>
              </w:rPr>
              <w:t>Lender Representations Regarding ERISA</w:t>
            </w:r>
          </w:p>
        </w:tc>
        <w:tc>
          <w:tcPr>
            <w:tcW w:w="20" w:type="dxa"/>
            <w:vAlign w:val="bottom"/>
            <w:vMerge w:val="continue"/>
          </w:tcPr>
          <w:p>
            <w:pPr>
              <w:spacing w:after="0"/>
              <w:rPr>
                <w:sz w:val="18"/>
                <w:szCs w:val="18"/>
                <w:color w:val="auto"/>
              </w:rPr>
            </w:pPr>
          </w:p>
        </w:tc>
        <w:tc>
          <w:tcPr>
            <w:tcW w:w="55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gridSpan w:val="2"/>
            <w:vMerge w:val="continue"/>
            <w:shd w:val="clear" w:color="auto" w:fill="D6D6D6"/>
          </w:tcPr>
          <w:p>
            <w:pPr>
              <w:spacing w:after="0"/>
              <w:rPr>
                <w:sz w:val="18"/>
                <w:szCs w:val="18"/>
                <w:color w:val="auto"/>
              </w:rPr>
            </w:pPr>
          </w:p>
        </w:tc>
        <w:tc>
          <w:tcPr>
            <w:tcW w:w="100" w:type="dxa"/>
            <w:vAlign w:val="bottom"/>
            <w:shd w:val="clear" w:color="auto" w:fill="D6D6D6"/>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0" w:type="dxa"/>
            <w:vAlign w:val="bottom"/>
            <w:tcBorders>
              <w:top w:val="single" w:sz="8" w:color="D6D6D6"/>
            </w:tcBorders>
            <w:shd w:val="clear" w:color="auto" w:fill="D6D6D6"/>
          </w:tcPr>
          <w:p>
            <w:pPr>
              <w:spacing w:after="0" w:line="20" w:lineRule="exact"/>
              <w:rPr>
                <w:sz w:val="1"/>
                <w:szCs w:val="1"/>
                <w:color w:val="auto"/>
              </w:rPr>
            </w:pPr>
          </w:p>
        </w:tc>
        <w:tc>
          <w:tcPr>
            <w:tcW w:w="380" w:type="dxa"/>
            <w:vAlign w:val="bottom"/>
            <w:tcBorders>
              <w:top w:val="single" w:sz="8" w:color="0A0AE5"/>
            </w:tcBorders>
            <w:shd w:val="clear" w:color="auto" w:fill="D6D6D6"/>
          </w:tcPr>
          <w:p>
            <w:pPr>
              <w:spacing w:after="0" w:line="20" w:lineRule="exact"/>
              <w:rPr>
                <w:sz w:val="1"/>
                <w:szCs w:val="1"/>
                <w:color w:val="auto"/>
              </w:rPr>
            </w:pPr>
          </w:p>
        </w:tc>
        <w:tc>
          <w:tcPr>
            <w:tcW w:w="360" w:type="dxa"/>
            <w:vAlign w:val="bottom"/>
            <w:tcBorders>
              <w:top w:val="single" w:sz="8" w:color="D6D6D6"/>
            </w:tcBorders>
            <w:shd w:val="clear" w:color="auto" w:fill="D6D6D6"/>
          </w:tcPr>
          <w:p>
            <w:pPr>
              <w:spacing w:after="0" w:line="20" w:lineRule="exact"/>
              <w:rPr>
                <w:sz w:val="1"/>
                <w:szCs w:val="1"/>
                <w:color w:val="auto"/>
              </w:rPr>
            </w:pPr>
          </w:p>
        </w:tc>
        <w:tc>
          <w:tcPr>
            <w:tcW w:w="20" w:type="dxa"/>
            <w:vAlign w:val="bottom"/>
            <w:tcBorders>
              <w:top w:val="single" w:sz="8" w:color="0A0AE5"/>
            </w:tcBorders>
          </w:tcPr>
          <w:p>
            <w:pPr>
              <w:spacing w:after="0" w:line="20" w:lineRule="exact"/>
              <w:rPr>
                <w:sz w:val="1"/>
                <w:szCs w:val="1"/>
                <w:color w:val="auto"/>
              </w:rPr>
            </w:pPr>
          </w:p>
        </w:tc>
        <w:tc>
          <w:tcPr>
            <w:tcW w:w="3660" w:type="dxa"/>
            <w:vAlign w:val="bottom"/>
            <w:tcBorders>
              <w:top w:val="single" w:sz="8" w:color="0A0AE5"/>
            </w:tcBorders>
          </w:tcPr>
          <w:p>
            <w:pPr>
              <w:spacing w:after="0" w:line="20" w:lineRule="exact"/>
              <w:rPr>
                <w:sz w:val="1"/>
                <w:szCs w:val="1"/>
                <w:color w:val="auto"/>
              </w:rPr>
            </w:pPr>
          </w:p>
        </w:tc>
        <w:tc>
          <w:tcPr>
            <w:tcW w:w="20" w:type="dxa"/>
            <w:vAlign w:val="bottom"/>
            <w:tcBorders>
              <w:top w:val="single" w:sz="8" w:color="0A0AE5"/>
            </w:tcBorders>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D6D6D6"/>
            </w:tcBorders>
            <w:shd w:val="clear" w:color="auto" w:fill="D6D6D6"/>
          </w:tcPr>
          <w:p>
            <w:pPr>
              <w:spacing w:after="0" w:line="20" w:lineRule="exact"/>
              <w:rPr>
                <w:sz w:val="1"/>
                <w:szCs w:val="1"/>
                <w:color w:val="auto"/>
              </w:rPr>
            </w:pPr>
          </w:p>
        </w:tc>
        <w:tc>
          <w:tcPr>
            <w:tcW w:w="200" w:type="dxa"/>
            <w:vAlign w:val="bottom"/>
            <w:tcBorders>
              <w:top w:val="single" w:sz="8" w:color="0A0AE5"/>
            </w:tcBorders>
            <w:shd w:val="clear" w:color="auto" w:fill="D6D6D6"/>
          </w:tcPr>
          <w:p>
            <w:pPr>
              <w:spacing w:after="0" w:line="20" w:lineRule="exact"/>
              <w:rPr>
                <w:sz w:val="1"/>
                <w:szCs w:val="1"/>
                <w:color w:val="auto"/>
              </w:rPr>
            </w:pPr>
          </w:p>
        </w:tc>
        <w:tc>
          <w:tcPr>
            <w:tcW w:w="100" w:type="dxa"/>
            <w:vAlign w:val="bottom"/>
            <w:tcBorders>
              <w:top w:val="single" w:sz="8" w:color="D6D6D6"/>
            </w:tcBorders>
            <w:shd w:val="clear" w:color="auto" w:fill="D6D6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600"/>
        <w:spacing w:after="0"/>
        <w:rPr>
          <w:sz w:val="20"/>
          <w:szCs w:val="20"/>
          <w:color w:val="auto"/>
        </w:rPr>
      </w:pPr>
      <w:r>
        <w:rPr>
          <w:rFonts w:ascii="Arial" w:cs="Arial" w:eastAsia="Arial" w:hAnsi="Arial"/>
          <w:sz w:val="20"/>
          <w:szCs w:val="20"/>
          <w:color w:val="auto"/>
        </w:rPr>
        <w:t>ARTICLE X</w:t>
      </w:r>
    </w:p>
    <w:p>
      <w:pPr>
        <w:spacing w:after="0" w:line="45" w:lineRule="exact"/>
        <w:rPr>
          <w:sz w:val="20"/>
          <w:szCs w:val="20"/>
          <w:color w:val="auto"/>
        </w:rPr>
      </w:pPr>
    </w:p>
    <w:p>
      <w:pPr>
        <w:jc w:val="center"/>
        <w:ind w:left="600"/>
        <w:spacing w:after="0"/>
        <w:rPr>
          <w:sz w:val="20"/>
          <w:szCs w:val="20"/>
          <w:color w:val="auto"/>
        </w:rPr>
      </w:pPr>
      <w:r>
        <w:rPr>
          <w:rFonts w:ascii="Arial" w:cs="Arial" w:eastAsia="Arial" w:hAnsi="Arial"/>
          <w:sz w:val="20"/>
          <w:szCs w:val="20"/>
          <w:color w:val="auto"/>
        </w:rPr>
        <w:t>MISCELLANEOUS</w:t>
      </w:r>
    </w:p>
    <w:p>
      <w:pPr>
        <w:spacing w:after="0" w:line="200" w:lineRule="exact"/>
        <w:rPr>
          <w:sz w:val="20"/>
          <w:szCs w:val="20"/>
          <w:color w:val="auto"/>
        </w:rPr>
      </w:pP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iv-</w:t>
      </w:r>
    </w:p>
    <w:p>
      <w:pPr>
        <w:sectPr>
          <w:pgSz w:w="11900" w:h="16838" w:orient="portrait"/>
          <w:cols w:equalWidth="0" w:num="1">
            <w:col w:w="10980"/>
          </w:cols>
          <w:pgMar w:left="480" w:top="1109" w:right="439" w:bottom="1440" w:gutter="0" w:footer="0" w:header="0"/>
        </w:sectPr>
      </w:pPr>
    </w:p>
    <w:bookmarkStart w:id="231" w:name="page232"/>
    <w:bookmarkEnd w:id="231"/>
    <w:tbl>
      <w:tblPr>
        <w:tblLayout w:type="fixed"/>
        <w:tblInd w:w="0" w:type="dxa"/>
        <w:tblCellMar>
          <w:top w:w="0" w:type="dxa"/>
          <w:left w:w="0" w:type="dxa"/>
          <w:bottom w:w="0" w:type="dxa"/>
          <w:right w:w="0" w:type="dxa"/>
        </w:tblCellMar>
      </w:tblPr>
      <w:tr>
        <w:trPr>
          <w:trHeight w:val="39"/>
        </w:trPr>
        <w:tc>
          <w:tcPr>
            <w:tcW w:w="580" w:type="dxa"/>
            <w:vAlign w:val="bottom"/>
            <w:vMerge w:val="restart"/>
          </w:tcPr>
          <w:p>
            <w:pPr>
              <w:spacing w:after="0"/>
              <w:rPr>
                <w:sz w:val="20"/>
                <w:szCs w:val="20"/>
                <w:color w:val="auto"/>
              </w:rPr>
            </w:pPr>
            <w:r>
              <w:rPr>
                <w:rFonts w:ascii="Arial" w:cs="Arial" w:eastAsia="Arial" w:hAnsi="Arial"/>
                <w:sz w:val="20"/>
                <w:szCs w:val="20"/>
                <w:color w:val="auto"/>
              </w:rPr>
              <w:t>10.01.</w:t>
            </w:r>
          </w:p>
        </w:tc>
        <w:tc>
          <w:tcPr>
            <w:tcW w:w="9540" w:type="dxa"/>
            <w:vAlign w:val="bottom"/>
            <w:gridSpan w:val="5"/>
            <w:vMerge w:val="restart"/>
          </w:tcPr>
          <w:p>
            <w:pPr>
              <w:ind w:left="100"/>
              <w:spacing w:after="0"/>
              <w:rPr>
                <w:sz w:val="20"/>
                <w:szCs w:val="20"/>
                <w:color w:val="auto"/>
              </w:rPr>
            </w:pPr>
            <w:r>
              <w:rPr>
                <w:rFonts w:ascii="Arial" w:cs="Arial" w:eastAsia="Arial" w:hAnsi="Arial"/>
                <w:sz w:val="20"/>
                <w:szCs w:val="20"/>
                <w:color w:val="auto"/>
              </w:rPr>
              <w:t>Amendments, Etc</w:t>
            </w:r>
          </w:p>
        </w:tc>
        <w:tc>
          <w:tcPr>
            <w:tcW w:w="300" w:type="dxa"/>
            <w:vAlign w:val="bottom"/>
            <w:vMerge w:val="restart"/>
          </w:tcPr>
          <w:p>
            <w:pPr>
              <w:jc w:val="right"/>
              <w:spacing w:after="0"/>
              <w:rPr>
                <w:sz w:val="20"/>
                <w:szCs w:val="20"/>
                <w:color w:val="auto"/>
              </w:rPr>
            </w:pPr>
            <w:r>
              <w:rPr>
                <w:rFonts w:ascii="Arial" w:cs="Arial" w:eastAsia="Arial" w:hAnsi="Arial"/>
                <w:sz w:val="20"/>
                <w:szCs w:val="20"/>
                <w:color w:val="FF0000"/>
                <w:strike w:val="1"/>
              </w:rPr>
              <w:t>98</w:t>
            </w:r>
          </w:p>
        </w:tc>
        <w:tc>
          <w:tcPr>
            <w:tcW w:w="120" w:type="dxa"/>
            <w:vAlign w:val="bottom"/>
          </w:tcPr>
          <w:p>
            <w:pPr>
              <w:spacing w:after="0"/>
              <w:rPr>
                <w:sz w:val="3"/>
                <w:szCs w:val="3"/>
                <w:color w:val="auto"/>
              </w:rPr>
            </w:pPr>
          </w:p>
        </w:tc>
        <w:tc>
          <w:tcPr>
            <w:tcW w:w="360" w:type="dxa"/>
            <w:vAlign w:val="bottom"/>
            <w:gridSpan w:val="3"/>
            <w:vMerge w:val="restart"/>
          </w:tcPr>
          <w:p>
            <w:pPr>
              <w:spacing w:after="0"/>
              <w:rPr>
                <w:sz w:val="3"/>
                <w:szCs w:val="3"/>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b w:val="1"/>
                <w:bCs w:val="1"/>
                <w:color w:val="071DFF"/>
                <w:w w:val="80"/>
              </w:rPr>
              <w:t>97</w:t>
            </w: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6"/>
                <w:szCs w:val="16"/>
                <w:color w:val="auto"/>
              </w:rPr>
            </w:pPr>
          </w:p>
        </w:tc>
        <w:tc>
          <w:tcPr>
            <w:tcW w:w="9540" w:type="dxa"/>
            <w:vAlign w:val="bottom"/>
            <w:gridSpan w:val="5"/>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gridSpan w:val="3"/>
            <w:vMerge w:val="continue"/>
          </w:tcPr>
          <w:p>
            <w:pPr>
              <w:spacing w:after="0"/>
              <w:rPr>
                <w:sz w:val="16"/>
                <w:szCs w:val="16"/>
                <w:color w:val="auto"/>
              </w:rPr>
            </w:pPr>
          </w:p>
        </w:tc>
        <w:tc>
          <w:tcPr>
            <w:tcW w:w="200" w:type="dxa"/>
            <w:vAlign w:val="bottom"/>
            <w:tcBorders>
              <w:bottom w:val="single" w:sz="8" w:color="071DFF"/>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80" w:type="dxa"/>
            <w:vAlign w:val="bottom"/>
          </w:tcPr>
          <w:p>
            <w:pPr>
              <w:spacing w:after="0"/>
              <w:rPr>
                <w:sz w:val="20"/>
                <w:szCs w:val="20"/>
                <w:color w:val="auto"/>
              </w:rPr>
            </w:pPr>
            <w:r>
              <w:rPr>
                <w:rFonts w:ascii="Arial" w:cs="Arial" w:eastAsia="Arial" w:hAnsi="Arial"/>
                <w:sz w:val="20"/>
                <w:szCs w:val="20"/>
                <w:color w:val="auto"/>
              </w:rPr>
              <w:t>10.02.</w:t>
            </w:r>
          </w:p>
        </w:tc>
        <w:tc>
          <w:tcPr>
            <w:tcW w:w="9540" w:type="dxa"/>
            <w:vAlign w:val="bottom"/>
            <w:gridSpan w:val="5"/>
          </w:tcPr>
          <w:p>
            <w:pPr>
              <w:ind w:left="100"/>
              <w:spacing w:after="0"/>
              <w:rPr>
                <w:sz w:val="20"/>
                <w:szCs w:val="20"/>
                <w:color w:val="auto"/>
              </w:rPr>
            </w:pPr>
            <w:r>
              <w:rPr>
                <w:rFonts w:ascii="Arial" w:cs="Arial" w:eastAsia="Arial" w:hAnsi="Arial"/>
                <w:sz w:val="20"/>
                <w:szCs w:val="20"/>
                <w:color w:val="auto"/>
              </w:rPr>
              <w:t>Notices; Effectiveness; Electronic Communications</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100</w:t>
            </w:r>
          </w:p>
        </w:tc>
        <w:tc>
          <w:tcPr>
            <w:tcW w:w="120" w:type="dxa"/>
            <w:vAlign w:val="bottom"/>
          </w:tcPr>
          <w:p>
            <w:pPr>
              <w:spacing w:after="0"/>
              <w:rPr>
                <w:sz w:val="22"/>
                <w:szCs w:val="22"/>
                <w:color w:val="auto"/>
              </w:rPr>
            </w:pPr>
          </w:p>
        </w:tc>
        <w:tc>
          <w:tcPr>
            <w:tcW w:w="360" w:type="dxa"/>
            <w:vAlign w:val="bottom"/>
            <w:gridSpan w:val="3"/>
          </w:tcPr>
          <w:p>
            <w:pPr>
              <w:spacing w:after="0"/>
              <w:rPr>
                <w:sz w:val="22"/>
                <w:szCs w:val="22"/>
                <w:color w:val="auto"/>
              </w:rPr>
            </w:pPr>
          </w:p>
        </w:tc>
        <w:tc>
          <w:tcPr>
            <w:tcW w:w="200" w:type="dxa"/>
            <w:vAlign w:val="bottom"/>
            <w:tcBorders>
              <w:bottom w:val="single" w:sz="8" w:color="071DFF"/>
            </w:tcBorders>
          </w:tcPr>
          <w:p>
            <w:pPr>
              <w:jc w:val="right"/>
              <w:spacing w:after="0"/>
              <w:rPr>
                <w:sz w:val="20"/>
                <w:szCs w:val="20"/>
                <w:color w:val="auto"/>
              </w:rPr>
            </w:pPr>
            <w:r>
              <w:rPr>
                <w:rFonts w:ascii="Arial" w:cs="Arial" w:eastAsia="Arial" w:hAnsi="Arial"/>
                <w:sz w:val="20"/>
                <w:szCs w:val="20"/>
                <w:b w:val="1"/>
                <w:bCs w:val="1"/>
                <w:color w:val="071DFF"/>
                <w:w w:val="80"/>
              </w:rPr>
              <w:t>99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0" w:type="dxa"/>
            <w:vAlign w:val="bottom"/>
          </w:tcPr>
          <w:p>
            <w:pPr>
              <w:spacing w:after="0"/>
              <w:rPr>
                <w:sz w:val="20"/>
                <w:szCs w:val="20"/>
                <w:color w:val="auto"/>
              </w:rPr>
            </w:pPr>
            <w:r>
              <w:rPr>
                <w:rFonts w:ascii="Arial" w:cs="Arial" w:eastAsia="Arial" w:hAnsi="Arial"/>
                <w:sz w:val="20"/>
                <w:szCs w:val="20"/>
                <w:color w:val="auto"/>
              </w:rPr>
              <w:t>10.03.</w:t>
            </w:r>
          </w:p>
        </w:tc>
        <w:tc>
          <w:tcPr>
            <w:tcW w:w="9540" w:type="dxa"/>
            <w:vAlign w:val="bottom"/>
            <w:gridSpan w:val="5"/>
          </w:tcPr>
          <w:p>
            <w:pPr>
              <w:ind w:left="100"/>
              <w:spacing w:after="0"/>
              <w:rPr>
                <w:sz w:val="20"/>
                <w:szCs w:val="20"/>
                <w:color w:val="auto"/>
              </w:rPr>
            </w:pPr>
            <w:r>
              <w:rPr>
                <w:rFonts w:ascii="Arial" w:cs="Arial" w:eastAsia="Arial" w:hAnsi="Arial"/>
                <w:sz w:val="20"/>
                <w:szCs w:val="20"/>
                <w:color w:val="auto"/>
              </w:rPr>
              <w:t>No Waiver; Cumulative Remedies; Enforcement</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102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Borders>
              <w:bottom w:val="single" w:sz="8" w:color="071DFF"/>
            </w:tcBorders>
            <w:gridSpan w:val="3"/>
          </w:tcPr>
          <w:p>
            <w:pPr>
              <w:jc w:val="right"/>
              <w:spacing w:after="0"/>
              <w:rPr>
                <w:sz w:val="20"/>
                <w:szCs w:val="20"/>
                <w:color w:val="auto"/>
              </w:rPr>
            </w:pPr>
            <w:r>
              <w:rPr>
                <w:rFonts w:ascii="Arial" w:cs="Arial" w:eastAsia="Arial" w:hAnsi="Arial"/>
                <w:sz w:val="20"/>
                <w:szCs w:val="20"/>
                <w:b w:val="1"/>
                <w:bCs w:val="1"/>
                <w:color w:val="071DFF"/>
                <w:w w:val="83"/>
              </w:rPr>
              <w:t>101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580" w:type="dxa"/>
            <w:vAlign w:val="bottom"/>
          </w:tcPr>
          <w:p>
            <w:pPr>
              <w:spacing w:after="0"/>
              <w:rPr>
                <w:sz w:val="20"/>
                <w:szCs w:val="20"/>
                <w:color w:val="auto"/>
              </w:rPr>
            </w:pPr>
            <w:r>
              <w:rPr>
                <w:rFonts w:ascii="Arial" w:cs="Arial" w:eastAsia="Arial" w:hAnsi="Arial"/>
                <w:sz w:val="20"/>
                <w:szCs w:val="20"/>
                <w:color w:val="auto"/>
              </w:rPr>
              <w:t>10.04.</w:t>
            </w:r>
          </w:p>
        </w:tc>
        <w:tc>
          <w:tcPr>
            <w:tcW w:w="9540" w:type="dxa"/>
            <w:vAlign w:val="bottom"/>
            <w:gridSpan w:val="5"/>
          </w:tcPr>
          <w:p>
            <w:pPr>
              <w:ind w:left="100"/>
              <w:spacing w:after="0"/>
              <w:rPr>
                <w:sz w:val="20"/>
                <w:szCs w:val="20"/>
                <w:color w:val="auto"/>
              </w:rPr>
            </w:pPr>
            <w:r>
              <w:rPr>
                <w:rFonts w:ascii="Arial" w:cs="Arial" w:eastAsia="Arial" w:hAnsi="Arial"/>
                <w:sz w:val="20"/>
                <w:szCs w:val="20"/>
                <w:color w:val="auto"/>
              </w:rPr>
              <w:t>Expenses; Indemnity; Damage Waiver</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Arial" w:cs="Arial" w:eastAsia="Arial" w:hAnsi="Arial"/>
                <w:sz w:val="20"/>
                <w:szCs w:val="20"/>
                <w:color w:val="auto"/>
              </w:rPr>
              <w:t>102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line="228" w:lineRule="exact"/>
              <w:rPr>
                <w:sz w:val="20"/>
                <w:szCs w:val="20"/>
                <w:color w:val="auto"/>
              </w:rPr>
            </w:pPr>
            <w:r>
              <w:rPr>
                <w:rFonts w:ascii="Arial" w:cs="Arial" w:eastAsia="Arial" w:hAnsi="Arial"/>
                <w:sz w:val="20"/>
                <w:szCs w:val="20"/>
                <w:color w:val="auto"/>
              </w:rPr>
              <w:t>10.05.</w:t>
            </w:r>
          </w:p>
        </w:tc>
        <w:tc>
          <w:tcPr>
            <w:tcW w:w="9540" w:type="dxa"/>
            <w:vAlign w:val="bottom"/>
            <w:gridSpan w:val="5"/>
          </w:tcPr>
          <w:p>
            <w:pPr>
              <w:ind w:left="100"/>
              <w:spacing w:after="0" w:line="228" w:lineRule="exact"/>
              <w:rPr>
                <w:sz w:val="20"/>
                <w:szCs w:val="20"/>
                <w:color w:val="auto"/>
              </w:rPr>
            </w:pPr>
            <w:r>
              <w:rPr>
                <w:rFonts w:ascii="Arial" w:cs="Arial" w:eastAsia="Arial" w:hAnsi="Arial"/>
                <w:sz w:val="20"/>
                <w:szCs w:val="20"/>
                <w:color w:val="auto"/>
              </w:rPr>
              <w:t>Payments Set Aside</w:t>
            </w:r>
          </w:p>
        </w:tc>
        <w:tc>
          <w:tcPr>
            <w:tcW w:w="300" w:type="dxa"/>
            <w:vAlign w:val="bottom"/>
          </w:tcPr>
          <w:p>
            <w:pPr>
              <w:jc w:val="right"/>
              <w:spacing w:after="0" w:line="228" w:lineRule="exact"/>
              <w:rPr>
                <w:sz w:val="20"/>
                <w:szCs w:val="20"/>
                <w:color w:val="auto"/>
              </w:rPr>
            </w:pPr>
            <w:r>
              <w:rPr>
                <w:rFonts w:ascii="Arial" w:cs="Arial" w:eastAsia="Arial" w:hAnsi="Arial"/>
                <w:sz w:val="20"/>
                <w:szCs w:val="20"/>
                <w:color w:val="FF0000"/>
                <w:strike w:val="1"/>
                <w:w w:val="83"/>
              </w:rPr>
              <w:t>105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071DFF"/>
            </w:tcBorders>
            <w:gridSpan w:val="3"/>
          </w:tcPr>
          <w:p>
            <w:pPr>
              <w:jc w:val="right"/>
              <w:spacing w:after="0" w:line="228" w:lineRule="exact"/>
              <w:rPr>
                <w:sz w:val="20"/>
                <w:szCs w:val="20"/>
                <w:color w:val="auto"/>
              </w:rPr>
            </w:pPr>
            <w:r>
              <w:rPr>
                <w:rFonts w:ascii="Arial" w:cs="Arial" w:eastAsia="Arial" w:hAnsi="Arial"/>
                <w:sz w:val="20"/>
                <w:szCs w:val="20"/>
                <w:b w:val="1"/>
                <w:bCs w:val="1"/>
                <w:color w:val="071DFF"/>
                <w:w w:val="83"/>
              </w:rPr>
              <w:t>104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80" w:type="dxa"/>
            <w:vAlign w:val="bottom"/>
          </w:tcPr>
          <w:p>
            <w:pPr>
              <w:spacing w:after="0"/>
              <w:rPr>
                <w:sz w:val="20"/>
                <w:szCs w:val="20"/>
                <w:color w:val="auto"/>
              </w:rPr>
            </w:pPr>
            <w:r>
              <w:rPr>
                <w:rFonts w:ascii="Arial" w:cs="Arial" w:eastAsia="Arial" w:hAnsi="Arial"/>
                <w:sz w:val="20"/>
                <w:szCs w:val="20"/>
                <w:color w:val="auto"/>
              </w:rPr>
              <w:t>10.06.</w:t>
            </w:r>
          </w:p>
        </w:tc>
        <w:tc>
          <w:tcPr>
            <w:tcW w:w="9540" w:type="dxa"/>
            <w:vAlign w:val="bottom"/>
            <w:gridSpan w:val="5"/>
          </w:tcPr>
          <w:p>
            <w:pPr>
              <w:ind w:left="100"/>
              <w:spacing w:after="0"/>
              <w:rPr>
                <w:sz w:val="20"/>
                <w:szCs w:val="20"/>
                <w:color w:val="auto"/>
              </w:rPr>
            </w:pPr>
            <w:r>
              <w:rPr>
                <w:rFonts w:ascii="Arial" w:cs="Arial" w:eastAsia="Arial" w:hAnsi="Arial"/>
                <w:sz w:val="20"/>
                <w:szCs w:val="20"/>
                <w:color w:val="auto"/>
              </w:rPr>
              <w:t>Successors and Assigns</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105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Borders>
              <w:bottom w:val="single" w:sz="8" w:color="071DFF"/>
            </w:tcBorders>
            <w:gridSpan w:val="3"/>
          </w:tcPr>
          <w:p>
            <w:pPr>
              <w:jc w:val="right"/>
              <w:spacing w:after="0"/>
              <w:rPr>
                <w:sz w:val="20"/>
                <w:szCs w:val="20"/>
                <w:color w:val="auto"/>
              </w:rPr>
            </w:pPr>
            <w:r>
              <w:rPr>
                <w:rFonts w:ascii="Arial" w:cs="Arial" w:eastAsia="Arial" w:hAnsi="Arial"/>
                <w:sz w:val="20"/>
                <w:szCs w:val="20"/>
                <w:b w:val="1"/>
                <w:bCs w:val="1"/>
                <w:color w:val="071DFF"/>
                <w:w w:val="83"/>
              </w:rPr>
              <w:t>104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580" w:type="dxa"/>
            <w:vAlign w:val="bottom"/>
          </w:tcPr>
          <w:p>
            <w:pPr>
              <w:spacing w:after="0"/>
              <w:rPr>
                <w:sz w:val="20"/>
                <w:szCs w:val="20"/>
                <w:color w:val="auto"/>
              </w:rPr>
            </w:pPr>
            <w:r>
              <w:rPr>
                <w:rFonts w:ascii="Arial" w:cs="Arial" w:eastAsia="Arial" w:hAnsi="Arial"/>
                <w:sz w:val="20"/>
                <w:szCs w:val="20"/>
                <w:color w:val="auto"/>
              </w:rPr>
              <w:t>10.07.</w:t>
            </w:r>
          </w:p>
        </w:tc>
        <w:tc>
          <w:tcPr>
            <w:tcW w:w="9540" w:type="dxa"/>
            <w:vAlign w:val="bottom"/>
            <w:gridSpan w:val="5"/>
          </w:tcPr>
          <w:p>
            <w:pPr>
              <w:ind w:left="100"/>
              <w:spacing w:after="0"/>
              <w:rPr>
                <w:sz w:val="20"/>
                <w:szCs w:val="20"/>
                <w:color w:val="auto"/>
              </w:rPr>
            </w:pPr>
            <w:r>
              <w:rPr>
                <w:rFonts w:ascii="Arial" w:cs="Arial" w:eastAsia="Arial" w:hAnsi="Arial"/>
                <w:sz w:val="20"/>
                <w:szCs w:val="20"/>
                <w:color w:val="auto"/>
              </w:rPr>
              <w:t>Treatment of Certain Information; Confidentiality</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Arial" w:cs="Arial" w:eastAsia="Arial" w:hAnsi="Arial"/>
                <w:sz w:val="20"/>
                <w:szCs w:val="20"/>
                <w:color w:val="auto"/>
              </w:rPr>
              <w:t>109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80" w:type="dxa"/>
            <w:vAlign w:val="bottom"/>
          </w:tcPr>
          <w:p>
            <w:pPr>
              <w:spacing w:after="0"/>
              <w:rPr>
                <w:sz w:val="20"/>
                <w:szCs w:val="20"/>
                <w:color w:val="auto"/>
              </w:rPr>
            </w:pPr>
            <w:r>
              <w:rPr>
                <w:rFonts w:ascii="Arial" w:cs="Arial" w:eastAsia="Arial" w:hAnsi="Arial"/>
                <w:sz w:val="20"/>
                <w:szCs w:val="20"/>
                <w:color w:val="auto"/>
              </w:rPr>
              <w:t>10.08.</w:t>
            </w:r>
          </w:p>
        </w:tc>
        <w:tc>
          <w:tcPr>
            <w:tcW w:w="9540" w:type="dxa"/>
            <w:vAlign w:val="bottom"/>
            <w:gridSpan w:val="5"/>
          </w:tcPr>
          <w:p>
            <w:pPr>
              <w:ind w:left="100"/>
              <w:spacing w:after="0"/>
              <w:rPr>
                <w:sz w:val="20"/>
                <w:szCs w:val="20"/>
                <w:color w:val="auto"/>
              </w:rPr>
            </w:pPr>
            <w:r>
              <w:rPr>
                <w:rFonts w:ascii="Arial" w:cs="Arial" w:eastAsia="Arial" w:hAnsi="Arial"/>
                <w:sz w:val="20"/>
                <w:szCs w:val="20"/>
                <w:color w:val="auto"/>
              </w:rPr>
              <w:t>Right of Setoff</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Arial" w:cs="Arial" w:eastAsia="Arial" w:hAnsi="Arial"/>
                <w:sz w:val="20"/>
                <w:szCs w:val="20"/>
                <w:color w:val="auto"/>
              </w:rPr>
              <w:t>110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80" w:type="dxa"/>
            <w:vAlign w:val="bottom"/>
          </w:tcPr>
          <w:p>
            <w:pPr>
              <w:spacing w:after="0" w:line="220" w:lineRule="exact"/>
              <w:rPr>
                <w:sz w:val="20"/>
                <w:szCs w:val="20"/>
                <w:color w:val="auto"/>
              </w:rPr>
            </w:pPr>
            <w:r>
              <w:rPr>
                <w:rFonts w:ascii="Arial" w:cs="Arial" w:eastAsia="Arial" w:hAnsi="Arial"/>
                <w:sz w:val="20"/>
                <w:szCs w:val="20"/>
                <w:color w:val="auto"/>
              </w:rPr>
              <w:t>10.09.</w:t>
            </w:r>
          </w:p>
        </w:tc>
        <w:tc>
          <w:tcPr>
            <w:tcW w:w="9540" w:type="dxa"/>
            <w:vAlign w:val="bottom"/>
            <w:gridSpan w:val="5"/>
          </w:tcPr>
          <w:p>
            <w:pPr>
              <w:ind w:left="100"/>
              <w:spacing w:after="0" w:line="220" w:lineRule="exact"/>
              <w:rPr>
                <w:sz w:val="20"/>
                <w:szCs w:val="20"/>
                <w:color w:val="auto"/>
              </w:rPr>
            </w:pPr>
            <w:r>
              <w:rPr>
                <w:rFonts w:ascii="Arial" w:cs="Arial" w:eastAsia="Arial" w:hAnsi="Arial"/>
                <w:sz w:val="20"/>
                <w:szCs w:val="20"/>
                <w:color w:val="auto"/>
              </w:rPr>
              <w:t>Interest Rate Limitation</w:t>
            </w:r>
          </w:p>
        </w:tc>
        <w:tc>
          <w:tcPr>
            <w:tcW w:w="300" w:type="dxa"/>
            <w:vAlign w:val="bottom"/>
          </w:tcPr>
          <w:p>
            <w:pPr>
              <w:jc w:val="right"/>
              <w:spacing w:after="0" w:line="220" w:lineRule="exact"/>
              <w:rPr>
                <w:sz w:val="20"/>
                <w:szCs w:val="20"/>
                <w:color w:val="auto"/>
              </w:rPr>
            </w:pPr>
            <w:r>
              <w:rPr>
                <w:rFonts w:ascii="Arial" w:cs="Arial" w:eastAsia="Arial" w:hAnsi="Arial"/>
                <w:sz w:val="20"/>
                <w:szCs w:val="20"/>
                <w:color w:val="FF0000"/>
                <w:strike w:val="1"/>
                <w:w w:val="83"/>
              </w:rPr>
              <w:t>111</w:t>
            </w:r>
          </w:p>
        </w:tc>
        <w:tc>
          <w:tcPr>
            <w:tcW w:w="120" w:type="dxa"/>
            <w:vAlign w:val="bottom"/>
          </w:tcPr>
          <w:p>
            <w:pPr>
              <w:spacing w:after="0"/>
              <w:rPr>
                <w:sz w:val="22"/>
                <w:szCs w:val="22"/>
                <w:color w:val="auto"/>
              </w:rPr>
            </w:pPr>
          </w:p>
        </w:tc>
        <w:tc>
          <w:tcPr>
            <w:tcW w:w="260" w:type="dxa"/>
            <w:vAlign w:val="bottom"/>
            <w:tcBorders>
              <w:bottom w:val="single" w:sz="8" w:color="D6D6D6"/>
            </w:tcBorders>
            <w:shd w:val="clear" w:color="auto" w:fill="D6D6D6"/>
          </w:tcPr>
          <w:p>
            <w:pPr>
              <w:spacing w:after="0"/>
              <w:rPr>
                <w:sz w:val="22"/>
                <w:szCs w:val="22"/>
                <w:color w:val="auto"/>
              </w:rPr>
            </w:pPr>
          </w:p>
        </w:tc>
        <w:tc>
          <w:tcPr>
            <w:tcW w:w="300" w:type="dxa"/>
            <w:vAlign w:val="bottom"/>
            <w:tcBorders>
              <w:bottom w:val="single" w:sz="8" w:color="0A0AE5"/>
            </w:tcBorders>
            <w:gridSpan w:val="3"/>
            <w:shd w:val="clear" w:color="auto" w:fill="D6D6D6"/>
          </w:tcPr>
          <w:p>
            <w:pPr>
              <w:jc w:val="right"/>
              <w:spacing w:after="0" w:line="220" w:lineRule="exact"/>
              <w:rPr>
                <w:sz w:val="20"/>
                <w:szCs w:val="20"/>
                <w:color w:val="auto"/>
              </w:rPr>
            </w:pPr>
            <w:r>
              <w:rPr>
                <w:rFonts w:ascii="Arial" w:cs="Arial" w:eastAsia="Arial" w:hAnsi="Arial"/>
                <w:sz w:val="20"/>
                <w:szCs w:val="20"/>
                <w:b w:val="1"/>
                <w:bCs w:val="1"/>
                <w:color w:val="0A0AE5"/>
                <w:w w:val="83"/>
              </w:rPr>
              <w:t>110</w:t>
            </w:r>
          </w:p>
        </w:tc>
        <w:tc>
          <w:tcPr>
            <w:tcW w:w="120" w:type="dxa"/>
            <w:vAlign w:val="bottom"/>
            <w:tcBorders>
              <w:bottom w:val="single" w:sz="8" w:color="D6D6D6"/>
            </w:tcBorders>
            <w:shd w:val="clear" w:color="auto" w:fill="D6D6D6"/>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80" w:type="dxa"/>
            <w:vAlign w:val="bottom"/>
          </w:tcPr>
          <w:p>
            <w:pPr>
              <w:spacing w:after="0"/>
              <w:rPr>
                <w:sz w:val="20"/>
                <w:szCs w:val="20"/>
                <w:color w:val="auto"/>
              </w:rPr>
            </w:pPr>
            <w:r>
              <w:rPr>
                <w:rFonts w:ascii="Arial" w:cs="Arial" w:eastAsia="Arial" w:hAnsi="Arial"/>
                <w:sz w:val="20"/>
                <w:szCs w:val="20"/>
                <w:color w:val="auto"/>
              </w:rPr>
              <w:t>10.10.</w:t>
            </w:r>
          </w:p>
        </w:tc>
        <w:tc>
          <w:tcPr>
            <w:tcW w:w="9540" w:type="dxa"/>
            <w:vAlign w:val="bottom"/>
            <w:gridSpan w:val="5"/>
          </w:tcPr>
          <w:p>
            <w:pPr>
              <w:ind w:left="100"/>
              <w:spacing w:after="0"/>
              <w:rPr>
                <w:sz w:val="20"/>
                <w:szCs w:val="20"/>
                <w:color w:val="auto"/>
              </w:rPr>
            </w:pPr>
            <w:r>
              <w:rPr>
                <w:rFonts w:ascii="Arial" w:cs="Arial" w:eastAsia="Arial" w:hAnsi="Arial"/>
                <w:sz w:val="20"/>
                <w:szCs w:val="20"/>
                <w:color w:val="auto"/>
              </w:rPr>
              <w:t>Counterparts; Integration; Effectiveness</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gridSpan w:val="4"/>
          </w:tcPr>
          <w:p>
            <w:pPr>
              <w:jc w:val="right"/>
              <w:spacing w:after="0"/>
              <w:rPr>
                <w:sz w:val="20"/>
                <w:szCs w:val="20"/>
                <w:color w:val="auto"/>
              </w:rPr>
            </w:pPr>
            <w:r>
              <w:rPr>
                <w:rFonts w:ascii="Arial" w:cs="Arial" w:eastAsia="Arial" w:hAnsi="Arial"/>
                <w:sz w:val="20"/>
                <w:szCs w:val="20"/>
                <w:color w:val="auto"/>
              </w:rPr>
              <w:t>111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0120" w:type="dxa"/>
            <w:vAlign w:val="bottom"/>
            <w:gridSpan w:val="6"/>
          </w:tcPr>
          <w:p>
            <w:pPr>
              <w:spacing w:after="0"/>
              <w:rPr>
                <w:sz w:val="20"/>
                <w:szCs w:val="20"/>
                <w:color w:val="auto"/>
              </w:rPr>
            </w:pPr>
            <w:r>
              <w:rPr>
                <w:rFonts w:ascii="Arial" w:cs="Arial" w:eastAsia="Arial" w:hAnsi="Arial"/>
                <w:sz w:val="20"/>
                <w:szCs w:val="20"/>
                <w:color w:val="auto"/>
              </w:rPr>
              <w:t>10.11.  Survival of Representations and Warranties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Arial" w:cs="Arial" w:eastAsia="Arial" w:hAnsi="Arial"/>
                <w:sz w:val="20"/>
                <w:szCs w:val="20"/>
                <w:color w:val="auto"/>
              </w:rPr>
              <w:t>111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line="220" w:lineRule="exact"/>
              <w:rPr>
                <w:sz w:val="20"/>
                <w:szCs w:val="20"/>
                <w:color w:val="auto"/>
              </w:rPr>
            </w:pPr>
            <w:r>
              <w:rPr>
                <w:rFonts w:ascii="Arial" w:cs="Arial" w:eastAsia="Arial" w:hAnsi="Arial"/>
                <w:sz w:val="20"/>
                <w:szCs w:val="20"/>
                <w:color w:val="auto"/>
              </w:rPr>
              <w:t>10.12.</w:t>
            </w:r>
          </w:p>
        </w:tc>
        <w:tc>
          <w:tcPr>
            <w:tcW w:w="9540" w:type="dxa"/>
            <w:vAlign w:val="bottom"/>
            <w:gridSpan w:val="5"/>
          </w:tcPr>
          <w:p>
            <w:pPr>
              <w:ind w:left="100"/>
              <w:spacing w:after="0" w:line="220" w:lineRule="exact"/>
              <w:rPr>
                <w:sz w:val="20"/>
                <w:szCs w:val="20"/>
                <w:color w:val="auto"/>
              </w:rPr>
            </w:pPr>
            <w:r>
              <w:rPr>
                <w:rFonts w:ascii="Arial" w:cs="Arial" w:eastAsia="Arial" w:hAnsi="Arial"/>
                <w:sz w:val="20"/>
                <w:szCs w:val="20"/>
                <w:color w:val="auto"/>
              </w:rPr>
              <w:t>Severability</w:t>
            </w:r>
          </w:p>
        </w:tc>
        <w:tc>
          <w:tcPr>
            <w:tcW w:w="300" w:type="dxa"/>
            <w:vAlign w:val="bottom"/>
          </w:tcPr>
          <w:p>
            <w:pPr>
              <w:jc w:val="right"/>
              <w:spacing w:after="0" w:line="220" w:lineRule="exact"/>
              <w:rPr>
                <w:sz w:val="20"/>
                <w:szCs w:val="20"/>
                <w:color w:val="auto"/>
              </w:rPr>
            </w:pPr>
            <w:r>
              <w:rPr>
                <w:rFonts w:ascii="Arial" w:cs="Arial" w:eastAsia="Arial" w:hAnsi="Arial"/>
                <w:sz w:val="20"/>
                <w:szCs w:val="20"/>
                <w:color w:val="FF0000"/>
                <w:strike w:val="1"/>
                <w:w w:val="83"/>
              </w:rPr>
              <w:t>112</w:t>
            </w:r>
          </w:p>
        </w:tc>
        <w:tc>
          <w:tcPr>
            <w:tcW w:w="120" w:type="dxa"/>
            <w:vAlign w:val="bottom"/>
          </w:tcPr>
          <w:p>
            <w:pPr>
              <w:spacing w:after="0"/>
              <w:rPr>
                <w:sz w:val="19"/>
                <w:szCs w:val="19"/>
                <w:color w:val="auto"/>
              </w:rPr>
            </w:pPr>
          </w:p>
        </w:tc>
        <w:tc>
          <w:tcPr>
            <w:tcW w:w="280" w:type="dxa"/>
            <w:vAlign w:val="bottom"/>
            <w:tcBorders>
              <w:bottom w:val="single" w:sz="8" w:color="D6D6D6"/>
            </w:tcBorders>
            <w:gridSpan w:val="2"/>
            <w:shd w:val="clear" w:color="auto" w:fill="D6D6D6"/>
          </w:tcPr>
          <w:p>
            <w:pPr>
              <w:spacing w:after="0"/>
              <w:rPr>
                <w:sz w:val="19"/>
                <w:szCs w:val="19"/>
                <w:color w:val="auto"/>
              </w:rPr>
            </w:pPr>
          </w:p>
        </w:tc>
        <w:tc>
          <w:tcPr>
            <w:tcW w:w="280" w:type="dxa"/>
            <w:vAlign w:val="bottom"/>
            <w:tcBorders>
              <w:bottom w:val="single" w:sz="8" w:color="0A0AE5"/>
            </w:tcBorders>
            <w:gridSpan w:val="2"/>
            <w:shd w:val="clear" w:color="auto" w:fill="D6D6D6"/>
          </w:tcPr>
          <w:p>
            <w:pPr>
              <w:jc w:val="right"/>
              <w:spacing w:after="0" w:line="220" w:lineRule="exact"/>
              <w:rPr>
                <w:sz w:val="20"/>
                <w:szCs w:val="20"/>
                <w:color w:val="auto"/>
              </w:rPr>
            </w:pPr>
            <w:r>
              <w:rPr>
                <w:rFonts w:ascii="Arial" w:cs="Arial" w:eastAsia="Arial" w:hAnsi="Arial"/>
                <w:sz w:val="20"/>
                <w:szCs w:val="20"/>
                <w:b w:val="1"/>
                <w:bCs w:val="1"/>
                <w:color w:val="0A0AE5"/>
                <w:w w:val="77"/>
              </w:rPr>
              <w:t>111</w:t>
            </w:r>
          </w:p>
        </w:tc>
        <w:tc>
          <w:tcPr>
            <w:tcW w:w="120" w:type="dxa"/>
            <w:vAlign w:val="bottom"/>
            <w:tcBorders>
              <w:bottom w:val="single" w:sz="8" w:color="D6D6D6"/>
            </w:tcBorders>
            <w:shd w:val="clear" w:color="auto" w:fill="D6D6D6"/>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80" w:type="dxa"/>
            <w:vAlign w:val="bottom"/>
          </w:tcPr>
          <w:p>
            <w:pPr>
              <w:spacing w:after="0"/>
              <w:rPr>
                <w:sz w:val="20"/>
                <w:szCs w:val="20"/>
                <w:color w:val="auto"/>
              </w:rPr>
            </w:pPr>
            <w:r>
              <w:rPr>
                <w:rFonts w:ascii="Arial" w:cs="Arial" w:eastAsia="Arial" w:hAnsi="Arial"/>
                <w:sz w:val="20"/>
                <w:szCs w:val="20"/>
                <w:color w:val="auto"/>
              </w:rPr>
              <w:t>10.13.</w:t>
            </w:r>
          </w:p>
        </w:tc>
        <w:tc>
          <w:tcPr>
            <w:tcW w:w="9540" w:type="dxa"/>
            <w:vAlign w:val="bottom"/>
            <w:gridSpan w:val="5"/>
          </w:tcPr>
          <w:p>
            <w:pPr>
              <w:ind w:left="100"/>
              <w:spacing w:after="0"/>
              <w:rPr>
                <w:sz w:val="20"/>
                <w:szCs w:val="20"/>
                <w:color w:val="auto"/>
              </w:rPr>
            </w:pPr>
            <w:r>
              <w:rPr>
                <w:rFonts w:ascii="Arial" w:cs="Arial" w:eastAsia="Arial" w:hAnsi="Arial"/>
                <w:sz w:val="20"/>
                <w:szCs w:val="20"/>
                <w:color w:val="auto"/>
              </w:rPr>
              <w:t>Replacement of Lenders</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112</w:t>
            </w:r>
          </w:p>
        </w:tc>
        <w:tc>
          <w:tcPr>
            <w:tcW w:w="120" w:type="dxa"/>
            <w:vAlign w:val="bottom"/>
          </w:tcPr>
          <w:p>
            <w:pPr>
              <w:spacing w:after="0"/>
              <w:rPr>
                <w:sz w:val="22"/>
                <w:szCs w:val="22"/>
                <w:color w:val="auto"/>
              </w:rPr>
            </w:pPr>
          </w:p>
        </w:tc>
        <w:tc>
          <w:tcPr>
            <w:tcW w:w="280" w:type="dxa"/>
            <w:vAlign w:val="bottom"/>
            <w:tcBorders>
              <w:bottom w:val="single" w:sz="8" w:color="D6D6D6"/>
            </w:tcBorders>
            <w:gridSpan w:val="2"/>
            <w:shd w:val="clear" w:color="auto" w:fill="D6D6D6"/>
          </w:tcPr>
          <w:p>
            <w:pPr>
              <w:spacing w:after="0"/>
              <w:rPr>
                <w:sz w:val="22"/>
                <w:szCs w:val="22"/>
                <w:color w:val="auto"/>
              </w:rPr>
            </w:pPr>
          </w:p>
        </w:tc>
        <w:tc>
          <w:tcPr>
            <w:tcW w:w="280" w:type="dxa"/>
            <w:vAlign w:val="bottom"/>
            <w:tcBorders>
              <w:bottom w:val="single" w:sz="8" w:color="0A0AE5"/>
            </w:tcBorders>
            <w:gridSpan w:val="2"/>
            <w:shd w:val="clear" w:color="auto" w:fill="D6D6D6"/>
          </w:tcPr>
          <w:p>
            <w:pPr>
              <w:jc w:val="right"/>
              <w:spacing w:after="0"/>
              <w:rPr>
                <w:sz w:val="20"/>
                <w:szCs w:val="20"/>
                <w:color w:val="auto"/>
              </w:rPr>
            </w:pPr>
            <w:r>
              <w:rPr>
                <w:rFonts w:ascii="Arial" w:cs="Arial" w:eastAsia="Arial" w:hAnsi="Arial"/>
                <w:sz w:val="20"/>
                <w:szCs w:val="20"/>
                <w:b w:val="1"/>
                <w:bCs w:val="1"/>
                <w:color w:val="0A0AE5"/>
                <w:w w:val="77"/>
              </w:rPr>
              <w:t>111</w:t>
            </w:r>
          </w:p>
        </w:tc>
        <w:tc>
          <w:tcPr>
            <w:tcW w:w="120" w:type="dxa"/>
            <w:vAlign w:val="bottom"/>
            <w:tcBorders>
              <w:bottom w:val="single" w:sz="8" w:color="D6D6D6"/>
            </w:tcBorders>
            <w:shd w:val="clear" w:color="auto" w:fill="D6D6D6"/>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10.14.</w:t>
            </w:r>
          </w:p>
        </w:tc>
        <w:tc>
          <w:tcPr>
            <w:tcW w:w="9540" w:type="dxa"/>
            <w:vAlign w:val="bottom"/>
            <w:gridSpan w:val="5"/>
          </w:tcPr>
          <w:p>
            <w:pPr>
              <w:ind w:left="100"/>
              <w:spacing w:after="0"/>
              <w:rPr>
                <w:sz w:val="20"/>
                <w:szCs w:val="20"/>
                <w:color w:val="auto"/>
              </w:rPr>
            </w:pPr>
            <w:r>
              <w:rPr>
                <w:rFonts w:ascii="Arial" w:cs="Arial" w:eastAsia="Arial" w:hAnsi="Arial"/>
                <w:sz w:val="20"/>
                <w:szCs w:val="20"/>
                <w:color w:val="auto"/>
              </w:rPr>
              <w:t>Governing Law; Jurisdiction; Etc</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113</w:t>
            </w:r>
          </w:p>
        </w:tc>
        <w:tc>
          <w:tcPr>
            <w:tcW w:w="120" w:type="dxa"/>
            <w:vAlign w:val="bottom"/>
          </w:tcPr>
          <w:p>
            <w:pPr>
              <w:spacing w:after="0"/>
              <w:rPr>
                <w:sz w:val="24"/>
                <w:szCs w:val="24"/>
                <w:color w:val="auto"/>
              </w:rPr>
            </w:pPr>
          </w:p>
        </w:tc>
        <w:tc>
          <w:tcPr>
            <w:tcW w:w="260" w:type="dxa"/>
            <w:vAlign w:val="bottom"/>
            <w:tcBorders>
              <w:bottom w:val="single" w:sz="8" w:color="D6D6D6"/>
            </w:tcBorders>
            <w:shd w:val="clear" w:color="auto" w:fill="D6D6D6"/>
          </w:tcPr>
          <w:p>
            <w:pPr>
              <w:spacing w:after="0"/>
              <w:rPr>
                <w:sz w:val="24"/>
                <w:szCs w:val="24"/>
                <w:color w:val="auto"/>
              </w:rPr>
            </w:pPr>
          </w:p>
        </w:tc>
        <w:tc>
          <w:tcPr>
            <w:tcW w:w="300" w:type="dxa"/>
            <w:vAlign w:val="bottom"/>
            <w:tcBorders>
              <w:bottom w:val="single" w:sz="8" w:color="0A0AE5"/>
            </w:tcBorders>
            <w:gridSpan w:val="3"/>
            <w:shd w:val="clear" w:color="auto" w:fill="D6D6D6"/>
          </w:tcPr>
          <w:p>
            <w:pPr>
              <w:jc w:val="right"/>
              <w:spacing w:after="0"/>
              <w:rPr>
                <w:sz w:val="20"/>
                <w:szCs w:val="20"/>
                <w:color w:val="auto"/>
              </w:rPr>
            </w:pPr>
            <w:r>
              <w:rPr>
                <w:rFonts w:ascii="Arial" w:cs="Arial" w:eastAsia="Arial" w:hAnsi="Arial"/>
                <w:sz w:val="20"/>
                <w:szCs w:val="20"/>
                <w:b w:val="1"/>
                <w:bCs w:val="1"/>
                <w:color w:val="0A0AE5"/>
                <w:w w:val="83"/>
              </w:rPr>
              <w:t>112</w:t>
            </w:r>
          </w:p>
        </w:tc>
        <w:tc>
          <w:tcPr>
            <w:tcW w:w="120" w:type="dxa"/>
            <w:vAlign w:val="bottom"/>
            <w:tcBorders>
              <w:bottom w:val="single" w:sz="8" w:color="D6D6D6"/>
            </w:tcBorders>
            <w:shd w:val="clear" w:color="auto" w:fill="D6D6D6"/>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80" w:type="dxa"/>
            <w:vAlign w:val="bottom"/>
          </w:tcPr>
          <w:p>
            <w:pPr>
              <w:spacing w:after="0"/>
              <w:rPr>
                <w:sz w:val="20"/>
                <w:szCs w:val="20"/>
                <w:color w:val="auto"/>
              </w:rPr>
            </w:pPr>
            <w:r>
              <w:rPr>
                <w:rFonts w:ascii="Arial" w:cs="Arial" w:eastAsia="Arial" w:hAnsi="Arial"/>
                <w:sz w:val="20"/>
                <w:szCs w:val="20"/>
                <w:color w:val="auto"/>
              </w:rPr>
              <w:t>10.15.</w:t>
            </w:r>
          </w:p>
        </w:tc>
        <w:tc>
          <w:tcPr>
            <w:tcW w:w="9540" w:type="dxa"/>
            <w:vAlign w:val="bottom"/>
            <w:gridSpan w:val="5"/>
          </w:tcPr>
          <w:p>
            <w:pPr>
              <w:ind w:left="100"/>
              <w:spacing w:after="0"/>
              <w:rPr>
                <w:sz w:val="20"/>
                <w:szCs w:val="20"/>
                <w:color w:val="auto"/>
              </w:rPr>
            </w:pPr>
            <w:r>
              <w:rPr>
                <w:rFonts w:ascii="Arial" w:cs="Arial" w:eastAsia="Arial" w:hAnsi="Arial"/>
                <w:sz w:val="20"/>
                <w:szCs w:val="20"/>
                <w:color w:val="auto"/>
              </w:rPr>
              <w:t>WAIVER OF JURY TRIAL</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gridSpan w:val="4"/>
          </w:tcPr>
          <w:p>
            <w:pPr>
              <w:jc w:val="right"/>
              <w:spacing w:after="0"/>
              <w:rPr>
                <w:sz w:val="20"/>
                <w:szCs w:val="20"/>
                <w:color w:val="auto"/>
              </w:rPr>
            </w:pPr>
            <w:r>
              <w:rPr>
                <w:rFonts w:ascii="Arial" w:cs="Arial" w:eastAsia="Arial" w:hAnsi="Arial"/>
                <w:sz w:val="20"/>
                <w:szCs w:val="20"/>
                <w:color w:val="auto"/>
              </w:rPr>
              <w:t>114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80" w:type="dxa"/>
            <w:vAlign w:val="bottom"/>
          </w:tcPr>
          <w:p>
            <w:pPr>
              <w:spacing w:after="0"/>
              <w:rPr>
                <w:sz w:val="20"/>
                <w:szCs w:val="20"/>
                <w:color w:val="auto"/>
              </w:rPr>
            </w:pPr>
            <w:r>
              <w:rPr>
                <w:rFonts w:ascii="Arial" w:cs="Arial" w:eastAsia="Arial" w:hAnsi="Arial"/>
                <w:sz w:val="20"/>
                <w:szCs w:val="20"/>
                <w:color w:val="auto"/>
              </w:rPr>
              <w:t>10.16.</w:t>
            </w:r>
          </w:p>
        </w:tc>
        <w:tc>
          <w:tcPr>
            <w:tcW w:w="9540" w:type="dxa"/>
            <w:vAlign w:val="bottom"/>
            <w:gridSpan w:val="5"/>
          </w:tcPr>
          <w:p>
            <w:pPr>
              <w:ind w:left="100"/>
              <w:spacing w:after="0"/>
              <w:rPr>
                <w:sz w:val="20"/>
                <w:szCs w:val="20"/>
                <w:color w:val="auto"/>
              </w:rPr>
            </w:pPr>
            <w:r>
              <w:rPr>
                <w:rFonts w:ascii="Arial" w:cs="Arial" w:eastAsia="Arial" w:hAnsi="Arial"/>
                <w:sz w:val="20"/>
                <w:szCs w:val="20"/>
                <w:color w:val="auto"/>
              </w:rPr>
              <w:t>No Advisory or Fiduciary Responsibility</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gridSpan w:val="4"/>
          </w:tcPr>
          <w:p>
            <w:pPr>
              <w:jc w:val="right"/>
              <w:spacing w:after="0"/>
              <w:rPr>
                <w:sz w:val="20"/>
                <w:szCs w:val="20"/>
                <w:color w:val="auto"/>
              </w:rPr>
            </w:pPr>
            <w:r>
              <w:rPr>
                <w:rFonts w:ascii="Arial" w:cs="Arial" w:eastAsia="Arial" w:hAnsi="Arial"/>
                <w:sz w:val="20"/>
                <w:szCs w:val="20"/>
                <w:color w:val="auto"/>
              </w:rPr>
              <w:t>114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80" w:type="dxa"/>
            <w:vAlign w:val="bottom"/>
          </w:tcPr>
          <w:p>
            <w:pPr>
              <w:spacing w:after="0"/>
              <w:rPr>
                <w:sz w:val="20"/>
                <w:szCs w:val="20"/>
                <w:color w:val="auto"/>
              </w:rPr>
            </w:pPr>
            <w:r>
              <w:rPr>
                <w:rFonts w:ascii="Arial" w:cs="Arial" w:eastAsia="Arial" w:hAnsi="Arial"/>
                <w:sz w:val="20"/>
                <w:szCs w:val="20"/>
                <w:color w:val="auto"/>
              </w:rPr>
              <w:t>10.17.</w:t>
            </w:r>
          </w:p>
        </w:tc>
        <w:tc>
          <w:tcPr>
            <w:tcW w:w="9540" w:type="dxa"/>
            <w:vAlign w:val="bottom"/>
            <w:gridSpan w:val="5"/>
          </w:tcPr>
          <w:p>
            <w:pPr>
              <w:ind w:left="100"/>
              <w:spacing w:after="0"/>
              <w:rPr>
                <w:sz w:val="20"/>
                <w:szCs w:val="20"/>
                <w:color w:val="auto"/>
              </w:rPr>
            </w:pPr>
            <w:r>
              <w:rPr>
                <w:rFonts w:ascii="Arial" w:cs="Arial" w:eastAsia="Arial" w:hAnsi="Arial"/>
                <w:sz w:val="20"/>
                <w:szCs w:val="20"/>
                <w:color w:val="auto"/>
              </w:rPr>
              <w:t>Electronic Execution of Assignments and Certain Other Documents</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gridSpan w:val="4"/>
          </w:tcPr>
          <w:p>
            <w:pPr>
              <w:jc w:val="right"/>
              <w:spacing w:after="0"/>
              <w:rPr>
                <w:sz w:val="20"/>
                <w:szCs w:val="20"/>
                <w:color w:val="auto"/>
              </w:rPr>
            </w:pPr>
            <w:r>
              <w:rPr>
                <w:rFonts w:ascii="Arial" w:cs="Arial" w:eastAsia="Arial" w:hAnsi="Arial"/>
                <w:sz w:val="20"/>
                <w:szCs w:val="20"/>
                <w:color w:val="auto"/>
              </w:rPr>
              <w:t>115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580" w:type="dxa"/>
            <w:vAlign w:val="bottom"/>
          </w:tcPr>
          <w:p>
            <w:pPr>
              <w:spacing w:after="0"/>
              <w:rPr>
                <w:sz w:val="20"/>
                <w:szCs w:val="20"/>
                <w:color w:val="auto"/>
              </w:rPr>
            </w:pPr>
            <w:r>
              <w:rPr>
                <w:rFonts w:ascii="Arial" w:cs="Arial" w:eastAsia="Arial" w:hAnsi="Arial"/>
                <w:sz w:val="20"/>
                <w:szCs w:val="20"/>
                <w:color w:val="auto"/>
              </w:rPr>
              <w:t>10.18.</w:t>
            </w:r>
          </w:p>
        </w:tc>
        <w:tc>
          <w:tcPr>
            <w:tcW w:w="9540" w:type="dxa"/>
            <w:vAlign w:val="bottom"/>
            <w:gridSpan w:val="5"/>
          </w:tcPr>
          <w:p>
            <w:pPr>
              <w:ind w:left="100"/>
              <w:spacing w:after="0"/>
              <w:rPr>
                <w:sz w:val="20"/>
                <w:szCs w:val="20"/>
                <w:color w:val="auto"/>
              </w:rPr>
            </w:pPr>
            <w:r>
              <w:rPr>
                <w:rFonts w:ascii="Arial" w:cs="Arial" w:eastAsia="Arial" w:hAnsi="Arial"/>
                <w:sz w:val="20"/>
                <w:szCs w:val="20"/>
                <w:color w:val="auto"/>
              </w:rPr>
              <w:t>USA PATRIOT Act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Arial" w:cs="Arial" w:eastAsia="Arial" w:hAnsi="Arial"/>
                <w:sz w:val="20"/>
                <w:szCs w:val="20"/>
                <w:color w:val="auto"/>
              </w:rPr>
              <w:t>115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line="220" w:lineRule="exact"/>
              <w:rPr>
                <w:sz w:val="20"/>
                <w:szCs w:val="20"/>
                <w:color w:val="auto"/>
              </w:rPr>
            </w:pPr>
            <w:r>
              <w:rPr>
                <w:rFonts w:ascii="Arial" w:cs="Arial" w:eastAsia="Arial" w:hAnsi="Arial"/>
                <w:sz w:val="20"/>
                <w:szCs w:val="20"/>
                <w:color w:val="auto"/>
              </w:rPr>
              <w:t>10.19.</w:t>
            </w:r>
          </w:p>
        </w:tc>
        <w:tc>
          <w:tcPr>
            <w:tcW w:w="9540" w:type="dxa"/>
            <w:vAlign w:val="bottom"/>
            <w:gridSpan w:val="5"/>
          </w:tcPr>
          <w:p>
            <w:pPr>
              <w:ind w:left="100"/>
              <w:spacing w:after="0" w:line="220" w:lineRule="exact"/>
              <w:rPr>
                <w:sz w:val="20"/>
                <w:szCs w:val="20"/>
                <w:color w:val="auto"/>
              </w:rPr>
            </w:pPr>
            <w:r>
              <w:rPr>
                <w:rFonts w:ascii="Arial" w:cs="Arial" w:eastAsia="Arial" w:hAnsi="Arial"/>
                <w:sz w:val="20"/>
                <w:szCs w:val="20"/>
                <w:color w:val="auto"/>
              </w:rPr>
              <w:t>[Intentionally Omitted]</w:t>
            </w:r>
          </w:p>
        </w:tc>
        <w:tc>
          <w:tcPr>
            <w:tcW w:w="300" w:type="dxa"/>
            <w:vAlign w:val="bottom"/>
          </w:tcPr>
          <w:p>
            <w:pPr>
              <w:jc w:val="right"/>
              <w:spacing w:after="0" w:line="220" w:lineRule="exact"/>
              <w:rPr>
                <w:sz w:val="20"/>
                <w:szCs w:val="20"/>
                <w:color w:val="auto"/>
              </w:rPr>
            </w:pPr>
            <w:r>
              <w:rPr>
                <w:rFonts w:ascii="Arial" w:cs="Arial" w:eastAsia="Arial" w:hAnsi="Arial"/>
                <w:sz w:val="20"/>
                <w:szCs w:val="20"/>
                <w:color w:val="FF0000"/>
                <w:strike w:val="1"/>
                <w:w w:val="83"/>
              </w:rPr>
              <w:t>116</w:t>
            </w:r>
          </w:p>
        </w:tc>
        <w:tc>
          <w:tcPr>
            <w:tcW w:w="120" w:type="dxa"/>
            <w:vAlign w:val="bottom"/>
          </w:tcPr>
          <w:p>
            <w:pPr>
              <w:spacing w:after="0"/>
              <w:rPr>
                <w:sz w:val="19"/>
                <w:szCs w:val="19"/>
                <w:color w:val="auto"/>
              </w:rPr>
            </w:pPr>
          </w:p>
        </w:tc>
        <w:tc>
          <w:tcPr>
            <w:tcW w:w="260" w:type="dxa"/>
            <w:vAlign w:val="bottom"/>
            <w:tcBorders>
              <w:bottom w:val="single" w:sz="8" w:color="D6D6D6"/>
            </w:tcBorders>
            <w:shd w:val="clear" w:color="auto" w:fill="D6D6D6"/>
          </w:tcPr>
          <w:p>
            <w:pPr>
              <w:spacing w:after="0"/>
              <w:rPr>
                <w:sz w:val="19"/>
                <w:szCs w:val="19"/>
                <w:color w:val="auto"/>
              </w:rPr>
            </w:pPr>
          </w:p>
        </w:tc>
        <w:tc>
          <w:tcPr>
            <w:tcW w:w="300" w:type="dxa"/>
            <w:vAlign w:val="bottom"/>
            <w:tcBorders>
              <w:bottom w:val="single" w:sz="8" w:color="0A0AE5"/>
            </w:tcBorders>
            <w:gridSpan w:val="3"/>
            <w:shd w:val="clear" w:color="auto" w:fill="D6D6D6"/>
          </w:tcPr>
          <w:p>
            <w:pPr>
              <w:jc w:val="right"/>
              <w:spacing w:after="0" w:line="220" w:lineRule="exact"/>
              <w:rPr>
                <w:sz w:val="20"/>
                <w:szCs w:val="20"/>
                <w:color w:val="auto"/>
              </w:rPr>
            </w:pPr>
            <w:r>
              <w:rPr>
                <w:rFonts w:ascii="Arial" w:cs="Arial" w:eastAsia="Arial" w:hAnsi="Arial"/>
                <w:sz w:val="20"/>
                <w:szCs w:val="20"/>
                <w:b w:val="1"/>
                <w:bCs w:val="1"/>
                <w:color w:val="0A0AE5"/>
                <w:w w:val="83"/>
              </w:rPr>
              <w:t>115</w:t>
            </w:r>
          </w:p>
        </w:tc>
        <w:tc>
          <w:tcPr>
            <w:tcW w:w="120" w:type="dxa"/>
            <w:vAlign w:val="bottom"/>
            <w:tcBorders>
              <w:bottom w:val="single" w:sz="8" w:color="D6D6D6"/>
            </w:tcBorders>
            <w:shd w:val="clear" w:color="auto" w:fill="D6D6D6"/>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580" w:type="dxa"/>
            <w:vAlign w:val="bottom"/>
            <w:vMerge w:val="restart"/>
          </w:tcPr>
          <w:p>
            <w:pPr>
              <w:spacing w:after="0"/>
              <w:rPr>
                <w:sz w:val="20"/>
                <w:szCs w:val="20"/>
                <w:color w:val="auto"/>
              </w:rPr>
            </w:pPr>
            <w:r>
              <w:rPr>
                <w:rFonts w:ascii="Arial" w:cs="Arial" w:eastAsia="Arial" w:hAnsi="Arial"/>
                <w:sz w:val="20"/>
                <w:szCs w:val="20"/>
                <w:color w:val="auto"/>
              </w:rPr>
              <w:t>10.20.</w:t>
            </w:r>
          </w:p>
        </w:tc>
        <w:tc>
          <w:tcPr>
            <w:tcW w:w="100" w:type="dxa"/>
            <w:vAlign w:val="bottom"/>
          </w:tcPr>
          <w:p>
            <w:pPr>
              <w:spacing w:after="0"/>
              <w:rPr>
                <w:sz w:val="5"/>
                <w:szCs w:val="5"/>
                <w:color w:val="auto"/>
              </w:rPr>
            </w:pPr>
          </w:p>
        </w:tc>
        <w:tc>
          <w:tcPr>
            <w:tcW w:w="3860" w:type="dxa"/>
            <w:vAlign w:val="bottom"/>
            <w:vMerge w:val="restart"/>
          </w:tcPr>
          <w:p>
            <w:pPr>
              <w:spacing w:after="0"/>
              <w:rPr>
                <w:sz w:val="20"/>
                <w:szCs w:val="20"/>
                <w:color w:val="auto"/>
              </w:rPr>
            </w:pPr>
            <w:r>
              <w:rPr>
                <w:rFonts w:ascii="Arial" w:cs="Arial" w:eastAsia="Arial" w:hAnsi="Arial"/>
                <w:sz w:val="20"/>
                <w:szCs w:val="20"/>
                <w:color w:val="FC0718"/>
                <w:strike w:val="1"/>
                <w:w w:val="87"/>
              </w:rPr>
              <w:t>Releases of Subsidiaries that are Guarantors 116</w:t>
            </w:r>
          </w:p>
        </w:tc>
        <w:tc>
          <w:tcPr>
            <w:tcW w:w="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354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vMerge w:val="restart"/>
            <w:shd w:val="clear" w:color="auto" w:fill="D6D6D6"/>
          </w:tcPr>
          <w:p>
            <w:pPr>
              <w:spacing w:after="0"/>
              <w:rPr>
                <w:sz w:val="5"/>
                <w:szCs w:val="5"/>
                <w:color w:val="auto"/>
              </w:rPr>
            </w:pPr>
          </w:p>
        </w:tc>
        <w:tc>
          <w:tcPr>
            <w:tcW w:w="300" w:type="dxa"/>
            <w:vAlign w:val="bottom"/>
            <w:gridSpan w:val="3"/>
            <w:vMerge w:val="restart"/>
            <w:shd w:val="clear" w:color="auto" w:fill="D6D6D6"/>
          </w:tcPr>
          <w:p>
            <w:pPr>
              <w:jc w:val="right"/>
              <w:spacing w:after="0"/>
              <w:rPr>
                <w:sz w:val="20"/>
                <w:szCs w:val="20"/>
                <w:color w:val="auto"/>
              </w:rPr>
            </w:pPr>
            <w:r>
              <w:rPr>
                <w:rFonts w:ascii="Arial" w:cs="Arial" w:eastAsia="Arial" w:hAnsi="Arial"/>
                <w:sz w:val="20"/>
                <w:szCs w:val="20"/>
                <w:b w:val="1"/>
                <w:bCs w:val="1"/>
                <w:color w:val="0A0AE5"/>
                <w:w w:val="83"/>
              </w:rPr>
              <w:t>115</w:t>
            </w:r>
          </w:p>
        </w:tc>
        <w:tc>
          <w:tcPr>
            <w:tcW w:w="120" w:type="dxa"/>
            <w:vAlign w:val="bottom"/>
            <w:shd w:val="clear" w:color="auto" w:fill="D6D6D6"/>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00" w:type="dxa"/>
            <w:vAlign w:val="bottom"/>
            <w:tcBorders>
              <w:bottom w:val="single" w:sz="8" w:color="071DFF"/>
            </w:tcBorders>
            <w:shd w:val="clear" w:color="auto" w:fill="D6D6D6"/>
          </w:tcPr>
          <w:p>
            <w:pPr>
              <w:spacing w:after="0" w:line="187" w:lineRule="exact"/>
              <w:rPr>
                <w:sz w:val="20"/>
                <w:szCs w:val="20"/>
                <w:color w:val="auto"/>
              </w:rPr>
            </w:pPr>
            <w:r>
              <w:rPr>
                <w:rFonts w:ascii="Arial" w:cs="Arial" w:eastAsia="Arial" w:hAnsi="Arial"/>
                <w:sz w:val="20"/>
                <w:szCs w:val="20"/>
                <w:b w:val="1"/>
                <w:bCs w:val="1"/>
                <w:color w:val="071DFF"/>
                <w:highlight w:val="lightGray"/>
                <w:w w:val="93"/>
              </w:rPr>
              <w:t>[Intentionally Omitted]</w:t>
            </w:r>
          </w:p>
        </w:tc>
        <w:tc>
          <w:tcPr>
            <w:tcW w:w="35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D6D6D6"/>
            </w:tcBorders>
            <w:vMerge w:val="continue"/>
            <w:shd w:val="clear" w:color="auto" w:fill="D6D6D6"/>
          </w:tcPr>
          <w:p>
            <w:pPr>
              <w:spacing w:after="0"/>
              <w:rPr>
                <w:sz w:val="16"/>
                <w:szCs w:val="16"/>
                <w:color w:val="auto"/>
              </w:rPr>
            </w:pPr>
          </w:p>
        </w:tc>
        <w:tc>
          <w:tcPr>
            <w:tcW w:w="300" w:type="dxa"/>
            <w:vAlign w:val="bottom"/>
            <w:tcBorders>
              <w:bottom w:val="single" w:sz="8" w:color="0A0AE5"/>
            </w:tcBorders>
            <w:gridSpan w:val="3"/>
            <w:vMerge w:val="continue"/>
            <w:shd w:val="clear" w:color="auto" w:fill="D6D6D6"/>
          </w:tcPr>
          <w:p>
            <w:pPr>
              <w:spacing w:after="0"/>
              <w:rPr>
                <w:sz w:val="16"/>
                <w:szCs w:val="16"/>
                <w:color w:val="auto"/>
              </w:rPr>
            </w:pPr>
          </w:p>
        </w:tc>
        <w:tc>
          <w:tcPr>
            <w:tcW w:w="120" w:type="dxa"/>
            <w:vAlign w:val="bottom"/>
            <w:tcBorders>
              <w:bottom w:val="single" w:sz="8" w:color="D6D6D6"/>
            </w:tcBorders>
            <w:shd w:val="clear" w:color="auto" w:fill="D6D6D6"/>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shd w:val="clear" w:color="auto" w:fill="D6D6D6"/>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vMerge w:val="restart"/>
            <w:shd w:val="clear" w:color="auto" w:fill="D6D6D6"/>
          </w:tcPr>
          <w:p>
            <w:pPr>
              <w:jc w:val="right"/>
              <w:spacing w:after="0"/>
              <w:rPr>
                <w:sz w:val="20"/>
                <w:szCs w:val="20"/>
                <w:color w:val="auto"/>
              </w:rPr>
            </w:pPr>
            <w:r>
              <w:rPr>
                <w:rFonts w:ascii="Arial" w:cs="Arial" w:eastAsia="Arial" w:hAnsi="Arial"/>
                <w:sz w:val="20"/>
                <w:szCs w:val="20"/>
                <w:b w:val="1"/>
                <w:bCs w:val="1"/>
                <w:color w:val="0A0AE5"/>
              </w:rPr>
              <w:t>115</w:t>
            </w:r>
          </w:p>
        </w:tc>
        <w:tc>
          <w:tcPr>
            <w:tcW w:w="120" w:type="dxa"/>
            <w:vAlign w:val="bottom"/>
            <w:shd w:val="clear" w:color="auto" w:fill="D6D6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80" w:type="dxa"/>
            <w:vAlign w:val="bottom"/>
          </w:tcPr>
          <w:p>
            <w:pPr>
              <w:spacing w:after="0"/>
              <w:rPr>
                <w:sz w:val="20"/>
                <w:szCs w:val="20"/>
                <w:color w:val="auto"/>
              </w:rPr>
            </w:pPr>
            <w:r>
              <w:rPr>
                <w:rFonts w:ascii="Arial" w:cs="Arial" w:eastAsia="Arial" w:hAnsi="Arial"/>
                <w:sz w:val="20"/>
                <w:szCs w:val="20"/>
                <w:color w:val="auto"/>
              </w:rPr>
              <w:t>10.21.</w:t>
            </w:r>
          </w:p>
        </w:tc>
        <w:tc>
          <w:tcPr>
            <w:tcW w:w="9540" w:type="dxa"/>
            <w:vAlign w:val="bottom"/>
            <w:gridSpan w:val="5"/>
          </w:tcPr>
          <w:p>
            <w:pPr>
              <w:ind w:left="100"/>
              <w:spacing w:after="0"/>
              <w:rPr>
                <w:sz w:val="20"/>
                <w:szCs w:val="20"/>
                <w:color w:val="auto"/>
              </w:rPr>
            </w:pPr>
            <w:r>
              <w:rPr>
                <w:rFonts w:ascii="Arial" w:cs="Arial" w:eastAsia="Arial" w:hAnsi="Arial"/>
                <w:sz w:val="20"/>
                <w:szCs w:val="20"/>
                <w:color w:val="auto"/>
              </w:rPr>
              <w:t>Acknowledgement and Consent to Bail-in of EEA Financial Institutions</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117</w:t>
            </w:r>
          </w:p>
        </w:tc>
        <w:tc>
          <w:tcPr>
            <w:tcW w:w="120" w:type="dxa"/>
            <w:vAlign w:val="bottom"/>
          </w:tcPr>
          <w:p>
            <w:pPr>
              <w:spacing w:after="0"/>
              <w:rPr>
                <w:sz w:val="20"/>
                <w:szCs w:val="20"/>
                <w:color w:val="auto"/>
              </w:rPr>
            </w:pPr>
          </w:p>
        </w:tc>
        <w:tc>
          <w:tcPr>
            <w:tcW w:w="560" w:type="dxa"/>
            <w:vAlign w:val="bottom"/>
            <w:gridSpan w:val="4"/>
            <w:vMerge w:val="continue"/>
            <w:shd w:val="clear" w:color="auto" w:fill="D6D6D6"/>
          </w:tcPr>
          <w:p>
            <w:pPr>
              <w:spacing w:after="0"/>
              <w:rPr>
                <w:sz w:val="20"/>
                <w:szCs w:val="20"/>
                <w:color w:val="auto"/>
              </w:rPr>
            </w:pPr>
          </w:p>
        </w:tc>
        <w:tc>
          <w:tcPr>
            <w:tcW w:w="120" w:type="dxa"/>
            <w:vAlign w:val="bottom"/>
            <w:shd w:val="clear" w:color="auto" w:fill="D6D6D6"/>
          </w:tcPr>
          <w:p>
            <w:pPr>
              <w:spacing w:after="0"/>
              <w:rPr>
                <w:sz w:val="20"/>
                <w:szCs w:val="20"/>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3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top w:val="single" w:sz="8" w:color="D6D6D6"/>
            </w:tcBorders>
            <w:shd w:val="clear" w:color="auto" w:fill="D6D6D6"/>
          </w:tcPr>
          <w:p>
            <w:pPr>
              <w:spacing w:after="0"/>
              <w:rPr>
                <w:sz w:val="3"/>
                <w:szCs w:val="3"/>
                <w:color w:val="auto"/>
              </w:rPr>
            </w:pPr>
          </w:p>
        </w:tc>
        <w:tc>
          <w:tcPr>
            <w:tcW w:w="20" w:type="dxa"/>
            <w:vAlign w:val="bottom"/>
            <w:tcBorders>
              <w:top w:val="single" w:sz="8" w:color="0A0AE5"/>
            </w:tcBorders>
            <w:shd w:val="clear" w:color="auto" w:fill="D6D6D6"/>
          </w:tcPr>
          <w:p>
            <w:pPr>
              <w:spacing w:after="0"/>
              <w:rPr>
                <w:sz w:val="3"/>
                <w:szCs w:val="3"/>
                <w:color w:val="auto"/>
              </w:rPr>
            </w:pPr>
          </w:p>
        </w:tc>
        <w:tc>
          <w:tcPr>
            <w:tcW w:w="80" w:type="dxa"/>
            <w:vAlign w:val="bottom"/>
            <w:tcBorders>
              <w:top w:val="single" w:sz="8" w:color="0A0AE5"/>
            </w:tcBorders>
            <w:shd w:val="clear" w:color="auto" w:fill="D6D6D6"/>
          </w:tcPr>
          <w:p>
            <w:pPr>
              <w:spacing w:after="0"/>
              <w:rPr>
                <w:sz w:val="3"/>
                <w:szCs w:val="3"/>
                <w:color w:val="auto"/>
              </w:rPr>
            </w:pPr>
          </w:p>
        </w:tc>
        <w:tc>
          <w:tcPr>
            <w:tcW w:w="200" w:type="dxa"/>
            <w:vAlign w:val="bottom"/>
            <w:tcBorders>
              <w:top w:val="single" w:sz="8" w:color="0A0AE5"/>
            </w:tcBorders>
            <w:shd w:val="clear" w:color="auto" w:fill="D6D6D6"/>
          </w:tcPr>
          <w:p>
            <w:pPr>
              <w:spacing w:after="0"/>
              <w:rPr>
                <w:sz w:val="3"/>
                <w:szCs w:val="3"/>
                <w:color w:val="auto"/>
              </w:rPr>
            </w:pPr>
          </w:p>
        </w:tc>
        <w:tc>
          <w:tcPr>
            <w:tcW w:w="120" w:type="dxa"/>
            <w:vAlign w:val="bottom"/>
            <w:tcBorders>
              <w:top w:val="single" w:sz="8" w:color="D6D6D6"/>
            </w:tcBorders>
            <w:shd w:val="clear" w:color="auto" w:fill="D6D6D6"/>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v-</w:t>
      </w:r>
    </w:p>
    <w:p>
      <w:pPr>
        <w:sectPr>
          <w:pgSz w:w="11900" w:h="16838" w:orient="portrait"/>
          <w:cols w:equalWidth="0" w:num="1">
            <w:col w:w="11220"/>
          </w:cols>
          <w:pgMar w:left="360" w:top="1108" w:right="319" w:bottom="1440" w:gutter="0" w:footer="0" w:header="0"/>
        </w:sectPr>
      </w:pPr>
    </w:p>
    <w:bookmarkStart w:id="232" w:name="page233"/>
    <w:bookmarkEnd w:id="232"/>
    <w:p>
      <w:pPr>
        <w:spacing w:after="0" w:line="13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SCHEDULES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580" w:type="dxa"/>
            <w:vAlign w:val="bottom"/>
          </w:tcPr>
          <w:p>
            <w:pPr>
              <w:ind w:left="800"/>
              <w:spacing w:after="0"/>
              <w:rPr>
                <w:sz w:val="20"/>
                <w:szCs w:val="20"/>
                <w:color w:val="auto"/>
              </w:rPr>
            </w:pPr>
            <w:r>
              <w:rPr>
                <w:rFonts w:ascii="Arial" w:cs="Arial" w:eastAsia="Arial" w:hAnsi="Arial"/>
                <w:sz w:val="20"/>
                <w:szCs w:val="20"/>
                <w:color w:val="auto"/>
              </w:rPr>
              <w:t>I</w:t>
            </w: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20"/>
                <w:szCs w:val="20"/>
                <w:color w:val="FC0718"/>
                <w:strike w:val="1"/>
                <w:w w:val="85"/>
              </w:rPr>
              <w:t>Guarantors</w:t>
            </w:r>
          </w:p>
        </w:tc>
        <w:tc>
          <w:tcPr>
            <w:tcW w:w="1220" w:type="dxa"/>
            <w:vAlign w:val="bottom"/>
            <w:gridSpan w:val="2"/>
            <w:shd w:val="clear" w:color="auto" w:fill="D6D6D6"/>
          </w:tcPr>
          <w:p>
            <w:pPr>
              <w:spacing w:after="0"/>
              <w:rPr>
                <w:sz w:val="20"/>
                <w:szCs w:val="20"/>
                <w:color w:val="auto"/>
              </w:rPr>
            </w:pPr>
            <w:r>
              <w:rPr>
                <w:rFonts w:ascii="Arial" w:cs="Arial" w:eastAsia="Arial" w:hAnsi="Arial"/>
                <w:sz w:val="20"/>
                <w:szCs w:val="20"/>
                <w:b w:val="1"/>
                <w:bCs w:val="1"/>
                <w:color w:val="071DFF"/>
                <w:highlight w:val="lightGray"/>
                <w:w w:val="97"/>
              </w:rPr>
              <w:t>[RESERVED]</w:t>
            </w:r>
          </w:p>
        </w:tc>
        <w:tc>
          <w:tcPr>
            <w:tcW w:w="1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580" w:type="dxa"/>
            <w:vAlign w:val="bottom"/>
          </w:tcPr>
          <w:p>
            <w:pPr>
              <w:ind w:left="800"/>
              <w:spacing w:after="0"/>
              <w:rPr>
                <w:sz w:val="20"/>
                <w:szCs w:val="20"/>
                <w:color w:val="auto"/>
              </w:rPr>
            </w:pPr>
            <w:r>
              <w:rPr>
                <w:rFonts w:ascii="Arial" w:cs="Arial" w:eastAsia="Arial" w:hAnsi="Arial"/>
                <w:sz w:val="20"/>
                <w:szCs w:val="20"/>
                <w:color w:val="auto"/>
              </w:rPr>
              <w:t>II</w:t>
            </w:r>
          </w:p>
        </w:tc>
        <w:tc>
          <w:tcPr>
            <w:tcW w:w="800" w:type="dxa"/>
            <w:vAlign w:val="bottom"/>
          </w:tcPr>
          <w:p>
            <w:pPr>
              <w:spacing w:after="0"/>
              <w:rPr>
                <w:sz w:val="24"/>
                <w:szCs w:val="24"/>
                <w:color w:val="auto"/>
              </w:rPr>
            </w:pPr>
          </w:p>
        </w:tc>
        <w:tc>
          <w:tcPr>
            <w:tcW w:w="4920" w:type="dxa"/>
            <w:vAlign w:val="bottom"/>
            <w:gridSpan w:val="5"/>
          </w:tcPr>
          <w:p>
            <w:pPr>
              <w:spacing w:after="0"/>
              <w:rPr>
                <w:sz w:val="20"/>
                <w:szCs w:val="20"/>
                <w:color w:val="auto"/>
              </w:rPr>
            </w:pPr>
            <w:r>
              <w:rPr>
                <w:rFonts w:ascii="Arial" w:cs="Arial" w:eastAsia="Arial" w:hAnsi="Arial"/>
                <w:sz w:val="20"/>
                <w:szCs w:val="20"/>
                <w:color w:val="auto"/>
              </w:rPr>
              <w:t>Exceptions to Recourse Liability</w:t>
            </w:r>
          </w:p>
        </w:tc>
        <w:tc>
          <w:tcPr>
            <w:tcW w:w="0" w:type="dxa"/>
            <w:vAlign w:val="bottom"/>
          </w:tcPr>
          <w:p>
            <w:pPr>
              <w:spacing w:after="0"/>
              <w:rPr>
                <w:sz w:val="1"/>
                <w:szCs w:val="1"/>
                <w:color w:val="auto"/>
              </w:rPr>
            </w:pPr>
          </w:p>
        </w:tc>
      </w:tr>
      <w:tr>
        <w:trPr>
          <w:trHeight w:val="275"/>
        </w:trPr>
        <w:tc>
          <w:tcPr>
            <w:tcW w:w="1580" w:type="dxa"/>
            <w:vAlign w:val="bottom"/>
          </w:tcPr>
          <w:p>
            <w:pPr>
              <w:ind w:left="800"/>
              <w:spacing w:after="0"/>
              <w:rPr>
                <w:sz w:val="20"/>
                <w:szCs w:val="20"/>
                <w:color w:val="auto"/>
              </w:rPr>
            </w:pPr>
            <w:r>
              <w:rPr>
                <w:rFonts w:ascii="Arial" w:cs="Arial" w:eastAsia="Arial" w:hAnsi="Arial"/>
                <w:sz w:val="20"/>
                <w:szCs w:val="20"/>
                <w:color w:val="auto"/>
              </w:rPr>
              <w:t>III</w:t>
            </w:r>
          </w:p>
        </w:tc>
        <w:tc>
          <w:tcPr>
            <w:tcW w:w="800" w:type="dxa"/>
            <w:vAlign w:val="bottom"/>
          </w:tcPr>
          <w:p>
            <w:pPr>
              <w:spacing w:after="0"/>
              <w:rPr>
                <w:sz w:val="23"/>
                <w:szCs w:val="23"/>
                <w:color w:val="auto"/>
              </w:rPr>
            </w:pPr>
          </w:p>
        </w:tc>
        <w:tc>
          <w:tcPr>
            <w:tcW w:w="4920" w:type="dxa"/>
            <w:vAlign w:val="bottom"/>
            <w:gridSpan w:val="5"/>
          </w:tcPr>
          <w:p>
            <w:pPr>
              <w:spacing w:after="0"/>
              <w:rPr>
                <w:sz w:val="20"/>
                <w:szCs w:val="20"/>
                <w:color w:val="auto"/>
              </w:rPr>
            </w:pPr>
            <w:r>
              <w:rPr>
                <w:rFonts w:ascii="Arial" w:cs="Arial" w:eastAsia="Arial" w:hAnsi="Arial"/>
                <w:sz w:val="20"/>
                <w:szCs w:val="20"/>
                <w:color w:val="auto"/>
              </w:rPr>
              <w:t>Initial Unencumbered Eligible Properties</w:t>
            </w:r>
          </w:p>
        </w:tc>
        <w:tc>
          <w:tcPr>
            <w:tcW w:w="0" w:type="dxa"/>
            <w:vAlign w:val="bottom"/>
          </w:tcPr>
          <w:p>
            <w:pPr>
              <w:spacing w:after="0"/>
              <w:rPr>
                <w:sz w:val="1"/>
                <w:szCs w:val="1"/>
                <w:color w:val="auto"/>
              </w:rPr>
            </w:pPr>
          </w:p>
        </w:tc>
      </w:tr>
      <w:tr>
        <w:trPr>
          <w:trHeight w:val="275"/>
        </w:trPr>
        <w:tc>
          <w:tcPr>
            <w:tcW w:w="1580" w:type="dxa"/>
            <w:vAlign w:val="bottom"/>
          </w:tcPr>
          <w:p>
            <w:pPr>
              <w:ind w:left="800"/>
              <w:spacing w:after="0"/>
              <w:rPr>
                <w:sz w:val="20"/>
                <w:szCs w:val="20"/>
                <w:color w:val="auto"/>
              </w:rPr>
            </w:pPr>
            <w:r>
              <w:rPr>
                <w:rFonts w:ascii="Arial" w:cs="Arial" w:eastAsia="Arial" w:hAnsi="Arial"/>
                <w:sz w:val="20"/>
                <w:szCs w:val="20"/>
                <w:color w:val="auto"/>
              </w:rPr>
              <w:t>2.01</w:t>
            </w:r>
          </w:p>
        </w:tc>
        <w:tc>
          <w:tcPr>
            <w:tcW w:w="800" w:type="dxa"/>
            <w:vAlign w:val="bottom"/>
          </w:tcPr>
          <w:p>
            <w:pPr>
              <w:spacing w:after="0"/>
              <w:rPr>
                <w:sz w:val="23"/>
                <w:szCs w:val="23"/>
                <w:color w:val="auto"/>
              </w:rPr>
            </w:pPr>
          </w:p>
        </w:tc>
        <w:tc>
          <w:tcPr>
            <w:tcW w:w="4920" w:type="dxa"/>
            <w:vAlign w:val="bottom"/>
            <w:gridSpan w:val="5"/>
          </w:tcPr>
          <w:p>
            <w:pPr>
              <w:spacing w:after="0"/>
              <w:rPr>
                <w:sz w:val="20"/>
                <w:szCs w:val="20"/>
                <w:color w:val="auto"/>
              </w:rPr>
            </w:pPr>
            <w:r>
              <w:rPr>
                <w:rFonts w:ascii="Arial" w:cs="Arial" w:eastAsia="Arial" w:hAnsi="Arial"/>
                <w:sz w:val="20"/>
                <w:szCs w:val="20"/>
                <w:color w:val="auto"/>
              </w:rPr>
              <w:t>Commitments and Applicable Percentages</w:t>
            </w:r>
          </w:p>
        </w:tc>
        <w:tc>
          <w:tcPr>
            <w:tcW w:w="0" w:type="dxa"/>
            <w:vAlign w:val="bottom"/>
          </w:tcPr>
          <w:p>
            <w:pPr>
              <w:spacing w:after="0"/>
              <w:rPr>
                <w:sz w:val="1"/>
                <w:szCs w:val="1"/>
                <w:color w:val="auto"/>
              </w:rPr>
            </w:pPr>
          </w:p>
        </w:tc>
      </w:tr>
      <w:tr>
        <w:trPr>
          <w:trHeight w:val="275"/>
        </w:trPr>
        <w:tc>
          <w:tcPr>
            <w:tcW w:w="1580" w:type="dxa"/>
            <w:vAlign w:val="bottom"/>
          </w:tcPr>
          <w:p>
            <w:pPr>
              <w:ind w:left="800"/>
              <w:spacing w:after="0"/>
              <w:rPr>
                <w:sz w:val="20"/>
                <w:szCs w:val="20"/>
                <w:color w:val="auto"/>
              </w:rPr>
            </w:pPr>
            <w:r>
              <w:rPr>
                <w:rFonts w:ascii="Arial" w:cs="Arial" w:eastAsia="Arial" w:hAnsi="Arial"/>
                <w:sz w:val="20"/>
                <w:szCs w:val="20"/>
                <w:color w:val="auto"/>
              </w:rPr>
              <w:t>5.09(c)</w:t>
            </w:r>
          </w:p>
        </w:tc>
        <w:tc>
          <w:tcPr>
            <w:tcW w:w="800" w:type="dxa"/>
            <w:vAlign w:val="bottom"/>
          </w:tcPr>
          <w:p>
            <w:pPr>
              <w:spacing w:after="0"/>
              <w:rPr>
                <w:sz w:val="23"/>
                <w:szCs w:val="23"/>
                <w:color w:val="auto"/>
              </w:rPr>
            </w:pPr>
          </w:p>
        </w:tc>
        <w:tc>
          <w:tcPr>
            <w:tcW w:w="4920" w:type="dxa"/>
            <w:vAlign w:val="bottom"/>
            <w:gridSpan w:val="5"/>
          </w:tcPr>
          <w:p>
            <w:pPr>
              <w:spacing w:after="0"/>
              <w:rPr>
                <w:sz w:val="20"/>
                <w:szCs w:val="20"/>
                <w:color w:val="auto"/>
              </w:rPr>
            </w:pPr>
            <w:r>
              <w:rPr>
                <w:rFonts w:ascii="Arial" w:cs="Arial" w:eastAsia="Arial" w:hAnsi="Arial"/>
                <w:sz w:val="20"/>
                <w:szCs w:val="20"/>
                <w:color w:val="auto"/>
              </w:rPr>
              <w:t>Releases of Hazardous Materials</w:t>
            </w:r>
          </w:p>
        </w:tc>
        <w:tc>
          <w:tcPr>
            <w:tcW w:w="0" w:type="dxa"/>
            <w:vAlign w:val="bottom"/>
          </w:tcPr>
          <w:p>
            <w:pPr>
              <w:spacing w:after="0"/>
              <w:rPr>
                <w:sz w:val="1"/>
                <w:szCs w:val="1"/>
                <w:color w:val="auto"/>
              </w:rPr>
            </w:pPr>
          </w:p>
        </w:tc>
      </w:tr>
      <w:tr>
        <w:trPr>
          <w:trHeight w:val="275"/>
        </w:trPr>
        <w:tc>
          <w:tcPr>
            <w:tcW w:w="1580" w:type="dxa"/>
            <w:vAlign w:val="bottom"/>
          </w:tcPr>
          <w:p>
            <w:pPr>
              <w:ind w:left="800"/>
              <w:spacing w:after="0"/>
              <w:rPr>
                <w:sz w:val="20"/>
                <w:szCs w:val="20"/>
                <w:color w:val="auto"/>
              </w:rPr>
            </w:pPr>
            <w:r>
              <w:rPr>
                <w:rFonts w:ascii="Arial" w:cs="Arial" w:eastAsia="Arial" w:hAnsi="Arial"/>
                <w:sz w:val="20"/>
                <w:szCs w:val="20"/>
                <w:color w:val="auto"/>
              </w:rPr>
              <w:t>5.09(d)</w:t>
            </w:r>
          </w:p>
        </w:tc>
        <w:tc>
          <w:tcPr>
            <w:tcW w:w="800" w:type="dxa"/>
            <w:vAlign w:val="bottom"/>
          </w:tcPr>
          <w:p>
            <w:pPr>
              <w:spacing w:after="0"/>
              <w:rPr>
                <w:sz w:val="23"/>
                <w:szCs w:val="23"/>
                <w:color w:val="auto"/>
              </w:rPr>
            </w:pPr>
          </w:p>
        </w:tc>
        <w:tc>
          <w:tcPr>
            <w:tcW w:w="4920" w:type="dxa"/>
            <w:vAlign w:val="bottom"/>
            <w:gridSpan w:val="5"/>
          </w:tcPr>
          <w:p>
            <w:pPr>
              <w:spacing w:after="0"/>
              <w:rPr>
                <w:sz w:val="20"/>
                <w:szCs w:val="20"/>
                <w:color w:val="auto"/>
              </w:rPr>
            </w:pPr>
            <w:r>
              <w:rPr>
                <w:rFonts w:ascii="Arial" w:cs="Arial" w:eastAsia="Arial" w:hAnsi="Arial"/>
                <w:sz w:val="20"/>
                <w:szCs w:val="20"/>
                <w:color w:val="auto"/>
              </w:rPr>
              <w:t>Environmental Compliance</w:t>
            </w:r>
          </w:p>
        </w:tc>
        <w:tc>
          <w:tcPr>
            <w:tcW w:w="0" w:type="dxa"/>
            <w:vAlign w:val="bottom"/>
          </w:tcPr>
          <w:p>
            <w:pPr>
              <w:spacing w:after="0"/>
              <w:rPr>
                <w:sz w:val="1"/>
                <w:szCs w:val="1"/>
                <w:color w:val="auto"/>
              </w:rPr>
            </w:pPr>
          </w:p>
        </w:tc>
      </w:tr>
      <w:tr>
        <w:trPr>
          <w:trHeight w:val="275"/>
        </w:trPr>
        <w:tc>
          <w:tcPr>
            <w:tcW w:w="1580" w:type="dxa"/>
            <w:vAlign w:val="bottom"/>
          </w:tcPr>
          <w:p>
            <w:pPr>
              <w:ind w:left="800"/>
              <w:spacing w:after="0"/>
              <w:rPr>
                <w:sz w:val="20"/>
                <w:szCs w:val="20"/>
                <w:color w:val="auto"/>
              </w:rPr>
            </w:pPr>
            <w:r>
              <w:rPr>
                <w:rFonts w:ascii="Arial" w:cs="Arial" w:eastAsia="Arial" w:hAnsi="Arial"/>
                <w:sz w:val="20"/>
                <w:szCs w:val="20"/>
                <w:color w:val="auto"/>
              </w:rPr>
              <w:t>5.11</w:t>
            </w:r>
          </w:p>
        </w:tc>
        <w:tc>
          <w:tcPr>
            <w:tcW w:w="800" w:type="dxa"/>
            <w:vAlign w:val="bottom"/>
          </w:tcPr>
          <w:p>
            <w:pPr>
              <w:spacing w:after="0"/>
              <w:rPr>
                <w:sz w:val="23"/>
                <w:szCs w:val="23"/>
                <w:color w:val="auto"/>
              </w:rPr>
            </w:pPr>
          </w:p>
        </w:tc>
        <w:tc>
          <w:tcPr>
            <w:tcW w:w="4920" w:type="dxa"/>
            <w:vAlign w:val="bottom"/>
            <w:gridSpan w:val="5"/>
          </w:tcPr>
          <w:p>
            <w:pPr>
              <w:spacing w:after="0"/>
              <w:rPr>
                <w:sz w:val="20"/>
                <w:szCs w:val="20"/>
                <w:color w:val="auto"/>
              </w:rPr>
            </w:pPr>
            <w:r>
              <w:rPr>
                <w:rFonts w:ascii="Arial" w:cs="Arial" w:eastAsia="Arial" w:hAnsi="Arial"/>
                <w:sz w:val="20"/>
                <w:szCs w:val="20"/>
                <w:color w:val="auto"/>
              </w:rPr>
              <w:t>Tax Sharing Agreements</w:t>
            </w:r>
          </w:p>
        </w:tc>
        <w:tc>
          <w:tcPr>
            <w:tcW w:w="0" w:type="dxa"/>
            <w:vAlign w:val="bottom"/>
          </w:tcPr>
          <w:p>
            <w:pPr>
              <w:spacing w:after="0"/>
              <w:rPr>
                <w:sz w:val="1"/>
                <w:szCs w:val="1"/>
                <w:color w:val="auto"/>
              </w:rPr>
            </w:pPr>
          </w:p>
        </w:tc>
      </w:tr>
      <w:tr>
        <w:trPr>
          <w:trHeight w:val="275"/>
        </w:trPr>
        <w:tc>
          <w:tcPr>
            <w:tcW w:w="1580" w:type="dxa"/>
            <w:vAlign w:val="bottom"/>
          </w:tcPr>
          <w:p>
            <w:pPr>
              <w:ind w:left="800"/>
              <w:spacing w:after="0"/>
              <w:rPr>
                <w:sz w:val="20"/>
                <w:szCs w:val="20"/>
                <w:color w:val="auto"/>
              </w:rPr>
            </w:pPr>
            <w:r>
              <w:rPr>
                <w:rFonts w:ascii="Arial" w:cs="Arial" w:eastAsia="Arial" w:hAnsi="Arial"/>
                <w:sz w:val="20"/>
                <w:szCs w:val="20"/>
                <w:color w:val="auto"/>
              </w:rPr>
              <w:t>5.12(d)</w:t>
            </w:r>
          </w:p>
        </w:tc>
        <w:tc>
          <w:tcPr>
            <w:tcW w:w="800" w:type="dxa"/>
            <w:vAlign w:val="bottom"/>
          </w:tcPr>
          <w:p>
            <w:pPr>
              <w:spacing w:after="0"/>
              <w:rPr>
                <w:sz w:val="23"/>
                <w:szCs w:val="23"/>
                <w:color w:val="auto"/>
              </w:rPr>
            </w:pPr>
          </w:p>
        </w:tc>
        <w:tc>
          <w:tcPr>
            <w:tcW w:w="4920" w:type="dxa"/>
            <w:vAlign w:val="bottom"/>
            <w:gridSpan w:val="5"/>
          </w:tcPr>
          <w:p>
            <w:pPr>
              <w:spacing w:after="0"/>
              <w:rPr>
                <w:sz w:val="20"/>
                <w:szCs w:val="20"/>
                <w:color w:val="auto"/>
              </w:rPr>
            </w:pPr>
            <w:r>
              <w:rPr>
                <w:rFonts w:ascii="Arial" w:cs="Arial" w:eastAsia="Arial" w:hAnsi="Arial"/>
                <w:sz w:val="20"/>
                <w:szCs w:val="20"/>
                <w:color w:val="auto"/>
              </w:rPr>
              <w:t>Pension Plans</w:t>
            </w:r>
          </w:p>
        </w:tc>
        <w:tc>
          <w:tcPr>
            <w:tcW w:w="0" w:type="dxa"/>
            <w:vAlign w:val="bottom"/>
          </w:tcPr>
          <w:p>
            <w:pPr>
              <w:spacing w:after="0"/>
              <w:rPr>
                <w:sz w:val="1"/>
                <w:szCs w:val="1"/>
                <w:color w:val="auto"/>
              </w:rPr>
            </w:pPr>
          </w:p>
        </w:tc>
      </w:tr>
      <w:tr>
        <w:trPr>
          <w:trHeight w:val="40"/>
        </w:trPr>
        <w:tc>
          <w:tcPr>
            <w:tcW w:w="1580" w:type="dxa"/>
            <w:vAlign w:val="bottom"/>
            <w:vMerge w:val="restart"/>
          </w:tcPr>
          <w:p>
            <w:pPr>
              <w:ind w:left="800"/>
              <w:spacing w:after="0" w:line="228" w:lineRule="exact"/>
              <w:rPr>
                <w:sz w:val="20"/>
                <w:szCs w:val="20"/>
                <w:color w:val="auto"/>
              </w:rPr>
            </w:pPr>
            <w:r>
              <w:rPr>
                <w:rFonts w:ascii="Arial" w:cs="Arial" w:eastAsia="Arial" w:hAnsi="Arial"/>
                <w:sz w:val="20"/>
                <w:szCs w:val="20"/>
                <w:color w:val="auto"/>
              </w:rPr>
              <w:t>5.13</w:t>
            </w:r>
          </w:p>
        </w:tc>
        <w:tc>
          <w:tcPr>
            <w:tcW w:w="800" w:type="dxa"/>
            <w:vAlign w:val="bottom"/>
          </w:tcPr>
          <w:p>
            <w:pPr>
              <w:spacing w:after="0"/>
              <w:rPr>
                <w:sz w:val="3"/>
                <w:szCs w:val="3"/>
                <w:color w:val="auto"/>
              </w:rPr>
            </w:pPr>
          </w:p>
        </w:tc>
        <w:tc>
          <w:tcPr>
            <w:tcW w:w="1040" w:type="dxa"/>
            <w:vAlign w:val="bottom"/>
            <w:gridSpan w:val="2"/>
            <w:vMerge w:val="restart"/>
          </w:tcPr>
          <w:p>
            <w:pPr>
              <w:spacing w:after="0" w:line="228" w:lineRule="exact"/>
              <w:rPr>
                <w:sz w:val="20"/>
                <w:szCs w:val="20"/>
                <w:color w:val="auto"/>
              </w:rPr>
            </w:pPr>
            <w:r>
              <w:rPr>
                <w:rFonts w:ascii="Arial" w:cs="Arial" w:eastAsia="Arial" w:hAnsi="Arial"/>
                <w:sz w:val="20"/>
                <w:szCs w:val="20"/>
                <w:color w:val="auto"/>
                <w:w w:val="91"/>
              </w:rPr>
              <w:t>Subsidiaries</w:t>
            </w:r>
          </w:p>
        </w:tc>
        <w:tc>
          <w:tcPr>
            <w:tcW w:w="10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320" w:type="dxa"/>
            <w:vAlign w:val="bottom"/>
            <w:vMerge w:val="restart"/>
          </w:tcPr>
          <w:p>
            <w:pPr>
              <w:ind w:left="20"/>
              <w:spacing w:after="0" w:line="228" w:lineRule="exact"/>
              <w:rPr>
                <w:sz w:val="20"/>
                <w:szCs w:val="20"/>
                <w:color w:val="auto"/>
              </w:rPr>
            </w:pPr>
            <w:r>
              <w:rPr>
                <w:rFonts w:ascii="Arial" w:cs="Arial" w:eastAsia="Arial" w:hAnsi="Arial"/>
                <w:sz w:val="20"/>
                <w:szCs w:val="20"/>
                <w:color w:val="auto"/>
              </w:rPr>
              <w:t>; Loan Parties</w:t>
            </w:r>
          </w:p>
        </w:tc>
        <w:tc>
          <w:tcPr>
            <w:tcW w:w="0" w:type="dxa"/>
            <w:vAlign w:val="bottom"/>
          </w:tcPr>
          <w:p>
            <w:pPr>
              <w:spacing w:after="0" w:line="20" w:lineRule="exact"/>
              <w:rPr>
                <w:sz w:val="1"/>
                <w:szCs w:val="1"/>
                <w:color w:val="auto"/>
              </w:rPr>
            </w:pPr>
          </w:p>
        </w:tc>
      </w:tr>
      <w:tr>
        <w:trPr>
          <w:trHeight w:val="187"/>
        </w:trPr>
        <w:tc>
          <w:tcPr>
            <w:tcW w:w="158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560" w:type="dxa"/>
            <w:vAlign w:val="bottom"/>
            <w:gridSpan w:val="2"/>
            <w:shd w:val="clear" w:color="auto" w:fill="D6D6D6"/>
          </w:tcPr>
          <w:p>
            <w:pPr>
              <w:spacing w:after="0" w:line="187" w:lineRule="exact"/>
              <w:rPr>
                <w:sz w:val="20"/>
                <w:szCs w:val="20"/>
                <w:color w:val="auto"/>
              </w:rPr>
            </w:pPr>
            <w:r>
              <w:rPr>
                <w:rFonts w:ascii="Arial" w:cs="Arial" w:eastAsia="Arial" w:hAnsi="Arial"/>
                <w:sz w:val="20"/>
                <w:szCs w:val="20"/>
                <w:b w:val="1"/>
                <w:bCs w:val="1"/>
                <w:color w:val="071DFF"/>
                <w:highlight w:val="lightGray"/>
                <w:w w:val="88"/>
              </w:rPr>
              <w:t>and Other Equity Investments</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Borders>
              <w:right w:val="single" w:sz="8" w:color="071DFF"/>
            </w:tcBorders>
          </w:tcPr>
          <w:p>
            <w:pPr>
              <w:spacing w:after="0"/>
              <w:rPr>
                <w:sz w:val="2"/>
                <w:szCs w:val="2"/>
                <w:color w:val="auto"/>
              </w:rPr>
            </w:pPr>
          </w:p>
        </w:tc>
        <w:tc>
          <w:tcPr>
            <w:tcW w:w="1060" w:type="dxa"/>
            <w:vAlign w:val="bottom"/>
            <w:shd w:val="clear" w:color="auto" w:fill="071DFF"/>
          </w:tcPr>
          <w:p>
            <w:pPr>
              <w:spacing w:after="0"/>
              <w:rPr>
                <w:sz w:val="2"/>
                <w:szCs w:val="2"/>
                <w:color w:val="auto"/>
              </w:rPr>
            </w:pPr>
          </w:p>
        </w:tc>
        <w:tc>
          <w:tcPr>
            <w:tcW w:w="1500" w:type="dxa"/>
            <w:vAlign w:val="bottom"/>
            <w:shd w:val="clear" w:color="auto" w:fill="071DFF"/>
          </w:tcPr>
          <w:p>
            <w:pPr>
              <w:spacing w:after="0"/>
              <w:rPr>
                <w:sz w:val="2"/>
                <w:szCs w:val="2"/>
                <w:color w:val="auto"/>
              </w:rPr>
            </w:pPr>
          </w:p>
        </w:tc>
        <w:tc>
          <w:tcPr>
            <w:tcW w:w="1320" w:type="dxa"/>
            <w:vAlign w:val="bottom"/>
            <w:tcBorders>
              <w:left w:val="single" w:sz="8" w:color="071D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1580" w:type="dxa"/>
            <w:vAlign w:val="bottom"/>
          </w:tcPr>
          <w:p>
            <w:pPr>
              <w:ind w:left="800"/>
              <w:spacing w:after="0"/>
              <w:rPr>
                <w:sz w:val="20"/>
                <w:szCs w:val="20"/>
                <w:color w:val="auto"/>
              </w:rPr>
            </w:pPr>
            <w:r>
              <w:rPr>
                <w:rFonts w:ascii="Arial" w:cs="Arial" w:eastAsia="Arial" w:hAnsi="Arial"/>
                <w:sz w:val="20"/>
                <w:szCs w:val="20"/>
                <w:color w:val="auto"/>
              </w:rPr>
              <w:t>7.01(m)</w:t>
            </w:r>
          </w:p>
        </w:tc>
        <w:tc>
          <w:tcPr>
            <w:tcW w:w="800" w:type="dxa"/>
            <w:vAlign w:val="bottom"/>
          </w:tcPr>
          <w:p>
            <w:pPr>
              <w:spacing w:after="0"/>
              <w:rPr>
                <w:sz w:val="24"/>
                <w:szCs w:val="24"/>
                <w:color w:val="auto"/>
              </w:rPr>
            </w:pPr>
          </w:p>
        </w:tc>
        <w:tc>
          <w:tcPr>
            <w:tcW w:w="4920" w:type="dxa"/>
            <w:vAlign w:val="bottom"/>
            <w:gridSpan w:val="5"/>
          </w:tcPr>
          <w:p>
            <w:pPr>
              <w:spacing w:after="0"/>
              <w:rPr>
                <w:sz w:val="20"/>
                <w:szCs w:val="20"/>
                <w:color w:val="auto"/>
              </w:rPr>
            </w:pPr>
            <w:r>
              <w:rPr>
                <w:rFonts w:ascii="Arial" w:cs="Arial" w:eastAsia="Arial" w:hAnsi="Arial"/>
                <w:sz w:val="20"/>
                <w:szCs w:val="20"/>
                <w:color w:val="auto"/>
              </w:rPr>
              <w:t>Existing Liens</w:t>
            </w:r>
          </w:p>
        </w:tc>
        <w:tc>
          <w:tcPr>
            <w:tcW w:w="0" w:type="dxa"/>
            <w:vAlign w:val="bottom"/>
          </w:tcPr>
          <w:p>
            <w:pPr>
              <w:spacing w:after="0"/>
              <w:rPr>
                <w:sz w:val="1"/>
                <w:szCs w:val="1"/>
                <w:color w:val="auto"/>
              </w:rPr>
            </w:pPr>
          </w:p>
        </w:tc>
      </w:tr>
      <w:tr>
        <w:trPr>
          <w:trHeight w:val="275"/>
        </w:trPr>
        <w:tc>
          <w:tcPr>
            <w:tcW w:w="1580" w:type="dxa"/>
            <w:vAlign w:val="bottom"/>
          </w:tcPr>
          <w:p>
            <w:pPr>
              <w:ind w:left="800"/>
              <w:spacing w:after="0"/>
              <w:rPr>
                <w:sz w:val="20"/>
                <w:szCs w:val="20"/>
                <w:color w:val="auto"/>
              </w:rPr>
            </w:pPr>
            <w:r>
              <w:rPr>
                <w:rFonts w:ascii="Arial" w:cs="Arial" w:eastAsia="Arial" w:hAnsi="Arial"/>
                <w:sz w:val="20"/>
                <w:szCs w:val="20"/>
                <w:color w:val="auto"/>
              </w:rPr>
              <w:t>7.03</w:t>
            </w:r>
          </w:p>
        </w:tc>
        <w:tc>
          <w:tcPr>
            <w:tcW w:w="800" w:type="dxa"/>
            <w:vAlign w:val="bottom"/>
          </w:tcPr>
          <w:p>
            <w:pPr>
              <w:spacing w:after="0"/>
              <w:rPr>
                <w:sz w:val="23"/>
                <w:szCs w:val="23"/>
                <w:color w:val="auto"/>
              </w:rPr>
            </w:pPr>
          </w:p>
        </w:tc>
        <w:tc>
          <w:tcPr>
            <w:tcW w:w="4920" w:type="dxa"/>
            <w:vAlign w:val="bottom"/>
            <w:gridSpan w:val="5"/>
          </w:tcPr>
          <w:p>
            <w:pPr>
              <w:spacing w:after="0"/>
              <w:rPr>
                <w:sz w:val="20"/>
                <w:szCs w:val="20"/>
                <w:color w:val="auto"/>
              </w:rPr>
            </w:pPr>
            <w:r>
              <w:rPr>
                <w:rFonts w:ascii="Arial" w:cs="Arial" w:eastAsia="Arial" w:hAnsi="Arial"/>
                <w:sz w:val="20"/>
                <w:szCs w:val="20"/>
                <w:color w:val="auto"/>
              </w:rPr>
              <w:t>Existing Investments</w:t>
            </w:r>
          </w:p>
        </w:tc>
        <w:tc>
          <w:tcPr>
            <w:tcW w:w="0" w:type="dxa"/>
            <w:vAlign w:val="bottom"/>
          </w:tcPr>
          <w:p>
            <w:pPr>
              <w:spacing w:after="0"/>
              <w:rPr>
                <w:sz w:val="1"/>
                <w:szCs w:val="1"/>
                <w:color w:val="auto"/>
              </w:rPr>
            </w:pPr>
          </w:p>
        </w:tc>
      </w:tr>
      <w:tr>
        <w:trPr>
          <w:trHeight w:val="275"/>
        </w:trPr>
        <w:tc>
          <w:tcPr>
            <w:tcW w:w="1580" w:type="dxa"/>
            <w:vAlign w:val="bottom"/>
          </w:tcPr>
          <w:p>
            <w:pPr>
              <w:ind w:left="800"/>
              <w:spacing w:after="0"/>
              <w:rPr>
                <w:sz w:val="20"/>
                <w:szCs w:val="20"/>
                <w:color w:val="auto"/>
              </w:rPr>
            </w:pPr>
            <w:r>
              <w:rPr>
                <w:rFonts w:ascii="Arial" w:cs="Arial" w:eastAsia="Arial" w:hAnsi="Arial"/>
                <w:sz w:val="20"/>
                <w:szCs w:val="20"/>
                <w:color w:val="FC0718"/>
                <w:strike w:val="1"/>
              </w:rPr>
              <w:t>7.09</w:t>
            </w:r>
          </w:p>
        </w:tc>
        <w:tc>
          <w:tcPr>
            <w:tcW w:w="800" w:type="dxa"/>
            <w:vAlign w:val="bottom"/>
          </w:tcPr>
          <w:p>
            <w:pPr>
              <w:spacing w:after="0"/>
              <w:rPr>
                <w:sz w:val="23"/>
                <w:szCs w:val="23"/>
                <w:color w:val="auto"/>
              </w:rPr>
            </w:pPr>
          </w:p>
        </w:tc>
        <w:tc>
          <w:tcPr>
            <w:tcW w:w="2100" w:type="dxa"/>
            <w:vAlign w:val="bottom"/>
            <w:gridSpan w:val="3"/>
          </w:tcPr>
          <w:p>
            <w:pPr>
              <w:spacing w:after="0"/>
              <w:rPr>
                <w:sz w:val="20"/>
                <w:szCs w:val="20"/>
                <w:color w:val="auto"/>
              </w:rPr>
            </w:pPr>
            <w:r>
              <w:rPr>
                <w:rFonts w:ascii="Arial" w:cs="Arial" w:eastAsia="Arial" w:hAnsi="Arial"/>
                <w:sz w:val="20"/>
                <w:szCs w:val="20"/>
                <w:color w:val="FC0718"/>
                <w:strike w:val="1"/>
                <w:w w:val="91"/>
              </w:rPr>
              <w:t>Burdensome Agreements</w:t>
            </w:r>
          </w:p>
        </w:tc>
        <w:tc>
          <w:tcPr>
            <w:tcW w:w="28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580" w:type="dxa"/>
            <w:vAlign w:val="bottom"/>
          </w:tcPr>
          <w:p>
            <w:pPr>
              <w:ind w:left="800"/>
              <w:spacing w:after="0"/>
              <w:rPr>
                <w:sz w:val="20"/>
                <w:szCs w:val="20"/>
                <w:color w:val="auto"/>
              </w:rPr>
            </w:pPr>
            <w:r>
              <w:rPr>
                <w:rFonts w:ascii="Arial" w:cs="Arial" w:eastAsia="Arial" w:hAnsi="Arial"/>
                <w:sz w:val="20"/>
                <w:szCs w:val="20"/>
                <w:color w:val="auto"/>
              </w:rPr>
              <w:t>10.02</w:t>
            </w:r>
          </w:p>
        </w:tc>
        <w:tc>
          <w:tcPr>
            <w:tcW w:w="800" w:type="dxa"/>
            <w:vAlign w:val="bottom"/>
          </w:tcPr>
          <w:p>
            <w:pPr>
              <w:spacing w:after="0"/>
              <w:rPr>
                <w:sz w:val="23"/>
                <w:szCs w:val="23"/>
                <w:color w:val="auto"/>
              </w:rPr>
            </w:pPr>
          </w:p>
        </w:tc>
        <w:tc>
          <w:tcPr>
            <w:tcW w:w="4920" w:type="dxa"/>
            <w:vAlign w:val="bottom"/>
            <w:gridSpan w:val="5"/>
          </w:tcPr>
          <w:p>
            <w:pPr>
              <w:spacing w:after="0"/>
              <w:rPr>
                <w:sz w:val="20"/>
                <w:szCs w:val="20"/>
                <w:color w:val="auto"/>
              </w:rPr>
            </w:pPr>
            <w:r>
              <w:rPr>
                <w:rFonts w:ascii="Arial" w:cs="Arial" w:eastAsia="Arial" w:hAnsi="Arial"/>
                <w:sz w:val="20"/>
                <w:szCs w:val="20"/>
                <w:color w:val="auto"/>
                <w:w w:val="92"/>
              </w:rPr>
              <w:t>Administrative Agent’s Office, Certain Addresses for Notices</w:t>
            </w:r>
          </w:p>
        </w:tc>
        <w:tc>
          <w:tcPr>
            <w:tcW w:w="0" w:type="dxa"/>
            <w:vAlign w:val="bottom"/>
          </w:tcPr>
          <w:p>
            <w:pPr>
              <w:spacing w:after="0"/>
              <w:rPr>
                <w:sz w:val="1"/>
                <w:szCs w:val="1"/>
                <w:color w:val="auto"/>
              </w:rPr>
            </w:pPr>
          </w:p>
        </w:tc>
      </w:tr>
      <w:tr>
        <w:trPr>
          <w:trHeight w:val="637"/>
        </w:trPr>
        <w:tc>
          <w:tcPr>
            <w:tcW w:w="1580" w:type="dxa"/>
            <w:vAlign w:val="bottom"/>
          </w:tcPr>
          <w:p>
            <w:pPr>
              <w:spacing w:after="0"/>
              <w:rPr>
                <w:sz w:val="20"/>
                <w:szCs w:val="20"/>
                <w:color w:val="auto"/>
              </w:rPr>
            </w:pPr>
            <w:r>
              <w:rPr>
                <w:rFonts w:ascii="Arial" w:cs="Arial" w:eastAsia="Arial" w:hAnsi="Arial"/>
                <w:sz w:val="20"/>
                <w:szCs w:val="20"/>
                <w:color w:val="auto"/>
              </w:rPr>
              <w:t>EXHIBITS</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5"/>
        </w:trPr>
        <w:tc>
          <w:tcPr>
            <w:tcW w:w="1580" w:type="dxa"/>
            <w:vAlign w:val="bottom"/>
          </w:tcPr>
          <w:p>
            <w:pPr>
              <w:spacing w:after="0"/>
              <w:rPr>
                <w:sz w:val="20"/>
                <w:szCs w:val="20"/>
                <w:color w:val="auto"/>
              </w:rPr>
            </w:pPr>
            <w:r>
              <w:rPr>
                <w:rFonts w:ascii="Arial" w:cs="Arial" w:eastAsia="Arial" w:hAnsi="Arial"/>
                <w:sz w:val="20"/>
                <w:szCs w:val="20"/>
                <w:color w:val="auto"/>
              </w:rPr>
              <w:t>A</w:t>
            </w:r>
          </w:p>
        </w:tc>
        <w:tc>
          <w:tcPr>
            <w:tcW w:w="5720" w:type="dxa"/>
            <w:vAlign w:val="bottom"/>
            <w:gridSpan w:val="6"/>
          </w:tcPr>
          <w:p>
            <w:pPr>
              <w:ind w:left="140"/>
              <w:spacing w:after="0"/>
              <w:rPr>
                <w:sz w:val="20"/>
                <w:szCs w:val="20"/>
                <w:color w:val="auto"/>
              </w:rPr>
            </w:pPr>
            <w:r>
              <w:rPr>
                <w:rFonts w:ascii="Arial" w:cs="Arial" w:eastAsia="Arial" w:hAnsi="Arial"/>
                <w:sz w:val="20"/>
                <w:szCs w:val="20"/>
                <w:color w:val="auto"/>
              </w:rPr>
              <w:t>Form of Loan Notice</w:t>
            </w:r>
          </w:p>
        </w:tc>
        <w:tc>
          <w:tcPr>
            <w:tcW w:w="0" w:type="dxa"/>
            <w:vAlign w:val="bottom"/>
          </w:tcPr>
          <w:p>
            <w:pPr>
              <w:spacing w:after="0"/>
              <w:rPr>
                <w:sz w:val="1"/>
                <w:szCs w:val="1"/>
                <w:color w:val="auto"/>
              </w:rPr>
            </w:pPr>
          </w:p>
        </w:tc>
      </w:tr>
      <w:tr>
        <w:trPr>
          <w:trHeight w:val="275"/>
        </w:trPr>
        <w:tc>
          <w:tcPr>
            <w:tcW w:w="1580" w:type="dxa"/>
            <w:vAlign w:val="bottom"/>
          </w:tcPr>
          <w:p>
            <w:pPr>
              <w:spacing w:after="0"/>
              <w:rPr>
                <w:sz w:val="20"/>
                <w:szCs w:val="20"/>
                <w:color w:val="auto"/>
              </w:rPr>
            </w:pPr>
            <w:r>
              <w:rPr>
                <w:rFonts w:ascii="Arial" w:cs="Arial" w:eastAsia="Arial" w:hAnsi="Arial"/>
                <w:sz w:val="20"/>
                <w:szCs w:val="20"/>
                <w:color w:val="auto"/>
              </w:rPr>
              <w:t>B</w:t>
            </w:r>
          </w:p>
        </w:tc>
        <w:tc>
          <w:tcPr>
            <w:tcW w:w="5720" w:type="dxa"/>
            <w:vAlign w:val="bottom"/>
            <w:gridSpan w:val="6"/>
          </w:tcPr>
          <w:p>
            <w:pPr>
              <w:ind w:left="140"/>
              <w:spacing w:after="0"/>
              <w:rPr>
                <w:sz w:val="20"/>
                <w:szCs w:val="20"/>
                <w:color w:val="auto"/>
              </w:rPr>
            </w:pPr>
            <w:r>
              <w:rPr>
                <w:rFonts w:ascii="Arial" w:cs="Arial" w:eastAsia="Arial" w:hAnsi="Arial"/>
                <w:sz w:val="20"/>
                <w:szCs w:val="20"/>
                <w:color w:val="auto"/>
              </w:rPr>
              <w:t>[RESERVED]</w:t>
            </w:r>
          </w:p>
        </w:tc>
        <w:tc>
          <w:tcPr>
            <w:tcW w:w="0" w:type="dxa"/>
            <w:vAlign w:val="bottom"/>
          </w:tcPr>
          <w:p>
            <w:pPr>
              <w:spacing w:after="0"/>
              <w:rPr>
                <w:sz w:val="1"/>
                <w:szCs w:val="1"/>
                <w:color w:val="auto"/>
              </w:rPr>
            </w:pPr>
          </w:p>
        </w:tc>
      </w:tr>
      <w:tr>
        <w:trPr>
          <w:trHeight w:val="275"/>
        </w:trPr>
        <w:tc>
          <w:tcPr>
            <w:tcW w:w="1580" w:type="dxa"/>
            <w:vAlign w:val="bottom"/>
          </w:tcPr>
          <w:p>
            <w:pPr>
              <w:spacing w:after="0"/>
              <w:rPr>
                <w:sz w:val="20"/>
                <w:szCs w:val="20"/>
                <w:color w:val="auto"/>
              </w:rPr>
            </w:pPr>
            <w:r>
              <w:rPr>
                <w:rFonts w:ascii="Arial" w:cs="Arial" w:eastAsia="Arial" w:hAnsi="Arial"/>
                <w:sz w:val="20"/>
                <w:szCs w:val="20"/>
                <w:color w:val="auto"/>
              </w:rPr>
              <w:t>C-1</w:t>
            </w:r>
          </w:p>
        </w:tc>
        <w:tc>
          <w:tcPr>
            <w:tcW w:w="5720" w:type="dxa"/>
            <w:vAlign w:val="bottom"/>
            <w:gridSpan w:val="6"/>
          </w:tcPr>
          <w:p>
            <w:pPr>
              <w:ind w:left="140"/>
              <w:spacing w:after="0"/>
              <w:rPr>
                <w:sz w:val="20"/>
                <w:szCs w:val="20"/>
                <w:color w:val="auto"/>
              </w:rPr>
            </w:pPr>
            <w:r>
              <w:rPr>
                <w:rFonts w:ascii="Arial" w:cs="Arial" w:eastAsia="Arial" w:hAnsi="Arial"/>
                <w:sz w:val="20"/>
                <w:szCs w:val="20"/>
                <w:color w:val="auto"/>
              </w:rPr>
              <w:t>[RESERVED]</w:t>
            </w:r>
          </w:p>
        </w:tc>
        <w:tc>
          <w:tcPr>
            <w:tcW w:w="0" w:type="dxa"/>
            <w:vAlign w:val="bottom"/>
          </w:tcPr>
          <w:p>
            <w:pPr>
              <w:spacing w:after="0"/>
              <w:rPr>
                <w:sz w:val="1"/>
                <w:szCs w:val="1"/>
                <w:color w:val="auto"/>
              </w:rPr>
            </w:pPr>
          </w:p>
        </w:tc>
      </w:tr>
      <w:tr>
        <w:trPr>
          <w:trHeight w:val="275"/>
        </w:trPr>
        <w:tc>
          <w:tcPr>
            <w:tcW w:w="1580" w:type="dxa"/>
            <w:vAlign w:val="bottom"/>
          </w:tcPr>
          <w:p>
            <w:pPr>
              <w:spacing w:after="0"/>
              <w:rPr>
                <w:sz w:val="20"/>
                <w:szCs w:val="20"/>
                <w:color w:val="auto"/>
              </w:rPr>
            </w:pPr>
            <w:r>
              <w:rPr>
                <w:rFonts w:ascii="Arial" w:cs="Arial" w:eastAsia="Arial" w:hAnsi="Arial"/>
                <w:sz w:val="20"/>
                <w:szCs w:val="20"/>
                <w:color w:val="auto"/>
              </w:rPr>
              <w:t>C-2</w:t>
            </w:r>
          </w:p>
        </w:tc>
        <w:tc>
          <w:tcPr>
            <w:tcW w:w="5720" w:type="dxa"/>
            <w:vAlign w:val="bottom"/>
            <w:gridSpan w:val="6"/>
          </w:tcPr>
          <w:p>
            <w:pPr>
              <w:ind w:left="140"/>
              <w:spacing w:after="0"/>
              <w:rPr>
                <w:sz w:val="20"/>
                <w:szCs w:val="20"/>
                <w:color w:val="auto"/>
              </w:rPr>
            </w:pPr>
            <w:r>
              <w:rPr>
                <w:rFonts w:ascii="Arial" w:cs="Arial" w:eastAsia="Arial" w:hAnsi="Arial"/>
                <w:sz w:val="20"/>
                <w:szCs w:val="20"/>
                <w:color w:val="auto"/>
              </w:rPr>
              <w:t>Form of Term Note</w:t>
            </w:r>
          </w:p>
        </w:tc>
        <w:tc>
          <w:tcPr>
            <w:tcW w:w="0" w:type="dxa"/>
            <w:vAlign w:val="bottom"/>
          </w:tcPr>
          <w:p>
            <w:pPr>
              <w:spacing w:after="0"/>
              <w:rPr>
                <w:sz w:val="1"/>
                <w:szCs w:val="1"/>
                <w:color w:val="auto"/>
              </w:rPr>
            </w:pPr>
          </w:p>
        </w:tc>
      </w:tr>
      <w:tr>
        <w:trPr>
          <w:trHeight w:val="275"/>
        </w:trPr>
        <w:tc>
          <w:tcPr>
            <w:tcW w:w="1580" w:type="dxa"/>
            <w:vAlign w:val="bottom"/>
          </w:tcPr>
          <w:p>
            <w:pPr>
              <w:spacing w:after="0"/>
              <w:rPr>
                <w:sz w:val="20"/>
                <w:szCs w:val="20"/>
                <w:color w:val="auto"/>
              </w:rPr>
            </w:pPr>
            <w:r>
              <w:rPr>
                <w:rFonts w:ascii="Arial" w:cs="Arial" w:eastAsia="Arial" w:hAnsi="Arial"/>
                <w:sz w:val="20"/>
                <w:szCs w:val="20"/>
                <w:color w:val="auto"/>
              </w:rPr>
              <w:t>D</w:t>
            </w:r>
          </w:p>
        </w:tc>
        <w:tc>
          <w:tcPr>
            <w:tcW w:w="5720" w:type="dxa"/>
            <w:vAlign w:val="bottom"/>
            <w:gridSpan w:val="6"/>
          </w:tcPr>
          <w:p>
            <w:pPr>
              <w:ind w:left="140"/>
              <w:spacing w:after="0"/>
              <w:rPr>
                <w:sz w:val="20"/>
                <w:szCs w:val="20"/>
                <w:color w:val="auto"/>
              </w:rPr>
            </w:pPr>
            <w:r>
              <w:rPr>
                <w:rFonts w:ascii="Arial" w:cs="Arial" w:eastAsia="Arial" w:hAnsi="Arial"/>
                <w:sz w:val="20"/>
                <w:szCs w:val="20"/>
                <w:color w:val="auto"/>
              </w:rPr>
              <w:t>Form of Compliance Certificate</w:t>
            </w:r>
          </w:p>
        </w:tc>
        <w:tc>
          <w:tcPr>
            <w:tcW w:w="0" w:type="dxa"/>
            <w:vAlign w:val="bottom"/>
          </w:tcPr>
          <w:p>
            <w:pPr>
              <w:spacing w:after="0"/>
              <w:rPr>
                <w:sz w:val="1"/>
                <w:szCs w:val="1"/>
                <w:color w:val="auto"/>
              </w:rPr>
            </w:pPr>
          </w:p>
        </w:tc>
      </w:tr>
      <w:tr>
        <w:trPr>
          <w:trHeight w:val="275"/>
        </w:trPr>
        <w:tc>
          <w:tcPr>
            <w:tcW w:w="1580" w:type="dxa"/>
            <w:vAlign w:val="bottom"/>
          </w:tcPr>
          <w:p>
            <w:pPr>
              <w:spacing w:after="0"/>
              <w:rPr>
                <w:sz w:val="20"/>
                <w:szCs w:val="20"/>
                <w:color w:val="auto"/>
              </w:rPr>
            </w:pPr>
            <w:r>
              <w:rPr>
                <w:rFonts w:ascii="Arial" w:cs="Arial" w:eastAsia="Arial" w:hAnsi="Arial"/>
                <w:sz w:val="20"/>
                <w:szCs w:val="20"/>
                <w:color w:val="auto"/>
              </w:rPr>
              <w:t>E-1</w:t>
            </w:r>
          </w:p>
        </w:tc>
        <w:tc>
          <w:tcPr>
            <w:tcW w:w="5720" w:type="dxa"/>
            <w:vAlign w:val="bottom"/>
            <w:gridSpan w:val="6"/>
          </w:tcPr>
          <w:p>
            <w:pPr>
              <w:ind w:left="140"/>
              <w:spacing w:after="0"/>
              <w:rPr>
                <w:sz w:val="20"/>
                <w:szCs w:val="20"/>
                <w:color w:val="auto"/>
              </w:rPr>
            </w:pPr>
            <w:r>
              <w:rPr>
                <w:rFonts w:ascii="Arial" w:cs="Arial" w:eastAsia="Arial" w:hAnsi="Arial"/>
                <w:sz w:val="20"/>
                <w:szCs w:val="20"/>
                <w:color w:val="auto"/>
              </w:rPr>
              <w:t>Form of Assignment and Assumption</w:t>
            </w:r>
          </w:p>
        </w:tc>
        <w:tc>
          <w:tcPr>
            <w:tcW w:w="0" w:type="dxa"/>
            <w:vAlign w:val="bottom"/>
          </w:tcPr>
          <w:p>
            <w:pPr>
              <w:spacing w:after="0"/>
              <w:rPr>
                <w:sz w:val="1"/>
                <w:szCs w:val="1"/>
                <w:color w:val="auto"/>
              </w:rPr>
            </w:pPr>
          </w:p>
        </w:tc>
      </w:tr>
      <w:tr>
        <w:trPr>
          <w:trHeight w:val="275"/>
        </w:trPr>
        <w:tc>
          <w:tcPr>
            <w:tcW w:w="1580" w:type="dxa"/>
            <w:vAlign w:val="bottom"/>
          </w:tcPr>
          <w:p>
            <w:pPr>
              <w:spacing w:after="0"/>
              <w:rPr>
                <w:sz w:val="20"/>
                <w:szCs w:val="20"/>
                <w:color w:val="auto"/>
              </w:rPr>
            </w:pPr>
            <w:r>
              <w:rPr>
                <w:rFonts w:ascii="Arial" w:cs="Arial" w:eastAsia="Arial" w:hAnsi="Arial"/>
                <w:sz w:val="20"/>
                <w:szCs w:val="20"/>
                <w:color w:val="auto"/>
              </w:rPr>
              <w:t>E-2</w:t>
            </w:r>
          </w:p>
        </w:tc>
        <w:tc>
          <w:tcPr>
            <w:tcW w:w="5720" w:type="dxa"/>
            <w:vAlign w:val="bottom"/>
            <w:gridSpan w:val="6"/>
          </w:tcPr>
          <w:p>
            <w:pPr>
              <w:ind w:left="140"/>
              <w:spacing w:after="0"/>
              <w:rPr>
                <w:sz w:val="20"/>
                <w:szCs w:val="20"/>
                <w:color w:val="auto"/>
              </w:rPr>
            </w:pPr>
            <w:r>
              <w:rPr>
                <w:rFonts w:ascii="Arial" w:cs="Arial" w:eastAsia="Arial" w:hAnsi="Arial"/>
                <w:sz w:val="20"/>
                <w:szCs w:val="20"/>
                <w:color w:val="auto"/>
              </w:rPr>
              <w:t>Form of Administrative Questionnaire</w:t>
            </w:r>
          </w:p>
        </w:tc>
        <w:tc>
          <w:tcPr>
            <w:tcW w:w="0" w:type="dxa"/>
            <w:vAlign w:val="bottom"/>
          </w:tcPr>
          <w:p>
            <w:pPr>
              <w:spacing w:after="0"/>
              <w:rPr>
                <w:sz w:val="1"/>
                <w:szCs w:val="1"/>
                <w:color w:val="auto"/>
              </w:rPr>
            </w:pPr>
          </w:p>
        </w:tc>
      </w:tr>
      <w:tr>
        <w:trPr>
          <w:trHeight w:val="275"/>
        </w:trPr>
        <w:tc>
          <w:tcPr>
            <w:tcW w:w="1580" w:type="dxa"/>
            <w:vAlign w:val="bottom"/>
          </w:tcPr>
          <w:p>
            <w:pPr>
              <w:spacing w:after="0"/>
              <w:rPr>
                <w:sz w:val="20"/>
                <w:szCs w:val="20"/>
                <w:color w:val="auto"/>
              </w:rPr>
            </w:pPr>
            <w:r>
              <w:rPr>
                <w:rFonts w:ascii="Arial" w:cs="Arial" w:eastAsia="Arial" w:hAnsi="Arial"/>
                <w:sz w:val="20"/>
                <w:szCs w:val="20"/>
                <w:color w:val="auto"/>
              </w:rPr>
              <w:t>F</w:t>
            </w:r>
          </w:p>
        </w:tc>
        <w:tc>
          <w:tcPr>
            <w:tcW w:w="5720" w:type="dxa"/>
            <w:vAlign w:val="bottom"/>
            <w:gridSpan w:val="6"/>
          </w:tcPr>
          <w:p>
            <w:pPr>
              <w:ind w:left="140"/>
              <w:spacing w:after="0"/>
              <w:rPr>
                <w:sz w:val="20"/>
                <w:szCs w:val="20"/>
                <w:color w:val="auto"/>
              </w:rPr>
            </w:pPr>
            <w:r>
              <w:rPr>
                <w:rFonts w:ascii="Arial" w:cs="Arial" w:eastAsia="Arial" w:hAnsi="Arial"/>
                <w:sz w:val="20"/>
                <w:szCs w:val="20"/>
                <w:color w:val="auto"/>
              </w:rPr>
              <w:t>Form of Guaranty Agreement</w:t>
            </w:r>
          </w:p>
        </w:tc>
        <w:tc>
          <w:tcPr>
            <w:tcW w:w="0" w:type="dxa"/>
            <w:vAlign w:val="bottom"/>
          </w:tcPr>
          <w:p>
            <w:pPr>
              <w:spacing w:after="0"/>
              <w:rPr>
                <w:sz w:val="1"/>
                <w:szCs w:val="1"/>
                <w:color w:val="auto"/>
              </w:rPr>
            </w:pPr>
          </w:p>
        </w:tc>
      </w:tr>
      <w:tr>
        <w:trPr>
          <w:trHeight w:val="275"/>
        </w:trPr>
        <w:tc>
          <w:tcPr>
            <w:tcW w:w="1580" w:type="dxa"/>
            <w:vAlign w:val="bottom"/>
          </w:tcPr>
          <w:p>
            <w:pPr>
              <w:spacing w:after="0"/>
              <w:rPr>
                <w:sz w:val="20"/>
                <w:szCs w:val="20"/>
                <w:color w:val="auto"/>
              </w:rPr>
            </w:pPr>
            <w:r>
              <w:rPr>
                <w:rFonts w:ascii="Arial" w:cs="Arial" w:eastAsia="Arial" w:hAnsi="Arial"/>
                <w:sz w:val="20"/>
                <w:szCs w:val="20"/>
                <w:color w:val="auto"/>
              </w:rPr>
              <w:t>G</w:t>
            </w:r>
          </w:p>
        </w:tc>
        <w:tc>
          <w:tcPr>
            <w:tcW w:w="5720" w:type="dxa"/>
            <w:vAlign w:val="bottom"/>
            <w:gridSpan w:val="6"/>
          </w:tcPr>
          <w:p>
            <w:pPr>
              <w:ind w:left="140"/>
              <w:spacing w:after="0"/>
              <w:rPr>
                <w:sz w:val="20"/>
                <w:szCs w:val="20"/>
                <w:color w:val="auto"/>
              </w:rPr>
            </w:pPr>
            <w:r>
              <w:rPr>
                <w:rFonts w:ascii="Arial" w:cs="Arial" w:eastAsia="Arial" w:hAnsi="Arial"/>
                <w:sz w:val="20"/>
                <w:szCs w:val="20"/>
                <w:color w:val="auto"/>
              </w:rPr>
              <w:t>Form of Solvency Certificate</w:t>
            </w:r>
          </w:p>
        </w:tc>
        <w:tc>
          <w:tcPr>
            <w:tcW w:w="0" w:type="dxa"/>
            <w:vAlign w:val="bottom"/>
          </w:tcPr>
          <w:p>
            <w:pPr>
              <w:spacing w:after="0"/>
              <w:rPr>
                <w:sz w:val="1"/>
                <w:szCs w:val="1"/>
                <w:color w:val="auto"/>
              </w:rPr>
            </w:pPr>
          </w:p>
        </w:tc>
      </w:tr>
      <w:tr>
        <w:trPr>
          <w:trHeight w:val="275"/>
        </w:trPr>
        <w:tc>
          <w:tcPr>
            <w:tcW w:w="1580" w:type="dxa"/>
            <w:vAlign w:val="bottom"/>
          </w:tcPr>
          <w:p>
            <w:pPr>
              <w:spacing w:after="0"/>
              <w:rPr>
                <w:sz w:val="20"/>
                <w:szCs w:val="20"/>
                <w:color w:val="auto"/>
              </w:rPr>
            </w:pPr>
            <w:r>
              <w:rPr>
                <w:rFonts w:ascii="Arial" w:cs="Arial" w:eastAsia="Arial" w:hAnsi="Arial"/>
                <w:sz w:val="20"/>
                <w:szCs w:val="20"/>
                <w:color w:val="auto"/>
              </w:rPr>
              <w:t>H</w:t>
            </w:r>
          </w:p>
        </w:tc>
        <w:tc>
          <w:tcPr>
            <w:tcW w:w="5720" w:type="dxa"/>
            <w:vAlign w:val="bottom"/>
            <w:gridSpan w:val="6"/>
          </w:tcPr>
          <w:p>
            <w:pPr>
              <w:ind w:left="140"/>
              <w:spacing w:after="0"/>
              <w:rPr>
                <w:sz w:val="20"/>
                <w:szCs w:val="20"/>
                <w:color w:val="auto"/>
              </w:rPr>
            </w:pPr>
            <w:r>
              <w:rPr>
                <w:rFonts w:ascii="Arial" w:cs="Arial" w:eastAsia="Arial" w:hAnsi="Arial"/>
                <w:sz w:val="20"/>
                <w:szCs w:val="20"/>
                <w:color w:val="auto"/>
              </w:rPr>
              <w:t>Form of United States Tax Compliance Certificate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vi-</w:t>
      </w:r>
    </w:p>
    <w:p>
      <w:pPr>
        <w:sectPr>
          <w:pgSz w:w="11900" w:h="16838" w:orient="portrait"/>
          <w:cols w:equalWidth="0" w:num="1">
            <w:col w:w="10199"/>
          </w:cols>
          <w:pgMar w:left="260" w:top="1440" w:right="1440" w:bottom="1440" w:gutter="0" w:footer="0" w:header="0"/>
        </w:sectPr>
      </w:pPr>
    </w:p>
    <w:bookmarkStart w:id="233" w:name="page234"/>
    <w:bookmarkEnd w:id="233"/>
    <w:p>
      <w:pPr>
        <w:jc w:val="center"/>
        <w:spacing w:after="0"/>
        <w:rPr>
          <w:sz w:val="20"/>
          <w:szCs w:val="20"/>
          <w:color w:val="auto"/>
        </w:rPr>
      </w:pPr>
      <w:r>
        <w:rPr>
          <w:rFonts w:ascii="Arial" w:cs="Arial" w:eastAsia="Arial" w:hAnsi="Arial"/>
          <w:sz w:val="20"/>
          <w:szCs w:val="20"/>
          <w:color w:val="auto"/>
        </w:rPr>
        <w:t>TERM LOAN AGREEMENT</w:t>
      </w:r>
    </w:p>
    <w:p>
      <w:pPr>
        <w:spacing w:after="0" w:line="245" w:lineRule="exact"/>
        <w:rPr>
          <w:sz w:val="20"/>
          <w:szCs w:val="20"/>
          <w:color w:val="auto"/>
        </w:rPr>
      </w:pPr>
    </w:p>
    <w:p>
      <w:pPr>
        <w:jc w:val="both"/>
        <w:ind w:firstLine="600"/>
        <w:spacing w:after="0" w:line="256" w:lineRule="auto"/>
        <w:rPr>
          <w:sz w:val="20"/>
          <w:szCs w:val="20"/>
          <w:color w:val="auto"/>
        </w:rPr>
      </w:pPr>
      <w:r>
        <w:rPr>
          <w:rFonts w:ascii="Arial" w:cs="Arial" w:eastAsia="Arial" w:hAnsi="Arial"/>
          <w:sz w:val="20"/>
          <w:szCs w:val="20"/>
          <w:color w:val="auto"/>
        </w:rPr>
        <w:t>This TERM LOAN AGREEMENT (“</w:t>
      </w:r>
      <w:r>
        <w:rPr>
          <w:rFonts w:ascii="Arial" w:cs="Arial" w:eastAsia="Arial" w:hAnsi="Arial"/>
          <w:sz w:val="20"/>
          <w:szCs w:val="20"/>
          <w:u w:val="single" w:color="auto"/>
          <w:color w:val="auto"/>
        </w:rPr>
        <w:t>Agreement</w:t>
      </w:r>
      <w:r>
        <w:rPr>
          <w:rFonts w:ascii="Arial" w:cs="Arial" w:eastAsia="Arial" w:hAnsi="Arial"/>
          <w:sz w:val="20"/>
          <w:szCs w:val="20"/>
          <w:color w:val="auto"/>
        </w:rPr>
        <w:t xml:space="preserve">”) is entered into as of March 1, 2016 among AMERICAN ASSETS TRUST, L.P., a Maryland limited partnership </w:t>
      </w:r>
      <w:r>
        <w:rPr>
          <w:rFonts w:ascii="Arial" w:cs="Arial" w:eastAsia="Arial" w:hAnsi="Arial"/>
          <w:sz w:val="20"/>
          <w:szCs w:val="20"/>
          <w:b w:val="1"/>
          <w:bCs w:val="1"/>
          <w:color w:val="auto"/>
        </w:rPr>
        <w:t>(</w:t>
      </w:r>
      <w:r>
        <w:rPr>
          <w:rFonts w:ascii="Arial" w:cs="Arial" w:eastAsia="Arial" w:hAnsi="Arial"/>
          <w:sz w:val="20"/>
          <w:szCs w:val="20"/>
          <w:color w:val="auto"/>
        </w:rPr>
        <w:t>the “</w:t>
      </w:r>
      <w:r>
        <w:rPr>
          <w:rFonts w:ascii="Arial" w:cs="Arial" w:eastAsia="Arial" w:hAnsi="Arial"/>
          <w:sz w:val="20"/>
          <w:szCs w:val="20"/>
          <w:u w:val="single" w:color="auto"/>
          <w:color w:val="auto"/>
        </w:rPr>
        <w:t>Borrower</w:t>
      </w:r>
      <w:r>
        <w:rPr>
          <w:rFonts w:ascii="Arial" w:cs="Arial" w:eastAsia="Arial" w:hAnsi="Arial"/>
          <w:sz w:val="20"/>
          <w:szCs w:val="20"/>
          <w:color w:val="auto"/>
        </w:rPr>
        <w:t>”), AMERICAN ASSETS TRUST, INC. a Maryland corporation (the “</w:t>
      </w:r>
      <w:r>
        <w:rPr>
          <w:rFonts w:ascii="Arial" w:cs="Arial" w:eastAsia="Arial" w:hAnsi="Arial"/>
          <w:sz w:val="20"/>
          <w:szCs w:val="20"/>
          <w:u w:val="single" w:color="auto"/>
          <w:color w:val="auto"/>
        </w:rPr>
        <w:t>REIT</w:t>
      </w:r>
      <w:r>
        <w:rPr>
          <w:rFonts w:ascii="Arial" w:cs="Arial" w:eastAsia="Arial" w:hAnsi="Arial"/>
          <w:sz w:val="20"/>
          <w:szCs w:val="20"/>
          <w:color w:val="auto"/>
        </w:rPr>
        <w:t>”), each lender from time to time party hereto (collectively, the “</w:t>
      </w:r>
      <w:r>
        <w:rPr>
          <w:rFonts w:ascii="Arial" w:cs="Arial" w:eastAsia="Arial" w:hAnsi="Arial"/>
          <w:sz w:val="20"/>
          <w:szCs w:val="20"/>
          <w:u w:val="single" w:color="auto"/>
          <w:color w:val="auto"/>
        </w:rPr>
        <w:t>Lenders</w:t>
      </w:r>
      <w:r>
        <w:rPr>
          <w:rFonts w:ascii="Arial" w:cs="Arial" w:eastAsia="Arial" w:hAnsi="Arial"/>
          <w:sz w:val="20"/>
          <w:szCs w:val="20"/>
          <w:color w:val="auto"/>
        </w:rPr>
        <w:t>” and individually, a “</w:t>
      </w:r>
      <w:r>
        <w:rPr>
          <w:rFonts w:ascii="Arial" w:cs="Arial" w:eastAsia="Arial" w:hAnsi="Arial"/>
          <w:sz w:val="20"/>
          <w:szCs w:val="20"/>
          <w:u w:val="single" w:color="auto"/>
          <w:color w:val="auto"/>
        </w:rPr>
        <w:t>Lender</w:t>
      </w:r>
      <w:r>
        <w:rPr>
          <w:rFonts w:ascii="Arial" w:cs="Arial" w:eastAsia="Arial" w:hAnsi="Arial"/>
          <w:sz w:val="20"/>
          <w:szCs w:val="20"/>
          <w:color w:val="auto"/>
        </w:rPr>
        <w:t>”), and U.S. BANK NATIONAL ASSOCIATION, as Administrative Agent.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PRELIMINARY STATEMENT</w:t>
      </w:r>
      <w:r>
        <w:rPr>
          <w:rFonts w:ascii="Arial" w:cs="Arial" w:eastAsia="Arial" w:hAnsi="Arial"/>
          <w:sz w:val="20"/>
          <w:szCs w:val="20"/>
          <w:color w:val="auto"/>
        </w:rPr>
        <w:t>:</w:t>
      </w:r>
    </w:p>
    <w:p>
      <w:pPr>
        <w:spacing w:after="0" w:line="245"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20"/>
          <w:szCs w:val="20"/>
          <w:color w:val="auto"/>
        </w:rPr>
        <w:t>The Borrower and the REIT have requested that the Lenders make term loans available to the Borrower on the date hereof, as more particularly described herein, on the terms and subject to the conditions hereinafter set forth.</w:t>
      </w:r>
    </w:p>
    <w:p>
      <w:pPr>
        <w:spacing w:after="0" w:line="191"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20"/>
          <w:szCs w:val="20"/>
          <w:color w:val="auto"/>
        </w:rPr>
        <w:t>NOW THEREFORE, for good and valuable consideration, the receipt and adequacy of which are hereby acknowledged, the parties hereto agree as follows: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DEFINITIONS AND ACCOUNTING TERMS</w:t>
      </w:r>
    </w:p>
    <w:p>
      <w:pPr>
        <w:spacing w:after="0" w:line="229" w:lineRule="exact"/>
        <w:rPr>
          <w:sz w:val="20"/>
          <w:szCs w:val="20"/>
          <w:color w:val="auto"/>
        </w:rPr>
      </w:pPr>
    </w:p>
    <w:p>
      <w:pPr>
        <w:ind w:left="600"/>
        <w:spacing w:after="0"/>
        <w:tabs>
          <w:tab w:leader="none" w:pos="112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shall have the meanings set forth below:</w:t>
      </w:r>
    </w:p>
    <w:p>
      <w:pPr>
        <w:spacing w:after="0" w:line="24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10.18</w:t>
      </w:r>
      <w:r>
        <w:rPr>
          <w:rFonts w:ascii="Arial" w:cs="Arial" w:eastAsia="Arial" w:hAnsi="Arial"/>
          <w:sz w:val="20"/>
          <w:szCs w:val="20"/>
          <w:color w:val="auto"/>
        </w:rPr>
        <w:t>.</w:t>
      </w:r>
    </w:p>
    <w:p>
      <w:pPr>
        <w:spacing w:after="0" w:line="245"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U.S. Bank National Association (including its branches and affiliates), in its capacity as administrative agent under any of the Loan Documents, or any successor administrative agent.</w:t>
      </w:r>
    </w:p>
    <w:p>
      <w:pPr>
        <w:spacing w:after="0" w:line="191" w:lineRule="exact"/>
        <w:rPr>
          <w:sz w:val="20"/>
          <w:szCs w:val="20"/>
          <w:color w:val="auto"/>
        </w:rPr>
      </w:pPr>
    </w:p>
    <w:p>
      <w:pPr>
        <w:jc w:val="both"/>
        <w:ind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Agent’s Office</w:t>
      </w:r>
      <w:r>
        <w:rPr>
          <w:rFonts w:ascii="Arial" w:cs="Arial" w:eastAsia="Arial" w:hAnsi="Arial"/>
          <w:sz w:val="20"/>
          <w:szCs w:val="20"/>
          <w:color w:val="auto"/>
        </w:rPr>
        <w:t xml:space="preserve">” means the Administrative Agent’s address and, as appropriate, account as set forth on </w:t>
      </w:r>
      <w:r>
        <w:rPr>
          <w:rFonts w:ascii="Arial" w:cs="Arial" w:eastAsia="Arial" w:hAnsi="Arial"/>
          <w:sz w:val="20"/>
          <w:szCs w:val="20"/>
          <w:u w:val="single" w:color="auto"/>
          <w:color w:val="auto"/>
        </w:rPr>
        <w:t>Schedule 10.02</w:t>
      </w:r>
      <w:r>
        <w:rPr>
          <w:rFonts w:ascii="Arial" w:cs="Arial" w:eastAsia="Arial" w:hAnsi="Arial"/>
          <w:sz w:val="20"/>
          <w:szCs w:val="20"/>
          <w:color w:val="auto"/>
        </w:rPr>
        <w:t>, or such other address or account as the Administrative Agent may from time to time notify the Borrower and the Lenders.</w:t>
      </w:r>
    </w:p>
    <w:p>
      <w:pPr>
        <w:spacing w:after="0" w:line="202"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xml:space="preserve">” means an Administrative Questionnaire in substantially the form of </w:t>
      </w:r>
      <w:r>
        <w:rPr>
          <w:rFonts w:ascii="Arial" w:cs="Arial" w:eastAsia="Arial" w:hAnsi="Arial"/>
          <w:sz w:val="20"/>
          <w:szCs w:val="20"/>
          <w:u w:val="single" w:color="auto"/>
          <w:color w:val="auto"/>
        </w:rPr>
        <w:t>Exhibit E-2</w:t>
      </w:r>
      <w:r>
        <w:rPr>
          <w:rFonts w:ascii="Arial" w:cs="Arial" w:eastAsia="Arial" w:hAnsi="Arial"/>
          <w:sz w:val="20"/>
          <w:szCs w:val="20"/>
          <w:color w:val="auto"/>
        </w:rPr>
        <w:t xml:space="preserve"> or any other form approved by the Administrative Agent.</w:t>
      </w:r>
    </w:p>
    <w:p>
      <w:pPr>
        <w:spacing w:after="0" w:line="191" w:lineRule="exact"/>
        <w:rPr>
          <w:sz w:val="20"/>
          <w:szCs w:val="20"/>
          <w:color w:val="auto"/>
        </w:rPr>
      </w:pPr>
    </w:p>
    <w:p>
      <w:pPr>
        <w:jc w:val="both"/>
        <w:ind w:firstLine="600"/>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with respect to any Person, another Person that directly, or indirectly through one or more intermediaries, Controls or is Controlled by or is under common Control with the Person specified;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no event shall the Administrative Agent or any Lender or any of their respective Affiliates be deemed an Affiliate of the REIT or any Subsidiary thereof.</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 Parties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10.02(c)</w:t>
      </w:r>
      <w:r>
        <w:rPr>
          <w:rFonts w:ascii="Arial" w:cs="Arial" w:eastAsia="Arial" w:hAnsi="Arial"/>
          <w:sz w:val="20"/>
          <w:szCs w:val="20"/>
          <w:color w:val="auto"/>
        </w:rPr>
        <w:t>.</w:t>
      </w:r>
    </w:p>
    <w:p>
      <w:pPr>
        <w:spacing w:after="0" w:line="245" w:lineRule="exact"/>
        <w:rPr>
          <w:sz w:val="20"/>
          <w:szCs w:val="20"/>
          <w:color w:val="auto"/>
        </w:rPr>
      </w:pPr>
    </w:p>
    <w:p>
      <w:pPr>
        <w:jc w:val="both"/>
        <w:ind w:firstLine="600"/>
        <w:spacing w:after="0" w:line="253"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Aggregate Construction Costs Investment Amount</w:t>
      </w:r>
      <w:r>
        <w:rPr>
          <w:rFonts w:ascii="Arial" w:cs="Arial" w:eastAsia="Arial" w:hAnsi="Arial"/>
          <w:sz w:val="20"/>
          <w:szCs w:val="20"/>
          <w:color w:val="FF0000"/>
          <w:strike w:val="1"/>
        </w:rPr>
        <w:t xml:space="preserve">” means, at any time, the excess of (a) the aggregate amount of Investments made on or after January 9, 2014 and on or prior to such time by the REIT and its Subsidiaries pursuant to </w:t>
      </w:r>
      <w:r>
        <w:rPr>
          <w:rFonts w:ascii="Arial" w:cs="Arial" w:eastAsia="Arial" w:hAnsi="Arial"/>
          <w:sz w:val="20"/>
          <w:szCs w:val="20"/>
          <w:u w:val="single" w:color="auto"/>
          <w:color w:val="FF0000"/>
          <w:strike w:val="1"/>
        </w:rPr>
        <w:t>Section 7.03(e</w:t>
      </w:r>
      <w:r>
        <w:rPr>
          <w:rFonts w:ascii="Arial" w:cs="Arial" w:eastAsia="Arial" w:hAnsi="Arial"/>
          <w:sz w:val="20"/>
          <w:szCs w:val="20"/>
          <w:color w:val="FF0000"/>
          <w:strike w:val="1"/>
        </w:rPr>
        <w:t xml:space="preserve">) in respect of costs to construct Portfolio Properties under development (reduced by, in the case of any Portfolio Property that has become a Stabilized Portfolio Property after January 9, 2014 but on or prior to such time, the amount of any such Investments made in such Portfolio Property pursuant </w:t>
      </w:r>
      <w:r>
        <w:rPr>
          <w:rFonts w:ascii="Arial" w:cs="Arial" w:eastAsia="Arial" w:hAnsi="Arial"/>
          <w:sz w:val="20"/>
          <w:szCs w:val="20"/>
          <w:u w:val="single" w:color="auto"/>
          <w:color w:val="FF0000"/>
          <w:strike w:val="1"/>
        </w:rPr>
        <w:t>Section 7.03(e</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FF0000"/>
          <w:strike w:val="1"/>
        </w:rPr>
        <w:t>minus</w:t>
      </w:r>
      <w:r>
        <w:rPr>
          <w:rFonts w:ascii="Arial" w:cs="Arial" w:eastAsia="Arial" w:hAnsi="Arial"/>
          <w:sz w:val="20"/>
          <w:szCs w:val="20"/>
          <w:color w:val="FF0000"/>
          <w:strike w:val="1"/>
        </w:rPr>
        <w:t xml:space="preserve"> (b) with respect</w:t>
      </w:r>
    </w:p>
    <w:p>
      <w:pPr>
        <w:sectPr>
          <w:pgSz w:w="11900" w:h="16838" w:orient="portrait"/>
          <w:cols w:equalWidth="0" w:num="1">
            <w:col w:w="10820"/>
          </w:cols>
          <w:pgMar w:left="840" w:top="795" w:right="239" w:bottom="1440" w:gutter="0" w:footer="0" w:header="0"/>
        </w:sectPr>
      </w:pPr>
    </w:p>
    <w:bookmarkStart w:id="234" w:name="page235"/>
    <w:bookmarkEnd w:id="234"/>
    <w:p>
      <w:pPr>
        <w:jc w:val="both"/>
        <w:spacing w:after="0" w:line="282" w:lineRule="auto"/>
        <w:rPr>
          <w:sz w:val="20"/>
          <w:szCs w:val="20"/>
          <w:color w:val="auto"/>
        </w:rPr>
      </w:pPr>
      <w:r>
        <w:rPr>
          <w:rFonts w:ascii="Arial" w:cs="Arial" w:eastAsia="Arial" w:hAnsi="Arial"/>
          <w:sz w:val="18"/>
          <w:szCs w:val="18"/>
          <w:color w:val="FF0000"/>
          <w:strike w:val="1"/>
        </w:rPr>
        <w:t xml:space="preserve">to any Portfolio Property under development in which an Investment was made by the REIT or a Subsidiary thereof after January 9, 2014 pursuant to </w:t>
      </w:r>
      <w:r>
        <w:rPr>
          <w:rFonts w:ascii="Arial" w:cs="Arial" w:eastAsia="Arial" w:hAnsi="Arial"/>
          <w:sz w:val="18"/>
          <w:szCs w:val="18"/>
          <w:u w:val="single" w:color="auto"/>
          <w:color w:val="FF0000"/>
          <w:strike w:val="1"/>
        </w:rPr>
        <w:t>Section 7.03(e)</w:t>
      </w:r>
      <w:r>
        <w:rPr>
          <w:rFonts w:ascii="Arial" w:cs="Arial" w:eastAsia="Arial" w:hAnsi="Arial"/>
          <w:sz w:val="18"/>
          <w:szCs w:val="18"/>
          <w:color w:val="FF0000"/>
          <w:strike w:val="1"/>
        </w:rPr>
        <w:t xml:space="preserve"> and such Portfolio Property (or all of the Equity Interests of the Subsidiary or Subsidiaries, as applicable, that own such Portfolio Property or the direct or indirect parent(s) thereof) is later Disposed of by the REIT or such Subsidiary prior to the Stabilization Date of such Portfolio Property to a Person that is not an Affiliate of the REIT, the lesser of (x) the Net Cash Proceeds received by the REIT or such Subsidiary in respect of such Disposition and (y) the aggregate amount of Investments made by the REIT or such Subsidiary after January 9, 2014 pursuant to </w:t>
      </w:r>
      <w:r>
        <w:rPr>
          <w:rFonts w:ascii="Arial" w:cs="Arial" w:eastAsia="Arial" w:hAnsi="Arial"/>
          <w:sz w:val="18"/>
          <w:szCs w:val="18"/>
          <w:u w:val="single" w:color="auto"/>
          <w:color w:val="FF0000"/>
          <w:strike w:val="1"/>
        </w:rPr>
        <w:t>Section 7.03(e)</w:t>
      </w:r>
      <w:r>
        <w:rPr>
          <w:rFonts w:ascii="Arial" w:cs="Arial" w:eastAsia="Arial" w:hAnsi="Arial"/>
          <w:sz w:val="18"/>
          <w:szCs w:val="18"/>
          <w:color w:val="FF0000"/>
          <w:strike w:val="1"/>
        </w:rPr>
        <w:t xml:space="preserve"> in such Portfolio Property. Each reference to Investments made pursuant to </w:t>
      </w:r>
      <w:r>
        <w:rPr>
          <w:rFonts w:ascii="Arial" w:cs="Arial" w:eastAsia="Arial" w:hAnsi="Arial"/>
          <w:sz w:val="18"/>
          <w:szCs w:val="18"/>
          <w:u w:val="single" w:color="auto"/>
          <w:color w:val="FF0000"/>
          <w:strike w:val="1"/>
        </w:rPr>
        <w:t>Section 7.03(e)</w:t>
      </w:r>
      <w:r>
        <w:rPr>
          <w:rFonts w:ascii="Arial" w:cs="Arial" w:eastAsia="Arial" w:hAnsi="Arial"/>
          <w:sz w:val="18"/>
          <w:szCs w:val="18"/>
          <w:color w:val="FF0000"/>
          <w:strike w:val="1"/>
        </w:rPr>
        <w:t xml:space="preserve"> in this definition shall be deemed to also include, without duplication, Investments made after January 9, 2014 and prior to the Closing Date of the type contemplated by </w:t>
      </w:r>
      <w:r>
        <w:rPr>
          <w:rFonts w:ascii="Arial" w:cs="Arial" w:eastAsia="Arial" w:hAnsi="Arial"/>
          <w:sz w:val="18"/>
          <w:szCs w:val="18"/>
          <w:u w:val="single" w:color="auto"/>
          <w:color w:val="FF0000"/>
          <w:strike w:val="1"/>
        </w:rPr>
        <w:t>Section 7.03(e)</w:t>
      </w:r>
      <w:r>
        <w:rPr>
          <w:rFonts w:ascii="Arial" w:cs="Arial" w:eastAsia="Arial" w:hAnsi="Arial"/>
          <w:sz w:val="18"/>
          <w:szCs w:val="18"/>
          <w:color w:val="FF0000"/>
          <w:strike w:val="1"/>
        </w:rPr>
        <w:t>.</w:t>
      </w:r>
    </w:p>
    <w:p>
      <w:pPr>
        <w:spacing w:after="0" w:line="190" w:lineRule="exact"/>
        <w:rPr>
          <w:sz w:val="20"/>
          <w:szCs w:val="20"/>
          <w:color w:val="auto"/>
        </w:rPr>
      </w:pPr>
    </w:p>
    <w:p>
      <w:pPr>
        <w:jc w:val="both"/>
        <w:ind w:firstLine="600"/>
        <w:spacing w:after="0" w:line="280"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Aggregate Non-Loan Party Investment Amount</w:t>
      </w:r>
      <w:r>
        <w:rPr>
          <w:rFonts w:ascii="Arial" w:cs="Arial" w:eastAsia="Arial" w:hAnsi="Arial"/>
          <w:sz w:val="18"/>
          <w:szCs w:val="18"/>
          <w:color w:val="FF0000"/>
          <w:strike w:val="1"/>
        </w:rPr>
        <w:t xml:space="preserve">” means, at any time, the excess of (a) the aggregate amount of Investments made on or after January 9, 2014 and on or prior to such time by the REIT and its Subsidiaries pursuant to </w:t>
      </w:r>
      <w:r>
        <w:rPr>
          <w:rFonts w:ascii="Arial" w:cs="Arial" w:eastAsia="Arial" w:hAnsi="Arial"/>
          <w:sz w:val="18"/>
          <w:szCs w:val="18"/>
          <w:u w:val="single" w:color="auto"/>
          <w:color w:val="FF0000"/>
          <w:strike w:val="1"/>
        </w:rPr>
        <w:t>Section 7.03(b)(iv)</w:t>
      </w:r>
      <w:r>
        <w:rPr>
          <w:rFonts w:ascii="Arial" w:cs="Arial" w:eastAsia="Arial" w:hAnsi="Arial"/>
          <w:sz w:val="18"/>
          <w:szCs w:val="18"/>
          <w:color w:val="FF0000"/>
          <w:strike w:val="1"/>
        </w:rPr>
        <w:t xml:space="preserve"> directly or indirectly in any Subsidiary that is not a Loan Party (each, a “</w:t>
      </w:r>
      <w:r>
        <w:rPr>
          <w:rFonts w:ascii="Arial" w:cs="Arial" w:eastAsia="Arial" w:hAnsi="Arial"/>
          <w:sz w:val="18"/>
          <w:szCs w:val="18"/>
          <w:u w:val="single" w:color="auto"/>
          <w:color w:val="FF0000"/>
          <w:strike w:val="1"/>
        </w:rPr>
        <w:t>Non-Loan Party Subsidiary</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FF0000"/>
          <w:strike w:val="1"/>
        </w:rPr>
        <w:t>minus</w:t>
      </w:r>
      <w:r>
        <w:rPr>
          <w:rFonts w:ascii="Arial" w:cs="Arial" w:eastAsia="Arial" w:hAnsi="Arial"/>
          <w:sz w:val="18"/>
          <w:szCs w:val="18"/>
          <w:color w:val="FF0000"/>
          <w:strike w:val="1"/>
        </w:rPr>
        <w:t xml:space="preserve"> (b) with respect to each Non-Loan Party Subsidiary in which an Investment was made by the REIT or a Subsidiary thereof pursuant to </w:t>
      </w:r>
      <w:r>
        <w:rPr>
          <w:rFonts w:ascii="Arial" w:cs="Arial" w:eastAsia="Arial" w:hAnsi="Arial"/>
          <w:sz w:val="18"/>
          <w:szCs w:val="18"/>
          <w:u w:val="single" w:color="auto"/>
          <w:color w:val="FF0000"/>
          <w:strike w:val="1"/>
        </w:rPr>
        <w:t>Section 7.03(b)(iv)</w:t>
      </w:r>
      <w:r>
        <w:rPr>
          <w:rFonts w:ascii="Arial" w:cs="Arial" w:eastAsia="Arial" w:hAnsi="Arial"/>
          <w:sz w:val="18"/>
          <w:szCs w:val="18"/>
          <w:color w:val="FF0000"/>
          <w:strike w:val="1"/>
        </w:rPr>
        <w:t xml:space="preserve"> and which Non-Loan Party Subsidiary is subsequently Disposed of by the REIT or such Subsidiary to a Person that is not an Affiliate of the REIT, the lesser of (x) the Net Cash Proceeds received by the REIT or such Subsidiary in respect of the Disposition of such Non-Loan Party Subsidiary and (y) the amount of such Investment made by the REIT or such Subsidiary after January 9, 2014 pursuant to </w:t>
      </w:r>
      <w:r>
        <w:rPr>
          <w:rFonts w:ascii="Arial" w:cs="Arial" w:eastAsia="Arial" w:hAnsi="Arial"/>
          <w:sz w:val="18"/>
          <w:szCs w:val="18"/>
          <w:u w:val="single" w:color="auto"/>
          <w:color w:val="FF0000"/>
          <w:strike w:val="1"/>
        </w:rPr>
        <w:t xml:space="preserve">Section 7.03(b)(iv) </w:t>
      </w:r>
      <w:r>
        <w:rPr>
          <w:rFonts w:ascii="Arial" w:cs="Arial" w:eastAsia="Arial" w:hAnsi="Arial"/>
          <w:sz w:val="18"/>
          <w:szCs w:val="18"/>
          <w:color w:val="FF0000"/>
          <w:strike w:val="1"/>
        </w:rPr>
        <w:t>in such Non-Loan Party Subsidiary. Notwithstanding the foregoing, if at any time a Permitted Subsidiary Guarantor</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 xml:space="preserve">Release is consummated in accordance with </w:t>
      </w:r>
      <w:r>
        <w:rPr>
          <w:rFonts w:ascii="Arial" w:cs="Arial" w:eastAsia="Arial" w:hAnsi="Arial"/>
          <w:sz w:val="18"/>
          <w:szCs w:val="18"/>
          <w:u w:val="single" w:color="auto"/>
          <w:color w:val="FF0000"/>
          <w:strike w:val="1"/>
        </w:rPr>
        <w:t>Section 10.20</w:t>
      </w:r>
      <w:r>
        <w:rPr>
          <w:rFonts w:ascii="Arial" w:cs="Arial" w:eastAsia="Arial" w:hAnsi="Arial"/>
          <w:sz w:val="18"/>
          <w:szCs w:val="18"/>
          <w:color w:val="FF0000"/>
          <w:strike w:val="1"/>
        </w:rPr>
        <w:t xml:space="preserve">, the Aggregate Non-Loan Party Investment Amount shall equal $0 at all times following the consummation of such Permitted Subsidiary Guarantor Release. Each reference to Investments made pursuant to </w:t>
      </w:r>
      <w:r>
        <w:rPr>
          <w:rFonts w:ascii="Arial" w:cs="Arial" w:eastAsia="Arial" w:hAnsi="Arial"/>
          <w:sz w:val="18"/>
          <w:szCs w:val="18"/>
          <w:u w:val="single" w:color="auto"/>
          <w:color w:val="FF0000"/>
          <w:strike w:val="1"/>
        </w:rPr>
        <w:t xml:space="preserve">Section 7.03(b)(iv) </w:t>
      </w:r>
      <w:r>
        <w:rPr>
          <w:rFonts w:ascii="Arial" w:cs="Arial" w:eastAsia="Arial" w:hAnsi="Arial"/>
          <w:sz w:val="18"/>
          <w:szCs w:val="18"/>
          <w:color w:val="FF0000"/>
          <w:strike w:val="1"/>
        </w:rPr>
        <w:t>in this definition shall be deemed to also include, without duplication, Investments made after January 9, 2014 and</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 xml:space="preserve">prior to the Closing Date of the type contemplated by </w:t>
      </w:r>
      <w:r>
        <w:rPr>
          <w:rFonts w:ascii="Arial" w:cs="Arial" w:eastAsia="Arial" w:hAnsi="Arial"/>
          <w:sz w:val="18"/>
          <w:szCs w:val="18"/>
          <w:u w:val="single" w:color="auto"/>
          <w:color w:val="FF0000"/>
          <w:strike w:val="1"/>
        </w:rPr>
        <w:t>Section 7.03(b)(iv)</w:t>
      </w:r>
      <w:r>
        <w:rPr>
          <w:rFonts w:ascii="Arial" w:cs="Arial" w:eastAsia="Arial" w:hAnsi="Arial"/>
          <w:sz w:val="18"/>
          <w:szCs w:val="18"/>
          <w:color w:val="FF0000"/>
          <w:strike w:val="1"/>
        </w:rPr>
        <w:t>.</w:t>
      </w:r>
    </w:p>
    <w:p>
      <w:pPr>
        <w:spacing w:after="0" w:line="187" w:lineRule="exact"/>
        <w:rPr>
          <w:sz w:val="20"/>
          <w:szCs w:val="20"/>
          <w:color w:val="auto"/>
        </w:rPr>
      </w:pPr>
    </w:p>
    <w:p>
      <w:pPr>
        <w:jc w:val="both"/>
        <w:ind w:firstLine="600"/>
        <w:spacing w:after="0" w:line="281"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Aggregate Real Estate Loan Investment Amount</w:t>
      </w:r>
      <w:r>
        <w:rPr>
          <w:rFonts w:ascii="Arial" w:cs="Arial" w:eastAsia="Arial" w:hAnsi="Arial"/>
          <w:sz w:val="18"/>
          <w:szCs w:val="18"/>
          <w:color w:val="FF0000"/>
          <w:strike w:val="1"/>
        </w:rPr>
        <w:t xml:space="preserve">” means, at any time, the excess of (a) the aggregate amount of Investments made on or after January 9, 2014 and on or prior to such time by the REIT and its Subsidiaries pursuant to </w:t>
      </w:r>
      <w:r>
        <w:rPr>
          <w:rFonts w:ascii="Arial" w:cs="Arial" w:eastAsia="Arial" w:hAnsi="Arial"/>
          <w:sz w:val="18"/>
          <w:szCs w:val="18"/>
          <w:u w:val="single" w:color="auto"/>
          <w:color w:val="FF0000"/>
          <w:strike w:val="1"/>
        </w:rPr>
        <w:t>Section 7.03(d)</w:t>
      </w:r>
      <w:r>
        <w:rPr>
          <w:rFonts w:ascii="Arial" w:cs="Arial" w:eastAsia="Arial" w:hAnsi="Arial"/>
          <w:sz w:val="18"/>
          <w:szCs w:val="18"/>
          <w:color w:val="FF0000"/>
          <w:strike w:val="1"/>
        </w:rPr>
        <w:t xml:space="preserve"> consisting of commercial mortgage loans and commercial real estate-related mezzanine loans, </w:t>
      </w:r>
      <w:r>
        <w:rPr>
          <w:rFonts w:ascii="Arial" w:cs="Arial" w:eastAsia="Arial" w:hAnsi="Arial"/>
          <w:sz w:val="18"/>
          <w:szCs w:val="18"/>
          <w:u w:val="single" w:color="auto"/>
          <w:color w:val="FF0000"/>
          <w:strike w:val="1"/>
        </w:rPr>
        <w:t>minus</w:t>
      </w:r>
      <w:r>
        <w:rPr>
          <w:rFonts w:ascii="Arial" w:cs="Arial" w:eastAsia="Arial" w:hAnsi="Arial"/>
          <w:sz w:val="18"/>
          <w:szCs w:val="18"/>
          <w:color w:val="FF0000"/>
          <w:strike w:val="1"/>
        </w:rPr>
        <w:t xml:space="preserve"> (b) with respect to each such Investment that was originated or acquired after January 9, 2014 by the REIT or a Subsidiary thereof and subsequently Disposed of by the REIT or such Subsidiary to a Person that is not an Affiliate of the REIT, the lesser of (x) the Net Cash Proceeds received by the REIT or such Subsidiary in respect of the Disposition of such Investment and (y) the amount of such Investment made by the REIT or such Subsidiary pursuant to </w:t>
      </w:r>
      <w:r>
        <w:rPr>
          <w:rFonts w:ascii="Arial" w:cs="Arial" w:eastAsia="Arial" w:hAnsi="Arial"/>
          <w:sz w:val="18"/>
          <w:szCs w:val="18"/>
          <w:u w:val="single" w:color="auto"/>
          <w:color w:val="FF0000"/>
          <w:strike w:val="1"/>
        </w:rPr>
        <w:t>Section 7.03(d)</w:t>
      </w:r>
      <w:r>
        <w:rPr>
          <w:rFonts w:ascii="Arial" w:cs="Arial" w:eastAsia="Arial" w:hAnsi="Arial"/>
          <w:sz w:val="18"/>
          <w:szCs w:val="18"/>
          <w:color w:val="FF0000"/>
          <w:strike w:val="1"/>
        </w:rPr>
        <w:t xml:space="preserve"> at the time such Investment was originated or acquired by the REIT or such Subsidiary. Each reference to Investments made pursuant to </w:t>
      </w:r>
      <w:r>
        <w:rPr>
          <w:rFonts w:ascii="Arial" w:cs="Arial" w:eastAsia="Arial" w:hAnsi="Arial"/>
          <w:sz w:val="18"/>
          <w:szCs w:val="18"/>
          <w:u w:val="single" w:color="auto"/>
          <w:color w:val="FF0000"/>
          <w:strike w:val="1"/>
        </w:rPr>
        <w:t>Section 7.03(d)</w:t>
      </w:r>
      <w:r>
        <w:rPr>
          <w:rFonts w:ascii="Arial" w:cs="Arial" w:eastAsia="Arial" w:hAnsi="Arial"/>
          <w:sz w:val="18"/>
          <w:szCs w:val="18"/>
          <w:color w:val="FF0000"/>
          <w:strike w:val="1"/>
        </w:rPr>
        <w:t xml:space="preserve"> in this definition shall be deemed to also include, without duplication, Investments made after January 9, 2014 and prior to the Closing Date of the type contemplated by </w:t>
      </w:r>
      <w:r>
        <w:rPr>
          <w:rFonts w:ascii="Arial" w:cs="Arial" w:eastAsia="Arial" w:hAnsi="Arial"/>
          <w:sz w:val="18"/>
          <w:szCs w:val="18"/>
          <w:u w:val="single" w:color="auto"/>
          <w:color w:val="FF0000"/>
          <w:strike w:val="1"/>
        </w:rPr>
        <w:t>Section 7.03(d)</w:t>
      </w:r>
      <w:r>
        <w:rPr>
          <w:rFonts w:ascii="Arial" w:cs="Arial" w:eastAsia="Arial" w:hAnsi="Arial"/>
          <w:sz w:val="18"/>
          <w:szCs w:val="18"/>
          <w:color w:val="FF0000"/>
          <w:strike w:val="1"/>
        </w:rPr>
        <w:t>.</w:t>
      </w:r>
    </w:p>
    <w:p>
      <w:pPr>
        <w:spacing w:after="0" w:line="192"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Aggregate Unconsolidated Affiliate Investment Amount</w:t>
      </w:r>
      <w:r>
        <w:rPr>
          <w:rFonts w:ascii="Arial" w:cs="Arial" w:eastAsia="Arial" w:hAnsi="Arial"/>
          <w:sz w:val="20"/>
          <w:szCs w:val="20"/>
          <w:color w:val="FF0000"/>
          <w:strike w:val="1"/>
        </w:rPr>
        <w:t xml:space="preserve">” means, at any time, the excess of (a) the aggregate amount of Investments made after January 9, 2014 and on or prior to such time by the REIT and its Subsidiaries pursuant to </w:t>
      </w:r>
      <w:r>
        <w:rPr>
          <w:rFonts w:ascii="Arial" w:cs="Arial" w:eastAsia="Arial" w:hAnsi="Arial"/>
          <w:sz w:val="20"/>
          <w:szCs w:val="20"/>
          <w:u w:val="single" w:color="auto"/>
          <w:color w:val="FF0000"/>
          <w:strike w:val="1"/>
        </w:rPr>
        <w:t>Section 7.03(b)(iii)</w:t>
      </w:r>
      <w:r>
        <w:rPr>
          <w:rFonts w:ascii="Arial" w:cs="Arial" w:eastAsia="Arial" w:hAnsi="Arial"/>
          <w:sz w:val="20"/>
          <w:szCs w:val="20"/>
          <w:color w:val="FF0000"/>
          <w:strike w:val="1"/>
        </w:rPr>
        <w:t xml:space="preserve"> directly or indirectly in any Unconsolidated Affiliate, </w:t>
      </w:r>
      <w:r>
        <w:rPr>
          <w:rFonts w:ascii="Arial" w:cs="Arial" w:eastAsia="Arial" w:hAnsi="Arial"/>
          <w:sz w:val="20"/>
          <w:szCs w:val="20"/>
          <w:u w:val="single" w:color="auto"/>
          <w:color w:val="FF0000"/>
          <w:strike w:val="1"/>
        </w:rPr>
        <w:t>minus</w:t>
      </w:r>
      <w:r>
        <w:rPr>
          <w:rFonts w:ascii="Arial" w:cs="Arial" w:eastAsia="Arial" w:hAnsi="Arial"/>
          <w:sz w:val="20"/>
          <w:szCs w:val="20"/>
          <w:color w:val="FF0000"/>
          <w:strike w:val="1"/>
        </w:rPr>
        <w:t xml:space="preserve"> (b) with respect to each Unconsolidated Affiliate in which an Investment was made by the REIT or a Subsidiary thereof pursuant to </w:t>
      </w:r>
      <w:r>
        <w:rPr>
          <w:rFonts w:ascii="Arial" w:cs="Arial" w:eastAsia="Arial" w:hAnsi="Arial"/>
          <w:sz w:val="20"/>
          <w:szCs w:val="20"/>
          <w:u w:val="single" w:color="auto"/>
          <w:color w:val="FF0000"/>
          <w:strike w:val="1"/>
        </w:rPr>
        <w:t>Section 7.03(b)(iii)</w:t>
      </w:r>
      <w:r>
        <w:rPr>
          <w:rFonts w:ascii="Arial" w:cs="Arial" w:eastAsia="Arial" w:hAnsi="Arial"/>
          <w:sz w:val="20"/>
          <w:szCs w:val="20"/>
          <w:color w:val="FF0000"/>
          <w:strike w:val="1"/>
        </w:rPr>
        <w:t xml:space="preserve"> and which Unconsolidated Affiliate is subsequently Disposed of by the REIT or such Subsidiary to a Person that is not an Affiliate of the REIT, the lesser of (x) the Net Cash Proceeds received by the REIT or</w:t>
      </w:r>
    </w:p>
    <w:p>
      <w:pPr>
        <w:spacing w:after="0" w:line="19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20"/>
          </w:cols>
          <w:pgMar w:left="840" w:top="795" w:right="239" w:bottom="1440" w:gutter="0" w:footer="0" w:header="0"/>
        </w:sectPr>
      </w:pPr>
    </w:p>
    <w:bookmarkStart w:id="235" w:name="page236"/>
    <w:bookmarkEnd w:id="235"/>
    <w:p>
      <w:pPr>
        <w:jc w:val="both"/>
        <w:spacing w:after="0" w:line="293" w:lineRule="auto"/>
        <w:rPr>
          <w:sz w:val="20"/>
          <w:szCs w:val="20"/>
          <w:color w:val="auto"/>
        </w:rPr>
      </w:pPr>
      <w:r>
        <w:rPr>
          <w:rFonts w:ascii="Arial" w:cs="Arial" w:eastAsia="Arial" w:hAnsi="Arial"/>
          <w:sz w:val="18"/>
          <w:szCs w:val="18"/>
          <w:color w:val="FF0000"/>
          <w:strike w:val="1"/>
        </w:rPr>
        <w:t xml:space="preserve">such Subsidiary in respect of the Disposition of such Unconsolidated Affiliate and (y) the amount of such Investment made by the REIT or such Subsidiary after January 9, 2014 pursuant to </w:t>
      </w:r>
      <w:r>
        <w:rPr>
          <w:rFonts w:ascii="Arial" w:cs="Arial" w:eastAsia="Arial" w:hAnsi="Arial"/>
          <w:sz w:val="18"/>
          <w:szCs w:val="18"/>
          <w:u w:val="single" w:color="auto"/>
          <w:color w:val="FF0000"/>
          <w:strike w:val="1"/>
        </w:rPr>
        <w:t>Section 7.03(b)(iii)</w:t>
      </w:r>
      <w:r>
        <w:rPr>
          <w:rFonts w:ascii="Arial" w:cs="Arial" w:eastAsia="Arial" w:hAnsi="Arial"/>
          <w:sz w:val="18"/>
          <w:szCs w:val="18"/>
          <w:color w:val="FF0000"/>
          <w:strike w:val="1"/>
        </w:rPr>
        <w:t xml:space="preserve"> in such Unconsolidated Affiliate. Each reference to Investments made pursuant to </w:t>
      </w:r>
      <w:r>
        <w:rPr>
          <w:rFonts w:ascii="Arial" w:cs="Arial" w:eastAsia="Arial" w:hAnsi="Arial"/>
          <w:sz w:val="18"/>
          <w:szCs w:val="18"/>
          <w:u w:val="single" w:color="auto"/>
          <w:color w:val="FF0000"/>
          <w:strike w:val="1"/>
        </w:rPr>
        <w:t>Section 7.03(b)(iii)</w:t>
      </w:r>
      <w:r>
        <w:rPr>
          <w:rFonts w:ascii="Arial" w:cs="Arial" w:eastAsia="Arial" w:hAnsi="Arial"/>
          <w:sz w:val="18"/>
          <w:szCs w:val="18"/>
          <w:color w:val="FF0000"/>
          <w:strike w:val="1"/>
        </w:rPr>
        <w:t xml:space="preserve"> in this definition shall be deemed to also include, without duplication, Investments made after January 9, 2014 and prior to the Closing Date of the type contemplated by </w:t>
      </w:r>
      <w:r>
        <w:rPr>
          <w:rFonts w:ascii="Arial" w:cs="Arial" w:eastAsia="Arial" w:hAnsi="Arial"/>
          <w:sz w:val="18"/>
          <w:szCs w:val="18"/>
          <w:u w:val="single" w:color="auto"/>
          <w:color w:val="FF0000"/>
          <w:strike w:val="1"/>
        </w:rPr>
        <w:t>Section 7.03(b)(iii)</w:t>
      </w:r>
      <w:r>
        <w:rPr>
          <w:rFonts w:ascii="Arial" w:cs="Arial" w:eastAsia="Arial" w:hAnsi="Arial"/>
          <w:sz w:val="18"/>
          <w:szCs w:val="18"/>
          <w:color w:val="FF0000"/>
          <w:strike w:val="1"/>
        </w:rPr>
        <w:t>.</w:t>
      </w:r>
    </w:p>
    <w:p>
      <w:pPr>
        <w:spacing w:after="0" w:line="176" w:lineRule="exact"/>
        <w:rPr>
          <w:sz w:val="20"/>
          <w:szCs w:val="20"/>
          <w:color w:val="auto"/>
        </w:rPr>
      </w:pPr>
    </w:p>
    <w:p>
      <w:pPr>
        <w:jc w:val="both"/>
        <w:ind w:firstLine="600"/>
        <w:spacing w:after="0" w:line="280"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Aggregate Unimproved Land Holdings Investment Amount</w:t>
      </w:r>
      <w:r>
        <w:rPr>
          <w:rFonts w:ascii="Arial" w:cs="Arial" w:eastAsia="Arial" w:hAnsi="Arial"/>
          <w:sz w:val="18"/>
          <w:szCs w:val="18"/>
          <w:color w:val="FF0000"/>
          <w:strike w:val="1"/>
        </w:rPr>
        <w:t xml:space="preserve">” means, at any time, the excess of (a) the aggregate amount of Investments made after January 9, 2014 and on or prior to such time by the REIT and its Subsidiaries pursuant to </w:t>
      </w:r>
      <w:r>
        <w:rPr>
          <w:rFonts w:ascii="Arial" w:cs="Arial" w:eastAsia="Arial" w:hAnsi="Arial"/>
          <w:sz w:val="18"/>
          <w:szCs w:val="18"/>
          <w:u w:val="single" w:color="auto"/>
          <w:color w:val="FF0000"/>
          <w:strike w:val="1"/>
        </w:rPr>
        <w:t>Section 7.03(c</w:t>
      </w:r>
      <w:r>
        <w:rPr>
          <w:rFonts w:ascii="Arial" w:cs="Arial" w:eastAsia="Arial" w:hAnsi="Arial"/>
          <w:sz w:val="18"/>
          <w:szCs w:val="18"/>
          <w:color w:val="FF0000"/>
          <w:strike w:val="1"/>
        </w:rPr>
        <w:t xml:space="preserve">) in respect of unimproved land holdings (excluding, for the avoidance of doubt, the amount of any such Investments made after January 9, 2014 constituting costs to construct Portfolio Properties under development that are included in the calculation of Aggregate Construction Costs Investment Amount), </w:t>
      </w:r>
      <w:r>
        <w:rPr>
          <w:rFonts w:ascii="Arial" w:cs="Arial" w:eastAsia="Arial" w:hAnsi="Arial"/>
          <w:sz w:val="18"/>
          <w:szCs w:val="18"/>
          <w:u w:val="single" w:color="auto"/>
          <w:color w:val="FF0000"/>
          <w:strike w:val="1"/>
        </w:rPr>
        <w:t>minus</w:t>
      </w:r>
      <w:r>
        <w:rPr>
          <w:rFonts w:ascii="Arial" w:cs="Arial" w:eastAsia="Arial" w:hAnsi="Arial"/>
          <w:sz w:val="18"/>
          <w:szCs w:val="18"/>
          <w:color w:val="FF0000"/>
          <w:strike w:val="1"/>
        </w:rPr>
        <w:t xml:space="preserve"> (b) with respect to any unimproved land holding in which an Investment was made by the REIT or a Subsidiary thereof after January 9, 2014 pursuant to </w:t>
      </w:r>
      <w:r>
        <w:rPr>
          <w:rFonts w:ascii="Arial" w:cs="Arial" w:eastAsia="Arial" w:hAnsi="Arial"/>
          <w:sz w:val="18"/>
          <w:szCs w:val="18"/>
          <w:u w:val="single" w:color="auto"/>
          <w:color w:val="FF0000"/>
          <w:strike w:val="1"/>
        </w:rPr>
        <w:t>Section 7.03(c)</w:t>
      </w:r>
      <w:r>
        <w:rPr>
          <w:rFonts w:ascii="Arial" w:cs="Arial" w:eastAsia="Arial" w:hAnsi="Arial"/>
          <w:sz w:val="18"/>
          <w:szCs w:val="18"/>
          <w:color w:val="FF0000"/>
          <w:strike w:val="1"/>
        </w:rPr>
        <w:t xml:space="preserve"> and such unimproved land holding (or all of the Equity Interests of the Subsidiary or Subsidiaries as applicable, that own such unimproved land holding or the direct or indirect parent(s) thereof) is later Disposed of by the REIT or such Subsidiary to a Person that is not an Affiliate of the REIT, the lesser of (x) the Net Cash Proceeds received by the REIT or such Subsidiary in respect of such Disposition and (y) the aggregate amount of Investments made by the REIT or such Subsidiary after January 9, 2014 pursuant to </w:t>
      </w:r>
      <w:r>
        <w:rPr>
          <w:rFonts w:ascii="Arial" w:cs="Arial" w:eastAsia="Arial" w:hAnsi="Arial"/>
          <w:sz w:val="18"/>
          <w:szCs w:val="18"/>
          <w:u w:val="single" w:color="auto"/>
          <w:color w:val="FF0000"/>
          <w:strike w:val="1"/>
        </w:rPr>
        <w:t>Section 7.03(c)</w:t>
      </w:r>
      <w:r>
        <w:rPr>
          <w:rFonts w:ascii="Arial" w:cs="Arial" w:eastAsia="Arial" w:hAnsi="Arial"/>
          <w:sz w:val="18"/>
          <w:szCs w:val="18"/>
          <w:color w:val="FF0000"/>
          <w:strike w:val="1"/>
        </w:rPr>
        <w:t xml:space="preserve"> in such unimproved land holding. Each reference to Investments made pursuant to </w:t>
      </w:r>
      <w:r>
        <w:rPr>
          <w:rFonts w:ascii="Arial" w:cs="Arial" w:eastAsia="Arial" w:hAnsi="Arial"/>
          <w:sz w:val="18"/>
          <w:szCs w:val="18"/>
          <w:u w:val="single" w:color="auto"/>
          <w:color w:val="FF0000"/>
          <w:strike w:val="1"/>
        </w:rPr>
        <w:t>Section 7.03(c)</w:t>
      </w:r>
      <w:r>
        <w:rPr>
          <w:rFonts w:ascii="Arial" w:cs="Arial" w:eastAsia="Arial" w:hAnsi="Arial"/>
          <w:sz w:val="18"/>
          <w:szCs w:val="18"/>
          <w:color w:val="FF0000"/>
          <w:strike w:val="1"/>
        </w:rPr>
        <w:t xml:space="preserve"> in this definition shall be deemed to also include, without duplication, Investments made after January 9, 2014 and prior to the Closing Date of the type contemplated by </w:t>
      </w:r>
      <w:r>
        <w:rPr>
          <w:rFonts w:ascii="Arial" w:cs="Arial" w:eastAsia="Arial" w:hAnsi="Arial"/>
          <w:sz w:val="18"/>
          <w:szCs w:val="18"/>
          <w:u w:val="single" w:color="auto"/>
          <w:color w:val="FF0000"/>
          <w:strike w:val="1"/>
        </w:rPr>
        <w:t>Section 7.03(c)</w:t>
      </w:r>
      <w:r>
        <w:rPr>
          <w:rFonts w:ascii="Arial" w:cs="Arial" w:eastAsia="Arial" w:hAnsi="Arial"/>
          <w:sz w:val="18"/>
          <w:szCs w:val="18"/>
          <w:color w:val="FF0000"/>
          <w:strike w:val="1"/>
        </w:rPr>
        <w:t>.</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term loan agreement.</w:t>
      </w:r>
    </w:p>
    <w:p>
      <w:pPr>
        <w:spacing w:after="0" w:line="245" w:lineRule="exact"/>
        <w:rPr>
          <w:sz w:val="20"/>
          <w:szCs w:val="20"/>
          <w:color w:val="auto"/>
        </w:rPr>
      </w:pPr>
    </w:p>
    <w:p>
      <w:pPr>
        <w:jc w:val="both"/>
        <w:ind w:firstLine="600"/>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Capital Expenditure Adjustment</w:t>
      </w:r>
      <w:r>
        <w:rPr>
          <w:rFonts w:ascii="Arial" w:cs="Arial" w:eastAsia="Arial" w:hAnsi="Arial"/>
          <w:sz w:val="18"/>
          <w:szCs w:val="18"/>
          <w:color w:val="auto"/>
        </w:rPr>
        <w:t xml:space="preserve">” means (i) in the case of a Portfolio Property consisting of a Hotel Property, an office property or a retail property (x) if such Portfolio Property has been owned, or ground leased pursuant to an Eligible Ground Lease, by one or more Subsidiaries of the Borrower for at least four consecutive full fiscal quarters for which financial statements have been provided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4% of the average of the quarterly gross revenues from such Portfolio Property as set forth in the financial statements for the then most recently ended four consecutive fiscal quarter period of the REIT delivered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(y) if such Portfolio Property has not been owned, or ground leased pursuant to an Eligible Ground Lease, by one or more Subsidiaries of the Borrower for at least four consecutive full fiscal quarters for which financial statements have been provided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4% of the average of the quarterly gross revenues from such Portfolio Property for the period consisting of all of the full fiscal quarters of the REIT commencing after the date such Portfolio Property was acquired (or after an Eligible Ground Lease is entered into with respect to such Portfolio Property, if applicable) by a Subsidiary of the Borrower for which financial statements have been provided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(ii) in the case of any Portfolio Property consisting of a residential property, an amount equal to $125 multiplied by the number of units in such residential property. For purposes of clause (i)(y) of this definition, in the case of any Portfolio Property consisting of a Portfolio Property that is owned, or ground leased pursuant to an Eligible Ground Lease, by one or more Subsidiaries of the Borrower for at least one full fiscal month of the REIT but less than one full fiscal quarter for which financial statements have been provided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the Annual Capital Expenditure Adjustment for such Portfolio Property shall equal (x) if such Portfolio Property is owned, or ground leased pursuant to an Eligible Ground Lease, for less than two full fiscal months of the REIT, the Annual Capital Expenditure</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20"/>
          </w:cols>
          <w:pgMar w:left="840" w:top="795" w:right="239" w:bottom="1440" w:gutter="0" w:footer="0" w:header="0"/>
        </w:sectPr>
      </w:pPr>
    </w:p>
    <w:bookmarkStart w:id="236" w:name="page237"/>
    <w:bookmarkEnd w:id="236"/>
    <w:p>
      <w:pPr>
        <w:jc w:val="both"/>
        <w:spacing w:after="0" w:line="286" w:lineRule="auto"/>
        <w:rPr>
          <w:sz w:val="20"/>
          <w:szCs w:val="20"/>
          <w:color w:val="auto"/>
        </w:rPr>
      </w:pPr>
      <w:r>
        <w:rPr>
          <w:rFonts w:ascii="Arial" w:cs="Arial" w:eastAsia="Arial" w:hAnsi="Arial"/>
          <w:sz w:val="18"/>
          <w:szCs w:val="18"/>
          <w:color w:val="auto"/>
        </w:rPr>
        <w:t xml:space="preserve">Adjustment that would apply to such Portfolio Property if calculated in accordance with the applicable clause of this </w:t>
      </w:r>
      <w:r>
        <w:rPr>
          <w:rFonts w:ascii="Arial" w:cs="Arial" w:eastAsia="Arial" w:hAnsi="Arial"/>
          <w:sz w:val="18"/>
          <w:szCs w:val="18"/>
          <w:color w:val="FF0000"/>
          <w:strike w:val="1"/>
        </w:rPr>
        <w:t>of</w:t>
      </w:r>
      <w:r>
        <w:rPr>
          <w:rFonts w:ascii="Arial" w:cs="Arial" w:eastAsia="Arial" w:hAnsi="Arial"/>
          <w:sz w:val="18"/>
          <w:szCs w:val="18"/>
          <w:color w:val="auto"/>
        </w:rPr>
        <w:t xml:space="preserve"> definition above (but for only the then most recently ended one fiscal month period of the REIT instead of for the period specified in such applicable clause above), multiplied by 3 and (y) if such Portfolio Property is owned, or ground leased pursuant to an Eligible Ground Lease, for at least two full fiscal months of the REIT, the Annual Capital Expenditure Adjustment that would apply to such Portfolio Property if calculated in accordance with the applicable clause of this </w:t>
      </w:r>
      <w:r>
        <w:rPr>
          <w:rFonts w:ascii="Arial" w:cs="Arial" w:eastAsia="Arial" w:hAnsi="Arial"/>
          <w:sz w:val="18"/>
          <w:szCs w:val="18"/>
          <w:color w:val="FF0000"/>
          <w:strike w:val="1"/>
        </w:rPr>
        <w:t>of</w:t>
      </w:r>
      <w:r>
        <w:rPr>
          <w:rFonts w:ascii="Arial" w:cs="Arial" w:eastAsia="Arial" w:hAnsi="Arial"/>
          <w:sz w:val="18"/>
          <w:szCs w:val="18"/>
          <w:color w:val="auto"/>
        </w:rPr>
        <w:t xml:space="preserve"> definition above (but for only the then most recently ended two fiscal month period of the REIT instead of for the period specified in such applicable clause above), multiplied by 3/2.</w:t>
      </w:r>
    </w:p>
    <w:p>
      <w:pPr>
        <w:spacing w:after="0" w:line="181"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all laws, rules, and regulations of any jurisdiction applicable to the REIT or its Subsidiaries from time to time concerning or relating to bribery or corruption.</w:t>
      </w:r>
    </w:p>
    <w:p>
      <w:pPr>
        <w:spacing w:after="0" w:line="191" w:lineRule="exact"/>
        <w:rPr>
          <w:sz w:val="20"/>
          <w:szCs w:val="20"/>
          <w:color w:val="auto"/>
        </w:rPr>
      </w:pPr>
    </w:p>
    <w:p>
      <w:pPr>
        <w:jc w:val="both"/>
        <w:ind w:firstLine="600"/>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Capitalization Rate</w:t>
      </w:r>
      <w:r>
        <w:rPr>
          <w:rFonts w:ascii="Arial" w:cs="Arial" w:eastAsia="Arial" w:hAnsi="Arial"/>
          <w:sz w:val="19"/>
          <w:szCs w:val="19"/>
          <w:color w:val="auto"/>
        </w:rPr>
        <w:t xml:space="preserve">” means, (i) in the case of any Portfolio Property consisting of a traditional multi-family property (which, for example, shall include a multi-family apartment, duplex or condo complex), 6.00%, (ii) in the case of any Portfolio Property consisting of a non-traditional multi-family property (which, for example, shall include a recreational vehicle (RV) park), 7.00%, (iii) in the case of any Portfolio Property consisting of a retail property, </w:t>
      </w:r>
      <w:r>
        <w:rPr>
          <w:rFonts w:ascii="Arial" w:cs="Arial" w:eastAsia="Arial" w:hAnsi="Arial"/>
          <w:sz w:val="19"/>
          <w:szCs w:val="19"/>
          <w:color w:val="FF0000"/>
          <w:strike w:val="1"/>
        </w:rPr>
        <w:t>6.50</w:t>
      </w:r>
      <w:r>
        <w:rPr>
          <w:rFonts w:ascii="Arial" w:cs="Arial" w:eastAsia="Arial" w:hAnsi="Arial"/>
          <w:sz w:val="19"/>
          <w:szCs w:val="19"/>
          <w:b w:val="1"/>
          <w:bCs w:val="1"/>
          <w:u w:val="single" w:color="auto"/>
          <w:color w:val="0000FF"/>
          <w:highlight w:val="lightGray"/>
        </w:rPr>
        <w:t>6.25</w:t>
      </w:r>
      <w:r>
        <w:rPr>
          <w:rFonts w:ascii="Arial" w:cs="Arial" w:eastAsia="Arial" w:hAnsi="Arial"/>
          <w:sz w:val="19"/>
          <w:szCs w:val="19"/>
          <w:color w:val="auto"/>
        </w:rPr>
        <w:t xml:space="preserve">%, (iv) in the case of any Portfolio Property consisting of an office property, 6.00% and (v) in the case of a Hotel Property, </w:t>
      </w:r>
      <w:r>
        <w:rPr>
          <w:rFonts w:ascii="Arial" w:cs="Arial" w:eastAsia="Arial" w:hAnsi="Arial"/>
          <w:sz w:val="19"/>
          <w:szCs w:val="19"/>
          <w:color w:val="FF0000"/>
          <w:strike w:val="1"/>
        </w:rPr>
        <w:t>7.75</w:t>
      </w:r>
      <w:r>
        <w:rPr>
          <w:rFonts w:ascii="Arial" w:cs="Arial" w:eastAsia="Arial" w:hAnsi="Arial"/>
          <w:sz w:val="19"/>
          <w:szCs w:val="19"/>
          <w:b w:val="1"/>
          <w:bCs w:val="1"/>
          <w:u w:val="single" w:color="auto"/>
          <w:color w:val="0000FF"/>
          <w:highlight w:val="lightGray"/>
        </w:rPr>
        <w:t>7.50</w:t>
      </w:r>
      <w:r>
        <w:rPr>
          <w:rFonts w:ascii="Arial" w:cs="Arial" w:eastAsia="Arial" w:hAnsi="Arial"/>
          <w:sz w:val="19"/>
          <w:szCs w:val="19"/>
          <w:color w:val="auto"/>
        </w:rPr>
        <w:t>%.</w:t>
      </w:r>
    </w:p>
    <w:p>
      <w:pPr>
        <w:spacing w:after="0" w:line="195" w:lineRule="exact"/>
        <w:rPr>
          <w:sz w:val="20"/>
          <w:szCs w:val="20"/>
          <w:color w:val="auto"/>
        </w:rPr>
      </w:pPr>
    </w:p>
    <w:p>
      <w:pPr>
        <w:jc w:val="both"/>
        <w:ind w:firstLine="600"/>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xml:space="preserve">” means, with respect to any Lender at any time, the percentage (carried out to the ninth decimal place) of the Facility represented by (i) on or prior to the Closing Date, such Lender’s Commitment at such time and (ii) thereafter, the sum of </w:t>
      </w:r>
      <w:r>
        <w:rPr>
          <w:rFonts w:ascii="Arial" w:cs="Arial" w:eastAsia="Arial" w:hAnsi="Arial"/>
          <w:sz w:val="19"/>
          <w:szCs w:val="19"/>
          <w:b w:val="1"/>
          <w:bCs w:val="1"/>
          <w:u w:val="single" w:color="auto"/>
          <w:color w:val="071DFF"/>
          <w:highlight w:val="lightGray"/>
        </w:rPr>
        <w:t>the</w:t>
      </w:r>
      <w:r>
        <w:rPr>
          <w:rFonts w:ascii="Arial" w:cs="Arial" w:eastAsia="Arial" w:hAnsi="Arial"/>
          <w:sz w:val="19"/>
          <w:szCs w:val="19"/>
          <w:b w:val="1"/>
          <w:bCs w:val="1"/>
          <w:color w:val="071DFF"/>
          <w:highlight w:val="lightGray"/>
        </w:rPr>
        <w:t xml:space="preserve"> </w:t>
      </w:r>
      <w:r>
        <w:rPr>
          <w:rFonts w:ascii="Arial" w:cs="Arial" w:eastAsia="Arial" w:hAnsi="Arial"/>
          <w:sz w:val="19"/>
          <w:szCs w:val="19"/>
          <w:color w:val="000000"/>
        </w:rPr>
        <w:t>aggregate principal amount of such Lender’s Term Loans and Commitments at such time. The initial Applicable Percentage of</w:t>
      </w:r>
      <w:r>
        <w:rPr>
          <w:rFonts w:ascii="Arial" w:cs="Arial" w:eastAsia="Arial" w:hAnsi="Arial"/>
          <w:sz w:val="19"/>
          <w:szCs w:val="19"/>
          <w:b w:val="1"/>
          <w:bCs w:val="1"/>
          <w:color w:val="071DFF"/>
          <w:highlight w:val="lightGray"/>
        </w:rPr>
        <w:t xml:space="preserve"> </w:t>
      </w:r>
      <w:r>
        <w:rPr>
          <w:rFonts w:ascii="Arial" w:cs="Arial" w:eastAsia="Arial" w:hAnsi="Arial"/>
          <w:sz w:val="19"/>
          <w:szCs w:val="19"/>
          <w:color w:val="000000"/>
        </w:rPr>
        <w:t xml:space="preserve">each Lender is set forth opposite the name of such Lender on </w:t>
      </w:r>
      <w:r>
        <w:rPr>
          <w:rFonts w:ascii="Arial" w:cs="Arial" w:eastAsia="Arial" w:hAnsi="Arial"/>
          <w:sz w:val="19"/>
          <w:szCs w:val="19"/>
          <w:u w:val="single" w:color="auto"/>
          <w:color w:val="000000"/>
        </w:rPr>
        <w:t>Schedule 2.01</w:t>
      </w:r>
      <w:r>
        <w:rPr>
          <w:rFonts w:ascii="Arial" w:cs="Arial" w:eastAsia="Arial" w:hAnsi="Arial"/>
          <w:sz w:val="19"/>
          <w:szCs w:val="19"/>
          <w:color w:val="000000"/>
        </w:rPr>
        <w:t xml:space="preserve"> or in the Assignment and Assumption</w:t>
      </w:r>
      <w:r>
        <w:rPr>
          <w:rFonts w:ascii="Arial" w:cs="Arial" w:eastAsia="Arial" w:hAnsi="Arial"/>
          <w:sz w:val="19"/>
          <w:szCs w:val="19"/>
          <w:color w:val="FF0000"/>
          <w:strike w:val="1"/>
        </w:rPr>
        <w:t>,</w:t>
      </w:r>
      <w:r>
        <w:rPr>
          <w:rFonts w:ascii="Arial" w:cs="Arial" w:eastAsia="Arial" w:hAnsi="Arial"/>
          <w:sz w:val="19"/>
          <w:szCs w:val="19"/>
          <w:color w:val="000000"/>
        </w:rPr>
        <w:t xml:space="preserve"> or Joinder Agreement pursuant to which such Lender becomes a party hereto, as applicable.</w:t>
      </w:r>
    </w:p>
    <w:p>
      <w:pPr>
        <w:spacing w:after="0" w:line="195" w:lineRule="exact"/>
        <w:rPr>
          <w:sz w:val="20"/>
          <w:szCs w:val="20"/>
          <w:color w:val="auto"/>
        </w:rPr>
      </w:pPr>
    </w:p>
    <w:p>
      <w:pPr>
        <w:jc w:val="both"/>
        <w:ind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Rate</w:t>
      </w:r>
      <w:r>
        <w:rPr>
          <w:rFonts w:ascii="Arial" w:cs="Arial" w:eastAsia="Arial" w:hAnsi="Arial"/>
          <w:sz w:val="20"/>
          <w:szCs w:val="20"/>
          <w:color w:val="auto"/>
        </w:rPr>
        <w:t>” means (i) at any time prior to the Investment Grade Pricing Effective Date, the Leverage-Based Applicable Rate in effect at such time and (ii) at any time on and after the Investment Grade Pricing Effective Date, the Ratings-Based Applicable Rate in effect at such time.</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Appropriate Lender</w:t>
      </w:r>
      <w:r>
        <w:rPr>
          <w:rFonts w:ascii="Arial" w:cs="Arial" w:eastAsia="Arial" w:hAnsi="Arial"/>
          <w:sz w:val="20"/>
          <w:szCs w:val="20"/>
          <w:color w:val="auto"/>
        </w:rPr>
        <w:t>” means, at any time, a Lender that has a Commitment or Term Loan at such time.</w:t>
      </w:r>
    </w:p>
    <w:p>
      <w:pPr>
        <w:spacing w:after="0" w:line="245"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191"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Arrangers</w:t>
      </w:r>
      <w:r>
        <w:rPr>
          <w:rFonts w:ascii="Arial" w:cs="Arial" w:eastAsia="Arial" w:hAnsi="Arial"/>
          <w:sz w:val="20"/>
          <w:szCs w:val="20"/>
          <w:color w:val="auto"/>
        </w:rPr>
        <w:t>” means, collectively, U.S. Bank National Association, PNC Capital Markets LLC and Wells Fargo Securities, LLC, in their capacities as joint bookrunners and joint lead arrangers.</w:t>
      </w:r>
    </w:p>
    <w:p>
      <w:pPr>
        <w:spacing w:after="0" w:line="191"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 Group</w:t>
      </w:r>
      <w:r>
        <w:rPr>
          <w:rFonts w:ascii="Arial" w:cs="Arial" w:eastAsia="Arial" w:hAnsi="Arial"/>
          <w:sz w:val="20"/>
          <w:szCs w:val="20"/>
          <w:color w:val="auto"/>
        </w:rPr>
        <w:t>” means two or more Eligible Assignees that are Affiliates of one another or two or more Approved Funds managed by the same investment advisor (or by investment advisors that are Affiliates of one another).</w:t>
      </w:r>
    </w:p>
    <w:p>
      <w:pPr>
        <w:spacing w:after="0" w:line="191" w:lineRule="exact"/>
        <w:rPr>
          <w:sz w:val="20"/>
          <w:szCs w:val="20"/>
          <w:color w:val="auto"/>
        </w:rPr>
      </w:pPr>
    </w:p>
    <w:p>
      <w:pPr>
        <w:jc w:val="both"/>
        <w:ind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10.06(b)</w:t>
      </w:r>
      <w:r>
        <w:rPr>
          <w:rFonts w:ascii="Arial" w:cs="Arial" w:eastAsia="Arial" w:hAnsi="Arial"/>
          <w:sz w:val="20"/>
          <w:szCs w:val="20"/>
          <w:color w:val="auto"/>
        </w:rPr>
        <w:t xml:space="preserve">), and accepted by the Administrative Agent, in substantially the form of </w:t>
      </w:r>
      <w:r>
        <w:rPr>
          <w:rFonts w:ascii="Arial" w:cs="Arial" w:eastAsia="Arial" w:hAnsi="Arial"/>
          <w:sz w:val="20"/>
          <w:szCs w:val="20"/>
          <w:u w:val="single" w:color="auto"/>
          <w:color w:val="auto"/>
        </w:rPr>
        <w:t>Exhibit E-1</w:t>
      </w:r>
      <w:r>
        <w:rPr>
          <w:rFonts w:ascii="Arial" w:cs="Arial" w:eastAsia="Arial" w:hAnsi="Arial"/>
          <w:sz w:val="20"/>
          <w:szCs w:val="20"/>
          <w:color w:val="auto"/>
        </w:rPr>
        <w:t xml:space="preserve"> or any other form</w:t>
      </w:r>
    </w:p>
    <w:p>
      <w:pPr>
        <w:spacing w:after="0" w:line="17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20"/>
          </w:cols>
          <w:pgMar w:left="840" w:top="795" w:right="239" w:bottom="1440" w:gutter="0" w:footer="0" w:header="0"/>
        </w:sectPr>
      </w:pPr>
    </w:p>
    <w:bookmarkStart w:id="237" w:name="page238"/>
    <w:bookmarkEnd w:id="237"/>
    <w:p>
      <w:pPr>
        <w:jc w:val="both"/>
        <w:ind w:left="1"/>
        <w:spacing w:after="0" w:line="279" w:lineRule="auto"/>
        <w:rPr>
          <w:sz w:val="20"/>
          <w:szCs w:val="20"/>
          <w:color w:val="auto"/>
        </w:rPr>
      </w:pPr>
      <w:r>
        <w:rPr>
          <w:rFonts w:ascii="Arial" w:cs="Arial" w:eastAsia="Arial" w:hAnsi="Arial"/>
          <w:sz w:val="20"/>
          <w:szCs w:val="20"/>
          <w:color w:val="auto"/>
        </w:rPr>
        <w:t xml:space="preserve">(including electronic documentation generated by </w:t>
      </w:r>
      <w:r>
        <w:rPr>
          <w:rFonts w:ascii="Arial" w:cs="Arial" w:eastAsia="Arial" w:hAnsi="Arial"/>
          <w:sz w:val="20"/>
          <w:szCs w:val="20"/>
          <w:color w:val="FF0000"/>
          <w:strike w:val="1"/>
        </w:rPr>
        <w:t>MarkitClear or other</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highlight w:val="lightGray"/>
        </w:rPr>
        <w:t>use of an</w:t>
      </w:r>
      <w:r>
        <w:rPr>
          <w:rFonts w:ascii="Arial" w:cs="Arial" w:eastAsia="Arial" w:hAnsi="Arial"/>
          <w:sz w:val="20"/>
          <w:szCs w:val="20"/>
          <w:color w:val="auto"/>
        </w:rPr>
        <w:t xml:space="preserve"> electronic platform) approved by the Administrative Agent.</w:t>
      </w:r>
    </w:p>
    <w:p>
      <w:pPr>
        <w:spacing w:after="0" w:line="183" w:lineRule="exact"/>
        <w:rPr>
          <w:sz w:val="20"/>
          <w:szCs w:val="20"/>
          <w:color w:val="auto"/>
        </w:rPr>
      </w:pPr>
    </w:p>
    <w:p>
      <w:pPr>
        <w:jc w:val="both"/>
        <w:ind w:left="1" w:firstLine="600"/>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Attributable Indebtedness</w:t>
      </w:r>
      <w:r>
        <w:rPr>
          <w:rFonts w:ascii="Arial" w:cs="Arial" w:eastAsia="Arial" w:hAnsi="Arial"/>
          <w:sz w:val="20"/>
          <w:szCs w:val="20"/>
          <w:color w:val="auto"/>
        </w:rPr>
        <w:t>” means, on any date, without duplication,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and (c) all Synthetic Debt of such Person.</w:t>
      </w:r>
    </w:p>
    <w:p>
      <w:pPr>
        <w:spacing w:after="0" w:line="212" w:lineRule="exact"/>
        <w:rPr>
          <w:sz w:val="20"/>
          <w:szCs w:val="20"/>
          <w:color w:val="auto"/>
        </w:rPr>
      </w:pPr>
    </w:p>
    <w:p>
      <w:pPr>
        <w:jc w:val="both"/>
        <w:ind w:left="1"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Audited Financial Statements</w:t>
      </w:r>
      <w:r>
        <w:rPr>
          <w:rFonts w:ascii="Arial" w:cs="Arial" w:eastAsia="Arial" w:hAnsi="Arial"/>
          <w:sz w:val="20"/>
          <w:szCs w:val="20"/>
          <w:color w:val="auto"/>
        </w:rPr>
        <w:t xml:space="preserve">” means the audited consolidated balance sheet of the Consolidated Group for the fiscal year ended December 31, </w:t>
      </w:r>
      <w:r>
        <w:rPr>
          <w:rFonts w:ascii="Arial" w:cs="Arial" w:eastAsia="Arial" w:hAnsi="Arial"/>
          <w:sz w:val="20"/>
          <w:szCs w:val="20"/>
          <w:color w:val="FF0000"/>
          <w:strike w:val="1"/>
        </w:rPr>
        <w:t>2015</w:t>
      </w:r>
      <w:r>
        <w:rPr>
          <w:rFonts w:ascii="Arial" w:cs="Arial" w:eastAsia="Arial" w:hAnsi="Arial"/>
          <w:sz w:val="20"/>
          <w:szCs w:val="20"/>
          <w:b w:val="1"/>
          <w:bCs w:val="1"/>
          <w:u w:val="single" w:color="auto"/>
          <w:color w:val="0000FF"/>
          <w:highlight w:val="lightGray"/>
        </w:rPr>
        <w:t>2016</w:t>
      </w:r>
      <w:r>
        <w:rPr>
          <w:rFonts w:ascii="Arial" w:cs="Arial" w:eastAsia="Arial" w:hAnsi="Arial"/>
          <w:sz w:val="20"/>
          <w:szCs w:val="20"/>
          <w:color w:val="auto"/>
        </w:rPr>
        <w:t>, and the related consolidated statements of income or operations, shareholders’ equity and cash flows for such fiscal year of the REIT, including the notes thereto.</w:t>
      </w:r>
    </w:p>
    <w:p>
      <w:pPr>
        <w:spacing w:after="0" w:line="202" w:lineRule="exact"/>
        <w:rPr>
          <w:sz w:val="20"/>
          <w:szCs w:val="20"/>
          <w:color w:val="auto"/>
        </w:rPr>
      </w:pPr>
    </w:p>
    <w:p>
      <w:pPr>
        <w:ind w:left="60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 Period</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w:t>
      </w:r>
      <w:r>
        <w:rPr>
          <w:rFonts w:ascii="Arial" w:cs="Arial" w:eastAsia="Arial" w:hAnsi="Arial"/>
          <w:sz w:val="20"/>
          <w:szCs w:val="20"/>
          <w:color w:val="auto"/>
        </w:rPr>
        <w:t>.</w:t>
      </w:r>
    </w:p>
    <w:p>
      <w:pPr>
        <w:spacing w:after="0" w:line="245" w:lineRule="exact"/>
        <w:rPr>
          <w:sz w:val="20"/>
          <w:szCs w:val="20"/>
          <w:color w:val="auto"/>
        </w:rPr>
      </w:pPr>
    </w:p>
    <w:p>
      <w:pPr>
        <w:ind w:left="60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 Termination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2.06</w:t>
      </w:r>
      <w:r>
        <w:rPr>
          <w:rFonts w:ascii="Arial" w:cs="Arial" w:eastAsia="Arial" w:hAnsi="Arial"/>
          <w:sz w:val="20"/>
          <w:szCs w:val="20"/>
          <w:color w:val="auto"/>
        </w:rPr>
        <w:t>.</w:t>
      </w:r>
    </w:p>
    <w:p>
      <w:pPr>
        <w:spacing w:after="0" w:line="245" w:lineRule="exact"/>
        <w:rPr>
          <w:sz w:val="20"/>
          <w:szCs w:val="20"/>
          <w:color w:val="auto"/>
        </w:rPr>
      </w:pPr>
    </w:p>
    <w:p>
      <w:pPr>
        <w:jc w:val="both"/>
        <w:ind w:left="1" w:firstLine="60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EEA Resolution Authority in respect of any liability of an EEA Financial Institution.</w:t>
      </w:r>
    </w:p>
    <w:p>
      <w:pPr>
        <w:spacing w:after="0" w:line="2" w:lineRule="exact"/>
        <w:rPr>
          <w:sz w:val="20"/>
          <w:szCs w:val="20"/>
          <w:color w:val="auto"/>
        </w:rPr>
      </w:pPr>
    </w:p>
    <w:p>
      <w:pPr>
        <w:jc w:val="both"/>
        <w:ind w:left="1" w:right="180" w:firstLine="600"/>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212" w:lineRule="exact"/>
        <w:rPr>
          <w:sz w:val="20"/>
          <w:szCs w:val="20"/>
          <w:color w:val="auto"/>
        </w:rPr>
      </w:pPr>
    </w:p>
    <w:p>
      <w:pPr>
        <w:jc w:val="both"/>
        <w:ind w:left="1" w:firstLine="6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w:t>
      </w:r>
      <w:r>
        <w:rPr>
          <w:rFonts w:ascii="Arial" w:cs="Arial" w:eastAsia="Arial" w:hAnsi="Arial"/>
          <w:sz w:val="20"/>
          <w:szCs w:val="20"/>
          <w:color w:val="auto"/>
        </w:rPr>
        <w:t>” means for any day, a fluctuating rate per annum equal to the highest of (i) 0.0%, (ii) the Prime Rate, (iii) the sum of the FRBNY Rate for such day plus 0.50% per annum and (iv) the Eurodollar Rate for a one month Interest Period on such day (or if such day is not a Business Day, the immediately preceding Business Day) plus 1.00%, provided that, for the avoidance of doubt, the Eurodollar Rate for any day shall be based on the rate reported by the applicable financial information service at approximately 11:00 a.m. London time on such day.</w:t>
      </w:r>
    </w:p>
    <w:p>
      <w:pPr>
        <w:spacing w:after="0" w:line="212" w:lineRule="exact"/>
        <w:rPr>
          <w:sz w:val="20"/>
          <w:szCs w:val="20"/>
          <w:color w:val="auto"/>
        </w:rPr>
      </w:pPr>
    </w:p>
    <w:p>
      <w:pPr>
        <w:ind w:left="60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means a Loan that bears interest based on the Base Rate.</w:t>
      </w:r>
    </w:p>
    <w:p>
      <w:pPr>
        <w:spacing w:after="0" w:line="239" w:lineRule="exact"/>
        <w:rPr>
          <w:sz w:val="20"/>
          <w:szCs w:val="20"/>
          <w:color w:val="auto"/>
        </w:rPr>
      </w:pPr>
    </w:p>
    <w:p>
      <w:pPr>
        <w:ind w:left="601"/>
        <w:spacing w:after="0"/>
        <w:rPr>
          <w:sz w:val="20"/>
          <w:szCs w:val="20"/>
          <w:color w:val="auto"/>
        </w:rPr>
      </w:pPr>
      <w:r>
        <w:rPr>
          <w:rFonts w:ascii="Arial" w:cs="Arial" w:eastAsia="Arial" w:hAnsi="Arial"/>
          <w:sz w:val="18"/>
          <w:szCs w:val="18"/>
          <w:b w:val="1"/>
          <w:bCs w:val="1"/>
          <w:u w:val="single" w:color="auto"/>
          <w:color w:val="0000FF"/>
          <w:highlight w:val="lightGray"/>
        </w:rPr>
        <w:t>“Benefit Plan” means any of (a) an “employee benefit plan” (as defined in ERISA) that is subject to Title I of ERISA,</w:t>
      </w:r>
    </w:p>
    <w:p>
      <w:pPr>
        <w:spacing w:after="0" w:line="52" w:lineRule="exact"/>
        <w:rPr>
          <w:sz w:val="20"/>
          <w:szCs w:val="20"/>
          <w:color w:val="auto"/>
        </w:rPr>
      </w:pPr>
    </w:p>
    <w:p>
      <w:pPr>
        <w:jc w:val="both"/>
        <w:ind w:left="1" w:hanging="1"/>
        <w:spacing w:after="0" w:line="251" w:lineRule="auto"/>
        <w:tabs>
          <w:tab w:leader="none" w:pos="295" w:val="left"/>
        </w:tabs>
        <w:numPr>
          <w:ilvl w:val="0"/>
          <w:numId w:val="268"/>
        </w:numPr>
        <w:rPr>
          <w:rFonts w:ascii="Arial" w:cs="Arial" w:eastAsia="Arial" w:hAnsi="Arial"/>
          <w:sz w:val="20"/>
          <w:szCs w:val="20"/>
          <w:b w:val="1"/>
          <w:bCs w:val="1"/>
          <w:u w:val="single" w:color="auto"/>
          <w:color w:val="0000FF"/>
          <w:highlight w:val="lightGray"/>
        </w:rPr>
      </w:pPr>
      <w:r>
        <w:rPr>
          <w:rFonts w:ascii="Arial" w:cs="Arial" w:eastAsia="Arial" w:hAnsi="Arial"/>
          <w:sz w:val="20"/>
          <w:szCs w:val="20"/>
          <w:b w:val="1"/>
          <w:bCs w:val="1"/>
          <w:u w:val="single" w:color="auto"/>
          <w:color w:val="0000FF"/>
          <w:highlight w:val="lightGray"/>
        </w:rPr>
        <w:t>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212" w:lineRule="exact"/>
        <w:rPr>
          <w:sz w:val="20"/>
          <w:szCs w:val="20"/>
          <w:color w:val="auto"/>
        </w:rPr>
      </w:pPr>
    </w:p>
    <w:p>
      <w:pPr>
        <w:ind w:left="60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has the meaning specified in the introductory paragraph hereto.</w:t>
      </w:r>
    </w:p>
    <w:p>
      <w:pPr>
        <w:spacing w:after="0" w:line="245" w:lineRule="exact"/>
        <w:rPr>
          <w:sz w:val="20"/>
          <w:szCs w:val="20"/>
          <w:color w:val="auto"/>
        </w:rPr>
      </w:pPr>
    </w:p>
    <w:p>
      <w:pPr>
        <w:ind w:left="1" w:firstLine="600"/>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Limited Partnership Agreement</w:t>
      </w:r>
      <w:r>
        <w:rPr>
          <w:rFonts w:ascii="Arial" w:cs="Arial" w:eastAsia="Arial" w:hAnsi="Arial"/>
          <w:sz w:val="18"/>
          <w:szCs w:val="18"/>
          <w:color w:val="auto"/>
        </w:rPr>
        <w:t>” means the Amended and Restated Limited Partnership Agreement of the Borrower, dated as of January 19, 2011, among the REIT, as general partner, and the limited partners from time to time party thereto.</w:t>
      </w:r>
    </w:p>
    <w:p>
      <w:pPr>
        <w:spacing w:after="0" w:line="144" w:lineRule="exact"/>
        <w:rPr>
          <w:sz w:val="20"/>
          <w:szCs w:val="20"/>
          <w:color w:val="auto"/>
        </w:rPr>
      </w:pPr>
    </w:p>
    <w:p>
      <w:pPr>
        <w:ind w:left="60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22" w:lineRule="exact"/>
        <w:rPr>
          <w:sz w:val="20"/>
          <w:szCs w:val="20"/>
          <w:color w:val="auto"/>
        </w:rPr>
      </w:pPr>
    </w:p>
    <w:p>
      <w:pPr>
        <w:ind w:left="500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21"/>
          </w:cols>
          <w:pgMar w:left="839" w:top="789" w:right="239" w:bottom="1440" w:gutter="0" w:footer="0" w:header="0"/>
        </w:sectPr>
      </w:pPr>
    </w:p>
    <w:bookmarkStart w:id="238" w:name="page239"/>
    <w:bookmarkEnd w:id="238"/>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xml:space="preserve">” means a borrowing consisting of simultaneous Term Loans of the same Type and, in the case of Eurodollar Rate Loans, having the same Interest Period made by each of the Lenders pursuant to </w:t>
      </w:r>
      <w:r>
        <w:rPr>
          <w:rFonts w:ascii="Arial" w:cs="Arial" w:eastAsia="Arial" w:hAnsi="Arial"/>
          <w:sz w:val="20"/>
          <w:szCs w:val="20"/>
          <w:u w:val="single" w:color="auto"/>
          <w:color w:val="auto"/>
        </w:rPr>
        <w:t>Section 2.01</w:t>
      </w:r>
      <w:r>
        <w:rPr>
          <w:rFonts w:ascii="Arial" w:cs="Arial" w:eastAsia="Arial" w:hAnsi="Arial"/>
          <w:sz w:val="20"/>
          <w:szCs w:val="20"/>
          <w:color w:val="auto"/>
        </w:rPr>
        <w:t>.</w:t>
      </w:r>
    </w:p>
    <w:p>
      <w:pPr>
        <w:spacing w:after="0" w:line="191" w:lineRule="exact"/>
        <w:rPr>
          <w:sz w:val="20"/>
          <w:szCs w:val="20"/>
          <w:color w:val="auto"/>
        </w:rPr>
      </w:pPr>
    </w:p>
    <w:p>
      <w:pPr>
        <w:jc w:val="both"/>
        <w:ind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that is also a London Banking Day.</w:t>
      </w:r>
    </w:p>
    <w:p>
      <w:pPr>
        <w:spacing w:after="0" w:line="196" w:lineRule="exact"/>
        <w:rPr>
          <w:sz w:val="20"/>
          <w:szCs w:val="20"/>
          <w:color w:val="auto"/>
        </w:rPr>
      </w:pPr>
    </w:p>
    <w:p>
      <w:pPr>
        <w:jc w:val="both"/>
        <w:ind w:firstLine="600"/>
        <w:spacing w:after="0" w:line="27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Capitalized Leases</w:t>
      </w:r>
      <w:r>
        <w:rPr>
          <w:rFonts w:ascii="Arial" w:cs="Arial" w:eastAsia="Arial" w:hAnsi="Arial"/>
          <w:sz w:val="20"/>
          <w:szCs w:val="20"/>
          <w:color w:val="auto"/>
        </w:rPr>
        <w:t xml:space="preserve">” means all leases that have been or should be, in accordance with GAAP </w:t>
      </w:r>
      <w:r>
        <w:rPr>
          <w:rFonts w:ascii="Arial" w:cs="Arial" w:eastAsia="Arial" w:hAnsi="Arial"/>
          <w:sz w:val="20"/>
          <w:szCs w:val="20"/>
          <w:b w:val="1"/>
          <w:bCs w:val="1"/>
          <w:u w:val="single" w:color="auto"/>
          <w:color w:val="0000FF"/>
          <w:highlight w:val="lightGray"/>
        </w:rPr>
        <w:t>(for the avoidance of doubt,</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highlight w:val="lightGray"/>
        </w:rPr>
        <w:t>subject to the last sentence of Section 1.03(b))</w:t>
      </w:r>
      <w:r>
        <w:rPr>
          <w:rFonts w:ascii="Arial" w:cs="Arial" w:eastAsia="Arial" w:hAnsi="Arial"/>
          <w:sz w:val="20"/>
          <w:szCs w:val="20"/>
          <w:color w:val="000000"/>
        </w:rPr>
        <w:t>, recorded as capitalized leases.</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Equivalents</w:t>
      </w:r>
      <w:r>
        <w:rPr>
          <w:rFonts w:ascii="Arial" w:cs="Arial" w:eastAsia="Arial" w:hAnsi="Arial"/>
          <w:sz w:val="20"/>
          <w:szCs w:val="20"/>
          <w:color w:val="auto"/>
        </w:rPr>
        <w:t>” means any of the following types of Investments:</w:t>
      </w:r>
    </w:p>
    <w:p>
      <w:pPr>
        <w:spacing w:after="0" w:line="245" w:lineRule="exact"/>
        <w:rPr>
          <w:sz w:val="20"/>
          <w:szCs w:val="20"/>
          <w:color w:val="auto"/>
        </w:rPr>
      </w:pPr>
    </w:p>
    <w:p>
      <w:pPr>
        <w:jc w:val="both"/>
        <w:ind w:left="600" w:firstLine="598"/>
        <w:spacing w:after="0" w:line="280" w:lineRule="auto"/>
        <w:tabs>
          <w:tab w:leader="none" w:pos="1656" w:val="left"/>
        </w:tabs>
        <w:numPr>
          <w:ilvl w:val="0"/>
          <w:numId w:val="269"/>
        </w:numPr>
        <w:rPr>
          <w:rFonts w:ascii="Arial" w:cs="Arial" w:eastAsia="Arial" w:hAnsi="Arial"/>
          <w:sz w:val="19"/>
          <w:szCs w:val="19"/>
          <w:color w:val="auto"/>
        </w:rPr>
      </w:pPr>
      <w:r>
        <w:rPr>
          <w:rFonts w:ascii="Arial" w:cs="Arial" w:eastAsia="Arial" w:hAnsi="Arial"/>
          <w:sz w:val="19"/>
          <w:szCs w:val="19"/>
          <w:color w:val="auto"/>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full faith and credit of the United States of America is pledged in support thereof;</w:t>
      </w:r>
    </w:p>
    <w:p>
      <w:pPr>
        <w:spacing w:after="0" w:line="184" w:lineRule="exact"/>
        <w:rPr>
          <w:rFonts w:ascii="Arial" w:cs="Arial" w:eastAsia="Arial" w:hAnsi="Arial"/>
          <w:sz w:val="19"/>
          <w:szCs w:val="19"/>
          <w:color w:val="auto"/>
        </w:rPr>
      </w:pPr>
    </w:p>
    <w:p>
      <w:pPr>
        <w:jc w:val="both"/>
        <w:ind w:left="600" w:firstLine="598"/>
        <w:spacing w:after="0" w:line="251" w:lineRule="auto"/>
        <w:tabs>
          <w:tab w:leader="none" w:pos="1658" w:val="left"/>
        </w:tabs>
        <w:numPr>
          <w:ilvl w:val="0"/>
          <w:numId w:val="269"/>
        </w:numPr>
        <w:rPr>
          <w:rFonts w:ascii="Arial" w:cs="Arial" w:eastAsia="Arial" w:hAnsi="Arial"/>
          <w:sz w:val="20"/>
          <w:szCs w:val="20"/>
          <w:color w:val="auto"/>
        </w:rPr>
      </w:pPr>
      <w:r>
        <w:rPr>
          <w:rFonts w:ascii="Arial" w:cs="Arial" w:eastAsia="Arial" w:hAnsi="Arial"/>
          <w:sz w:val="20"/>
          <w:szCs w:val="20"/>
          <w:color w:val="auto"/>
        </w:rPr>
        <w:t>time deposits with, or insured certificates of deposit or bankers’ acceptances of,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clause (c) of this definition and (iii) has combined capital and surplus of at least $</w:t>
      </w:r>
      <w:r>
        <w:rPr>
          <w:rFonts w:ascii="Arial" w:cs="Arial" w:eastAsia="Arial" w:hAnsi="Arial"/>
          <w:sz w:val="20"/>
          <w:szCs w:val="20"/>
          <w:color w:val="FF0000"/>
          <w:strike w:val="1"/>
        </w:rPr>
        <w:t>1,000,000,000</w:t>
      </w:r>
      <w:r>
        <w:rPr>
          <w:rFonts w:ascii="Arial" w:cs="Arial" w:eastAsia="Arial" w:hAnsi="Arial"/>
          <w:sz w:val="20"/>
          <w:szCs w:val="20"/>
          <w:b w:val="1"/>
          <w:bCs w:val="1"/>
          <w:u w:val="single" w:color="auto"/>
          <w:color w:val="0000FF"/>
          <w:highlight w:val="lightGray"/>
        </w:rPr>
        <w:t>500,000,000</w:t>
      </w:r>
      <w:r>
        <w:rPr>
          <w:rFonts w:ascii="Arial" w:cs="Arial" w:eastAsia="Arial" w:hAnsi="Arial"/>
          <w:sz w:val="20"/>
          <w:szCs w:val="20"/>
          <w:color w:val="auto"/>
        </w:rPr>
        <w:t xml:space="preserve">, in each case with maturities of not more than </w:t>
      </w:r>
      <w:r>
        <w:rPr>
          <w:rFonts w:ascii="Arial" w:cs="Arial" w:eastAsia="Arial" w:hAnsi="Arial"/>
          <w:sz w:val="20"/>
          <w:szCs w:val="20"/>
          <w:color w:val="FF0000"/>
          <w:strike w:val="1"/>
        </w:rPr>
        <w:t>90 days</w:t>
      </w:r>
      <w:r>
        <w:rPr>
          <w:rFonts w:ascii="Arial" w:cs="Arial" w:eastAsia="Arial" w:hAnsi="Arial"/>
          <w:sz w:val="20"/>
          <w:szCs w:val="20"/>
          <w:b w:val="1"/>
          <w:bCs w:val="1"/>
          <w:u w:val="single" w:color="auto"/>
          <w:color w:val="0000FF"/>
          <w:highlight w:val="lightGray"/>
        </w:rPr>
        <w:t>one year</w:t>
      </w:r>
      <w:r>
        <w:rPr>
          <w:rFonts w:ascii="Arial" w:cs="Arial" w:eastAsia="Arial" w:hAnsi="Arial"/>
          <w:sz w:val="20"/>
          <w:szCs w:val="20"/>
          <w:color w:val="auto"/>
        </w:rPr>
        <w:t xml:space="preserve"> from the date of acquisition thereof;</w:t>
      </w:r>
    </w:p>
    <w:p>
      <w:pPr>
        <w:spacing w:after="0" w:line="214" w:lineRule="exact"/>
        <w:rPr>
          <w:rFonts w:ascii="Arial" w:cs="Arial" w:eastAsia="Arial" w:hAnsi="Arial"/>
          <w:sz w:val="20"/>
          <w:szCs w:val="20"/>
          <w:color w:val="auto"/>
        </w:rPr>
      </w:pPr>
    </w:p>
    <w:p>
      <w:pPr>
        <w:jc w:val="both"/>
        <w:ind w:left="600" w:firstLine="598"/>
        <w:spacing w:after="0" w:line="280" w:lineRule="auto"/>
        <w:tabs>
          <w:tab w:leader="none" w:pos="1636" w:val="left"/>
        </w:tabs>
        <w:numPr>
          <w:ilvl w:val="0"/>
          <w:numId w:val="269"/>
        </w:numPr>
        <w:rPr>
          <w:rFonts w:ascii="Arial" w:cs="Arial" w:eastAsia="Arial" w:hAnsi="Arial"/>
          <w:sz w:val="19"/>
          <w:szCs w:val="19"/>
          <w:color w:val="auto"/>
        </w:rPr>
      </w:pPr>
      <w:r>
        <w:rPr>
          <w:rFonts w:ascii="Arial" w:cs="Arial" w:eastAsia="Arial" w:hAnsi="Arial"/>
          <w:sz w:val="19"/>
          <w:szCs w:val="19"/>
          <w:color w:val="auto"/>
        </w:rPr>
        <w:t>commercial paper issued by any Person organized under the laws of any state of the United States of America and rated at least “Prime-</w:t>
      </w:r>
      <w:r>
        <w:rPr>
          <w:rFonts w:ascii="Arial" w:cs="Arial" w:eastAsia="Arial" w:hAnsi="Arial"/>
          <w:sz w:val="19"/>
          <w:szCs w:val="19"/>
          <w:color w:val="FF0000"/>
          <w:strike w:val="1"/>
        </w:rPr>
        <w:t>1</w:t>
      </w:r>
      <w:r>
        <w:rPr>
          <w:rFonts w:ascii="Arial" w:cs="Arial" w:eastAsia="Arial" w:hAnsi="Arial"/>
          <w:sz w:val="19"/>
          <w:szCs w:val="19"/>
          <w:b w:val="1"/>
          <w:bCs w:val="1"/>
          <w:u w:val="single" w:color="auto"/>
          <w:color w:val="0000FF"/>
          <w:highlight w:val="lightGray"/>
        </w:rPr>
        <w:t>2</w:t>
      </w:r>
      <w:r>
        <w:rPr>
          <w:rFonts w:ascii="Arial" w:cs="Arial" w:eastAsia="Arial" w:hAnsi="Arial"/>
          <w:sz w:val="19"/>
          <w:szCs w:val="19"/>
          <w:color w:val="auto"/>
        </w:rPr>
        <w:t>” (or the then equivalent grade) by Moody’s or at least “A-</w:t>
      </w:r>
      <w:r>
        <w:rPr>
          <w:rFonts w:ascii="Arial" w:cs="Arial" w:eastAsia="Arial" w:hAnsi="Arial"/>
          <w:sz w:val="19"/>
          <w:szCs w:val="19"/>
          <w:color w:val="FF0000"/>
          <w:strike w:val="1"/>
        </w:rPr>
        <w:t>1</w:t>
      </w:r>
      <w:r>
        <w:rPr>
          <w:rFonts w:ascii="Arial" w:cs="Arial" w:eastAsia="Arial" w:hAnsi="Arial"/>
          <w:sz w:val="19"/>
          <w:szCs w:val="19"/>
          <w:b w:val="1"/>
          <w:bCs w:val="1"/>
          <w:u w:val="single" w:color="auto"/>
          <w:color w:val="0000FF"/>
          <w:highlight w:val="lightGray"/>
        </w:rPr>
        <w:t>2</w:t>
      </w:r>
      <w:r>
        <w:rPr>
          <w:rFonts w:ascii="Arial" w:cs="Arial" w:eastAsia="Arial" w:hAnsi="Arial"/>
          <w:sz w:val="19"/>
          <w:szCs w:val="19"/>
          <w:color w:val="auto"/>
        </w:rPr>
        <w:t xml:space="preserve">” (or the then equivalent grade) by S&amp;P, in each case with maturities of not more than </w:t>
      </w:r>
      <w:r>
        <w:rPr>
          <w:rFonts w:ascii="Arial" w:cs="Arial" w:eastAsia="Arial" w:hAnsi="Arial"/>
          <w:sz w:val="19"/>
          <w:szCs w:val="19"/>
          <w:color w:val="FF0000"/>
          <w:strike w:val="1"/>
        </w:rPr>
        <w:t>180</w:t>
      </w:r>
      <w:r>
        <w:rPr>
          <w:rFonts w:ascii="Arial" w:cs="Arial" w:eastAsia="Arial" w:hAnsi="Arial"/>
          <w:sz w:val="19"/>
          <w:szCs w:val="19"/>
          <w:b w:val="1"/>
          <w:bCs w:val="1"/>
          <w:u w:val="single" w:color="auto"/>
          <w:color w:val="0000FF"/>
          <w:highlight w:val="lightGray"/>
        </w:rPr>
        <w:t>270</w:t>
      </w:r>
      <w:r>
        <w:rPr>
          <w:rFonts w:ascii="Arial" w:cs="Arial" w:eastAsia="Arial" w:hAnsi="Arial"/>
          <w:sz w:val="19"/>
          <w:szCs w:val="19"/>
          <w:color w:val="auto"/>
        </w:rPr>
        <w:t xml:space="preserve"> days from the date of acquisition thereof;</w:t>
      </w:r>
    </w:p>
    <w:p>
      <w:pPr>
        <w:spacing w:after="0" w:line="184" w:lineRule="exact"/>
        <w:rPr>
          <w:rFonts w:ascii="Arial" w:cs="Arial" w:eastAsia="Arial" w:hAnsi="Arial"/>
          <w:sz w:val="19"/>
          <w:szCs w:val="19"/>
          <w:color w:val="auto"/>
        </w:rPr>
      </w:pPr>
    </w:p>
    <w:p>
      <w:pPr>
        <w:jc w:val="both"/>
        <w:ind w:left="600" w:firstLine="598"/>
        <w:spacing w:after="0" w:line="293" w:lineRule="auto"/>
        <w:tabs>
          <w:tab w:leader="none" w:pos="16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Investments, classified in accordance with GAAP as current assets of the Borrower or any of its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clauses (a), (b) and (c) of this definition; and</w:t>
      </w:r>
    </w:p>
    <w:p>
      <w:pPr>
        <w:spacing w:after="0" w:line="175" w:lineRule="exact"/>
        <w:rPr>
          <w:rFonts w:ascii="Arial" w:cs="Arial" w:eastAsia="Arial" w:hAnsi="Arial"/>
          <w:sz w:val="18"/>
          <w:szCs w:val="18"/>
          <w:color w:val="auto"/>
        </w:rPr>
      </w:pPr>
    </w:p>
    <w:p>
      <w:pPr>
        <w:jc w:val="both"/>
        <w:ind w:left="600" w:firstLine="598"/>
        <w:spacing w:after="0" w:line="302" w:lineRule="auto"/>
        <w:tabs>
          <w:tab w:leader="none" w:pos="1833"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Mortgage backed securities that are issued by the Government National Mortgage Association and fully guaranteed by the United States of America having maturities of not more than 30 years from the date of acquisition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full faith and credit of the United States of America is pledged in support thereof (“</w:t>
      </w:r>
      <w:r>
        <w:rPr>
          <w:rFonts w:ascii="Arial" w:cs="Arial" w:eastAsia="Arial" w:hAnsi="Arial"/>
          <w:sz w:val="18"/>
          <w:szCs w:val="18"/>
          <w:u w:val="single" w:color="auto"/>
          <w:color w:val="auto"/>
        </w:rPr>
        <w:t>GNMA Securities</w:t>
      </w:r>
      <w:r>
        <w:rPr>
          <w:rFonts w:ascii="Arial" w:cs="Arial" w:eastAsia="Arial" w:hAnsi="Arial"/>
          <w:sz w:val="18"/>
          <w:szCs w:val="18"/>
          <w:color w:val="auto"/>
        </w:rPr>
        <w:t>”).</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CERCLA</w:t>
      </w:r>
      <w:r>
        <w:rPr>
          <w:rFonts w:ascii="Arial" w:cs="Arial" w:eastAsia="Arial" w:hAnsi="Arial"/>
          <w:sz w:val="20"/>
          <w:szCs w:val="20"/>
          <w:color w:val="auto"/>
        </w:rPr>
        <w:t>” means the Comprehensive Environmental Response, Compensation and Liability Act of 1980.</w:t>
      </w:r>
    </w:p>
    <w:p>
      <w:pPr>
        <w:spacing w:after="0" w:line="22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20"/>
          </w:cols>
          <w:pgMar w:left="840" w:top="795" w:right="239" w:bottom="1440" w:gutter="0" w:footer="0" w:header="0"/>
        </w:sectPr>
      </w:pPr>
    </w:p>
    <w:bookmarkStart w:id="239" w:name="page240"/>
    <w:bookmarkEnd w:id="239"/>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CERCLIS</w:t>
      </w:r>
      <w:r>
        <w:rPr>
          <w:rFonts w:ascii="Arial" w:cs="Arial" w:eastAsia="Arial" w:hAnsi="Arial"/>
          <w:sz w:val="20"/>
          <w:szCs w:val="20"/>
          <w:color w:val="auto"/>
        </w:rPr>
        <w:t>” means the Comprehensive Environmental Response, Compensation and Liability Information System maintained by the U.S. Environmental Protection Agency.</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w:t>
      </w:r>
      <w:r>
        <w:rPr>
          <w:rFonts w:ascii="Arial" w:cs="Arial" w:eastAsia="Arial" w:hAnsi="Arial"/>
          <w:sz w:val="20"/>
          <w:szCs w:val="20"/>
          <w:color w:val="auto"/>
        </w:rPr>
        <w:t>” means a Person that is a controlled foreign corporation under Section 957 of the Code.</w:t>
      </w:r>
    </w:p>
    <w:p>
      <w:pPr>
        <w:spacing w:after="0" w:line="245" w:lineRule="exact"/>
        <w:rPr>
          <w:sz w:val="20"/>
          <w:szCs w:val="20"/>
          <w:color w:val="auto"/>
        </w:rPr>
      </w:pPr>
    </w:p>
    <w:p>
      <w:pPr>
        <w:jc w:val="both"/>
        <w:ind w:firstLine="600"/>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Law</w:t>
      </w:r>
      <w:r>
        <w:rPr>
          <w:rFonts w:ascii="Arial" w:cs="Arial" w:eastAsia="Arial" w:hAnsi="Arial"/>
          <w:sz w:val="20"/>
          <w:szCs w:val="20"/>
          <w:color w:val="auto"/>
        </w:rPr>
        <w:t xml:space="preserve">” means the occurrence, after the date of this Agreement, of (x) any change in the Risk-Based Capital Guidelines, or (y)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anything herein to the contrary, (x) the Dodd-Frank Wall Street Reform and Consumer Protection Act and all requests, rules, guidelines or directives thereunder or issued in connection therewith or in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21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 an event or series of events by which:</w:t>
      </w:r>
    </w:p>
    <w:p>
      <w:pPr>
        <w:spacing w:after="0" w:line="245" w:lineRule="exact"/>
        <w:rPr>
          <w:sz w:val="20"/>
          <w:szCs w:val="20"/>
          <w:color w:val="auto"/>
        </w:rPr>
      </w:pPr>
    </w:p>
    <w:p>
      <w:pPr>
        <w:jc w:val="both"/>
        <w:ind w:left="600" w:firstLine="598"/>
        <w:spacing w:after="0" w:line="265" w:lineRule="auto"/>
        <w:tabs>
          <w:tab w:leader="none" w:pos="1684" w:val="left"/>
        </w:tabs>
        <w:numPr>
          <w:ilvl w:val="0"/>
          <w:numId w:val="270"/>
        </w:numPr>
        <w:rPr>
          <w:rFonts w:ascii="Arial" w:cs="Arial" w:eastAsia="Arial" w:hAnsi="Arial"/>
          <w:sz w:val="19"/>
          <w:szCs w:val="19"/>
          <w:color w:val="auto"/>
        </w:rPr>
      </w:pPr>
      <w:r>
        <w:rPr>
          <w:rFonts w:ascii="Arial" w:cs="Arial" w:eastAsia="Arial" w:hAnsi="Arial"/>
          <w:sz w:val="19"/>
          <w:szCs w:val="19"/>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other than the Permitted Holders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Arial" w:cs="Arial" w:eastAsia="Arial" w:hAnsi="Arial"/>
          <w:sz w:val="19"/>
          <w:szCs w:val="19"/>
          <w:u w:val="single" w:color="auto"/>
          <w:color w:val="auto"/>
        </w:rPr>
        <w:t>option right</w:t>
      </w:r>
      <w:r>
        <w:rPr>
          <w:rFonts w:ascii="Arial" w:cs="Arial" w:eastAsia="Arial" w:hAnsi="Arial"/>
          <w:sz w:val="19"/>
          <w:szCs w:val="19"/>
          <w:color w:val="auto"/>
        </w:rPr>
        <w:t xml:space="preserve">”)), directly or indirectly, of 35% or more of the equity securities of the REIT entitled to vote for members of the board of directors or equivalent governing body of the REIT on a fully-diluted basis (and taking into account all such securities that such person or group has the right to acquire pursuant to any option right); </w:t>
      </w:r>
      <w:r>
        <w:rPr>
          <w:rFonts w:ascii="Arial" w:cs="Arial" w:eastAsia="Arial" w:hAnsi="Arial"/>
          <w:sz w:val="19"/>
          <w:szCs w:val="19"/>
          <w:b w:val="1"/>
          <w:bCs w:val="1"/>
          <w:u w:val="single" w:color="auto"/>
          <w:color w:val="0000FF"/>
          <w:highlight w:val="lightGray"/>
        </w:rPr>
        <w:t>or</w:t>
      </w:r>
    </w:p>
    <w:p>
      <w:pPr>
        <w:spacing w:after="0" w:line="201" w:lineRule="exact"/>
        <w:rPr>
          <w:rFonts w:ascii="Arial" w:cs="Arial" w:eastAsia="Arial" w:hAnsi="Arial"/>
          <w:sz w:val="19"/>
          <w:szCs w:val="19"/>
          <w:color w:val="auto"/>
        </w:rPr>
      </w:pPr>
    </w:p>
    <w:p>
      <w:pPr>
        <w:ind w:left="1640" w:hanging="442"/>
        <w:spacing w:after="0"/>
        <w:tabs>
          <w:tab w:leader="none" w:pos="1640" w:val="left"/>
        </w:tabs>
        <w:numPr>
          <w:ilvl w:val="0"/>
          <w:numId w:val="270"/>
        </w:numPr>
        <w:rPr>
          <w:rFonts w:ascii="Arial" w:cs="Arial" w:eastAsia="Arial" w:hAnsi="Arial"/>
          <w:sz w:val="20"/>
          <w:szCs w:val="20"/>
          <w:color w:val="FF0000"/>
          <w:strike w:val="1"/>
        </w:rPr>
      </w:pPr>
      <w:r>
        <w:rPr>
          <w:rFonts w:ascii="Arial" w:cs="Arial" w:eastAsia="Arial" w:hAnsi="Arial"/>
          <w:sz w:val="20"/>
          <w:szCs w:val="20"/>
          <w:color w:val="FF0000"/>
          <w:strike w:val="1"/>
        </w:rPr>
        <w:t>[Intentionally omitted]; or</w:t>
      </w:r>
    </w:p>
    <w:p>
      <w:pPr>
        <w:spacing w:after="0" w:line="239" w:lineRule="exact"/>
        <w:rPr>
          <w:sz w:val="20"/>
          <w:szCs w:val="20"/>
          <w:color w:val="auto"/>
        </w:rPr>
      </w:pPr>
    </w:p>
    <w:p>
      <w:pPr>
        <w:jc w:val="both"/>
        <w:ind w:left="600" w:firstLine="59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FF0000"/>
          <w:strike w:val="1"/>
        </w:rPr>
        <w:t>c</w:t>
      </w:r>
      <w:r>
        <w:rPr>
          <w:rFonts w:ascii="Arial" w:cs="Arial" w:eastAsia="Arial" w:hAnsi="Arial"/>
          <w:sz w:val="20"/>
          <w:szCs w:val="20"/>
          <w:b w:val="1"/>
          <w:bCs w:val="1"/>
          <w:u w:val="single" w:color="auto"/>
          <w:color w:val="0000FF"/>
          <w:highlight w:val="lightGray"/>
        </w:rPr>
        <w:t>b</w:t>
      </w:r>
      <w:r>
        <w:rPr>
          <w:rFonts w:ascii="Arial" w:cs="Arial" w:eastAsia="Arial" w:hAnsi="Arial"/>
          <w:sz w:val="20"/>
          <w:szCs w:val="20"/>
          <w:color w:val="auto"/>
        </w:rPr>
        <w:t xml:space="preserve">) (i) the REIT shall cease to be the sole general partner of the Borrower or shall cease to own, directly, (x) 100% of the general partnership interests of the Borrower and (y) Equity Interests of the Borrower representing a majority of the total economic interests of the Equity Interests of the Borrower, in each case free and clear of all Liens (other than Permitted Judgment Liens and Liens permitted under </w:t>
      </w:r>
      <w:r>
        <w:rPr>
          <w:rFonts w:ascii="Arial" w:cs="Arial" w:eastAsia="Arial" w:hAnsi="Arial"/>
          <w:sz w:val="20"/>
          <w:szCs w:val="20"/>
          <w:u w:val="single" w:color="auto"/>
          <w:color w:val="auto"/>
        </w:rPr>
        <w:t>Section 7.01(a)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or (ii) any holder of a limited partnership interest in the Borrower is provided with or obtains voting rights with respect to such limited partnership interest that deprive the REIT, in its capacity as general partner of the Borrower, of its right to manage the Borrower in the ordinary course of business and consistent with past practice</w:t>
      </w:r>
      <w:r>
        <w:rPr>
          <w:rFonts w:ascii="Arial" w:cs="Arial" w:eastAsia="Arial" w:hAnsi="Arial"/>
          <w:sz w:val="20"/>
          <w:szCs w:val="20"/>
          <w:color w:val="FF0000"/>
          <w:strike w:val="1"/>
        </w:rPr>
        <w:t>)</w:t>
      </w:r>
      <w:r>
        <w:rPr>
          <w:rFonts w:ascii="Arial" w:cs="Arial" w:eastAsia="Arial" w:hAnsi="Arial"/>
          <w:sz w:val="20"/>
          <w:szCs w:val="20"/>
          <w:color w:val="auto"/>
        </w:rPr>
        <w:t>.</w:t>
      </w:r>
    </w:p>
    <w:p>
      <w:pPr>
        <w:spacing w:after="0" w:line="21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4.01</w:t>
      </w:r>
      <w:r>
        <w:rPr>
          <w:rFonts w:ascii="Arial" w:cs="Arial" w:eastAsia="Arial" w:hAnsi="Arial"/>
          <w:sz w:val="20"/>
          <w:szCs w:val="20"/>
          <w:color w:val="auto"/>
        </w:rPr>
        <w:t>.</w:t>
      </w:r>
    </w:p>
    <w:p>
      <w:pPr>
        <w:spacing w:after="0" w:line="24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w:t>
      </w:r>
    </w:p>
    <w:p>
      <w:pPr>
        <w:spacing w:after="0" w:line="22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20"/>
          </w:cols>
          <w:pgMar w:left="840" w:top="795" w:right="239" w:bottom="1440" w:gutter="0" w:footer="0" w:header="0"/>
        </w:sectPr>
      </w:pPr>
    </w:p>
    <w:bookmarkStart w:id="240" w:name="page241"/>
    <w:bookmarkEnd w:id="240"/>
    <w:p>
      <w:pPr>
        <w:jc w:val="both"/>
        <w:ind w:left="1" w:firstLine="6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xml:space="preserve">” means, as to each Lender, its obligation to make a Term Loan to the Borrower pursuant to </w:t>
      </w:r>
      <w:r>
        <w:rPr>
          <w:rFonts w:ascii="Arial" w:cs="Arial" w:eastAsia="Arial" w:hAnsi="Arial"/>
          <w:sz w:val="20"/>
          <w:szCs w:val="20"/>
          <w:u w:val="single" w:color="auto"/>
          <w:color w:val="auto"/>
        </w:rPr>
        <w:t>Section 2.01</w:t>
      </w:r>
      <w:r>
        <w:rPr>
          <w:rFonts w:ascii="Arial" w:cs="Arial" w:eastAsia="Arial" w:hAnsi="Arial"/>
          <w:sz w:val="20"/>
          <w:szCs w:val="20"/>
          <w:color w:val="auto"/>
        </w:rPr>
        <w:t xml:space="preserve"> in an aggregate principal amount equal to the amount set forth opposite such Lender’s name on </w:t>
      </w: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under the caption “Commitment” or opposite such caption in the Assignment and Assumption or Joinder Agreement pursuant to which such Lender becomes a party hereto, as applicable, as such amount may be adjusted from time to time in accordance with this Agreement. On the Closing Date, the aggregate amount of the Commitments is $100,000,000.</w:t>
      </w:r>
    </w:p>
    <w:p>
      <w:pPr>
        <w:spacing w:after="0" w:line="212" w:lineRule="exact"/>
        <w:rPr>
          <w:sz w:val="20"/>
          <w:szCs w:val="20"/>
          <w:color w:val="auto"/>
        </w:rPr>
      </w:pPr>
    </w:p>
    <w:p>
      <w:pPr>
        <w:ind w:left="60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245" w:lineRule="exact"/>
        <w:rPr>
          <w:sz w:val="20"/>
          <w:szCs w:val="20"/>
          <w:color w:val="auto"/>
        </w:rPr>
      </w:pPr>
    </w:p>
    <w:p>
      <w:pPr>
        <w:jc w:val="both"/>
        <w:ind w:left="1"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91" w:lineRule="exact"/>
        <w:rPr>
          <w:sz w:val="20"/>
          <w:szCs w:val="20"/>
          <w:color w:val="auto"/>
        </w:rPr>
      </w:pPr>
    </w:p>
    <w:p>
      <w:pPr>
        <w:jc w:val="both"/>
        <w:ind w:left="1" w:firstLine="600"/>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period, without duplication, an amount equal to Consolidated Net Income for such period (a)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following to the extent deducted in calculating such Consolidated Net Income: (i) Consolidated Interest Expense (plus, to the extent not already included in such Consolidated Interest Expense, amortization of deferred financing costs), (ii) the provision for federal, state, local and foreign income taxes of the Consolidated Group (including the Consolidated Group Pro Rata Share of the provision for Federal, state, local and foreign incomes taxes of each Unconsolidated Affiliate), (iii) non-cash charges of the Consolidated Group (excluding any non-cash charge that results in an accrual of a reserve for a cash charge in any future period),</w:t>
      </w:r>
    </w:p>
    <w:p>
      <w:pPr>
        <w:spacing w:after="0" w:line="1" w:lineRule="exact"/>
        <w:rPr>
          <w:sz w:val="20"/>
          <w:szCs w:val="20"/>
          <w:color w:val="auto"/>
        </w:rPr>
      </w:pPr>
    </w:p>
    <w:p>
      <w:pPr>
        <w:jc w:val="both"/>
        <w:ind w:left="1" w:hanging="1"/>
        <w:spacing w:after="0" w:line="262" w:lineRule="auto"/>
        <w:tabs>
          <w:tab w:leader="none" w:pos="363" w:val="left"/>
        </w:tabs>
        <w:numPr>
          <w:ilvl w:val="0"/>
          <w:numId w:val="271"/>
        </w:numPr>
        <w:rPr>
          <w:rFonts w:ascii="Arial" w:cs="Arial" w:eastAsia="Arial" w:hAnsi="Arial"/>
          <w:sz w:val="19"/>
          <w:szCs w:val="19"/>
          <w:color w:val="auto"/>
        </w:rPr>
      </w:pPr>
      <w:r>
        <w:rPr>
          <w:rFonts w:ascii="Arial" w:cs="Arial" w:eastAsia="Arial" w:hAnsi="Arial"/>
          <w:sz w:val="19"/>
          <w:szCs w:val="19"/>
          <w:color w:val="auto"/>
        </w:rPr>
        <w:t xml:space="preserve">the Consolidated Group Pro Rata Share of non-cash charges of Unconsolidated Affiliates (excluding any non-cash charge that results in an accrual of a reserve for a cash charge in any future period), (v) acquisition closing costs of the Consolidated Group that were capitalized prior to FAS 141-R reducing such Consolidated Net Income (including the Consolidated Group Pro Rata Share of acquisition closing costs of Unconsolidated Affiliates that were capitalized prior to FAS 141-R reducing such Consolidated Net Income), (vi) depreciation and amortization expense of the Consolidated Group (including the Consolidated Group Pro Rata Share of depreciation and amortization expense of each Unconsolidated Affiliate) and (vii) one-time costs and expenses relating to the effectiveness of the credit facilities evidenced by this Agreement and the transactions relating thereto, to the extent such fees and expenses are incurred on or prior to the date that is ninety-days following the Closing Date and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(b)(i) non-cash items of the Consolidated Group increasing such Consolidated Net Income (other than the reversal of any accrual of a reserve referred to in the parenthetical in clause (a)(iii) of this definition, except to the extent such reversal results from a cash payment) and (ii) the Consolidated Group Pro Rata Share of non-cash items of Unconsolidated Affiliates increasing such Consolidated Net Income (other than the reversal of any accrual of a reserve referred to in the parenthetical in clause (a)(iv) of this definition, except to the extent such reversal results from a cash payment).</w:t>
      </w:r>
    </w:p>
    <w:p>
      <w:pPr>
        <w:spacing w:after="0" w:line="206" w:lineRule="exact"/>
        <w:rPr>
          <w:sz w:val="20"/>
          <w:szCs w:val="20"/>
          <w:color w:val="auto"/>
        </w:rPr>
      </w:pPr>
    </w:p>
    <w:p>
      <w:pPr>
        <w:jc w:val="both"/>
        <w:ind w:left="1"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Fixed Charge Coverage Ratio</w:t>
      </w:r>
      <w:r>
        <w:rPr>
          <w:rFonts w:ascii="Arial" w:cs="Arial" w:eastAsia="Arial" w:hAnsi="Arial"/>
          <w:sz w:val="20"/>
          <w:szCs w:val="20"/>
          <w:color w:val="auto"/>
        </w:rPr>
        <w:t>” means the ratio as of the last day of any fiscal quarter of the REIT of (i) Consolidated EBITDA for the four consecutive fiscal quarter period of the REIT then ending to (ii) Consolidated Fixed Charges for such four consecutive fiscal quarter period.</w:t>
      </w:r>
    </w:p>
    <w:p>
      <w:pPr>
        <w:spacing w:after="0" w:line="202" w:lineRule="exact"/>
        <w:rPr>
          <w:sz w:val="20"/>
          <w:szCs w:val="20"/>
          <w:color w:val="auto"/>
        </w:rPr>
      </w:pPr>
    </w:p>
    <w:p>
      <w:pPr>
        <w:jc w:val="both"/>
        <w:ind w:left="1" w:firstLine="600"/>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Fixed Charges</w:t>
      </w:r>
      <w:r>
        <w:rPr>
          <w:rFonts w:ascii="Arial" w:cs="Arial" w:eastAsia="Arial" w:hAnsi="Arial"/>
          <w:sz w:val="20"/>
          <w:szCs w:val="20"/>
          <w:color w:val="auto"/>
        </w:rPr>
        <w:t>” means, for any period, the sum, without duplication, of (i) Consolidated Interest Expense, (ii) scheduled payments of principal on Consolidated Total Indebtedness (excluding any balloon payments payable on maturity of any such Consolidated Total Indebtedness), (iii) the amount of dividends or distributions paid or required to be paid by any member of the Consolidated Group (other than to another member of the Consolidated Group) during such period in respect of its preferred Equity Interests (excluding any balloon payments payable on maturity or redemption in whole of such Equity Interests) and (iv) the Consolidated Group Pro Rata Share of</w:t>
      </w:r>
    </w:p>
    <w:p>
      <w:pPr>
        <w:spacing w:after="0" w:line="190" w:lineRule="exact"/>
        <w:rPr>
          <w:sz w:val="20"/>
          <w:szCs w:val="20"/>
          <w:color w:val="auto"/>
        </w:rPr>
      </w:pPr>
    </w:p>
    <w:p>
      <w:pPr>
        <w:ind w:left="500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21"/>
          </w:cols>
          <w:pgMar w:left="839" w:top="795" w:right="239" w:bottom="1440" w:gutter="0" w:footer="0" w:header="0"/>
        </w:sectPr>
      </w:pPr>
    </w:p>
    <w:bookmarkStart w:id="241" w:name="page242"/>
    <w:bookmarkEnd w:id="241"/>
    <w:p>
      <w:pPr>
        <w:jc w:val="both"/>
        <w:spacing w:after="0" w:line="293" w:lineRule="auto"/>
        <w:rPr>
          <w:sz w:val="20"/>
          <w:szCs w:val="20"/>
          <w:color w:val="auto"/>
        </w:rPr>
      </w:pPr>
      <w:r>
        <w:rPr>
          <w:rFonts w:ascii="Arial" w:cs="Arial" w:eastAsia="Arial" w:hAnsi="Arial"/>
          <w:sz w:val="18"/>
          <w:szCs w:val="18"/>
          <w:color w:val="auto"/>
        </w:rPr>
        <w:t>the amount of dividends or distributions paid or required to be paid by any Unconsolidated Affiliate during such period in respect of its preferred Equity Interests (to Persons other than (x) a member of the Consolidated Group or (y) an Unconsolidated Affiliate in which the percentage of Equity Interests of such Unconsolidated Affiliate owned by the Consolidated Group is greater than or equal to the percentage of Equity Interests owned by the Consolidated Group in the Unconsolidated Affiliate paying the dividend or distribution).</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Group</w:t>
      </w:r>
      <w:r>
        <w:rPr>
          <w:rFonts w:ascii="Arial" w:cs="Arial" w:eastAsia="Arial" w:hAnsi="Arial"/>
          <w:sz w:val="20"/>
          <w:szCs w:val="20"/>
          <w:color w:val="auto"/>
        </w:rPr>
        <w:t xml:space="preserve">” means, collectively, the </w:t>
      </w:r>
      <w:r>
        <w:rPr>
          <w:rFonts w:ascii="Arial" w:cs="Arial" w:eastAsia="Arial" w:hAnsi="Arial"/>
          <w:sz w:val="20"/>
          <w:szCs w:val="20"/>
          <w:color w:val="FF0000"/>
          <w:strike w:val="1"/>
        </w:rPr>
        <w:t>Loan Parties and their</w:t>
      </w:r>
      <w:r>
        <w:rPr>
          <w:rFonts w:ascii="Arial" w:cs="Arial" w:eastAsia="Arial" w:hAnsi="Arial"/>
          <w:sz w:val="20"/>
          <w:szCs w:val="20"/>
          <w:b w:val="1"/>
          <w:bCs w:val="1"/>
          <w:u w:val="single" w:color="auto"/>
          <w:color w:val="0000FF"/>
          <w:highlight w:val="lightGray"/>
        </w:rPr>
        <w:t>REIT and its</w:t>
      </w:r>
      <w:r>
        <w:rPr>
          <w:rFonts w:ascii="Arial" w:cs="Arial" w:eastAsia="Arial" w:hAnsi="Arial"/>
          <w:sz w:val="20"/>
          <w:szCs w:val="20"/>
          <w:color w:val="auto"/>
        </w:rPr>
        <w:t xml:space="preserve"> Consolidated Subsidiaries.</w:t>
      </w:r>
    </w:p>
    <w:p>
      <w:pPr>
        <w:spacing w:after="0" w:line="245" w:lineRule="exact"/>
        <w:rPr>
          <w:sz w:val="20"/>
          <w:szCs w:val="20"/>
          <w:color w:val="auto"/>
        </w:rPr>
      </w:pPr>
    </w:p>
    <w:p>
      <w:pPr>
        <w:jc w:val="both"/>
        <w:ind w:firstLine="600"/>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Group Pro Rata Share</w:t>
      </w:r>
      <w:r>
        <w:rPr>
          <w:rFonts w:ascii="Arial" w:cs="Arial" w:eastAsia="Arial" w:hAnsi="Arial"/>
          <w:sz w:val="19"/>
          <w:szCs w:val="19"/>
          <w:color w:val="auto"/>
        </w:rPr>
        <w:t xml:space="preserve">” means, with respect to any Unconsolidated Affiliate, the </w:t>
      </w:r>
      <w:r>
        <w:rPr>
          <w:rFonts w:ascii="Arial" w:cs="Arial" w:eastAsia="Arial" w:hAnsi="Arial"/>
          <w:sz w:val="19"/>
          <w:szCs w:val="19"/>
          <w:b w:val="1"/>
          <w:bCs w:val="1"/>
          <w:u w:val="single" w:color="auto"/>
          <w:color w:val="0000FF"/>
          <w:highlight w:val="lightGray"/>
        </w:rPr>
        <w:t>aggregate</w:t>
      </w:r>
      <w:r>
        <w:rPr>
          <w:rFonts w:ascii="Arial" w:cs="Arial" w:eastAsia="Arial" w:hAnsi="Arial"/>
          <w:sz w:val="19"/>
          <w:szCs w:val="19"/>
          <w:color w:val="auto"/>
        </w:rPr>
        <w:t xml:space="preserve"> percentage interest held by </w:t>
      </w:r>
      <w:r>
        <w:rPr>
          <w:rFonts w:ascii="Arial" w:cs="Arial" w:eastAsia="Arial" w:hAnsi="Arial"/>
          <w:sz w:val="19"/>
          <w:szCs w:val="19"/>
          <w:b w:val="1"/>
          <w:bCs w:val="1"/>
          <w:u w:val="single" w:color="auto"/>
          <w:color w:val="0000FF"/>
          <w:highlight w:val="lightGray"/>
        </w:rPr>
        <w:t>members of</w:t>
      </w:r>
      <w:r>
        <w:rPr>
          <w:rFonts w:ascii="Arial" w:cs="Arial" w:eastAsia="Arial" w:hAnsi="Arial"/>
          <w:sz w:val="19"/>
          <w:szCs w:val="19"/>
          <w:color w:val="auto"/>
        </w:rPr>
        <w:t xml:space="preserve"> the Consolidated Group</w:t>
      </w:r>
      <w:r>
        <w:rPr>
          <w:rFonts w:ascii="Arial" w:cs="Arial" w:eastAsia="Arial" w:hAnsi="Arial"/>
          <w:sz w:val="19"/>
          <w:szCs w:val="19"/>
          <w:color w:val="FF0000"/>
          <w:strike w:val="1"/>
        </w:rPr>
        <w:t>, in the aggregate,</w:t>
      </w:r>
      <w:r>
        <w:rPr>
          <w:rFonts w:ascii="Arial" w:cs="Arial" w:eastAsia="Arial" w:hAnsi="Arial"/>
          <w:sz w:val="19"/>
          <w:szCs w:val="19"/>
          <w:color w:val="auto"/>
        </w:rPr>
        <w:t xml:space="preserve"> in such Unconsolidated Affiliate determined by calculating the percentage of Equity Interests of such Unconsolidated Affiliate owned by </w:t>
      </w:r>
      <w:r>
        <w:rPr>
          <w:rFonts w:ascii="Arial" w:cs="Arial" w:eastAsia="Arial" w:hAnsi="Arial"/>
          <w:sz w:val="19"/>
          <w:szCs w:val="19"/>
          <w:b w:val="1"/>
          <w:bCs w:val="1"/>
          <w:u w:val="single" w:color="auto"/>
          <w:color w:val="0000FF"/>
          <w:highlight w:val="lightGray"/>
        </w:rPr>
        <w:t>members of</w:t>
      </w:r>
      <w:r>
        <w:rPr>
          <w:rFonts w:ascii="Arial" w:cs="Arial" w:eastAsia="Arial" w:hAnsi="Arial"/>
          <w:sz w:val="19"/>
          <w:szCs w:val="19"/>
          <w:color w:val="auto"/>
        </w:rPr>
        <w:t xml:space="preserve"> the Consolidated Group.</w:t>
      </w:r>
    </w:p>
    <w:p>
      <w:pPr>
        <w:spacing w:after="0" w:line="182" w:lineRule="exact"/>
        <w:rPr>
          <w:sz w:val="20"/>
          <w:szCs w:val="20"/>
          <w:color w:val="auto"/>
        </w:rPr>
      </w:pPr>
    </w:p>
    <w:p>
      <w:pPr>
        <w:jc w:val="both"/>
        <w:ind w:firstLine="600"/>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for any period, without duplication, the sum of (i) total cash interest expense (including, for the avoidance of doubt, capitalized interest) of the Consolidated Group for such period determined on a consolidated basis in accordance with GAAP plus (ii) the Consolidated Group Pro Rata Share of total cash interest expense (including, for the avoidance of doubt, capitalized interest) of each Unconsolidated Affiliate for such period determined in accordance with GAAP.</w:t>
      </w:r>
    </w:p>
    <w:p>
      <w:pPr>
        <w:spacing w:after="0" w:line="176"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Net Income</w:t>
      </w:r>
      <w:r>
        <w:rPr>
          <w:rFonts w:ascii="Arial" w:cs="Arial" w:eastAsia="Arial" w:hAnsi="Arial"/>
          <w:sz w:val="20"/>
          <w:szCs w:val="20"/>
          <w:color w:val="auto"/>
        </w:rPr>
        <w:t>” means, with respect to any period, the sum of (i) the net income (or loss) of the Consolidated Group for such period determined on a consolidated basis in accordance with GAAP, excluding any extraordinary or non-recurring gain (or extraordinary or non-recurring loss) realized during such period by any member of the Consolidated Group plus (ii) the Consolidated Group Pro Rata Share of the net income (or loss) of each Unconsolidated Affiliate for such period determined in accordance with GAAP, excluding any extraordinary or non-recurring gain (or extraordinary or non-recurring loss) realized during such period by such Unconsolidated Affiliate.</w:t>
      </w:r>
    </w:p>
    <w:p>
      <w:pPr>
        <w:spacing w:after="0" w:line="212" w:lineRule="exact"/>
        <w:rPr>
          <w:sz w:val="20"/>
          <w:szCs w:val="20"/>
          <w:color w:val="auto"/>
        </w:rPr>
      </w:pPr>
    </w:p>
    <w:p>
      <w:pPr>
        <w:jc w:val="both"/>
        <w:ind w:firstLine="600"/>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Secured Leverage Ratio</w:t>
      </w:r>
      <w:r>
        <w:rPr>
          <w:rFonts w:ascii="Arial" w:cs="Arial" w:eastAsia="Arial" w:hAnsi="Arial"/>
          <w:sz w:val="19"/>
          <w:szCs w:val="19"/>
          <w:color w:val="auto"/>
        </w:rPr>
        <w:t>” means, as of any date of determination, the ratio (expressed as a percentage) of (i) Consolidated Total Secured Indebtedness as of such date to (ii) the Secured Total Asset Value as of such date.</w:t>
      </w:r>
    </w:p>
    <w:p>
      <w:pPr>
        <w:spacing w:after="0" w:line="168"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Subsidiaries</w:t>
      </w:r>
      <w:r>
        <w:rPr>
          <w:rFonts w:ascii="Arial" w:cs="Arial" w:eastAsia="Arial" w:hAnsi="Arial"/>
          <w:sz w:val="20"/>
          <w:szCs w:val="20"/>
          <w:color w:val="auto"/>
        </w:rPr>
        <w:t>” means, as to any Person, all Subsidiaries of such Person that are consolidated with such Person for financial reporting purposes under GAAP.</w:t>
      </w:r>
    </w:p>
    <w:p>
      <w:pPr>
        <w:spacing w:after="0" w:line="191" w:lineRule="exact"/>
        <w:rPr>
          <w:sz w:val="20"/>
          <w:szCs w:val="20"/>
          <w:color w:val="auto"/>
        </w:rPr>
      </w:pPr>
    </w:p>
    <w:p>
      <w:pPr>
        <w:jc w:val="both"/>
        <w:ind w:firstLine="600"/>
        <w:spacing w:after="0" w:line="256"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Consolidated Tangible Net Worth</w:t>
      </w:r>
      <w:r>
        <w:rPr>
          <w:rFonts w:ascii="Arial" w:cs="Arial" w:eastAsia="Arial" w:hAnsi="Arial"/>
          <w:sz w:val="20"/>
          <w:szCs w:val="20"/>
          <w:color w:val="FF0000"/>
          <w:strike w:val="1"/>
        </w:rPr>
        <w:t xml:space="preserve">” means, as of any date of determination, for the Consolidated Group on a consolidated basis, (a) Shareholders’ Equity of the Consolidated Group on that date, </w:t>
      </w:r>
      <w:r>
        <w:rPr>
          <w:rFonts w:ascii="Arial" w:cs="Arial" w:eastAsia="Arial" w:hAnsi="Arial"/>
          <w:sz w:val="20"/>
          <w:szCs w:val="20"/>
          <w:i w:val="1"/>
          <w:iCs w:val="1"/>
          <w:color w:val="FF0000"/>
          <w:strike w:val="1"/>
        </w:rPr>
        <w:t>minus</w:t>
      </w:r>
      <w:r>
        <w:rPr>
          <w:rFonts w:ascii="Arial" w:cs="Arial" w:eastAsia="Arial" w:hAnsi="Arial"/>
          <w:sz w:val="20"/>
          <w:szCs w:val="20"/>
          <w:color w:val="FF0000"/>
          <w:strike w:val="1"/>
        </w:rPr>
        <w:t xml:space="preserve"> (b) the Intangible Assets of the Consolidated Group on that date, </w:t>
      </w:r>
      <w:r>
        <w:rPr>
          <w:rFonts w:ascii="Arial" w:cs="Arial" w:eastAsia="Arial" w:hAnsi="Arial"/>
          <w:sz w:val="20"/>
          <w:szCs w:val="20"/>
          <w:i w:val="1"/>
          <w:iCs w:val="1"/>
          <w:color w:val="FF0000"/>
          <w:strike w:val="1"/>
        </w:rPr>
        <w:t>plus</w:t>
      </w:r>
      <w:r>
        <w:rPr>
          <w:rFonts w:ascii="Arial" w:cs="Arial" w:eastAsia="Arial" w:hAnsi="Arial"/>
          <w:sz w:val="20"/>
          <w:szCs w:val="20"/>
          <w:color w:val="FF0000"/>
          <w:strike w:val="1"/>
        </w:rPr>
        <w:t xml:space="preserve"> (c) accumulated depreciation expense on the assets of the Consolidated Group on that date determined in accordance with GAAP.</w:t>
      </w:r>
    </w:p>
    <w:p>
      <w:pPr>
        <w:spacing w:after="0" w:line="205" w:lineRule="exact"/>
        <w:rPr>
          <w:sz w:val="20"/>
          <w:szCs w:val="20"/>
          <w:color w:val="auto"/>
        </w:rPr>
      </w:pPr>
    </w:p>
    <w:p>
      <w:pPr>
        <w:jc w:val="both"/>
        <w:ind w:firstLine="60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Indebtedness</w:t>
      </w:r>
      <w:r>
        <w:rPr>
          <w:rFonts w:ascii="Arial" w:cs="Arial" w:eastAsia="Arial" w:hAnsi="Arial"/>
          <w:sz w:val="19"/>
          <w:szCs w:val="19"/>
          <w:color w:val="auto"/>
        </w:rPr>
        <w:t xml:space="preserve">” means, as at any date of determination, the sum of (i) the aggregate amount of all Indebtedness </w:t>
      </w:r>
      <w:r>
        <w:rPr>
          <w:rFonts w:ascii="Arial" w:cs="Arial" w:eastAsia="Arial" w:hAnsi="Arial"/>
          <w:sz w:val="19"/>
          <w:szCs w:val="19"/>
          <w:color w:val="FF0000"/>
          <w:strike w:val="1"/>
        </w:rPr>
        <w:t>of</w:t>
      </w:r>
      <w:r>
        <w:rPr>
          <w:rFonts w:ascii="Arial" w:cs="Arial" w:eastAsia="Arial" w:hAnsi="Arial"/>
          <w:sz w:val="19"/>
          <w:szCs w:val="19"/>
          <w:b w:val="1"/>
          <w:bCs w:val="1"/>
          <w:u w:val="single" w:color="auto"/>
          <w:color w:val="0000FF"/>
          <w:highlight w:val="lightGray"/>
        </w:rPr>
        <w:t>owed by</w:t>
      </w:r>
      <w:r>
        <w:rPr>
          <w:rFonts w:ascii="Arial" w:cs="Arial" w:eastAsia="Arial" w:hAnsi="Arial"/>
          <w:sz w:val="19"/>
          <w:szCs w:val="19"/>
          <w:color w:val="auto"/>
        </w:rPr>
        <w:t xml:space="preserve"> the Consolidated Group that would be reflected on a consolidated balance sheet of the Consolidated Group as of such date plus (ii) the Consolidated Group Pro Rata Share of the aggregate amount of all Indebtedness </w:t>
      </w:r>
      <w:r>
        <w:rPr>
          <w:rFonts w:ascii="Arial" w:cs="Arial" w:eastAsia="Arial" w:hAnsi="Arial"/>
          <w:sz w:val="19"/>
          <w:szCs w:val="19"/>
          <w:color w:val="FF0000"/>
          <w:strike w:val="1"/>
        </w:rPr>
        <w:t>of</w:t>
      </w:r>
      <w:r>
        <w:rPr>
          <w:rFonts w:ascii="Arial" w:cs="Arial" w:eastAsia="Arial" w:hAnsi="Arial"/>
          <w:sz w:val="19"/>
          <w:szCs w:val="19"/>
          <w:b w:val="1"/>
          <w:bCs w:val="1"/>
          <w:u w:val="single" w:color="auto"/>
          <w:color w:val="0000FF"/>
          <w:highlight w:val="lightGray"/>
        </w:rPr>
        <w:t>owed by</w:t>
      </w:r>
      <w:r>
        <w:rPr>
          <w:rFonts w:ascii="Arial" w:cs="Arial" w:eastAsia="Arial" w:hAnsi="Arial"/>
          <w:sz w:val="19"/>
          <w:szCs w:val="19"/>
          <w:color w:val="auto"/>
        </w:rPr>
        <w:t xml:space="preserve"> each Unconsolidated Affiliate that would be reflected on a balance sheet of such Unconsolidated Affiliate.</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20"/>
          </w:cols>
          <w:pgMar w:left="840" w:top="795" w:right="239" w:bottom="1440" w:gutter="0" w:footer="0" w:header="0"/>
        </w:sectPr>
      </w:pPr>
    </w:p>
    <w:bookmarkStart w:id="242" w:name="page243"/>
    <w:bookmarkEnd w:id="242"/>
    <w:p>
      <w:pPr>
        <w:jc w:val="both"/>
        <w:ind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Leverage Ratio</w:t>
      </w:r>
      <w:r>
        <w:rPr>
          <w:rFonts w:ascii="Arial" w:cs="Arial" w:eastAsia="Arial" w:hAnsi="Arial"/>
          <w:sz w:val="20"/>
          <w:szCs w:val="20"/>
          <w:color w:val="auto"/>
        </w:rPr>
        <w:t xml:space="preserve">” means, as of any date of determination, the ratio (expressed as a percentage) of (i) Consolidated Total Indebtedness as of such date, </w:t>
      </w:r>
      <w:r>
        <w:rPr>
          <w:rFonts w:ascii="Arial" w:cs="Arial" w:eastAsia="Arial" w:hAnsi="Arial"/>
          <w:sz w:val="20"/>
          <w:szCs w:val="20"/>
          <w:i w:val="1"/>
          <w:iCs w:val="1"/>
          <w:color w:val="auto"/>
        </w:rPr>
        <w:t>less</w:t>
      </w:r>
      <w:r>
        <w:rPr>
          <w:rFonts w:ascii="Arial" w:cs="Arial" w:eastAsia="Arial" w:hAnsi="Arial"/>
          <w:sz w:val="20"/>
          <w:szCs w:val="20"/>
          <w:color w:val="auto"/>
        </w:rPr>
        <w:t xml:space="preserve"> the Unrestricted Cash Amount as of such date to (ii) the Total Asset Value as of such date.</w:t>
      </w:r>
    </w:p>
    <w:p>
      <w:pPr>
        <w:spacing w:after="0" w:line="202" w:lineRule="exact"/>
        <w:rPr>
          <w:sz w:val="20"/>
          <w:szCs w:val="20"/>
          <w:color w:val="auto"/>
        </w:rPr>
      </w:pPr>
    </w:p>
    <w:p>
      <w:pPr>
        <w:jc w:val="both"/>
        <w:ind w:firstLine="600"/>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Secured Indebtedness</w:t>
      </w:r>
      <w:r>
        <w:rPr>
          <w:rFonts w:ascii="Arial" w:cs="Arial" w:eastAsia="Arial" w:hAnsi="Arial"/>
          <w:sz w:val="19"/>
          <w:szCs w:val="19"/>
          <w:color w:val="auto"/>
        </w:rPr>
        <w:t xml:space="preserve">” means, as at any date of determination, the sum of (i) the aggregate amount of all Secured Indebtedness </w:t>
      </w:r>
      <w:r>
        <w:rPr>
          <w:rFonts w:ascii="Arial" w:cs="Arial" w:eastAsia="Arial" w:hAnsi="Arial"/>
          <w:sz w:val="19"/>
          <w:szCs w:val="19"/>
          <w:b w:val="1"/>
          <w:bCs w:val="1"/>
          <w:u w:val="single" w:color="auto"/>
          <w:color w:val="0000FF"/>
          <w:highlight w:val="lightGray"/>
        </w:rPr>
        <w:t>owed by members</w:t>
      </w:r>
      <w:r>
        <w:rPr>
          <w:rFonts w:ascii="Arial" w:cs="Arial" w:eastAsia="Arial" w:hAnsi="Arial"/>
          <w:sz w:val="19"/>
          <w:szCs w:val="19"/>
          <w:color w:val="auto"/>
        </w:rPr>
        <w:t xml:space="preserve"> of the Consolidated Group </w:t>
      </w:r>
      <w:r>
        <w:rPr>
          <w:rFonts w:ascii="Arial" w:cs="Arial" w:eastAsia="Arial" w:hAnsi="Arial"/>
          <w:sz w:val="19"/>
          <w:szCs w:val="19"/>
          <w:b w:val="1"/>
          <w:bCs w:val="1"/>
          <w:u w:val="single" w:color="auto"/>
          <w:color w:val="0000FF"/>
          <w:highlight w:val="lightGray"/>
        </w:rPr>
        <w:t>(excluding in any event Indebtedness outstanding under this</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highlight w:val="lightGray"/>
        </w:rPr>
        <w:t>Agreement)</w:t>
      </w:r>
      <w:r>
        <w:rPr>
          <w:rFonts w:ascii="Arial" w:cs="Arial" w:eastAsia="Arial" w:hAnsi="Arial"/>
          <w:sz w:val="19"/>
          <w:szCs w:val="19"/>
          <w:b w:val="1"/>
          <w:bCs w:val="1"/>
          <w:color w:val="0000FF"/>
          <w:highlight w:val="lightGray"/>
        </w:rPr>
        <w:t xml:space="preserve"> </w:t>
      </w:r>
      <w:r>
        <w:rPr>
          <w:rFonts w:ascii="Arial" w:cs="Arial" w:eastAsia="Arial" w:hAnsi="Arial"/>
          <w:sz w:val="19"/>
          <w:szCs w:val="19"/>
          <w:color w:val="000000"/>
        </w:rPr>
        <w:t>that would be reflected on a consolidated balance sheet of the Consolidated Group as of such date plus (ii) the</w:t>
      </w:r>
      <w:r>
        <w:rPr>
          <w:rFonts w:ascii="Arial" w:cs="Arial" w:eastAsia="Arial" w:hAnsi="Arial"/>
          <w:sz w:val="19"/>
          <w:szCs w:val="19"/>
          <w:b w:val="1"/>
          <w:bCs w:val="1"/>
          <w:color w:val="0000FF"/>
          <w:highlight w:val="lightGray"/>
        </w:rPr>
        <w:t xml:space="preserve"> </w:t>
      </w:r>
      <w:r>
        <w:rPr>
          <w:rFonts w:ascii="Arial" w:cs="Arial" w:eastAsia="Arial" w:hAnsi="Arial"/>
          <w:sz w:val="19"/>
          <w:szCs w:val="19"/>
          <w:color w:val="000000"/>
        </w:rPr>
        <w:t xml:space="preserve">Consolidated Group Pro Rata Share of the aggregate amount of all Secured Indebtedness </w:t>
      </w:r>
      <w:r>
        <w:rPr>
          <w:rFonts w:ascii="Arial" w:cs="Arial" w:eastAsia="Arial" w:hAnsi="Arial"/>
          <w:sz w:val="19"/>
          <w:szCs w:val="19"/>
          <w:color w:val="FF0000"/>
          <w:strike w:val="1"/>
        </w:rPr>
        <w:t>of</w:t>
      </w:r>
      <w:r>
        <w:rPr>
          <w:rFonts w:ascii="Arial" w:cs="Arial" w:eastAsia="Arial" w:hAnsi="Arial"/>
          <w:sz w:val="19"/>
          <w:szCs w:val="19"/>
          <w:b w:val="1"/>
          <w:bCs w:val="1"/>
          <w:u w:val="single" w:color="auto"/>
          <w:color w:val="0000FF"/>
          <w:highlight w:val="lightGray"/>
        </w:rPr>
        <w:t>owed by</w:t>
      </w:r>
      <w:r>
        <w:rPr>
          <w:rFonts w:ascii="Arial" w:cs="Arial" w:eastAsia="Arial" w:hAnsi="Arial"/>
          <w:sz w:val="19"/>
          <w:szCs w:val="19"/>
          <w:color w:val="000000"/>
        </w:rPr>
        <w:t xml:space="preserve"> each Unconsolidated Affiliate that would be reflected on a balance sheet of such Unconsolidated Affiliate.</w:t>
      </w:r>
    </w:p>
    <w:p>
      <w:pPr>
        <w:spacing w:after="0" w:line="195" w:lineRule="exact"/>
        <w:rPr>
          <w:sz w:val="20"/>
          <w:szCs w:val="20"/>
          <w:color w:val="auto"/>
        </w:rPr>
      </w:pPr>
    </w:p>
    <w:p>
      <w:pPr>
        <w:jc w:val="both"/>
        <w:ind w:firstLine="6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Unsecured Indebtedness</w:t>
      </w:r>
      <w:r>
        <w:rPr>
          <w:rFonts w:ascii="Arial" w:cs="Arial" w:eastAsia="Arial" w:hAnsi="Arial"/>
          <w:sz w:val="20"/>
          <w:szCs w:val="20"/>
          <w:color w:val="auto"/>
        </w:rPr>
        <w:t xml:space="preserve">” means, as at any date of determination, the sum of (i) the aggregate amount of all Unsecured Indebtedness </w:t>
      </w:r>
      <w:r>
        <w:rPr>
          <w:rFonts w:ascii="Arial" w:cs="Arial" w:eastAsia="Arial" w:hAnsi="Arial"/>
          <w:sz w:val="20"/>
          <w:szCs w:val="20"/>
          <w:b w:val="1"/>
          <w:bCs w:val="1"/>
          <w:u w:val="single" w:color="auto"/>
          <w:color w:val="0000FF"/>
          <w:highlight w:val="lightGray"/>
        </w:rPr>
        <w:t>owed by members</w:t>
      </w:r>
      <w:r>
        <w:rPr>
          <w:rFonts w:ascii="Arial" w:cs="Arial" w:eastAsia="Arial" w:hAnsi="Arial"/>
          <w:sz w:val="20"/>
          <w:szCs w:val="20"/>
          <w:color w:val="auto"/>
        </w:rPr>
        <w:t xml:space="preserve"> of the Consolidated Group (including Indebtedness outstanding under this Agreement) that would be reflected on a consolidated balance sheet of the Consolidated Group as of such date plus (ii) the Consolidated Group Pro Rata Share of the aggregate amount of all Unsecured Indebtedness </w:t>
      </w:r>
      <w:r>
        <w:rPr>
          <w:rFonts w:ascii="Arial" w:cs="Arial" w:eastAsia="Arial" w:hAnsi="Arial"/>
          <w:sz w:val="20"/>
          <w:szCs w:val="20"/>
          <w:color w:val="FF0000"/>
          <w:strike w:val="1"/>
        </w:rPr>
        <w:t>of</w:t>
      </w:r>
      <w:r>
        <w:rPr>
          <w:rFonts w:ascii="Arial" w:cs="Arial" w:eastAsia="Arial" w:hAnsi="Arial"/>
          <w:sz w:val="20"/>
          <w:szCs w:val="20"/>
          <w:b w:val="1"/>
          <w:bCs w:val="1"/>
          <w:u w:val="single" w:color="auto"/>
          <w:color w:val="0000FF"/>
          <w:highlight w:val="lightGray"/>
        </w:rPr>
        <w:t>owed by</w:t>
      </w:r>
      <w:r>
        <w:rPr>
          <w:rFonts w:ascii="Arial" w:cs="Arial" w:eastAsia="Arial" w:hAnsi="Arial"/>
          <w:sz w:val="20"/>
          <w:szCs w:val="20"/>
          <w:color w:val="auto"/>
        </w:rPr>
        <w:t xml:space="preserve"> each Unconsolidated Affiliate that would be reflected on a balance sheet of such Unconsolidated Affiliate.</w:t>
      </w:r>
    </w:p>
    <w:p>
      <w:pPr>
        <w:spacing w:after="0" w:line="212" w:lineRule="exact"/>
        <w:rPr>
          <w:sz w:val="20"/>
          <w:szCs w:val="20"/>
          <w:color w:val="auto"/>
        </w:rPr>
      </w:pPr>
    </w:p>
    <w:p>
      <w:pPr>
        <w:jc w:val="both"/>
        <w:ind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Unsecured Interest Coverage Ratio</w:t>
      </w:r>
      <w:r>
        <w:rPr>
          <w:rFonts w:ascii="Arial" w:cs="Arial" w:eastAsia="Arial" w:hAnsi="Arial"/>
          <w:sz w:val="20"/>
          <w:szCs w:val="20"/>
          <w:color w:val="auto"/>
        </w:rPr>
        <w:t>” means the ratio as of the last day of any fiscal quarter of the REIT of (i) the sum of Unencumbered Property NOI of each Unencumbered Eligible Property for the fiscal quarter of the REIT then ending to (ii) Consolidated Unsecured Interest Expense for such fiscal quarter.</w:t>
      </w:r>
    </w:p>
    <w:p>
      <w:pPr>
        <w:spacing w:after="0" w:line="202" w:lineRule="exact"/>
        <w:rPr>
          <w:sz w:val="20"/>
          <w:szCs w:val="20"/>
          <w:color w:val="auto"/>
        </w:rPr>
      </w:pPr>
    </w:p>
    <w:p>
      <w:pPr>
        <w:jc w:val="both"/>
        <w:ind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Unsecured Interest Expense</w:t>
      </w:r>
      <w:r>
        <w:rPr>
          <w:rFonts w:ascii="Arial" w:cs="Arial" w:eastAsia="Arial" w:hAnsi="Arial"/>
          <w:sz w:val="20"/>
          <w:szCs w:val="20"/>
          <w:color w:val="auto"/>
        </w:rPr>
        <w:t xml:space="preserve">” means, for any period, the portion of Consolidated Interest Expense for such period that was incurred in respect of Unsecured Indebtedness </w:t>
      </w:r>
      <w:r>
        <w:rPr>
          <w:rFonts w:ascii="Arial" w:cs="Arial" w:eastAsia="Arial" w:hAnsi="Arial"/>
          <w:sz w:val="20"/>
          <w:szCs w:val="20"/>
          <w:color w:val="FF0000"/>
          <w:strike w:val="1"/>
        </w:rPr>
        <w:t>of</w:t>
      </w:r>
      <w:r>
        <w:rPr>
          <w:rFonts w:ascii="Arial" w:cs="Arial" w:eastAsia="Arial" w:hAnsi="Arial"/>
          <w:sz w:val="20"/>
          <w:szCs w:val="20"/>
          <w:b w:val="1"/>
          <w:bCs w:val="1"/>
          <w:u w:val="single" w:color="auto"/>
          <w:color w:val="0000FF"/>
          <w:highlight w:val="lightGray"/>
        </w:rPr>
        <w:t>owed by</w:t>
      </w:r>
      <w:r>
        <w:rPr>
          <w:rFonts w:ascii="Arial" w:cs="Arial" w:eastAsia="Arial" w:hAnsi="Arial"/>
          <w:sz w:val="20"/>
          <w:szCs w:val="20"/>
          <w:color w:val="auto"/>
        </w:rPr>
        <w:t xml:space="preserve"> any member of the Consolidated Group or an Unconsolidated Affiliate.</w:t>
      </w:r>
    </w:p>
    <w:p>
      <w:pPr>
        <w:spacing w:after="0" w:line="202" w:lineRule="exact"/>
        <w:rPr>
          <w:sz w:val="20"/>
          <w:szCs w:val="20"/>
          <w:color w:val="auto"/>
        </w:rPr>
      </w:pPr>
    </w:p>
    <w:p>
      <w:pPr>
        <w:jc w:val="both"/>
        <w:ind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Unsecured Leverage Ratio</w:t>
      </w:r>
      <w:r>
        <w:rPr>
          <w:rFonts w:ascii="Arial" w:cs="Arial" w:eastAsia="Arial" w:hAnsi="Arial"/>
          <w:sz w:val="20"/>
          <w:szCs w:val="20"/>
          <w:color w:val="auto"/>
        </w:rPr>
        <w:t xml:space="preserve">” means, as of any date of determination, the ratio (expressed as a percentage) of (i) Consolidated Total Unsecured Indebtedness as of such date, </w:t>
      </w:r>
      <w:r>
        <w:rPr>
          <w:rFonts w:ascii="Arial" w:cs="Arial" w:eastAsia="Arial" w:hAnsi="Arial"/>
          <w:sz w:val="20"/>
          <w:szCs w:val="20"/>
          <w:i w:val="1"/>
          <w:iCs w:val="1"/>
          <w:color w:val="auto"/>
        </w:rPr>
        <w:t>less</w:t>
      </w:r>
      <w:r>
        <w:rPr>
          <w:rFonts w:ascii="Arial" w:cs="Arial" w:eastAsia="Arial" w:hAnsi="Arial"/>
          <w:sz w:val="20"/>
          <w:szCs w:val="20"/>
          <w:color w:val="auto"/>
        </w:rPr>
        <w:t xml:space="preserve"> the Unrestricted Cash Amount as of such date to (ii) the Unencumbered Asset Value as of such date.</w:t>
      </w:r>
    </w:p>
    <w:p>
      <w:pPr>
        <w:spacing w:after="0" w:line="202"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91" w:lineRule="exact"/>
        <w:rPr>
          <w:sz w:val="20"/>
          <w:szCs w:val="20"/>
          <w:color w:val="auto"/>
        </w:rPr>
      </w:pPr>
    </w:p>
    <w:p>
      <w:pPr>
        <w:jc w:val="both"/>
        <w:ind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196" w:lineRule="exact"/>
        <w:rPr>
          <w:sz w:val="20"/>
          <w:szCs w:val="20"/>
          <w:color w:val="auto"/>
        </w:rPr>
      </w:pPr>
    </w:p>
    <w:p>
      <w:pPr>
        <w:jc w:val="both"/>
        <w:ind w:firstLine="600"/>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Controlled Joint Venture</w:t>
      </w:r>
      <w:r>
        <w:rPr>
          <w:rFonts w:ascii="Arial" w:cs="Arial" w:eastAsia="Arial" w:hAnsi="Arial"/>
          <w:sz w:val="19"/>
          <w:szCs w:val="19"/>
          <w:color w:val="auto"/>
        </w:rPr>
        <w:t>” means a Subsidiary of the Borrower that (</w:t>
      </w:r>
      <w:r>
        <w:rPr>
          <w:rFonts w:ascii="Arial" w:cs="Arial" w:eastAsia="Arial" w:hAnsi="Arial"/>
          <w:sz w:val="19"/>
          <w:szCs w:val="19"/>
          <w:color w:val="FF0000"/>
          <w:strike w:val="1"/>
        </w:rPr>
        <w:t>i</w:t>
      </w:r>
      <w:r>
        <w:rPr>
          <w:rFonts w:ascii="Arial" w:cs="Arial" w:eastAsia="Arial" w:hAnsi="Arial"/>
          <w:sz w:val="19"/>
          <w:szCs w:val="19"/>
          <w:b w:val="1"/>
          <w:bCs w:val="1"/>
          <w:u w:val="single" w:color="auto"/>
          <w:color w:val="0000FF"/>
          <w:highlight w:val="lightGray"/>
        </w:rPr>
        <w:t>a</w:t>
      </w:r>
      <w:r>
        <w:rPr>
          <w:rFonts w:ascii="Arial" w:cs="Arial" w:eastAsia="Arial" w:hAnsi="Arial"/>
          <w:sz w:val="19"/>
          <w:szCs w:val="19"/>
          <w:color w:val="auto"/>
        </w:rPr>
        <w:t>) is organized under the laws of the United States of America or any State thereof (and each Subsidiary of the Borrower that directly or indirectly owns any Equity Interests in such Subsidiary is also organized under the laws of the United States of America or any State thereof), (</w:t>
      </w:r>
      <w:r>
        <w:rPr>
          <w:rFonts w:ascii="Arial" w:cs="Arial" w:eastAsia="Arial" w:hAnsi="Arial"/>
          <w:sz w:val="19"/>
          <w:szCs w:val="19"/>
          <w:color w:val="FF0000"/>
          <w:strike w:val="1"/>
        </w:rPr>
        <w:t>ii) is not (and is not required to be) a</w:t>
      </w:r>
      <w:r>
        <w:rPr>
          <w:rFonts w:ascii="Arial" w:cs="Arial" w:eastAsia="Arial" w:hAnsi="Arial"/>
          <w:sz w:val="19"/>
          <w:szCs w:val="19"/>
          <w:color w:val="auto"/>
        </w:rPr>
        <w:t xml:space="preserve"> </w:t>
      </w:r>
      <w:r>
        <w:rPr>
          <w:rFonts w:ascii="Arial" w:cs="Arial" w:eastAsia="Arial" w:hAnsi="Arial"/>
          <w:sz w:val="19"/>
          <w:szCs w:val="19"/>
          <w:color w:val="FF0000"/>
          <w:strike w:val="1"/>
        </w:rPr>
        <w:t>Guarantor, (iii</w:t>
      </w:r>
      <w:r>
        <w:rPr>
          <w:rFonts w:ascii="Arial" w:cs="Arial" w:eastAsia="Arial" w:hAnsi="Arial"/>
          <w:sz w:val="19"/>
          <w:szCs w:val="19"/>
          <w:b w:val="1"/>
          <w:bCs w:val="1"/>
          <w:u w:val="single" w:color="auto"/>
          <w:color w:val="0000FF"/>
          <w:highlight w:val="lightGray"/>
        </w:rPr>
        <w:t>b</w:t>
      </w:r>
      <w:r>
        <w:rPr>
          <w:rFonts w:ascii="Arial" w:cs="Arial" w:eastAsia="Arial" w:hAnsi="Arial"/>
          <w:sz w:val="19"/>
          <w:szCs w:val="19"/>
          <w:color w:val="000000"/>
        </w:rPr>
        <w:t>) is not a Wholly Owned Subsidiary of the Borrower and (</w:t>
      </w:r>
      <w:r>
        <w:rPr>
          <w:rFonts w:ascii="Arial" w:cs="Arial" w:eastAsia="Arial" w:hAnsi="Arial"/>
          <w:sz w:val="19"/>
          <w:szCs w:val="19"/>
          <w:color w:val="FF0000"/>
          <w:strike w:val="1"/>
        </w:rPr>
        <w:t>iv</w:t>
      </w:r>
      <w:r>
        <w:rPr>
          <w:rFonts w:ascii="Arial" w:cs="Arial" w:eastAsia="Arial" w:hAnsi="Arial"/>
          <w:sz w:val="19"/>
          <w:szCs w:val="19"/>
          <w:b w:val="1"/>
          <w:bCs w:val="1"/>
          <w:u w:val="single" w:color="auto"/>
          <w:color w:val="0000FF"/>
          <w:highlight w:val="lightGray"/>
        </w:rPr>
        <w:t>c</w:t>
      </w:r>
      <w:r>
        <w:rPr>
          <w:rFonts w:ascii="Arial" w:cs="Arial" w:eastAsia="Arial" w:hAnsi="Arial"/>
          <w:sz w:val="19"/>
          <w:szCs w:val="19"/>
          <w:color w:val="000000"/>
        </w:rPr>
        <w:t>) is controlled by a</w:t>
      </w:r>
      <w:r>
        <w:rPr>
          <w:rFonts w:ascii="Arial" w:cs="Arial" w:eastAsia="Arial" w:hAnsi="Arial"/>
          <w:sz w:val="19"/>
          <w:szCs w:val="19"/>
          <w:color w:val="FF0000"/>
        </w:rPr>
        <w:t xml:space="preserve"> </w:t>
      </w:r>
      <w:r>
        <w:rPr>
          <w:rFonts w:ascii="Arial" w:cs="Arial" w:eastAsia="Arial" w:hAnsi="Arial"/>
          <w:sz w:val="19"/>
          <w:szCs w:val="19"/>
          <w:color w:val="FF0000"/>
          <w:strike w:val="1"/>
        </w:rPr>
        <w:t>Loan Party (or, following a Permitted</w:t>
      </w:r>
      <w:r>
        <w:rPr>
          <w:rFonts w:ascii="Arial" w:cs="Arial" w:eastAsia="Arial" w:hAnsi="Arial"/>
          <w:sz w:val="19"/>
          <w:szCs w:val="19"/>
          <w:color w:val="FF0000"/>
        </w:rPr>
        <w:t xml:space="preserve"> </w:t>
      </w:r>
      <w:r>
        <w:rPr>
          <w:rFonts w:ascii="Arial" w:cs="Arial" w:eastAsia="Arial" w:hAnsi="Arial"/>
          <w:sz w:val="19"/>
          <w:szCs w:val="19"/>
          <w:color w:val="FF0000"/>
          <w:strike w:val="1"/>
        </w:rPr>
        <w:t>Subsidiary Guarantor Release, any Loan Party or any</w:t>
      </w:r>
      <w:r>
        <w:rPr>
          <w:rFonts w:ascii="Arial" w:cs="Arial" w:eastAsia="Arial" w:hAnsi="Arial"/>
          <w:sz w:val="19"/>
          <w:szCs w:val="19"/>
          <w:color w:val="FF0000"/>
        </w:rPr>
        <w:t xml:space="preserve"> </w:t>
      </w:r>
      <w:r>
        <w:rPr>
          <w:rFonts w:ascii="Arial" w:cs="Arial" w:eastAsia="Arial" w:hAnsi="Arial"/>
          <w:sz w:val="19"/>
          <w:szCs w:val="19"/>
          <w:color w:val="000000"/>
        </w:rPr>
        <w:t>Wholly Owned Subsidiary of the Borrower</w:t>
      </w:r>
      <w:r>
        <w:rPr>
          <w:rFonts w:ascii="Arial" w:cs="Arial" w:eastAsia="Arial" w:hAnsi="Arial"/>
          <w:sz w:val="19"/>
          <w:szCs w:val="19"/>
          <w:color w:val="FF0000"/>
          <w:strike w:val="1"/>
        </w:rPr>
        <w:t>)</w:t>
      </w:r>
      <w:r>
        <w:rPr>
          <w:rFonts w:ascii="Arial" w:cs="Arial" w:eastAsia="Arial" w:hAnsi="Arial"/>
          <w:sz w:val="19"/>
          <w:szCs w:val="19"/>
          <w:color w:val="FF0000"/>
        </w:rPr>
        <w:t xml:space="preserve"> </w:t>
      </w:r>
      <w:r>
        <w:rPr>
          <w:rFonts w:ascii="Arial" w:cs="Arial" w:eastAsia="Arial" w:hAnsi="Arial"/>
          <w:sz w:val="19"/>
          <w:szCs w:val="19"/>
          <w:b w:val="1"/>
          <w:bCs w:val="1"/>
          <w:u w:val="single" w:color="auto"/>
          <w:color w:val="0000FF"/>
          <w:highlight w:val="lightGray"/>
        </w:rPr>
        <w:t>that is not a borrower or</w:t>
      </w:r>
      <w:r>
        <w:rPr>
          <w:rFonts w:ascii="Arial" w:cs="Arial" w:eastAsia="Arial" w:hAnsi="Arial"/>
          <w:sz w:val="19"/>
          <w:szCs w:val="19"/>
          <w:color w:val="FF0000"/>
        </w:rPr>
        <w:t xml:space="preserve"> </w:t>
      </w:r>
      <w:r>
        <w:rPr>
          <w:rFonts w:ascii="Arial" w:cs="Arial" w:eastAsia="Arial" w:hAnsi="Arial"/>
          <w:sz w:val="19"/>
          <w:szCs w:val="19"/>
          <w:b w:val="1"/>
          <w:bCs w:val="1"/>
          <w:u w:val="single" w:color="auto"/>
          <w:color w:val="0000FF"/>
          <w:highlight w:val="lightGray"/>
        </w:rPr>
        <w:t>guarantor of, or otherwise does not have a payment obligation in respect of, any Indebtedness for borrowed money that constitutes Recourse Indebtedness</w:t>
      </w:r>
      <w:r>
        <w:rPr>
          <w:rFonts w:ascii="Arial" w:cs="Arial" w:eastAsia="Arial" w:hAnsi="Arial"/>
          <w:sz w:val="19"/>
          <w:szCs w:val="19"/>
          <w:color w:val="000000"/>
        </w:rPr>
        <w:t>. For purposes of this definition, a Subsidiary of the Borrower is “controlled” by a Person if such</w:t>
      </w:r>
      <w:r>
        <w:rPr>
          <w:rFonts w:ascii="Arial" w:cs="Arial" w:eastAsia="Arial" w:hAnsi="Arial"/>
          <w:sz w:val="19"/>
          <w:szCs w:val="19"/>
          <w:b w:val="1"/>
          <w:bCs w:val="1"/>
          <w:color w:val="0000FF"/>
          <w:highlight w:val="lightGray"/>
        </w:rPr>
        <w:t xml:space="preserve"> </w:t>
      </w:r>
      <w:r>
        <w:rPr>
          <w:rFonts w:ascii="Arial" w:cs="Arial" w:eastAsia="Arial" w:hAnsi="Arial"/>
          <w:sz w:val="19"/>
          <w:szCs w:val="19"/>
          <w:color w:val="000000"/>
        </w:rPr>
        <w:t>Person has the right to exercise exclusive control over any disposition, refinancing</w:t>
      </w:r>
    </w:p>
    <w:p>
      <w:pPr>
        <w:spacing w:after="0" w:line="17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20"/>
          </w:cols>
          <w:pgMar w:left="840" w:top="795" w:right="239" w:bottom="1440" w:gutter="0" w:footer="0" w:header="0"/>
        </w:sectPr>
      </w:pPr>
    </w:p>
    <w:bookmarkStart w:id="243" w:name="page244"/>
    <w:bookmarkEnd w:id="243"/>
    <w:p>
      <w:pPr>
        <w:jc w:val="both"/>
        <w:spacing w:after="0" w:line="280" w:lineRule="auto"/>
        <w:rPr>
          <w:sz w:val="20"/>
          <w:szCs w:val="20"/>
          <w:color w:val="auto"/>
        </w:rPr>
      </w:pPr>
      <w:r>
        <w:rPr>
          <w:rFonts w:ascii="Arial" w:cs="Arial" w:eastAsia="Arial" w:hAnsi="Arial"/>
          <w:sz w:val="19"/>
          <w:szCs w:val="19"/>
          <w:color w:val="auto"/>
        </w:rPr>
        <w:t>and operating activity of any Unencumbered Portfolio Property owned or ground leased by such Subsidiary without the consent of any other Person (other than (i) the Borrower or (ii) any Subsidiary of the Borrower, as long as such Subsidiary does not need the consent of any minority equity holder thereof to consent to any disposition, refinancing or operating activity).</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Extension</w:t>
      </w:r>
      <w:r>
        <w:rPr>
          <w:rFonts w:ascii="Arial" w:cs="Arial" w:eastAsia="Arial" w:hAnsi="Arial"/>
          <w:sz w:val="20"/>
          <w:szCs w:val="20"/>
          <w:color w:val="auto"/>
        </w:rPr>
        <w:t>” means a Borrowing.</w:t>
      </w:r>
    </w:p>
    <w:p>
      <w:pPr>
        <w:spacing w:after="0" w:line="245" w:lineRule="exact"/>
        <w:rPr>
          <w:sz w:val="20"/>
          <w:szCs w:val="20"/>
          <w:color w:val="auto"/>
        </w:rPr>
      </w:pPr>
    </w:p>
    <w:p>
      <w:pPr>
        <w:jc w:val="both"/>
        <w:ind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Laws</w:t>
      </w:r>
      <w:r>
        <w:rPr>
          <w:rFonts w:ascii="Arial" w:cs="Arial" w:eastAsia="Arial" w:hAnsi="Arial"/>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202"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 Rating</w:t>
      </w:r>
      <w:r>
        <w:rPr>
          <w:rFonts w:ascii="Arial" w:cs="Arial" w:eastAsia="Arial" w:hAnsi="Arial"/>
          <w:sz w:val="20"/>
          <w:szCs w:val="20"/>
          <w:color w:val="auto"/>
        </w:rPr>
        <w:t>” means, as of any date of determination, the rating assigned by a Rating Agency to the Borrower’s non-credit enhanced, senior unsecured long term debt as in effect on such date.</w:t>
      </w:r>
    </w:p>
    <w:p>
      <w:pPr>
        <w:spacing w:after="0" w:line="191"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with the giving of any notice, the passage of time, or both, would be an Event of Default.</w:t>
      </w:r>
    </w:p>
    <w:p>
      <w:pPr>
        <w:spacing w:after="0" w:line="191" w:lineRule="exact"/>
        <w:rPr>
          <w:sz w:val="20"/>
          <w:szCs w:val="20"/>
          <w:color w:val="auto"/>
        </w:rPr>
      </w:pPr>
    </w:p>
    <w:p>
      <w:pPr>
        <w:jc w:val="both"/>
        <w:ind w:firstLine="600"/>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 Rate</w:t>
      </w:r>
      <w:r>
        <w:rPr>
          <w:rFonts w:ascii="Arial" w:cs="Arial" w:eastAsia="Arial" w:hAnsi="Arial"/>
          <w:sz w:val="19"/>
          <w:szCs w:val="19"/>
          <w:color w:val="auto"/>
        </w:rPr>
        <w:t xml:space="preserve">” means an interest rate equal to (i) the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Applicable Rate for Base Rate Loans (assuming that the Pricing Level corresponding to the highest Applicable Rate applied in the then applicable Pricing Grid)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(iii) 2% per annum;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with respect to a Term Loan that is a Eurodollar Rate Loan, the Default Rate shall be an interest rate equal to (i) the Eurodollar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Applicable Rate for Eurodollar Rate Loans (assuming that the Pricing Level corresponding to the highest Applicable Rate applied in the then applicable Pricing Grid)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(iii) 2% per annum.</w:t>
      </w:r>
    </w:p>
    <w:p>
      <w:pPr>
        <w:spacing w:after="0" w:line="195" w:lineRule="exact"/>
        <w:rPr>
          <w:sz w:val="20"/>
          <w:szCs w:val="20"/>
          <w:color w:val="auto"/>
        </w:rPr>
      </w:pPr>
    </w:p>
    <w:p>
      <w:pPr>
        <w:jc w:val="both"/>
        <w:ind w:firstLine="600"/>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xml:space="preserve">” means, subject to </w:t>
      </w:r>
      <w:r>
        <w:rPr>
          <w:rFonts w:ascii="Arial" w:cs="Arial" w:eastAsia="Arial" w:hAnsi="Arial"/>
          <w:sz w:val="19"/>
          <w:szCs w:val="19"/>
          <w:u w:val="single" w:color="auto"/>
          <w:color w:val="auto"/>
        </w:rPr>
        <w:t>Section 2.19(b)</w:t>
      </w:r>
      <w:r>
        <w:rPr>
          <w:rFonts w:ascii="Arial" w:cs="Arial" w:eastAsia="Arial" w:hAnsi="Arial"/>
          <w:sz w:val="19"/>
          <w:szCs w:val="19"/>
          <w:color w:val="auto"/>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hereunder within two Business Days of the date when due, (b) has notified the Borrower and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clause (c) upon receipt of such written confirmation by the Administrative Agent and the Borrower), (d)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w:t>
      </w:r>
    </w:p>
    <w:p>
      <w:pPr>
        <w:spacing w:after="0" w:line="19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20"/>
          </w:cols>
          <w:pgMar w:left="840" w:top="795" w:right="239" w:bottom="1440" w:gutter="0" w:footer="0" w:header="0"/>
        </w:sectPr>
      </w:pPr>
    </w:p>
    <w:bookmarkStart w:id="244" w:name="page245"/>
    <w:bookmarkEnd w:id="244"/>
    <w:p>
      <w:pPr>
        <w:jc w:val="both"/>
        <w:spacing w:after="0" w:line="265" w:lineRule="auto"/>
        <w:rPr>
          <w:sz w:val="20"/>
          <w:szCs w:val="20"/>
          <w:color w:val="auto"/>
        </w:rPr>
      </w:pPr>
      <w:r>
        <w:rPr>
          <w:rFonts w:ascii="Arial" w:cs="Arial" w:eastAsia="Arial" w:hAnsi="Arial"/>
          <w:sz w:val="19"/>
          <w:szCs w:val="19"/>
          <w:color w:val="auto"/>
        </w:rPr>
        <w:t xml:space="preserve">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or (e) is, or has a direct or indirect parent company that is, subject to a Bail-In Action. Any determination by the Administrative Agent that a Lender is a Defaulting Lender under any one or more of clauses (a) through (e) above, and of the effective date of such status, shall be conclusive and binding absent manifest error, and such Lender shall be deemed to be a Defaulting Lender (subject to </w:t>
      </w:r>
      <w:r>
        <w:rPr>
          <w:rFonts w:ascii="Arial" w:cs="Arial" w:eastAsia="Arial" w:hAnsi="Arial"/>
          <w:sz w:val="19"/>
          <w:szCs w:val="19"/>
          <w:u w:val="single" w:color="auto"/>
          <w:color w:val="auto"/>
        </w:rPr>
        <w:t>Section 2.19(b)</w:t>
      </w:r>
      <w:r>
        <w:rPr>
          <w:rFonts w:ascii="Arial" w:cs="Arial" w:eastAsia="Arial" w:hAnsi="Arial"/>
          <w:sz w:val="19"/>
          <w:szCs w:val="19"/>
          <w:color w:val="auto"/>
        </w:rPr>
        <w:t>) as of the date established therefor by the Administrative Agent in a written notice of such determination, which shall be delivered by the Administrative Agent to the Borrower and each other Lender promptly following such determination.</w:t>
      </w:r>
    </w:p>
    <w:p>
      <w:pPr>
        <w:spacing w:after="0" w:line="196" w:lineRule="exact"/>
        <w:rPr>
          <w:sz w:val="20"/>
          <w:szCs w:val="20"/>
          <w:color w:val="auto"/>
        </w:rPr>
      </w:pPr>
    </w:p>
    <w:p>
      <w:pPr>
        <w:jc w:val="both"/>
        <w:ind w:firstLine="600"/>
        <w:spacing w:after="0" w:line="27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FF0000"/>
          <w:strike w:val="1"/>
        </w:rPr>
        <w:t>Direct Owner</w:t>
      </w:r>
      <w:r>
        <w:rPr>
          <w:rFonts w:ascii="Arial" w:cs="Arial" w:eastAsia="Arial" w:hAnsi="Arial"/>
          <w:sz w:val="20"/>
          <w:szCs w:val="20"/>
          <w:b w:val="1"/>
          <w:bCs w:val="1"/>
          <w:u w:val="single" w:color="auto"/>
          <w:color w:val="0000FF"/>
          <w:highlight w:val="lightGray"/>
        </w:rPr>
        <w:t>Development Investment</w:t>
      </w:r>
      <w:r>
        <w:rPr>
          <w:rFonts w:ascii="Arial" w:cs="Arial" w:eastAsia="Arial" w:hAnsi="Arial"/>
          <w:sz w:val="20"/>
          <w:szCs w:val="20"/>
          <w:color w:val="auto"/>
        </w:rPr>
        <w:t xml:space="preserve">” has the meaning specified in </w:t>
      </w:r>
      <w:r>
        <w:rPr>
          <w:rFonts w:ascii="Arial" w:cs="Arial" w:eastAsia="Arial" w:hAnsi="Arial"/>
          <w:sz w:val="20"/>
          <w:szCs w:val="20"/>
          <w:b w:val="1"/>
          <w:bCs w:val="1"/>
          <w:u w:val="single" w:color="auto"/>
          <w:color w:val="0000FF"/>
          <w:highlight w:val="lightGray"/>
        </w:rPr>
        <w:t>clause (a) of</w:t>
      </w:r>
      <w:r>
        <w:rPr>
          <w:rFonts w:ascii="Arial" w:cs="Arial" w:eastAsia="Arial" w:hAnsi="Arial"/>
          <w:sz w:val="20"/>
          <w:szCs w:val="20"/>
          <w:color w:val="auto"/>
        </w:rPr>
        <w:t xml:space="preserve"> the definition of “</w:t>
      </w:r>
      <w:r>
        <w:rPr>
          <w:rFonts w:ascii="Arial" w:cs="Arial" w:eastAsia="Arial" w:hAnsi="Arial"/>
          <w:sz w:val="20"/>
          <w:szCs w:val="20"/>
          <w:color w:val="FF0000"/>
          <w:strike w:val="1"/>
        </w:rPr>
        <w:t>Unencumbered Eligible</w:t>
      </w:r>
      <w:r>
        <w:rPr>
          <w:rFonts w:ascii="Arial" w:cs="Arial" w:eastAsia="Arial" w:hAnsi="Arial"/>
          <w:sz w:val="20"/>
          <w:szCs w:val="20"/>
          <w:color w:val="auto"/>
        </w:rPr>
        <w:t xml:space="preserve"> </w:t>
      </w:r>
      <w:r>
        <w:rPr>
          <w:rFonts w:ascii="Arial" w:cs="Arial" w:eastAsia="Arial" w:hAnsi="Arial"/>
          <w:sz w:val="20"/>
          <w:szCs w:val="20"/>
          <w:color w:val="FF0000"/>
          <w:strike w:val="1"/>
        </w:rPr>
        <w:t>Property.”</w:t>
      </w:r>
      <w:r>
        <w:rPr>
          <w:rFonts w:ascii="Arial" w:cs="Arial" w:eastAsia="Arial" w:hAnsi="Arial"/>
          <w:sz w:val="20"/>
          <w:szCs w:val="20"/>
          <w:b w:val="1"/>
          <w:bCs w:val="1"/>
          <w:u w:val="single" w:color="auto"/>
          <w:color w:val="0000FF"/>
          <w:highlight w:val="lightGray"/>
          <w:strike w:val="1"/>
        </w:rPr>
        <w:t>Specified Investments”.</w:t>
      </w:r>
    </w:p>
    <w:p>
      <w:pPr>
        <w:spacing w:after="0" w:line="177" w:lineRule="exact"/>
        <w:rPr>
          <w:sz w:val="20"/>
          <w:szCs w:val="20"/>
          <w:color w:val="auto"/>
        </w:rPr>
      </w:pPr>
    </w:p>
    <w:p>
      <w:pPr>
        <w:jc w:val="both"/>
        <w:ind w:firstLine="600"/>
        <w:spacing w:after="0" w:line="279" w:lineRule="auto"/>
        <w:rPr>
          <w:sz w:val="20"/>
          <w:szCs w:val="20"/>
          <w:color w:val="auto"/>
        </w:rPr>
      </w:pPr>
      <w:r>
        <w:rPr>
          <w:rFonts w:ascii="Arial" w:cs="Arial" w:eastAsia="Arial" w:hAnsi="Arial"/>
          <w:sz w:val="20"/>
          <w:szCs w:val="20"/>
          <w:b w:val="1"/>
          <w:bCs w:val="1"/>
          <w:u w:val="single" w:color="auto"/>
          <w:color w:val="0000FF"/>
          <w:highlight w:val="lightGray"/>
        </w:rPr>
        <w:t>“Direct Owner” means each Subsidiary of the Borrower that directly owns, or is the ground lessee of an interest in, any Unencumbered Portfolio Property.</w:t>
      </w:r>
    </w:p>
    <w:p>
      <w:pPr>
        <w:spacing w:after="0" w:line="183" w:lineRule="exact"/>
        <w:rPr>
          <w:sz w:val="20"/>
          <w:szCs w:val="20"/>
          <w:color w:val="auto"/>
        </w:rPr>
      </w:pPr>
    </w:p>
    <w:p>
      <w:pPr>
        <w:jc w:val="both"/>
        <w:ind w:firstLine="600"/>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Disposed Portfolio Property</w:t>
      </w:r>
      <w:r>
        <w:rPr>
          <w:rFonts w:ascii="Arial" w:cs="Arial" w:eastAsia="Arial" w:hAnsi="Arial"/>
          <w:sz w:val="20"/>
          <w:szCs w:val="20"/>
          <w:color w:val="auto"/>
        </w:rPr>
        <w:t xml:space="preserve">” means, as of any date of determination, any Portfolio Property that is directly or indirectly disposed of by any member of the Consolidated Group to a Person that is not a member of the Consolidated Group during the then most recently ended fiscal quarter of the REIT for which financial statements have been provided to the Administrative Agent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w:t>
      </w:r>
    </w:p>
    <w:p>
      <w:pPr>
        <w:spacing w:after="0" w:line="205" w:lineRule="exact"/>
        <w:rPr>
          <w:sz w:val="20"/>
          <w:szCs w:val="20"/>
          <w:color w:val="auto"/>
        </w:rPr>
      </w:pPr>
    </w:p>
    <w:p>
      <w:pPr>
        <w:jc w:val="both"/>
        <w:ind w:firstLine="600"/>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Disposition</w:t>
      </w:r>
      <w:r>
        <w:rPr>
          <w:rFonts w:ascii="Arial" w:cs="Arial" w:eastAsia="Arial" w:hAnsi="Arial"/>
          <w:sz w:val="20"/>
          <w:szCs w:val="20"/>
          <w:color w:val="auto"/>
        </w:rPr>
        <w:t>” or “</w:t>
      </w:r>
      <w:r>
        <w:rPr>
          <w:rFonts w:ascii="Arial" w:cs="Arial" w:eastAsia="Arial" w:hAnsi="Arial"/>
          <w:sz w:val="20"/>
          <w:szCs w:val="20"/>
          <w:u w:val="single" w:color="auto"/>
          <w:color w:val="auto"/>
        </w:rPr>
        <w:t>Dispose</w:t>
      </w:r>
      <w:r>
        <w:rPr>
          <w:rFonts w:ascii="Arial" w:cs="Arial" w:eastAsia="Arial" w:hAnsi="Arial"/>
          <w:sz w:val="20"/>
          <w:szCs w:val="20"/>
          <w:color w:val="auto"/>
        </w:rPr>
        <w:t>” means the sale, transfer, license, lease (other than a real estate lease entered into in the ordinary course of business) or other disposition (including any sale and leaseback transaction) of any property by any Person, including any sale, assignment, transfer or other disposal, with or without recourse, of any notes or accounts receivable or any rights and claims associated therewith.</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pacing w:after="0" w:line="245" w:lineRule="exact"/>
        <w:rPr>
          <w:sz w:val="20"/>
          <w:szCs w:val="20"/>
          <w:color w:val="auto"/>
        </w:rPr>
      </w:pPr>
    </w:p>
    <w:p>
      <w:pPr>
        <w:ind w:right="20" w:firstLine="6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Financial Institution</w:t>
      </w:r>
      <w:r>
        <w:rPr>
          <w:rFonts w:ascii="Arial" w:cs="Arial" w:eastAsia="Arial" w:hAnsi="Arial"/>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50" w:lineRule="exact"/>
        <w:rPr>
          <w:sz w:val="20"/>
          <w:szCs w:val="20"/>
          <w:color w:val="auto"/>
        </w:rPr>
      </w:pPr>
    </w:p>
    <w:p>
      <w:pPr>
        <w:ind w:right="400" w:firstLine="600"/>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Resolution Authority</w:t>
      </w:r>
      <w:r>
        <w:rPr>
          <w:rFonts w:ascii="Arial" w:cs="Arial" w:eastAsia="Arial" w:hAnsi="Arial"/>
          <w:sz w:val="20"/>
          <w:szCs w:val="20"/>
          <w:color w:val="auto"/>
        </w:rPr>
        <w:t xml:space="preserve">” means any public administrative authority or any </w:t>
      </w:r>
      <w:r>
        <w:rPr>
          <w:rFonts w:ascii="Arial" w:cs="Arial" w:eastAsia="Arial" w:hAnsi="Arial"/>
          <w:sz w:val="20"/>
          <w:szCs w:val="20"/>
          <w:color w:val="FF0000"/>
          <w:strike w:val="1"/>
        </w:rPr>
        <w:t>person</w:t>
      </w:r>
      <w:r>
        <w:rPr>
          <w:rFonts w:ascii="Arial" w:cs="Arial" w:eastAsia="Arial" w:hAnsi="Arial"/>
          <w:sz w:val="20"/>
          <w:szCs w:val="20"/>
          <w:b w:val="1"/>
          <w:bCs w:val="1"/>
          <w:u w:val="single" w:color="auto"/>
          <w:color w:val="0000FF"/>
          <w:highlight w:val="lightGray"/>
        </w:rPr>
        <w:t>Person</w:t>
      </w:r>
      <w:r>
        <w:rPr>
          <w:rFonts w:ascii="Arial" w:cs="Arial" w:eastAsia="Arial" w:hAnsi="Arial"/>
          <w:sz w:val="20"/>
          <w:szCs w:val="20"/>
          <w:color w:val="auto"/>
        </w:rPr>
        <w:t xml:space="preserve"> entrusted with public administrative authority of any EEA Member Country (including any delegee) having responsibility for the resolution of any EEA Financial Institution.</w:t>
      </w:r>
    </w:p>
    <w:p>
      <w:pPr>
        <w:spacing w:after="0" w:line="200" w:lineRule="exact"/>
        <w:rPr>
          <w:sz w:val="20"/>
          <w:szCs w:val="20"/>
          <w:color w:val="auto"/>
        </w:rPr>
      </w:pPr>
    </w:p>
    <w:p>
      <w:pPr>
        <w:spacing w:after="0" w:line="21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20"/>
          </w:cols>
          <w:pgMar w:left="840" w:top="795" w:right="239" w:bottom="1440" w:gutter="0" w:footer="0" w:header="0"/>
        </w:sectPr>
      </w:pPr>
    </w:p>
    <w:bookmarkStart w:id="245" w:name="page246"/>
    <w:bookmarkEnd w:id="245"/>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xml:space="preserve">” means any Person that meets the requirements to be an assignee under </w:t>
      </w:r>
      <w:r>
        <w:rPr>
          <w:rFonts w:ascii="Arial" w:cs="Arial" w:eastAsia="Arial" w:hAnsi="Arial"/>
          <w:sz w:val="20"/>
          <w:szCs w:val="20"/>
          <w:u w:val="single" w:color="auto"/>
          <w:color w:val="auto"/>
        </w:rPr>
        <w:t>Section 10.06(b)(iii)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10.06(b)(iii)</w:t>
      </w:r>
      <w:r>
        <w:rPr>
          <w:rFonts w:ascii="Arial" w:cs="Arial" w:eastAsia="Arial" w:hAnsi="Arial"/>
          <w:sz w:val="20"/>
          <w:szCs w:val="20"/>
          <w:color w:val="auto"/>
        </w:rPr>
        <w:t>).</w:t>
      </w:r>
    </w:p>
    <w:p>
      <w:pPr>
        <w:spacing w:after="0" w:line="185" w:lineRule="exact"/>
        <w:rPr>
          <w:sz w:val="20"/>
          <w:szCs w:val="20"/>
          <w:color w:val="auto"/>
        </w:rPr>
      </w:pPr>
    </w:p>
    <w:p>
      <w:pPr>
        <w:jc w:val="both"/>
        <w:ind w:firstLine="600"/>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Ground Lease</w:t>
      </w:r>
      <w:r>
        <w:rPr>
          <w:rFonts w:ascii="Arial" w:cs="Arial" w:eastAsia="Arial" w:hAnsi="Arial"/>
          <w:sz w:val="19"/>
          <w:szCs w:val="19"/>
          <w:color w:val="auto"/>
        </w:rPr>
        <w:t xml:space="preserve">” means a ground lease with respect to a Portfolio Property executed by a </w:t>
      </w:r>
      <w:r>
        <w:rPr>
          <w:rFonts w:ascii="Arial" w:cs="Arial" w:eastAsia="Arial" w:hAnsi="Arial"/>
          <w:sz w:val="19"/>
          <w:szCs w:val="19"/>
          <w:color w:val="FF0000"/>
          <w:strike w:val="1"/>
        </w:rPr>
        <w:t>Loan Party or</w:t>
      </w:r>
      <w:r>
        <w:rPr>
          <w:rFonts w:ascii="Arial" w:cs="Arial" w:eastAsia="Arial" w:hAnsi="Arial"/>
          <w:sz w:val="19"/>
          <w:szCs w:val="19"/>
          <w:b w:val="1"/>
          <w:bCs w:val="1"/>
          <w:u w:val="single" w:color="auto"/>
          <w:color w:val="0000FF"/>
          <w:highlight w:val="lightGray"/>
        </w:rPr>
        <w:t>Controlled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highlight w:val="lightGray"/>
        </w:rPr>
        <w:t>Joint Venture or a Wholly Owned</w:t>
      </w:r>
      <w:r>
        <w:rPr>
          <w:rFonts w:ascii="Arial" w:cs="Arial" w:eastAsia="Arial" w:hAnsi="Arial"/>
          <w:sz w:val="19"/>
          <w:szCs w:val="19"/>
          <w:b w:val="1"/>
          <w:bCs w:val="1"/>
          <w:color w:val="0000FF"/>
          <w:highlight w:val="lightGray"/>
        </w:rPr>
        <w:t xml:space="preserve"> </w:t>
      </w:r>
      <w:r>
        <w:rPr>
          <w:rFonts w:ascii="Arial" w:cs="Arial" w:eastAsia="Arial" w:hAnsi="Arial"/>
          <w:sz w:val="19"/>
          <w:szCs w:val="19"/>
          <w:color w:val="000000"/>
        </w:rPr>
        <w:t>Subsidiary</w:t>
      </w:r>
      <w:r>
        <w:rPr>
          <w:rFonts w:ascii="Arial" w:cs="Arial" w:eastAsia="Arial" w:hAnsi="Arial"/>
          <w:sz w:val="19"/>
          <w:szCs w:val="19"/>
          <w:b w:val="1"/>
          <w:bCs w:val="1"/>
          <w:color w:val="0000FF"/>
          <w:highlight w:val="lightGray"/>
        </w:rPr>
        <w:t xml:space="preserve"> </w:t>
      </w:r>
      <w:r>
        <w:rPr>
          <w:rFonts w:ascii="Arial" w:cs="Arial" w:eastAsia="Arial" w:hAnsi="Arial"/>
          <w:sz w:val="19"/>
          <w:szCs w:val="19"/>
          <w:color w:val="FF0000"/>
          <w:strike w:val="1"/>
        </w:rPr>
        <w:t>thereof</w:t>
      </w:r>
      <w:r>
        <w:rPr>
          <w:rFonts w:ascii="Arial" w:cs="Arial" w:eastAsia="Arial" w:hAnsi="Arial"/>
          <w:sz w:val="19"/>
          <w:szCs w:val="19"/>
          <w:b w:val="1"/>
          <w:bCs w:val="1"/>
          <w:u w:val="single" w:color="auto"/>
          <w:color w:val="0000FF"/>
          <w:highlight w:val="lightGray"/>
        </w:rPr>
        <w:t>of the Borrower</w:t>
      </w:r>
      <w:r>
        <w:rPr>
          <w:rFonts w:ascii="Arial" w:cs="Arial" w:eastAsia="Arial" w:hAnsi="Arial"/>
          <w:sz w:val="19"/>
          <w:szCs w:val="19"/>
          <w:color w:val="000000"/>
        </w:rPr>
        <w:t>, as lessee, that (a) has a minimum remaining term of thirty</w:t>
      </w:r>
      <w:r>
        <w:rPr>
          <w:rFonts w:ascii="Arial" w:cs="Arial" w:eastAsia="Arial" w:hAnsi="Arial"/>
          <w:sz w:val="19"/>
          <w:szCs w:val="19"/>
          <w:b w:val="1"/>
          <w:bCs w:val="1"/>
          <w:color w:val="0000FF"/>
          <w:highlight w:val="lightGray"/>
        </w:rPr>
        <w:t xml:space="preserve"> </w:t>
      </w:r>
      <w:r>
        <w:rPr>
          <w:rFonts w:ascii="Arial" w:cs="Arial" w:eastAsia="Arial" w:hAnsi="Arial"/>
          <w:sz w:val="19"/>
          <w:szCs w:val="19"/>
          <w:color w:val="000000"/>
        </w:rPr>
        <w:t xml:space="preserve">five (35) years, including tenant controlled options, as of the date the related Portfolio Property becomes an Unencumbered Eligible Property hereunder (or, if prior to the Closing Date, the date on which it became an “Unencumbered Eligible Property” under the Revolving Credit Agreement), (b) has customary notice rights, default cure rights, bankruptcy new lease rights and other customary provisions for the benefit of a leasehold mortgagee or has equivalent protection for a leasehold permanent mortgagee by a subordination to such leasehold permanent mortgagee of the landlord's fee interest and (c) is otherwise acceptable for </w:t>
      </w:r>
      <w:r>
        <w:rPr>
          <w:rFonts w:ascii="Arial" w:cs="Arial" w:eastAsia="Arial" w:hAnsi="Arial"/>
          <w:sz w:val="19"/>
          <w:szCs w:val="19"/>
          <w:color w:val="FF0000"/>
          <w:strike w:val="1"/>
        </w:rPr>
        <w:t>non</w:t>
      </w:r>
      <w:r>
        <w:rPr>
          <w:rFonts w:ascii="Arial" w:cs="Arial" w:eastAsia="Arial" w:hAnsi="Arial"/>
          <w:sz w:val="19"/>
          <w:szCs w:val="19"/>
          <w:color w:val="000000"/>
        </w:rPr>
        <w:t xml:space="preserve"> </w:t>
      </w:r>
      <w:r>
        <w:rPr>
          <w:rFonts w:ascii="Arial" w:cs="Arial" w:eastAsia="Arial" w:hAnsi="Arial"/>
          <w:sz w:val="19"/>
          <w:szCs w:val="19"/>
          <w:color w:val="FF0000"/>
          <w:strike w:val="1"/>
        </w:rPr>
        <w:t>recourse</w:t>
      </w:r>
      <w:r>
        <w:rPr>
          <w:rFonts w:ascii="Arial" w:cs="Arial" w:eastAsia="Arial" w:hAnsi="Arial"/>
          <w:sz w:val="19"/>
          <w:szCs w:val="19"/>
          <w:b w:val="1"/>
          <w:bCs w:val="1"/>
          <w:u w:val="single" w:color="auto"/>
          <w:color w:val="0000FF"/>
          <w:highlight w:val="lightGray"/>
        </w:rPr>
        <w:t>non-recourse</w:t>
      </w:r>
      <w:r>
        <w:rPr>
          <w:rFonts w:ascii="Arial" w:cs="Arial" w:eastAsia="Arial" w:hAnsi="Arial"/>
          <w:sz w:val="19"/>
          <w:szCs w:val="19"/>
          <w:color w:val="FF0000"/>
        </w:rPr>
        <w:t xml:space="preserve"> </w:t>
      </w:r>
      <w:r>
        <w:rPr>
          <w:rFonts w:ascii="Arial" w:cs="Arial" w:eastAsia="Arial" w:hAnsi="Arial"/>
          <w:sz w:val="19"/>
          <w:szCs w:val="19"/>
          <w:color w:val="000000"/>
        </w:rPr>
        <w:t>leasehold mortgage financing under customary prudent lending requirements as reasonably and mutually</w:t>
      </w:r>
      <w:r>
        <w:rPr>
          <w:rFonts w:ascii="Arial" w:cs="Arial" w:eastAsia="Arial" w:hAnsi="Arial"/>
          <w:sz w:val="19"/>
          <w:szCs w:val="19"/>
          <w:color w:val="FF0000"/>
        </w:rPr>
        <w:t xml:space="preserve"> </w:t>
      </w:r>
      <w:r>
        <w:rPr>
          <w:rFonts w:ascii="Arial" w:cs="Arial" w:eastAsia="Arial" w:hAnsi="Arial"/>
          <w:sz w:val="19"/>
          <w:szCs w:val="19"/>
          <w:color w:val="000000"/>
        </w:rPr>
        <w:t>determined by both the Borrower and the Administrative Agent.</w:t>
      </w:r>
    </w:p>
    <w:p>
      <w:pPr>
        <w:spacing w:after="0" w:line="200"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w:t>
      </w:r>
      <w:r>
        <w:rPr>
          <w:rFonts w:ascii="Arial" w:cs="Arial" w:eastAsia="Arial" w:hAnsi="Arial"/>
          <w:sz w:val="20"/>
          <w:szCs w:val="20"/>
          <w:color w:val="auto"/>
        </w:rPr>
        <w:t>” means ambient air, indoor air, surface water, groundwater, drinking water, soil, surface and subsurface strata, and natural resources such as wetlands, flora and fauna.</w:t>
      </w:r>
    </w:p>
    <w:p>
      <w:pPr>
        <w:spacing w:after="0" w:line="191" w:lineRule="exact"/>
        <w:rPr>
          <w:sz w:val="20"/>
          <w:szCs w:val="20"/>
          <w:color w:val="auto"/>
        </w:rPr>
      </w:pPr>
    </w:p>
    <w:p>
      <w:pPr>
        <w:jc w:val="both"/>
        <w:ind w:firstLine="600"/>
        <w:spacing w:after="0" w:line="273" w:lineRule="auto"/>
        <w:rPr>
          <w:sz w:val="20"/>
          <w:szCs w:val="20"/>
          <w:color w:val="auto"/>
        </w:rPr>
      </w:pPr>
      <w:r>
        <w:rPr>
          <w:rFonts w:ascii="Arial" w:cs="Arial" w:eastAsia="Arial" w:hAnsi="Arial"/>
          <w:sz w:val="19"/>
          <w:szCs w:val="19"/>
          <w:u w:val="single" w:color="auto"/>
          <w:color w:val="auto"/>
        </w:rPr>
        <w:t>"Environmental Laws</w:t>
      </w:r>
      <w:r>
        <w:rPr>
          <w:rFonts w:ascii="Arial" w:cs="Arial" w:eastAsia="Arial" w:hAnsi="Arial"/>
          <w:sz w:val="19"/>
          <w:szCs w:val="19"/>
          <w:color w:val="auto"/>
        </w:rPr>
        <w:t>” means any and all Federal, state, local, and foreign statutes, laws, regulations, ordinances, rules, judgments, orders, decrees, permits, agreements or governmental restrictions relating to pollution or the protection of the Environment or of human health (to the extent related to exposure to Hazardous Materials), including those relating to the manufacture, generation, handling, transport, storage, treatment, Release or threat of Release of Hazardous Materials.</w:t>
      </w:r>
    </w:p>
    <w:p>
      <w:pPr>
        <w:spacing w:after="0" w:line="192"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Liability</w:t>
      </w:r>
      <w:r>
        <w:rPr>
          <w:rFonts w:ascii="Arial" w:cs="Arial" w:eastAsia="Arial" w:hAnsi="Arial"/>
          <w:sz w:val="20"/>
          <w:szCs w:val="20"/>
          <w:color w:val="auto"/>
        </w:rPr>
        <w:t xml:space="preserve">” means any liability, contingent or otherwise (including any liability for damages, costs of environmental remediation, fines, penalties or indemnities), of the Borrower, </w:t>
      </w:r>
      <w:r>
        <w:rPr>
          <w:rFonts w:ascii="Arial" w:cs="Arial" w:eastAsia="Arial" w:hAnsi="Arial"/>
          <w:sz w:val="20"/>
          <w:szCs w:val="20"/>
          <w:color w:val="FF0000"/>
          <w:strike w:val="1"/>
        </w:rPr>
        <w:t>any other Loan Party</w:t>
      </w:r>
      <w:r>
        <w:rPr>
          <w:rFonts w:ascii="Arial" w:cs="Arial" w:eastAsia="Arial" w:hAnsi="Arial"/>
          <w:sz w:val="20"/>
          <w:szCs w:val="20"/>
          <w:b w:val="1"/>
          <w:bCs w:val="1"/>
          <w:u w:val="single" w:color="auto"/>
          <w:color w:val="0000FF"/>
          <w:highlight w:val="lightGray"/>
        </w:rPr>
        <w:t>the REIT</w:t>
      </w:r>
      <w:r>
        <w:rPr>
          <w:rFonts w:ascii="Arial" w:cs="Arial" w:eastAsia="Arial" w:hAnsi="Arial"/>
          <w:sz w:val="20"/>
          <w:szCs w:val="20"/>
          <w:color w:val="auto"/>
        </w:rPr>
        <w:t xml:space="preserve">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212"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Permit</w:t>
      </w:r>
      <w:r>
        <w:rPr>
          <w:rFonts w:ascii="Arial" w:cs="Arial" w:eastAsia="Arial" w:hAnsi="Arial"/>
          <w:sz w:val="20"/>
          <w:szCs w:val="20"/>
          <w:color w:val="auto"/>
        </w:rPr>
        <w:t>” means any permit, approval, identification number, license or other authorization required under any Environmental Law.</w:t>
      </w:r>
    </w:p>
    <w:p>
      <w:pPr>
        <w:spacing w:after="0" w:line="191" w:lineRule="exact"/>
        <w:rPr>
          <w:sz w:val="20"/>
          <w:szCs w:val="20"/>
          <w:color w:val="auto"/>
        </w:rPr>
      </w:pPr>
    </w:p>
    <w:p>
      <w:pPr>
        <w:jc w:val="both"/>
        <w:ind w:firstLine="600"/>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Interests</w:t>
      </w:r>
      <w:r>
        <w:rPr>
          <w:rFonts w:ascii="Arial" w:cs="Arial" w:eastAsia="Arial" w:hAnsi="Arial"/>
          <w:sz w:val="19"/>
          <w:szCs w:val="19"/>
          <w:color w:val="auto"/>
        </w:rPr>
        <w:t xml:space="preserve">”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that Equity Interests shall not include any debt securities or other Indebtedness convertible into, or exchangeable for, Equity Interests.</w:t>
      </w:r>
    </w:p>
    <w:p>
      <w:pPr>
        <w:spacing w:after="0" w:line="200" w:lineRule="exact"/>
        <w:rPr>
          <w:sz w:val="20"/>
          <w:szCs w:val="20"/>
          <w:color w:val="auto"/>
        </w:rPr>
      </w:pPr>
    </w:p>
    <w:p>
      <w:pPr>
        <w:spacing w:after="0" w:line="21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20"/>
          </w:cols>
          <w:pgMar w:left="840" w:top="795" w:right="239" w:bottom="1440" w:gutter="0" w:footer="0" w:header="0"/>
        </w:sectPr>
      </w:pPr>
    </w:p>
    <w:bookmarkStart w:id="246" w:name="page247"/>
    <w:bookmarkEnd w:id="246"/>
    <w:p>
      <w:pPr>
        <w:jc w:val="both"/>
        <w:ind w:left="1" w:firstLine="600"/>
        <w:spacing w:after="0" w:line="27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w:t>
      </w:r>
      <w:r>
        <w:rPr>
          <w:rFonts w:ascii="Arial" w:cs="Arial" w:eastAsia="Arial" w:hAnsi="Arial"/>
          <w:sz w:val="20"/>
          <w:szCs w:val="20"/>
          <w:b w:val="1"/>
          <w:bCs w:val="1"/>
          <w:u w:val="single" w:color="auto"/>
          <w:color w:val="0000FF"/>
          <w:highlight w:val="lightGray"/>
        </w:rPr>
        <w:t>, and the rules and regulations promulgated</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highlight w:val="lightGray"/>
        </w:rPr>
        <w:t>thereunder</w:t>
      </w:r>
      <w:r>
        <w:rPr>
          <w:rFonts w:ascii="Arial" w:cs="Arial" w:eastAsia="Arial" w:hAnsi="Arial"/>
          <w:sz w:val="20"/>
          <w:szCs w:val="20"/>
          <w:color w:val="000000"/>
        </w:rPr>
        <w:t>.</w:t>
      </w:r>
    </w:p>
    <w:p>
      <w:pPr>
        <w:spacing w:after="0" w:line="183" w:lineRule="exact"/>
        <w:rPr>
          <w:sz w:val="20"/>
          <w:szCs w:val="20"/>
          <w:color w:val="auto"/>
        </w:rPr>
      </w:pPr>
    </w:p>
    <w:p>
      <w:pPr>
        <w:jc w:val="both"/>
        <w:ind w:left="1"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202" w:lineRule="exact"/>
        <w:rPr>
          <w:sz w:val="20"/>
          <w:szCs w:val="20"/>
          <w:color w:val="auto"/>
        </w:rPr>
      </w:pPr>
    </w:p>
    <w:p>
      <w:pPr>
        <w:jc w:val="both"/>
        <w:ind w:left="1" w:firstLine="600"/>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a Pension Plan, or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spacing w:after="0" w:line="194" w:lineRule="exact"/>
        <w:rPr>
          <w:sz w:val="20"/>
          <w:szCs w:val="20"/>
          <w:color w:val="auto"/>
        </w:rPr>
      </w:pPr>
    </w:p>
    <w:p>
      <w:pPr>
        <w:jc w:val="both"/>
        <w:ind w:left="1"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91" w:lineRule="exact"/>
        <w:rPr>
          <w:sz w:val="20"/>
          <w:szCs w:val="20"/>
          <w:color w:val="auto"/>
        </w:rPr>
      </w:pPr>
    </w:p>
    <w:p>
      <w:pPr>
        <w:jc w:val="both"/>
        <w:ind w:left="1" w:firstLine="600"/>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w:t>
      </w:r>
      <w:r>
        <w:rPr>
          <w:rFonts w:ascii="Arial" w:cs="Arial" w:eastAsia="Arial" w:hAnsi="Arial"/>
          <w:sz w:val="18"/>
          <w:szCs w:val="18"/>
          <w:color w:val="auto"/>
        </w:rPr>
        <w:t>” means, for any Interest Period, the greater of (a) zero percent (0.0%) for the purposes of any applicable portion of the Term Loan that has not been identified by the Borrower to the Administrative Agent in writing as being subject to a Swap Contract that provides a hedge against interest rate risk and (b) the applicable interest settlement rate for deposits in Dollars (“</w:t>
      </w:r>
      <w:r>
        <w:rPr>
          <w:rFonts w:ascii="Arial" w:cs="Arial" w:eastAsia="Arial" w:hAnsi="Arial"/>
          <w:sz w:val="18"/>
          <w:szCs w:val="18"/>
          <w:u w:val="single" w:color="auto"/>
          <w:color w:val="auto"/>
        </w:rPr>
        <w:t>LIBOR</w:t>
      </w:r>
      <w:r>
        <w:rPr>
          <w:rFonts w:ascii="Arial" w:cs="Arial" w:eastAsia="Arial" w:hAnsi="Arial"/>
          <w:sz w:val="18"/>
          <w:szCs w:val="18"/>
          <w:color w:val="auto"/>
        </w:rPr>
        <w:t>”) administered by ICE Benchmark Administration (or any other Person that takes over the administration of such rate) appearing on the applicable Reuters Screen (or on any successor or substitute page on such screen) as of 11:00 a.m. (London time) two</w:t>
      </w:r>
    </w:p>
    <w:p>
      <w:pPr>
        <w:spacing w:after="0" w:line="4" w:lineRule="exact"/>
        <w:rPr>
          <w:sz w:val="20"/>
          <w:szCs w:val="20"/>
          <w:color w:val="auto"/>
        </w:rPr>
      </w:pPr>
    </w:p>
    <w:p>
      <w:pPr>
        <w:jc w:val="both"/>
        <w:ind w:left="1" w:hanging="1"/>
        <w:spacing w:after="0" w:line="275" w:lineRule="auto"/>
        <w:tabs>
          <w:tab w:leader="none" w:pos="288" w:val="left"/>
        </w:tabs>
        <w:numPr>
          <w:ilvl w:val="0"/>
          <w:numId w:val="272"/>
        </w:numPr>
        <w:rPr>
          <w:rFonts w:ascii="Arial" w:cs="Arial" w:eastAsia="Arial" w:hAnsi="Arial"/>
          <w:sz w:val="18"/>
          <w:szCs w:val="18"/>
          <w:color w:val="auto"/>
        </w:rPr>
      </w:pPr>
      <w:r>
        <w:rPr>
          <w:rFonts w:ascii="Arial" w:cs="Arial" w:eastAsia="Arial" w:hAnsi="Arial"/>
          <w:sz w:val="18"/>
          <w:szCs w:val="18"/>
          <w:color w:val="auto"/>
        </w:rPr>
        <w:t>Business Days before the first day of such Interest Period, and having a maturity equal to such Interest Period, provided that, if the applicable Reuters Screen (or any successor or substitute page) is not available to the Administrative Agent for any reason, the applicable Eurodollar Rate for the relevant Interest Period shall instead be the applicable interest settlement rate for deposits in Dollars administered by ICE Benchmark Administration (or any other Person that takes over the administration of such rate) as reported by any other generally recognized financial information service selected by the Administrative Agent as of 11:00 a.m. (London time) two</w:t>
      </w:r>
    </w:p>
    <w:p>
      <w:pPr>
        <w:jc w:val="both"/>
        <w:ind w:left="1" w:hanging="1"/>
        <w:spacing w:after="0" w:line="264" w:lineRule="auto"/>
        <w:tabs>
          <w:tab w:leader="none" w:pos="290" w:val="left"/>
        </w:tabs>
        <w:numPr>
          <w:ilvl w:val="0"/>
          <w:numId w:val="273"/>
        </w:numPr>
        <w:rPr>
          <w:rFonts w:ascii="Arial" w:cs="Arial" w:eastAsia="Arial" w:hAnsi="Arial"/>
          <w:sz w:val="19"/>
          <w:szCs w:val="19"/>
          <w:color w:val="auto"/>
        </w:rPr>
      </w:pPr>
      <w:r>
        <w:rPr>
          <w:rFonts w:ascii="Arial" w:cs="Arial" w:eastAsia="Arial" w:hAnsi="Arial"/>
          <w:sz w:val="19"/>
          <w:szCs w:val="19"/>
          <w:color w:val="auto"/>
        </w:rPr>
        <w:t>Business Days before the first day of such Interest Period, and having a maturity equal to such Interest Period</w:t>
      </w:r>
      <w:r>
        <w:rPr>
          <w:rFonts w:ascii="Arial" w:cs="Arial" w:eastAsia="Arial" w:hAnsi="Arial"/>
          <w:sz w:val="19"/>
          <w:szCs w:val="19"/>
          <w:color w:val="FF0000"/>
          <w:strike w:val="1"/>
        </w:rPr>
        <w:t>, provided that, if no</w:t>
      </w:r>
      <w:r>
        <w:rPr>
          <w:rFonts w:ascii="Arial" w:cs="Arial" w:eastAsia="Arial" w:hAnsi="Arial"/>
          <w:sz w:val="19"/>
          <w:szCs w:val="19"/>
          <w:color w:val="auto"/>
        </w:rPr>
        <w:t xml:space="preserve"> </w:t>
      </w:r>
      <w:r>
        <w:rPr>
          <w:rFonts w:ascii="Arial" w:cs="Arial" w:eastAsia="Arial" w:hAnsi="Arial"/>
          <w:sz w:val="19"/>
          <w:szCs w:val="19"/>
          <w:color w:val="FF0000"/>
          <w:strike w:val="1"/>
        </w:rPr>
        <w:t>such interest settlement rate administered by ICE Benchmark Administration (or any other Person that takes over the administration of such rate) is available to the Administrative Agent, the applicable Eurodollar Rate for the relevant Interest Period shall instead be the rate determined by the Administrative Agent to be the rate at which U.S. Bank or one of its Affiliate banks offers to place deposits in Dollars with first-class banks in the interbank market at approximately 11:00 a.m. (London time) two (2) Business Days prior to the first day of such Interest Period, in the approximate amount of U.S. Bank’s relevant</w:t>
      </w:r>
    </w:p>
    <w:p>
      <w:pPr>
        <w:spacing w:after="0" w:line="181" w:lineRule="exact"/>
        <w:rPr>
          <w:sz w:val="20"/>
          <w:szCs w:val="20"/>
          <w:color w:val="auto"/>
        </w:rPr>
      </w:pPr>
    </w:p>
    <w:p>
      <w:pPr>
        <w:ind w:left="496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21"/>
          </w:cols>
          <w:pgMar w:left="839" w:top="789" w:right="239" w:bottom="1440" w:gutter="0" w:footer="0" w:header="0"/>
        </w:sectPr>
      </w:pPr>
    </w:p>
    <w:bookmarkStart w:id="247" w:name="page248"/>
    <w:bookmarkEnd w:id="247"/>
    <w:p>
      <w:pPr>
        <w:jc w:val="both"/>
        <w:spacing w:after="0" w:line="253" w:lineRule="auto"/>
        <w:rPr>
          <w:sz w:val="20"/>
          <w:szCs w:val="20"/>
          <w:color w:val="auto"/>
        </w:rPr>
      </w:pPr>
      <w:r>
        <w:rPr>
          <w:rFonts w:ascii="Arial" w:cs="Arial" w:eastAsia="Arial" w:hAnsi="Arial"/>
          <w:sz w:val="20"/>
          <w:szCs w:val="20"/>
          <w:color w:val="FF0000"/>
          <w:strike w:val="1"/>
        </w:rPr>
        <w:t>LIBOR Loan and having a maturity equal to such Interest Period</w:t>
      </w:r>
      <w:r>
        <w:rPr>
          <w:rFonts w:ascii="Arial" w:cs="Arial" w:eastAsia="Arial" w:hAnsi="Arial"/>
          <w:sz w:val="20"/>
          <w:szCs w:val="20"/>
          <w:color w:val="000000"/>
        </w:rPr>
        <w:t>;</w:t>
      </w:r>
      <w:r>
        <w:rPr>
          <w:rFonts w:ascii="Arial" w:cs="Arial" w:eastAsia="Arial" w:hAnsi="Arial"/>
          <w:sz w:val="20"/>
          <w:szCs w:val="20"/>
          <w:color w:val="FF0000"/>
        </w:rPr>
        <w:t xml:space="preserve"> </w:t>
      </w:r>
      <w:r>
        <w:rPr>
          <w:rFonts w:ascii="Arial" w:cs="Arial" w:eastAsia="Arial" w:hAnsi="Arial"/>
          <w:sz w:val="20"/>
          <w:szCs w:val="20"/>
          <w:u w:val="single" w:color="auto"/>
          <w:color w:val="000000"/>
        </w:rPr>
        <w:t>provided</w:t>
      </w:r>
      <w:r>
        <w:rPr>
          <w:rFonts w:ascii="Arial" w:cs="Arial" w:eastAsia="Arial" w:hAnsi="Arial"/>
          <w:sz w:val="20"/>
          <w:szCs w:val="20"/>
          <w:color w:val="FF0000"/>
        </w:rPr>
        <w:t xml:space="preserve"> </w:t>
      </w:r>
      <w:r>
        <w:rPr>
          <w:rFonts w:ascii="Arial" w:cs="Arial" w:eastAsia="Arial" w:hAnsi="Arial"/>
          <w:sz w:val="20"/>
          <w:szCs w:val="20"/>
          <w:color w:val="000000"/>
        </w:rPr>
        <w:t>that to the extent a comparable or successor rate to LIBOR</w:t>
      </w:r>
      <w:r>
        <w:rPr>
          <w:rFonts w:ascii="Arial" w:cs="Arial" w:eastAsia="Arial" w:hAnsi="Arial"/>
          <w:sz w:val="20"/>
          <w:szCs w:val="20"/>
          <w:color w:val="FF0000"/>
        </w:rPr>
        <w:t xml:space="preserve"> </w:t>
      </w:r>
      <w:r>
        <w:rPr>
          <w:rFonts w:ascii="Arial" w:cs="Arial" w:eastAsia="Arial" w:hAnsi="Arial"/>
          <w:sz w:val="20"/>
          <w:szCs w:val="20"/>
          <w:color w:val="000000"/>
        </w:rPr>
        <w:t xml:space="preserve">is approved by the Administrative Agent in connection </w:t>
      </w:r>
      <w:r>
        <w:rPr>
          <w:rFonts w:ascii="Arial" w:cs="Arial" w:eastAsia="Arial" w:hAnsi="Arial"/>
          <w:sz w:val="20"/>
          <w:szCs w:val="20"/>
          <w:color w:val="FF0000"/>
          <w:strike w:val="1"/>
        </w:rPr>
        <w:t>herewith</w:t>
      </w:r>
      <w:r>
        <w:rPr>
          <w:rFonts w:ascii="Arial" w:cs="Arial" w:eastAsia="Arial" w:hAnsi="Arial"/>
          <w:sz w:val="20"/>
          <w:szCs w:val="20"/>
          <w:b w:val="1"/>
          <w:bCs w:val="1"/>
          <w:u w:val="single" w:color="auto"/>
          <w:color w:val="0000FF"/>
          <w:highlight w:val="lightGray"/>
        </w:rPr>
        <w:t>with this Agreement</w:t>
      </w:r>
      <w:r>
        <w:rPr>
          <w:rFonts w:ascii="Arial" w:cs="Arial" w:eastAsia="Arial" w:hAnsi="Arial"/>
          <w:sz w:val="20"/>
          <w:szCs w:val="20"/>
          <w:color w:val="000000"/>
        </w:rPr>
        <w:t xml:space="preserve">, the approved rate shall be applied to the applicable Interest Period in a manner consistent with market practice; </w:t>
      </w:r>
      <w:r>
        <w:rPr>
          <w:rFonts w:ascii="Arial" w:cs="Arial" w:eastAsia="Arial" w:hAnsi="Arial"/>
          <w:sz w:val="20"/>
          <w:szCs w:val="20"/>
          <w:u w:val="single" w:color="auto"/>
          <w:color w:val="000000"/>
        </w:rPr>
        <w:t>provided further</w:t>
      </w:r>
      <w:r>
        <w:rPr>
          <w:rFonts w:ascii="Arial" w:cs="Arial" w:eastAsia="Arial" w:hAnsi="Arial"/>
          <w:sz w:val="20"/>
          <w:szCs w:val="20"/>
          <w:color w:val="000000"/>
        </w:rPr>
        <w:t xml:space="preserve"> that to the extent such market practice is not administratively feasible for the Administrative Agent, such approved rate shall be applied to the applicable Interest Period as otherwise reasonably determined by the Administrative Agent.</w:t>
      </w:r>
    </w:p>
    <w:p>
      <w:pPr>
        <w:spacing w:after="0" w:line="212" w:lineRule="exact"/>
        <w:rPr>
          <w:sz w:val="20"/>
          <w:szCs w:val="20"/>
          <w:color w:val="auto"/>
        </w:rPr>
      </w:pPr>
    </w:p>
    <w:p>
      <w:pPr>
        <w:jc w:val="both"/>
        <w:ind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Rate Loan</w:t>
      </w:r>
      <w:r>
        <w:rPr>
          <w:rFonts w:ascii="Arial" w:cs="Arial" w:eastAsia="Arial" w:hAnsi="Arial"/>
          <w:sz w:val="20"/>
          <w:szCs w:val="20"/>
          <w:color w:val="auto"/>
        </w:rPr>
        <w:t>” means a Term Loan that bears interest at a rate based on the definition of “Eurodollar Rate” (other than, for the avoidance of doubt, a Term Loan that bears interest based on the Base Rate determined by reference to clause (iv) of the definition thereof).</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239" w:lineRule="exact"/>
        <w:rPr>
          <w:sz w:val="20"/>
          <w:szCs w:val="20"/>
          <w:color w:val="auto"/>
        </w:rPr>
      </w:pPr>
    </w:p>
    <w:p>
      <w:pPr>
        <w:jc w:val="both"/>
        <w:ind w:firstLine="600"/>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Subsidiary</w:t>
      </w:r>
      <w:r>
        <w:rPr>
          <w:rFonts w:ascii="Arial" w:cs="Arial" w:eastAsia="Arial" w:hAnsi="Arial"/>
          <w:sz w:val="19"/>
          <w:szCs w:val="19"/>
          <w:color w:val="auto"/>
        </w:rPr>
        <w:t>” means any Subsidiary of the Borrower that (</w:t>
      </w:r>
      <w:r>
        <w:rPr>
          <w:rFonts w:ascii="Arial" w:cs="Arial" w:eastAsia="Arial" w:hAnsi="Arial"/>
          <w:sz w:val="19"/>
          <w:szCs w:val="19"/>
          <w:color w:val="FF0000"/>
          <w:strike w:val="1"/>
        </w:rPr>
        <w:t>i</w:t>
      </w:r>
      <w:r>
        <w:rPr>
          <w:rFonts w:ascii="Arial" w:cs="Arial" w:eastAsia="Arial" w:hAnsi="Arial"/>
          <w:sz w:val="19"/>
          <w:szCs w:val="19"/>
          <w:b w:val="1"/>
          <w:bCs w:val="1"/>
          <w:u w:val="single" w:color="auto"/>
          <w:color w:val="0000FF"/>
          <w:highlight w:val="lightGray"/>
        </w:rPr>
        <w:t>a</w:t>
      </w:r>
      <w:r>
        <w:rPr>
          <w:rFonts w:ascii="Arial" w:cs="Arial" w:eastAsia="Arial" w:hAnsi="Arial"/>
          <w:sz w:val="19"/>
          <w:szCs w:val="19"/>
          <w:color w:val="auto"/>
        </w:rPr>
        <w:t xml:space="preserve">) </w:t>
      </w:r>
      <w:r>
        <w:rPr>
          <w:rFonts w:ascii="Arial" w:cs="Arial" w:eastAsia="Arial" w:hAnsi="Arial"/>
          <w:sz w:val="19"/>
          <w:szCs w:val="19"/>
          <w:color w:val="FF0000"/>
          <w:strike w:val="1"/>
        </w:rPr>
        <w:t>does not own or ground lease all or any portion</w:t>
      </w:r>
      <w:r>
        <w:rPr>
          <w:rFonts w:ascii="Arial" w:cs="Arial" w:eastAsia="Arial" w:hAnsi="Arial"/>
          <w:sz w:val="19"/>
          <w:szCs w:val="19"/>
          <w:b w:val="1"/>
          <w:bCs w:val="1"/>
          <w:u w:val="single" w:color="auto"/>
          <w:color w:val="0000FF"/>
          <w:highlight w:val="lightGray"/>
        </w:rPr>
        <w:t>is not a</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highlight w:val="lightGray"/>
        </w:rPr>
        <w:t>Direct Owner</w:t>
      </w:r>
      <w:r>
        <w:rPr>
          <w:rFonts w:ascii="Arial" w:cs="Arial" w:eastAsia="Arial" w:hAnsi="Arial"/>
          <w:sz w:val="19"/>
          <w:szCs w:val="19"/>
          <w:b w:val="1"/>
          <w:bCs w:val="1"/>
          <w:color w:val="0000FF"/>
          <w:highlight w:val="lightGray"/>
        </w:rPr>
        <w:t xml:space="preserve"> </w:t>
      </w:r>
      <w:r>
        <w:rPr>
          <w:rFonts w:ascii="Arial" w:cs="Arial" w:eastAsia="Arial" w:hAnsi="Arial"/>
          <w:sz w:val="19"/>
          <w:szCs w:val="19"/>
          <w:color w:val="000000"/>
        </w:rPr>
        <w:t>of any Unencumbered Eligible Property</w:t>
      </w:r>
      <w:r>
        <w:rPr>
          <w:rFonts w:ascii="Arial" w:cs="Arial" w:eastAsia="Arial" w:hAnsi="Arial"/>
          <w:sz w:val="19"/>
          <w:szCs w:val="19"/>
          <w:color w:val="FF0000"/>
          <w:strike w:val="1"/>
        </w:rPr>
        <w:t>;</w:t>
      </w:r>
      <w:r>
        <w:rPr>
          <w:rFonts w:ascii="Arial" w:cs="Arial" w:eastAsia="Arial" w:hAnsi="Arial"/>
          <w:sz w:val="19"/>
          <w:szCs w:val="19"/>
          <w:b w:val="1"/>
          <w:bCs w:val="1"/>
          <w:color w:val="0000FF"/>
          <w:highlight w:val="lightGray"/>
        </w:rPr>
        <w:t xml:space="preserve">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that the provisions of this clause (i) shall not apply to a Controlled</w:t>
      </w:r>
      <w:r>
        <w:rPr>
          <w:rFonts w:ascii="Arial" w:cs="Arial" w:eastAsia="Arial" w:hAnsi="Arial"/>
          <w:sz w:val="19"/>
          <w:szCs w:val="19"/>
          <w:b w:val="1"/>
          <w:bCs w:val="1"/>
          <w:color w:val="0000FF"/>
          <w:highlight w:val="lightGray"/>
        </w:rPr>
        <w:t xml:space="preserve"> </w:t>
      </w:r>
      <w:r>
        <w:rPr>
          <w:rFonts w:ascii="Arial" w:cs="Arial" w:eastAsia="Arial" w:hAnsi="Arial"/>
          <w:sz w:val="19"/>
          <w:szCs w:val="19"/>
          <w:color w:val="FF0000"/>
          <w:strike w:val="1"/>
        </w:rPr>
        <w:t xml:space="preserve">Joint Venture that owns or ground leases all or a portion of an Unencumbered Eligible Property, (ii) does not, directly or indirectly, own all or any portion of the Equity Interests of any Subsidiary that owns an </w:t>
      </w:r>
      <w:r>
        <w:rPr>
          <w:rFonts w:ascii="Arial" w:cs="Arial" w:eastAsia="Arial" w:hAnsi="Arial"/>
          <w:sz w:val="19"/>
          <w:szCs w:val="19"/>
          <w:b w:val="1"/>
          <w:bCs w:val="1"/>
          <w:u w:val="single" w:color="auto"/>
          <w:color w:val="0000FF"/>
          <w:highlight w:val="lightGray"/>
          <w:strike w:val="1"/>
        </w:rPr>
        <w:t>or an Indirect Owner of the Direct Owner of any</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Unencumbered Eligible Property and (</w:t>
      </w:r>
      <w:r>
        <w:rPr>
          <w:rFonts w:ascii="Arial" w:cs="Arial" w:eastAsia="Arial" w:hAnsi="Arial"/>
          <w:sz w:val="19"/>
          <w:szCs w:val="19"/>
          <w:color w:val="FF0000"/>
          <w:strike w:val="1"/>
        </w:rPr>
        <w:t>iii</w:t>
      </w:r>
      <w:r>
        <w:rPr>
          <w:rFonts w:ascii="Arial" w:cs="Arial" w:eastAsia="Arial" w:hAnsi="Arial"/>
          <w:sz w:val="19"/>
          <w:szCs w:val="19"/>
          <w:b w:val="1"/>
          <w:bCs w:val="1"/>
          <w:u w:val="single" w:color="auto"/>
          <w:color w:val="0000FF"/>
          <w:highlight w:val="lightGray"/>
          <w:strike w:val="1"/>
        </w:rPr>
        <w:t>b</w:t>
      </w:r>
      <w:r>
        <w:rPr>
          <w:rFonts w:ascii="Arial" w:cs="Arial" w:eastAsia="Arial" w:hAnsi="Arial"/>
          <w:sz w:val="19"/>
          <w:szCs w:val="19"/>
          <w:color w:val="000000"/>
          <w:strike w:val="1"/>
        </w:rPr>
        <w:t>) is (</w:t>
      </w:r>
      <w:r>
        <w:rPr>
          <w:rFonts w:ascii="Arial" w:cs="Arial" w:eastAsia="Arial" w:hAnsi="Arial"/>
          <w:sz w:val="19"/>
          <w:szCs w:val="19"/>
          <w:color w:val="FF0000"/>
          <w:strike w:val="1"/>
        </w:rPr>
        <w:t>v</w:t>
      </w:r>
      <w:r>
        <w:rPr>
          <w:rFonts w:ascii="Arial" w:cs="Arial" w:eastAsia="Arial" w:hAnsi="Arial"/>
          <w:sz w:val="19"/>
          <w:szCs w:val="19"/>
          <w:b w:val="1"/>
          <w:bCs w:val="1"/>
          <w:u w:val="single" w:color="auto"/>
          <w:color w:val="0000FF"/>
          <w:highlight w:val="lightGray"/>
          <w:strike w:val="1"/>
        </w:rPr>
        <w:t>i</w:t>
      </w:r>
      <w:r>
        <w:rPr>
          <w:rFonts w:ascii="Arial" w:cs="Arial" w:eastAsia="Arial" w:hAnsi="Arial"/>
          <w:sz w:val="19"/>
          <w:szCs w:val="19"/>
          <w:color w:val="000000"/>
          <w:strike w:val="1"/>
        </w:rPr>
        <w:t>) an Excluded TRS Subsidiary, (</w:t>
      </w:r>
      <w:r>
        <w:rPr>
          <w:rFonts w:ascii="Arial" w:cs="Arial" w:eastAsia="Arial" w:hAnsi="Arial"/>
          <w:sz w:val="19"/>
          <w:szCs w:val="19"/>
          <w:color w:val="FF0000"/>
          <w:strike w:val="1"/>
        </w:rPr>
        <w:t>w</w:t>
      </w:r>
      <w:r>
        <w:rPr>
          <w:rFonts w:ascii="Arial" w:cs="Arial" w:eastAsia="Arial" w:hAnsi="Arial"/>
          <w:sz w:val="19"/>
          <w:szCs w:val="19"/>
          <w:b w:val="1"/>
          <w:bCs w:val="1"/>
          <w:u w:val="single" w:color="auto"/>
          <w:color w:val="0000FF"/>
          <w:highlight w:val="lightGray"/>
          <w:strike w:val="1"/>
        </w:rPr>
        <w:t>ii</w:t>
      </w:r>
      <w:r>
        <w:rPr>
          <w:rFonts w:ascii="Arial" w:cs="Arial" w:eastAsia="Arial" w:hAnsi="Arial"/>
          <w:sz w:val="19"/>
          <w:szCs w:val="19"/>
          <w:color w:val="000000"/>
          <w:strike w:val="1"/>
        </w:rPr>
        <w:t>) an Immaterial Subsidiary, (</w:t>
      </w:r>
      <w:r>
        <w:rPr>
          <w:rFonts w:ascii="Arial" w:cs="Arial" w:eastAsia="Arial" w:hAnsi="Arial"/>
          <w:sz w:val="19"/>
          <w:szCs w:val="19"/>
          <w:color w:val="FF0000"/>
          <w:strike w:val="1"/>
        </w:rPr>
        <w:t>x</w:t>
      </w:r>
      <w:r>
        <w:rPr>
          <w:rFonts w:ascii="Arial" w:cs="Arial" w:eastAsia="Arial" w:hAnsi="Arial"/>
          <w:sz w:val="19"/>
          <w:szCs w:val="19"/>
          <w:b w:val="1"/>
          <w:bCs w:val="1"/>
          <w:u w:val="single" w:color="auto"/>
          <w:color w:val="0000FF"/>
          <w:highlight w:val="lightGray"/>
          <w:strike w:val="1"/>
        </w:rPr>
        <w:t>iii</w:t>
      </w:r>
      <w:r>
        <w:rPr>
          <w:rFonts w:ascii="Arial" w:cs="Arial" w:eastAsia="Arial" w:hAnsi="Arial"/>
          <w:sz w:val="19"/>
          <w:szCs w:val="19"/>
          <w:color w:val="000000"/>
          <w:strike w:val="1"/>
        </w:rPr>
        <w:t xml:space="preserve">) a Subsidiary in which the Borrower and/or its </w:t>
      </w:r>
      <w:r>
        <w:rPr>
          <w:rFonts w:ascii="Arial" w:cs="Arial" w:eastAsia="Arial" w:hAnsi="Arial"/>
          <w:sz w:val="19"/>
          <w:szCs w:val="19"/>
          <w:color w:val="FF0000"/>
          <w:strike w:val="1"/>
        </w:rPr>
        <w:t>Wholly-Owned</w:t>
      </w:r>
      <w:r>
        <w:rPr>
          <w:rFonts w:ascii="Arial" w:cs="Arial" w:eastAsia="Arial" w:hAnsi="Arial"/>
          <w:sz w:val="19"/>
          <w:szCs w:val="19"/>
          <w:b w:val="1"/>
          <w:bCs w:val="1"/>
          <w:u w:val="single" w:color="auto"/>
          <w:color w:val="0000FF"/>
          <w:highlight w:val="lightGray"/>
          <w:strike w:val="1"/>
        </w:rPr>
        <w:t>Wholly Owned</w:t>
      </w:r>
      <w:r>
        <w:rPr>
          <w:rFonts w:ascii="Arial" w:cs="Arial" w:eastAsia="Arial" w:hAnsi="Arial"/>
          <w:sz w:val="19"/>
          <w:szCs w:val="19"/>
          <w:color w:val="000000"/>
          <w:strike w:val="1"/>
        </w:rPr>
        <w:t xml:space="preserve"> Subsidiaries directly, indirectly or beneficially own more than 50% but less than 75% of the Equity Interests of such Subsidiary having ordinary voting power for the election of directors or members of any other governing body of such Subsidiary, (</w:t>
      </w:r>
      <w:r>
        <w:rPr>
          <w:rFonts w:ascii="Arial" w:cs="Arial" w:eastAsia="Arial" w:hAnsi="Arial"/>
          <w:sz w:val="19"/>
          <w:szCs w:val="19"/>
          <w:color w:val="FF0000"/>
          <w:strike w:val="1"/>
        </w:rPr>
        <w:t>y</w:t>
      </w:r>
      <w:r>
        <w:rPr>
          <w:rFonts w:ascii="Arial" w:cs="Arial" w:eastAsia="Arial" w:hAnsi="Arial"/>
          <w:sz w:val="19"/>
          <w:szCs w:val="19"/>
          <w:b w:val="1"/>
          <w:bCs w:val="1"/>
          <w:u w:val="single" w:color="auto"/>
          <w:color w:val="0000FF"/>
          <w:highlight w:val="lightGray"/>
          <w:strike w:val="1"/>
        </w:rPr>
        <w:t>iv</w:t>
      </w:r>
      <w:r>
        <w:rPr>
          <w:rFonts w:ascii="Arial" w:cs="Arial" w:eastAsia="Arial" w:hAnsi="Arial"/>
          <w:sz w:val="19"/>
          <w:szCs w:val="19"/>
          <w:color w:val="000000"/>
          <w:strike w:val="1"/>
        </w:rPr>
        <w:t>) a borrower or guarantor of Secured Indebtedness (or a direct or indirect parent of such borrower or guarantor (other than the Borrower or the REIT)), and the terms of such Secured Indebtedness prohibit such Subsidiary from becoming a Guarantor or (</w:t>
      </w:r>
      <w:r>
        <w:rPr>
          <w:rFonts w:ascii="Arial" w:cs="Arial" w:eastAsia="Arial" w:hAnsi="Arial"/>
          <w:sz w:val="19"/>
          <w:szCs w:val="19"/>
          <w:color w:val="FF0000"/>
          <w:strike w:val="1"/>
        </w:rPr>
        <w:t>z</w:t>
      </w:r>
      <w:r>
        <w:rPr>
          <w:rFonts w:ascii="Arial" w:cs="Arial" w:eastAsia="Arial" w:hAnsi="Arial"/>
          <w:sz w:val="19"/>
          <w:szCs w:val="19"/>
          <w:b w:val="1"/>
          <w:bCs w:val="1"/>
          <w:u w:val="single" w:color="auto"/>
          <w:color w:val="0000FF"/>
          <w:highlight w:val="lightGray"/>
          <w:strike w:val="1"/>
        </w:rPr>
        <w:t>v</w:t>
      </w:r>
      <w:r>
        <w:rPr>
          <w:rFonts w:ascii="Arial" w:cs="Arial" w:eastAsia="Arial" w:hAnsi="Arial"/>
          <w:sz w:val="19"/>
          <w:szCs w:val="19"/>
          <w:color w:val="000000"/>
          <w:strike w:val="1"/>
        </w:rPr>
        <w:t>) a CFC that is unable to become a Guarantor without, in the reasonable judgment of the REIT, causing adverse tax consequences to the Consolidated Group.</w:t>
      </w:r>
    </w:p>
    <w:p>
      <w:pPr>
        <w:spacing w:after="0" w:line="200" w:lineRule="exact"/>
        <w:rPr>
          <w:sz w:val="20"/>
          <w:szCs w:val="20"/>
          <w:color w:val="auto"/>
        </w:rPr>
      </w:pPr>
    </w:p>
    <w:p>
      <w:pPr>
        <w:jc w:val="both"/>
        <w:ind w:firstLine="600"/>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means any of the following Taxes imposed on or with respect to Recipient or required to be withheld or deducted from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w:t>
      </w:r>
      <w:r>
        <w:rPr>
          <w:rFonts w:ascii="Arial" w:cs="Arial" w:eastAsia="Arial" w:hAnsi="Arial"/>
          <w:sz w:val="19"/>
          <w:szCs w:val="19"/>
          <w:color w:val="FF0000"/>
          <w:strike w:val="1"/>
        </w:rPr>
        <w:t>commitment</w:t>
      </w:r>
      <w:r>
        <w:rPr>
          <w:rFonts w:ascii="Arial" w:cs="Arial" w:eastAsia="Arial" w:hAnsi="Arial"/>
          <w:sz w:val="19"/>
          <w:szCs w:val="19"/>
          <w:b w:val="1"/>
          <w:bCs w:val="1"/>
          <w:u w:val="single" w:color="auto"/>
          <w:color w:val="0000FF"/>
          <w:highlight w:val="lightGray"/>
        </w:rPr>
        <w:t>Commitment</w:t>
      </w:r>
      <w:r>
        <w:rPr>
          <w:rFonts w:ascii="Arial" w:cs="Arial" w:eastAsia="Arial" w:hAnsi="Arial"/>
          <w:sz w:val="19"/>
          <w:szCs w:val="19"/>
          <w:color w:val="auto"/>
        </w:rPr>
        <w:t xml:space="preserve"> pursuant to a law in effect on the date on which (i) such Lender acquires such interest in the Loan or Commitment (other than pursuant to an assignment request by the Borrower under </w:t>
      </w:r>
      <w:r>
        <w:rPr>
          <w:rFonts w:ascii="Arial" w:cs="Arial" w:eastAsia="Arial" w:hAnsi="Arial"/>
          <w:sz w:val="19"/>
          <w:szCs w:val="19"/>
          <w:u w:val="single" w:color="auto"/>
          <w:color w:val="auto"/>
        </w:rPr>
        <w:t>Section 10.13</w:t>
      </w:r>
      <w:r>
        <w:rPr>
          <w:rFonts w:ascii="Arial" w:cs="Arial" w:eastAsia="Arial" w:hAnsi="Arial"/>
          <w:sz w:val="19"/>
          <w:szCs w:val="19"/>
          <w:color w:val="auto"/>
        </w:rPr>
        <w:t xml:space="preserve">) or (ii) pursuant to </w:t>
      </w:r>
      <w:r>
        <w:rPr>
          <w:rFonts w:ascii="Arial" w:cs="Arial" w:eastAsia="Arial" w:hAnsi="Arial"/>
          <w:sz w:val="19"/>
          <w:szCs w:val="19"/>
          <w:u w:val="single" w:color="auto"/>
          <w:color w:val="auto"/>
        </w:rPr>
        <w:t>Section 3.01(a)(ii)</w:t>
      </w:r>
      <w:r>
        <w:rPr>
          <w:rFonts w:ascii="Arial" w:cs="Arial" w:eastAsia="Arial" w:hAnsi="Arial"/>
          <w:sz w:val="19"/>
          <w:szCs w:val="19"/>
          <w:color w:val="auto"/>
        </w:rPr>
        <w:t xml:space="preserve"> or </w:t>
      </w:r>
      <w:r>
        <w:rPr>
          <w:rFonts w:ascii="Arial" w:cs="Arial" w:eastAsia="Arial" w:hAnsi="Arial"/>
          <w:sz w:val="19"/>
          <w:szCs w:val="19"/>
          <w:b w:val="1"/>
          <w:bCs w:val="1"/>
          <w:u w:val="single" w:color="auto"/>
          <w:color w:val="0000FF"/>
          <w:highlight w:val="lightGray"/>
        </w:rPr>
        <w:t>3.01</w:t>
      </w:r>
      <w:r>
        <w:rPr>
          <w:rFonts w:ascii="Arial" w:cs="Arial" w:eastAsia="Arial" w:hAnsi="Arial"/>
          <w:sz w:val="19"/>
          <w:szCs w:val="19"/>
          <w:color w:val="auto"/>
        </w:rPr>
        <w:t xml:space="preserve">(c),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and (d) any U.S. federal withholding Taxes imposed pursuant to FATCA.</w:t>
      </w:r>
    </w:p>
    <w:p>
      <w:pPr>
        <w:spacing w:after="0" w:line="204" w:lineRule="exact"/>
        <w:rPr>
          <w:sz w:val="20"/>
          <w:szCs w:val="20"/>
          <w:color w:val="auto"/>
        </w:rPr>
      </w:pPr>
    </w:p>
    <w:p>
      <w:pPr>
        <w:jc w:val="both"/>
        <w:ind w:firstLine="6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TRS Subsidiary</w:t>
      </w:r>
      <w:r>
        <w:rPr>
          <w:rFonts w:ascii="Arial" w:cs="Arial" w:eastAsia="Arial" w:hAnsi="Arial"/>
          <w:sz w:val="20"/>
          <w:szCs w:val="20"/>
          <w:color w:val="auto"/>
        </w:rPr>
        <w:t xml:space="preserve">” means (a) a TRS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TRS Subsidiary does not own any assets or conduct any business or operations, other than its ownership of all of the Equity Interests of a Hotel Lessee Subsidiary and activities ancillary or incidental thereto or (b) a Hotel Lessee Subsidiary, in each case if</w:t>
      </w:r>
      <w:r>
        <w:rPr>
          <w:rFonts w:ascii="Arial" w:cs="Arial" w:eastAsia="Arial" w:hAnsi="Arial"/>
          <w:sz w:val="20"/>
          <w:szCs w:val="20"/>
          <w:color w:val="FF0000"/>
          <w:strike w:val="1"/>
        </w:rPr>
        <w:t>,</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highlight w:val="lightGray"/>
        </w:rPr>
        <w:t>either (i) the Exemption Condition exists with</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highlight w:val="lightGray"/>
        </w:rPr>
        <w:t>respect to such Person or (ii)</w:t>
      </w:r>
      <w:r>
        <w:rPr>
          <w:rFonts w:ascii="Arial" w:cs="Arial" w:eastAsia="Arial" w:hAnsi="Arial"/>
          <w:sz w:val="20"/>
          <w:szCs w:val="20"/>
          <w:b w:val="1"/>
          <w:bCs w:val="1"/>
          <w:color w:val="0000FF"/>
          <w:highlight w:val="lightGray"/>
        </w:rPr>
        <w:t xml:space="preserve"> </w:t>
      </w:r>
      <w:r>
        <w:rPr>
          <w:rFonts w:ascii="Arial" w:cs="Arial" w:eastAsia="Arial" w:hAnsi="Arial"/>
          <w:sz w:val="20"/>
          <w:szCs w:val="20"/>
          <w:color w:val="000000"/>
        </w:rPr>
        <w:t>in the reasonable judgment of the REIT, the Guarantee of the Obligations by such Person would cause</w:t>
      </w:r>
      <w:r>
        <w:rPr>
          <w:rFonts w:ascii="Arial" w:cs="Arial" w:eastAsia="Arial" w:hAnsi="Arial"/>
          <w:sz w:val="20"/>
          <w:szCs w:val="20"/>
          <w:b w:val="1"/>
          <w:bCs w:val="1"/>
          <w:color w:val="0000FF"/>
          <w:highlight w:val="lightGray"/>
        </w:rPr>
        <w:t xml:space="preserve"> </w:t>
      </w:r>
      <w:r>
        <w:rPr>
          <w:rFonts w:ascii="Arial" w:cs="Arial" w:eastAsia="Arial" w:hAnsi="Arial"/>
          <w:sz w:val="20"/>
          <w:szCs w:val="20"/>
          <w:color w:val="000000"/>
        </w:rPr>
        <w:t>adverse tax consequences to the Consolidated Group.</w:t>
      </w:r>
    </w:p>
    <w:p>
      <w:pPr>
        <w:spacing w:after="0" w:line="18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20"/>
          </w:cols>
          <w:pgMar w:left="840" w:top="795" w:right="239" w:bottom="1440" w:gutter="0" w:footer="0" w:header="0"/>
        </w:sectPr>
      </w:pPr>
    </w:p>
    <w:bookmarkStart w:id="248" w:name="page249"/>
    <w:bookmarkEnd w:id="248"/>
    <w:p>
      <w:pPr>
        <w:jc w:val="both"/>
        <w:ind w:left="1" w:firstLine="600"/>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Exemption</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Conditions</w:t>
      </w:r>
      <w:r>
        <w:rPr>
          <w:rFonts w:ascii="Arial" w:cs="Arial" w:eastAsia="Arial" w:hAnsi="Arial"/>
          <w:sz w:val="18"/>
          <w:szCs w:val="18"/>
          <w:b w:val="1"/>
          <w:bCs w:val="1"/>
          <w:u w:val="single" w:color="auto"/>
          <w:color w:val="0000FF"/>
          <w:highlight w:val="lightGray"/>
        </w:rPr>
        <w:t>Condition</w:t>
      </w:r>
      <w:r>
        <w:rPr>
          <w:rFonts w:ascii="Arial" w:cs="Arial" w:eastAsia="Arial" w:hAnsi="Arial"/>
          <w:sz w:val="18"/>
          <w:szCs w:val="18"/>
          <w:color w:val="auto"/>
        </w:rPr>
        <w:t>” means, at any time with respect to any Subsidiary of the Borrower</w:t>
      </w:r>
      <w:r>
        <w:rPr>
          <w:rFonts w:ascii="Arial" w:cs="Arial" w:eastAsia="Arial" w:hAnsi="Arial"/>
          <w:sz w:val="18"/>
          <w:szCs w:val="18"/>
          <w:color w:val="FF0000"/>
          <w:strike w:val="1"/>
        </w:rPr>
        <w:t>, the satisfaction of the</w:t>
      </w:r>
      <w:r>
        <w:rPr>
          <w:rFonts w:ascii="Arial" w:cs="Arial" w:eastAsia="Arial" w:hAnsi="Arial"/>
          <w:sz w:val="18"/>
          <w:szCs w:val="18"/>
          <w:color w:val="auto"/>
        </w:rPr>
        <w:t xml:space="preserve"> </w:t>
      </w:r>
      <w:r>
        <w:rPr>
          <w:rFonts w:ascii="Arial" w:cs="Arial" w:eastAsia="Arial" w:hAnsi="Arial"/>
          <w:sz w:val="18"/>
          <w:szCs w:val="18"/>
          <w:color w:val="FF0000"/>
          <w:strike w:val="1"/>
        </w:rPr>
        <w:t>following conditions: (i) a Permitted Subsidiary</w:t>
      </w:r>
      <w:r>
        <w:rPr>
          <w:rFonts w:ascii="Arial" w:cs="Arial" w:eastAsia="Arial" w:hAnsi="Arial"/>
          <w:sz w:val="18"/>
          <w:szCs w:val="18"/>
          <w:color w:val="FF0000"/>
        </w:rPr>
        <w:t xml:space="preserve"> </w:t>
      </w:r>
      <w:r>
        <w:rPr>
          <w:rFonts w:ascii="Arial" w:cs="Arial" w:eastAsia="Arial" w:hAnsi="Arial"/>
          <w:sz w:val="18"/>
          <w:szCs w:val="18"/>
          <w:b w:val="1"/>
          <w:bCs w:val="1"/>
          <w:u w:val="single" w:color="auto"/>
          <w:color w:val="0000FF"/>
          <w:highlight w:val="lightGray"/>
        </w:rPr>
        <w:t>that is not a</w:t>
      </w:r>
      <w:r>
        <w:rPr>
          <w:rFonts w:ascii="Arial" w:cs="Arial" w:eastAsia="Arial" w:hAnsi="Arial"/>
          <w:sz w:val="18"/>
          <w:szCs w:val="18"/>
          <w:color w:val="FF0000"/>
        </w:rPr>
        <w:t xml:space="preserve"> </w:t>
      </w:r>
      <w:r>
        <w:rPr>
          <w:rFonts w:ascii="Arial" w:cs="Arial" w:eastAsia="Arial" w:hAnsi="Arial"/>
          <w:sz w:val="18"/>
          <w:szCs w:val="18"/>
          <w:color w:val="000000"/>
        </w:rPr>
        <w:t>Guarantor</w:t>
      </w:r>
      <w:r>
        <w:rPr>
          <w:rFonts w:ascii="Arial" w:cs="Arial" w:eastAsia="Arial" w:hAnsi="Arial"/>
          <w:sz w:val="18"/>
          <w:szCs w:val="18"/>
          <w:color w:val="FF0000"/>
        </w:rPr>
        <w:t xml:space="preserve"> </w:t>
      </w:r>
      <w:r>
        <w:rPr>
          <w:rFonts w:ascii="Arial" w:cs="Arial" w:eastAsia="Arial" w:hAnsi="Arial"/>
          <w:sz w:val="18"/>
          <w:szCs w:val="18"/>
          <w:color w:val="FF0000"/>
          <w:strike w:val="1"/>
        </w:rPr>
        <w:t>Release shall have been effected on or prior to such time and</w:t>
      </w:r>
      <w:r>
        <w:rPr>
          <w:rFonts w:ascii="Arial" w:cs="Arial" w:eastAsia="Arial" w:hAnsi="Arial"/>
          <w:sz w:val="18"/>
          <w:szCs w:val="18"/>
          <w:color w:val="FF0000"/>
        </w:rPr>
        <w:t xml:space="preserve"> </w:t>
      </w:r>
      <w:r>
        <w:rPr>
          <w:rFonts w:ascii="Arial" w:cs="Arial" w:eastAsia="Arial" w:hAnsi="Arial"/>
          <w:sz w:val="18"/>
          <w:szCs w:val="18"/>
          <w:color w:val="FF0000"/>
          <w:strike w:val="1"/>
        </w:rPr>
        <w:t>(ii)</w:t>
      </w:r>
      <w:r>
        <w:rPr>
          <w:rFonts w:ascii="Arial" w:cs="Arial" w:eastAsia="Arial" w:hAnsi="Arial"/>
          <w:sz w:val="18"/>
          <w:szCs w:val="18"/>
          <w:b w:val="1"/>
          <w:bCs w:val="1"/>
          <w:u w:val="single" w:color="auto"/>
          <w:color w:val="0000FF"/>
        </w:rPr>
        <w:t>,</w:t>
      </w:r>
      <w:r>
        <w:rPr>
          <w:rFonts w:ascii="Arial" w:cs="Arial" w:eastAsia="Arial" w:hAnsi="Arial"/>
          <w:sz w:val="18"/>
          <w:szCs w:val="18"/>
          <w:color w:val="FF0000"/>
        </w:rPr>
        <w:t xml:space="preserve"> </w:t>
      </w:r>
      <w:r>
        <w:rPr>
          <w:rFonts w:ascii="Arial" w:cs="Arial" w:eastAsia="Arial" w:hAnsi="Arial"/>
          <w:sz w:val="18"/>
          <w:szCs w:val="18"/>
          <w:color w:val="000000"/>
        </w:rPr>
        <w:t>such Subsidiary is not</w:t>
      </w:r>
      <w:r>
        <w:rPr>
          <w:rFonts w:ascii="Arial" w:cs="Arial" w:eastAsia="Arial" w:hAnsi="Arial"/>
          <w:sz w:val="18"/>
          <w:szCs w:val="18"/>
          <w:color w:val="FF0000"/>
        </w:rPr>
        <w:t xml:space="preserve"> </w:t>
      </w:r>
      <w:r>
        <w:rPr>
          <w:rFonts w:ascii="Arial" w:cs="Arial" w:eastAsia="Arial" w:hAnsi="Arial"/>
          <w:sz w:val="18"/>
          <w:szCs w:val="18"/>
          <w:color w:val="FF0000"/>
          <w:strike w:val="1"/>
        </w:rPr>
        <w:t>party at such time to a Guarantee of, and is not otherwise an obligor</w:t>
      </w:r>
      <w:r>
        <w:rPr>
          <w:rFonts w:ascii="Arial" w:cs="Arial" w:eastAsia="Arial" w:hAnsi="Arial"/>
          <w:sz w:val="18"/>
          <w:szCs w:val="18"/>
          <w:b w:val="1"/>
          <w:bCs w:val="1"/>
          <w:u w:val="single" w:color="auto"/>
          <w:color w:val="0000FF"/>
          <w:highlight w:val="lightGray"/>
        </w:rPr>
        <w:t>a borrower or guarantor of, and does</w:t>
      </w:r>
      <w:r>
        <w:rPr>
          <w:rFonts w:ascii="Arial" w:cs="Arial" w:eastAsia="Arial" w:hAnsi="Arial"/>
          <w:sz w:val="18"/>
          <w:szCs w:val="18"/>
          <w:color w:val="FF0000"/>
        </w:rPr>
        <w:t xml:space="preserve"> </w:t>
      </w:r>
      <w:r>
        <w:rPr>
          <w:rFonts w:ascii="Arial" w:cs="Arial" w:eastAsia="Arial" w:hAnsi="Arial"/>
          <w:sz w:val="18"/>
          <w:szCs w:val="18"/>
          <w:b w:val="1"/>
          <w:bCs w:val="1"/>
          <w:u w:val="single" w:color="auto"/>
          <w:color w:val="0000FF"/>
          <w:highlight w:val="lightGray"/>
        </w:rPr>
        <w:t>not have a payment obligation</w:t>
      </w:r>
      <w:r>
        <w:rPr>
          <w:rFonts w:ascii="Arial" w:cs="Arial" w:eastAsia="Arial" w:hAnsi="Arial"/>
          <w:sz w:val="18"/>
          <w:szCs w:val="18"/>
          <w:b w:val="1"/>
          <w:bCs w:val="1"/>
          <w:color w:val="0000FF"/>
          <w:highlight w:val="lightGray"/>
        </w:rPr>
        <w:t xml:space="preserve"> </w:t>
      </w:r>
      <w:r>
        <w:rPr>
          <w:rFonts w:ascii="Arial" w:cs="Arial" w:eastAsia="Arial" w:hAnsi="Arial"/>
          <w:sz w:val="18"/>
          <w:szCs w:val="18"/>
          <w:color w:val="000000"/>
        </w:rPr>
        <w:t>in respect of,</w:t>
      </w:r>
      <w:r>
        <w:rPr>
          <w:rFonts w:ascii="Arial" w:cs="Arial" w:eastAsia="Arial" w:hAnsi="Arial"/>
          <w:sz w:val="18"/>
          <w:szCs w:val="18"/>
          <w:b w:val="1"/>
          <w:bCs w:val="1"/>
          <w:color w:val="0000FF"/>
          <w:highlight w:val="lightGray"/>
        </w:rPr>
        <w:t xml:space="preserve"> </w:t>
      </w:r>
      <w:r>
        <w:rPr>
          <w:rFonts w:ascii="Arial" w:cs="Arial" w:eastAsia="Arial" w:hAnsi="Arial"/>
          <w:sz w:val="18"/>
          <w:szCs w:val="18"/>
          <w:color w:val="FF0000"/>
          <w:strike w:val="1"/>
        </w:rPr>
        <w:t>any</w:t>
      </w:r>
      <w:r>
        <w:rPr>
          <w:rFonts w:ascii="Arial" w:cs="Arial" w:eastAsia="Arial" w:hAnsi="Arial"/>
          <w:sz w:val="18"/>
          <w:szCs w:val="18"/>
          <w:b w:val="1"/>
          <w:bCs w:val="1"/>
          <w:color w:val="0000FF"/>
          <w:highlight w:val="lightGray"/>
        </w:rPr>
        <w:t xml:space="preserve"> </w:t>
      </w:r>
      <w:r>
        <w:rPr>
          <w:rFonts w:ascii="Arial" w:cs="Arial" w:eastAsia="Arial" w:hAnsi="Arial"/>
          <w:sz w:val="18"/>
          <w:szCs w:val="18"/>
          <w:color w:val="000000"/>
        </w:rPr>
        <w:t>Indebtedness</w:t>
      </w:r>
      <w:r>
        <w:rPr>
          <w:rFonts w:ascii="Arial" w:cs="Arial" w:eastAsia="Arial" w:hAnsi="Arial"/>
          <w:sz w:val="18"/>
          <w:szCs w:val="18"/>
          <w:b w:val="1"/>
          <w:bCs w:val="1"/>
          <w:color w:val="0000FF"/>
          <w:highlight w:val="lightGray"/>
        </w:rPr>
        <w:t xml:space="preserve"> </w:t>
      </w:r>
      <w:r>
        <w:rPr>
          <w:rFonts w:ascii="Arial" w:cs="Arial" w:eastAsia="Arial" w:hAnsi="Arial"/>
          <w:sz w:val="18"/>
          <w:szCs w:val="18"/>
          <w:color w:val="FF0000"/>
          <w:strike w:val="1"/>
        </w:rPr>
        <w:t>of the Borrower (other than the Obligations</w:t>
      </w:r>
      <w:r>
        <w:rPr>
          <w:rFonts w:ascii="Arial" w:cs="Arial" w:eastAsia="Arial" w:hAnsi="Arial"/>
          <w:sz w:val="18"/>
          <w:szCs w:val="18"/>
          <w:b w:val="1"/>
          <w:bCs w:val="1"/>
          <w:u w:val="single" w:color="auto"/>
          <w:color w:val="0000FF"/>
          <w:highlight w:val="lightGray"/>
        </w:rPr>
        <w:t>for borrowed money that</w:t>
      </w:r>
      <w:r>
        <w:rPr>
          <w:rFonts w:ascii="Arial" w:cs="Arial" w:eastAsia="Arial" w:hAnsi="Arial"/>
          <w:sz w:val="18"/>
          <w:szCs w:val="18"/>
          <w:b w:val="1"/>
          <w:bCs w:val="1"/>
          <w:color w:val="0000FF"/>
          <w:highlight w:val="lightGray"/>
        </w:rPr>
        <w:t xml:space="preserve"> </w:t>
      </w:r>
      <w:r>
        <w:rPr>
          <w:rFonts w:ascii="Arial" w:cs="Arial" w:eastAsia="Arial" w:hAnsi="Arial"/>
          <w:sz w:val="18"/>
          <w:szCs w:val="18"/>
          <w:b w:val="1"/>
          <w:bCs w:val="1"/>
          <w:u w:val="single" w:color="auto"/>
          <w:color w:val="0000FF"/>
          <w:highlight w:val="lightGray"/>
        </w:rPr>
        <w:t>constitutes Recourse Indebtedness (other than Indebtedness permitted under Section 7.02(b)</w:t>
      </w:r>
      <w:r>
        <w:rPr>
          <w:rFonts w:ascii="Arial" w:cs="Arial" w:eastAsia="Arial" w:hAnsi="Arial"/>
          <w:sz w:val="18"/>
          <w:szCs w:val="18"/>
          <w:color w:val="000000"/>
        </w:rPr>
        <w:t>).</w:t>
      </w:r>
    </w:p>
    <w:p>
      <w:pPr>
        <w:spacing w:after="0" w:line="179" w:lineRule="exact"/>
        <w:rPr>
          <w:sz w:val="20"/>
          <w:szCs w:val="20"/>
          <w:color w:val="auto"/>
        </w:rPr>
      </w:pPr>
    </w:p>
    <w:p>
      <w:pPr>
        <w:ind w:left="60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at any time, (a) on or prior to the Closing Date, the aggregate amount of the Commitments at such time and</w:t>
      </w:r>
    </w:p>
    <w:p>
      <w:pPr>
        <w:spacing w:after="0" w:line="46" w:lineRule="exact"/>
        <w:rPr>
          <w:sz w:val="20"/>
          <w:szCs w:val="20"/>
          <w:color w:val="auto"/>
        </w:rPr>
      </w:pPr>
    </w:p>
    <w:p>
      <w:pPr>
        <w:ind w:left="1" w:hanging="1"/>
        <w:spacing w:after="0" w:line="256" w:lineRule="auto"/>
        <w:tabs>
          <w:tab w:leader="none" w:pos="287" w:val="left"/>
        </w:tabs>
        <w:numPr>
          <w:ilvl w:val="0"/>
          <w:numId w:val="274"/>
        </w:numPr>
        <w:rPr>
          <w:rFonts w:ascii="Arial" w:cs="Arial" w:eastAsia="Arial" w:hAnsi="Arial"/>
          <w:sz w:val="20"/>
          <w:szCs w:val="20"/>
          <w:color w:val="auto"/>
        </w:rPr>
      </w:pPr>
      <w:r>
        <w:rPr>
          <w:rFonts w:ascii="Arial" w:cs="Arial" w:eastAsia="Arial" w:hAnsi="Arial"/>
          <w:sz w:val="20"/>
          <w:szCs w:val="20"/>
          <w:color w:val="auto"/>
        </w:rPr>
        <w:t>thereafter, the sum of the aggregate principal amount of the Commitments and Term Loans of all Lenders outstanding at such time. On the Closing Date, the amount of the Facility is $100,000,000.</w:t>
      </w:r>
    </w:p>
    <w:p>
      <w:pPr>
        <w:spacing w:after="0" w:line="205" w:lineRule="exact"/>
        <w:rPr>
          <w:sz w:val="20"/>
          <w:szCs w:val="20"/>
          <w:color w:val="auto"/>
        </w:rPr>
      </w:pPr>
    </w:p>
    <w:p>
      <w:pPr>
        <w:ind w:left="60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FASB ASC</w:t>
      </w:r>
      <w:r>
        <w:rPr>
          <w:rFonts w:ascii="Arial" w:cs="Arial" w:eastAsia="Arial" w:hAnsi="Arial"/>
          <w:sz w:val="20"/>
          <w:szCs w:val="20"/>
          <w:color w:val="auto"/>
        </w:rPr>
        <w:t>” means the Accounting Standards Codification of the Financial Accounting Standards Board.</w:t>
      </w:r>
    </w:p>
    <w:p>
      <w:pPr>
        <w:spacing w:after="0" w:line="245" w:lineRule="exact"/>
        <w:rPr>
          <w:sz w:val="20"/>
          <w:szCs w:val="20"/>
          <w:color w:val="auto"/>
        </w:rPr>
      </w:pPr>
    </w:p>
    <w:p>
      <w:pPr>
        <w:jc w:val="both"/>
        <w:ind w:left="1" w:firstLine="600"/>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xml:space="preserve">” means Sections 1471 through 1474 of the Code, as of the date of this Agreement (or any amended or successor version that is substantially comparable and not materially more onerous to comply with) and any current or future regulations or official interpretations thereof and any agreements entered into pursuant to Section 1471(b)(1) </w:t>
      </w:r>
      <w:r>
        <w:rPr>
          <w:rFonts w:ascii="Arial" w:cs="Arial" w:eastAsia="Arial" w:hAnsi="Arial"/>
          <w:sz w:val="19"/>
          <w:szCs w:val="19"/>
          <w:b w:val="1"/>
          <w:bCs w:val="1"/>
          <w:u w:val="single" w:color="auto"/>
          <w:color w:val="0000FF"/>
          <w:highlight w:val="lightGray"/>
        </w:rPr>
        <w:t>of the Code</w:t>
      </w:r>
      <w:r>
        <w:rPr>
          <w:rFonts w:ascii="Arial" w:cs="Arial" w:eastAsia="Arial" w:hAnsi="Arial"/>
          <w:sz w:val="19"/>
          <w:szCs w:val="19"/>
          <w:color w:val="auto"/>
        </w:rPr>
        <w:t>.</w:t>
      </w:r>
    </w:p>
    <w:p>
      <w:pPr>
        <w:spacing w:after="0" w:line="185" w:lineRule="exact"/>
        <w:rPr>
          <w:sz w:val="20"/>
          <w:szCs w:val="20"/>
          <w:color w:val="auto"/>
        </w:rPr>
      </w:pPr>
    </w:p>
    <w:p>
      <w:pPr>
        <w:jc w:val="both"/>
        <w:ind w:left="1" w:firstLine="600"/>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means, for any day, the rate per annum calculated by the FRBNY based on such day’s federal funds transactions by depository institutions (as determined in such manner as the FRBNY shall set forth on its public website from time to time) and published on the next succeeding Business Day by the FRBNY as the federal funds effective rate. For the avoidance of doubt, if the Federal Funds Rate shall be less than zero, such rate shall be deemed to be zero for purposes of this Agreement.</w:t>
      </w:r>
    </w:p>
    <w:p>
      <w:pPr>
        <w:spacing w:after="0" w:line="176" w:lineRule="exact"/>
        <w:rPr>
          <w:sz w:val="20"/>
          <w:szCs w:val="20"/>
          <w:color w:val="auto"/>
        </w:rPr>
      </w:pPr>
    </w:p>
    <w:p>
      <w:pPr>
        <w:jc w:val="both"/>
        <w:ind w:left="1"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w:t>
      </w:r>
      <w:r>
        <w:rPr>
          <w:rFonts w:ascii="Arial" w:cs="Arial" w:eastAsia="Arial" w:hAnsi="Arial"/>
          <w:sz w:val="20"/>
          <w:szCs w:val="20"/>
          <w:color w:val="auto"/>
        </w:rPr>
        <w:t>” means the letter agreement, dated February 2, 2016, among the Borrower, U.S. Bank, PNC Bank, National Association and PNC Capital Markets LLC.</w:t>
      </w:r>
    </w:p>
    <w:p>
      <w:pPr>
        <w:spacing w:after="0" w:line="191" w:lineRule="exact"/>
        <w:rPr>
          <w:sz w:val="20"/>
          <w:szCs w:val="20"/>
          <w:color w:val="auto"/>
        </w:rPr>
      </w:pPr>
    </w:p>
    <w:p>
      <w:pPr>
        <w:jc w:val="both"/>
        <w:ind w:left="1"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Covenant Event of Default</w:t>
      </w:r>
      <w:r>
        <w:rPr>
          <w:rFonts w:ascii="Arial" w:cs="Arial" w:eastAsia="Arial" w:hAnsi="Arial"/>
          <w:sz w:val="20"/>
          <w:szCs w:val="20"/>
          <w:color w:val="auto"/>
        </w:rPr>
        <w:t xml:space="preserve">” means an Event of Default arising as a result of the Borrower’s failure to comply with any of the covenants contained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highlight w:val="lightGray"/>
        </w:rPr>
        <w:t>7.02(b) and Section</w:t>
      </w:r>
      <w:r>
        <w:rPr>
          <w:rFonts w:ascii="Arial" w:cs="Arial" w:eastAsia="Arial" w:hAnsi="Arial"/>
          <w:sz w:val="20"/>
          <w:szCs w:val="20"/>
          <w:color w:val="auto"/>
        </w:rPr>
        <w:t xml:space="preserve"> 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-48260</wp:posOffset>
            </wp:positionV>
            <wp:extent cx="24892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48920" cy="7620"/>
                    </a:xfrm>
                    <a:prstGeom prst="rect">
                      <a:avLst/>
                    </a:prstGeom>
                    <a:noFill/>
                  </pic:spPr>
                </pic:pic>
              </a:graphicData>
            </a:graphic>
          </wp:anchor>
        </w:drawing>
      </w:r>
    </w:p>
    <w:p>
      <w:pPr>
        <w:spacing w:after="0" w:line="171" w:lineRule="exact"/>
        <w:rPr>
          <w:sz w:val="20"/>
          <w:szCs w:val="20"/>
          <w:color w:val="auto"/>
        </w:rPr>
      </w:pPr>
    </w:p>
    <w:p>
      <w:pPr>
        <w:ind w:left="60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Fitch</w:t>
      </w:r>
      <w:r>
        <w:rPr>
          <w:rFonts w:ascii="Arial" w:cs="Arial" w:eastAsia="Arial" w:hAnsi="Arial"/>
          <w:sz w:val="20"/>
          <w:szCs w:val="20"/>
          <w:color w:val="auto"/>
        </w:rPr>
        <w:t>” means Fitch, Inc. and any successor thereto.</w:t>
      </w:r>
    </w:p>
    <w:p>
      <w:pPr>
        <w:spacing w:after="0" w:line="245" w:lineRule="exact"/>
        <w:rPr>
          <w:sz w:val="20"/>
          <w:szCs w:val="20"/>
          <w:color w:val="auto"/>
        </w:rPr>
      </w:pPr>
    </w:p>
    <w:p>
      <w:pPr>
        <w:ind w:left="60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 Lender that is not a U.S. Person.</w:t>
      </w:r>
    </w:p>
    <w:p>
      <w:pPr>
        <w:spacing w:after="0" w:line="245" w:lineRule="exact"/>
        <w:rPr>
          <w:sz w:val="20"/>
          <w:szCs w:val="20"/>
          <w:color w:val="auto"/>
        </w:rPr>
      </w:pPr>
    </w:p>
    <w:p>
      <w:pPr>
        <w:ind w:left="60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FRB</w:t>
      </w:r>
      <w:r>
        <w:rPr>
          <w:rFonts w:ascii="Arial" w:cs="Arial" w:eastAsia="Arial" w:hAnsi="Arial"/>
          <w:sz w:val="20"/>
          <w:szCs w:val="20"/>
          <w:color w:val="auto"/>
        </w:rPr>
        <w:t>” means the Board of Governors of the Federal Reserve System of the United States.</w:t>
      </w:r>
    </w:p>
    <w:p>
      <w:pPr>
        <w:spacing w:after="0" w:line="245" w:lineRule="exact"/>
        <w:rPr>
          <w:sz w:val="20"/>
          <w:szCs w:val="20"/>
          <w:color w:val="auto"/>
        </w:rPr>
      </w:pPr>
    </w:p>
    <w:p>
      <w:pPr>
        <w:ind w:left="60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FRBNY</w:t>
      </w:r>
      <w:r>
        <w:rPr>
          <w:rFonts w:ascii="Arial" w:cs="Arial" w:eastAsia="Arial" w:hAnsi="Arial"/>
          <w:sz w:val="20"/>
          <w:szCs w:val="20"/>
          <w:color w:val="auto"/>
        </w:rPr>
        <w:t>” means the Federal Reserve Bank of New York.</w:t>
      </w:r>
    </w:p>
    <w:p>
      <w:pPr>
        <w:spacing w:after="0" w:line="245" w:lineRule="exact"/>
        <w:rPr>
          <w:sz w:val="20"/>
          <w:szCs w:val="20"/>
          <w:color w:val="auto"/>
        </w:rPr>
      </w:pPr>
    </w:p>
    <w:p>
      <w:pPr>
        <w:jc w:val="both"/>
        <w:ind w:left="1" w:firstLine="60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FRBNY Rate</w:t>
      </w:r>
      <w:r>
        <w:rPr>
          <w:rFonts w:ascii="Arial" w:cs="Arial" w:eastAsia="Arial" w:hAnsi="Arial"/>
          <w:sz w:val="19"/>
          <w:szCs w:val="19"/>
          <w:color w:val="auto"/>
        </w:rPr>
        <w:t>” means, for any day, the per annum rate equal to the greater of (a) the Federal Funds Rate in effect on such day and (b) the Overnight Bank Funding Rate in effect on such day; provided that if both such rates are not so published for any day that is a Business Day, the term “FRBNY Rate” means the rate quoted for such day for a federal funds transaction at 11:00 a.m. on such day received by the Administrative Agent from a Federal funds broker of recognized standing</w:t>
      </w:r>
    </w:p>
    <w:p>
      <w:pPr>
        <w:spacing w:after="0" w:line="170" w:lineRule="exact"/>
        <w:rPr>
          <w:sz w:val="20"/>
          <w:szCs w:val="20"/>
          <w:color w:val="auto"/>
        </w:rPr>
      </w:pPr>
    </w:p>
    <w:p>
      <w:pPr>
        <w:ind w:left="496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21"/>
          </w:cols>
          <w:pgMar w:left="839" w:top="789" w:right="239" w:bottom="1440" w:gutter="0" w:footer="0" w:header="0"/>
        </w:sectPr>
      </w:pPr>
    </w:p>
    <w:bookmarkStart w:id="249" w:name="page250"/>
    <w:bookmarkEnd w:id="249"/>
    <w:p>
      <w:pPr>
        <w:jc w:val="both"/>
        <w:spacing w:after="0" w:line="272" w:lineRule="auto"/>
        <w:rPr>
          <w:sz w:val="20"/>
          <w:szCs w:val="20"/>
          <w:color w:val="auto"/>
        </w:rPr>
      </w:pPr>
      <w:r>
        <w:rPr>
          <w:rFonts w:ascii="Arial" w:cs="Arial" w:eastAsia="Arial" w:hAnsi="Arial"/>
          <w:sz w:val="20"/>
          <w:szCs w:val="20"/>
          <w:color w:val="auto"/>
        </w:rPr>
        <w:t>selected by it; provided, further, that if any of the aforesaid rates shall be less than zero, such rate shall be deemed to be zero for purposes of this Agreement.</w:t>
      </w:r>
    </w:p>
    <w:p>
      <w:pPr>
        <w:spacing w:after="0" w:line="191"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91" w:lineRule="exact"/>
        <w:rPr>
          <w:sz w:val="20"/>
          <w:szCs w:val="20"/>
          <w:color w:val="auto"/>
        </w:rPr>
      </w:pPr>
    </w:p>
    <w:p>
      <w:pPr>
        <w:jc w:val="both"/>
        <w:ind w:firstLine="600"/>
        <w:spacing w:after="0" w:line="265" w:lineRule="auto"/>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Funds From Operations</w:t>
      </w:r>
      <w:r>
        <w:rPr>
          <w:rFonts w:ascii="Arial" w:cs="Arial" w:eastAsia="Arial" w:hAnsi="Arial"/>
          <w:sz w:val="19"/>
          <w:szCs w:val="19"/>
          <w:color w:val="FF0000"/>
          <w:strike w:val="1"/>
        </w:rPr>
        <w:t xml:space="preserve">” means, with respect to any fiscal period and without double counting, an amount equal to the Consolidated Net Income (or deficit), excluding gains (or losses) from sales of property, plus depreciation and amortization and after adjustments for unconsolidated partnerships and joint ventures; provided that for purposes of complying with </w:t>
      </w:r>
      <w:r>
        <w:rPr>
          <w:rFonts w:ascii="Arial" w:cs="Arial" w:eastAsia="Arial" w:hAnsi="Arial"/>
          <w:sz w:val="19"/>
          <w:szCs w:val="19"/>
          <w:u w:val="single" w:color="auto"/>
          <w:color w:val="FF0000"/>
          <w:strike w:val="1"/>
        </w:rPr>
        <w:t>Section 7.06(d)</w:t>
      </w:r>
      <w:r>
        <w:rPr>
          <w:rFonts w:ascii="Arial" w:cs="Arial" w:eastAsia="Arial" w:hAnsi="Arial"/>
          <w:sz w:val="19"/>
          <w:szCs w:val="19"/>
          <w:color w:val="FF0000"/>
          <w:strike w:val="1"/>
        </w:rPr>
        <w:t>, Funds From Operations shall exclude impairment charges, charges from the early extinguishment of indebtedness and other non-cash charges as evidenced by a certification of a Responsible Officer of the REIT containing calculations in reasonable detail satisfactory to the Administrative Agent. Adjustments for unconsolidated partnerships and joint ventures will be calculated to reflect Funds From Operations on the same basis. Except as otherwise expressly set forth in the immediately preceding sentence, Funds From Operations shall be reported in accordance with the NAREIT Policy Bulletin dated April 5, 2002, as amended, restated, supplemented or otherwise modified from time to time.</w:t>
      </w:r>
    </w:p>
    <w:p>
      <w:pPr>
        <w:spacing w:after="0" w:line="202" w:lineRule="exact"/>
        <w:rPr>
          <w:sz w:val="20"/>
          <w:szCs w:val="20"/>
          <w:color w:val="auto"/>
        </w:rPr>
      </w:pPr>
    </w:p>
    <w:p>
      <w:pPr>
        <w:jc w:val="both"/>
        <w:ind w:firstLine="600"/>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GNMA Securities</w:t>
      </w:r>
      <w:r>
        <w:rPr>
          <w:rFonts w:ascii="Arial" w:cs="Arial" w:eastAsia="Arial" w:hAnsi="Arial"/>
          <w:sz w:val="20"/>
          <w:szCs w:val="20"/>
          <w:color w:val="auto"/>
        </w:rPr>
        <w:t>” has the meaning specified in clause (e) of the definition of “Cash Equivalents.”</w:t>
      </w:r>
    </w:p>
    <w:p>
      <w:pPr>
        <w:spacing w:after="0" w:line="245" w:lineRule="exact"/>
        <w:rPr>
          <w:sz w:val="20"/>
          <w:szCs w:val="20"/>
          <w:color w:val="auto"/>
        </w:rPr>
      </w:pPr>
    </w:p>
    <w:p>
      <w:pPr>
        <w:jc w:val="both"/>
        <w:ind w:firstLine="60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92" w:lineRule="exact"/>
        <w:rPr>
          <w:sz w:val="20"/>
          <w:szCs w:val="20"/>
          <w:color w:val="auto"/>
        </w:rPr>
      </w:pPr>
    </w:p>
    <w:p>
      <w:pPr>
        <w:jc w:val="both"/>
        <w:ind w:firstLine="60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as to any Person, (a) any obligation, contingent or otherwise, of such Person guaranteeing or having the economic effect of guaranteeing any Indebtedness or other obligation payable or performable by another Person (the “</w:t>
      </w:r>
      <w:r>
        <w:rPr>
          <w:rFonts w:ascii="Arial" w:cs="Arial" w:eastAsia="Arial" w:hAnsi="Arial"/>
          <w:sz w:val="18"/>
          <w:szCs w:val="18"/>
          <w:u w:val="single" w:color="auto"/>
          <w:color w:val="auto"/>
        </w:rPr>
        <w:t>primary</w:t>
      </w:r>
      <w:r>
        <w:rPr>
          <w:rFonts w:ascii="Arial" w:cs="Arial" w:eastAsia="Arial" w:hAnsi="Arial"/>
          <w:sz w:val="18"/>
          <w:szCs w:val="18"/>
          <w:color w:val="auto"/>
        </w:rPr>
        <w:t xml:space="preserve"> </w:t>
      </w:r>
      <w:r>
        <w:rPr>
          <w:rFonts w:ascii="Arial" w:cs="Arial" w:eastAsia="Arial" w:hAnsi="Arial"/>
          <w:sz w:val="18"/>
          <w:szCs w:val="18"/>
          <w:u w:val="single" w:color="auto"/>
          <w:color w:val="auto"/>
        </w:rPr>
        <w:t>obligor</w:t>
      </w:r>
      <w:r>
        <w:rPr>
          <w:rFonts w:ascii="Arial" w:cs="Arial" w:eastAsia="Arial" w:hAnsi="Arial"/>
          <w:sz w:val="18"/>
          <w:szCs w:val="18"/>
          <w:color w:val="auto"/>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w:t>
      </w:r>
    </w:p>
    <w:p>
      <w:pPr>
        <w:spacing w:after="0" w:line="16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20"/>
          </w:cols>
          <w:pgMar w:left="840" w:top="795" w:right="239" w:bottom="1440" w:gutter="0" w:footer="0" w:header="0"/>
        </w:sectPr>
      </w:pPr>
    </w:p>
    <w:bookmarkStart w:id="250" w:name="page251"/>
    <w:bookmarkEnd w:id="250"/>
    <w:p>
      <w:pPr>
        <w:jc w:val="both"/>
        <w:spacing w:after="0" w:line="270" w:lineRule="auto"/>
        <w:rPr>
          <w:sz w:val="20"/>
          <w:szCs w:val="20"/>
          <w:color w:val="auto"/>
        </w:rPr>
      </w:pPr>
      <w:r>
        <w:rPr>
          <w:rFonts w:ascii="Arial" w:cs="Arial" w:eastAsia="Arial" w:hAnsi="Arial"/>
          <w:sz w:val="19"/>
          <w:szCs w:val="19"/>
          <w:color w:val="auto"/>
        </w:rPr>
        <w:t>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9"/>
          <w:szCs w:val="19"/>
          <w:u w:val="single" w:color="auto"/>
          <w:color w:val="auto"/>
        </w:rPr>
        <w:t>Guarantee</w:t>
      </w:r>
      <w:r>
        <w:rPr>
          <w:rFonts w:ascii="Arial" w:cs="Arial" w:eastAsia="Arial" w:hAnsi="Arial"/>
          <w:sz w:val="19"/>
          <w:szCs w:val="19"/>
          <w:color w:val="auto"/>
        </w:rPr>
        <w:t>” as a verb has a corresponding meaning.</w:t>
      </w:r>
    </w:p>
    <w:p>
      <w:pPr>
        <w:spacing w:after="0" w:line="189"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Guarantors</w:t>
      </w:r>
      <w:r>
        <w:rPr>
          <w:rFonts w:ascii="Arial" w:cs="Arial" w:eastAsia="Arial" w:hAnsi="Arial"/>
          <w:sz w:val="19"/>
          <w:szCs w:val="19"/>
          <w:color w:val="auto"/>
        </w:rPr>
        <w:t xml:space="preserve">” means </w:t>
      </w:r>
      <w:r>
        <w:rPr>
          <w:rFonts w:ascii="Arial" w:cs="Arial" w:eastAsia="Arial" w:hAnsi="Arial"/>
          <w:sz w:val="19"/>
          <w:szCs w:val="19"/>
          <w:b w:val="1"/>
          <w:bCs w:val="1"/>
          <w:u w:val="single" w:color="auto"/>
          <w:color w:val="0000FF"/>
          <w:highlight w:val="lightGray"/>
        </w:rPr>
        <w:t>at any time</w:t>
      </w:r>
      <w:r>
        <w:rPr>
          <w:rFonts w:ascii="Arial" w:cs="Arial" w:eastAsia="Arial" w:hAnsi="Arial"/>
          <w:sz w:val="19"/>
          <w:szCs w:val="19"/>
          <w:color w:val="auto"/>
        </w:rPr>
        <w:t xml:space="preserve">, collectively, </w:t>
      </w:r>
      <w:r>
        <w:rPr>
          <w:rFonts w:ascii="Arial" w:cs="Arial" w:eastAsia="Arial" w:hAnsi="Arial"/>
          <w:sz w:val="19"/>
          <w:szCs w:val="19"/>
          <w:color w:val="FF0000"/>
          <w:strike w:val="1"/>
        </w:rPr>
        <w:t>(i)</w:t>
      </w:r>
      <w:r>
        <w:rPr>
          <w:rFonts w:ascii="Arial" w:cs="Arial" w:eastAsia="Arial" w:hAnsi="Arial"/>
          <w:sz w:val="19"/>
          <w:szCs w:val="19"/>
          <w:color w:val="auto"/>
        </w:rPr>
        <w:t xml:space="preserve"> the REIT and </w:t>
      </w:r>
      <w:r>
        <w:rPr>
          <w:rFonts w:ascii="Arial" w:cs="Arial" w:eastAsia="Arial" w:hAnsi="Arial"/>
          <w:sz w:val="19"/>
          <w:szCs w:val="19"/>
          <w:color w:val="FF0000"/>
          <w:strike w:val="1"/>
        </w:rPr>
        <w:t>(ii)</w:t>
      </w:r>
      <w:r>
        <w:rPr>
          <w:rFonts w:ascii="Arial" w:cs="Arial" w:eastAsia="Arial" w:hAnsi="Arial"/>
          <w:sz w:val="19"/>
          <w:szCs w:val="19"/>
          <w:color w:val="auto"/>
        </w:rPr>
        <w:t xml:space="preserve"> each Subsidiary of the REIT </w:t>
      </w:r>
      <w:r>
        <w:rPr>
          <w:rFonts w:ascii="Arial" w:cs="Arial" w:eastAsia="Arial" w:hAnsi="Arial"/>
          <w:sz w:val="19"/>
          <w:szCs w:val="19"/>
          <w:color w:val="FF0000"/>
          <w:strike w:val="1"/>
        </w:rPr>
        <w:t>listed on</w:t>
      </w:r>
      <w:r>
        <w:rPr>
          <w:rFonts w:ascii="Arial" w:cs="Arial" w:eastAsia="Arial" w:hAnsi="Arial"/>
          <w:sz w:val="19"/>
          <w:szCs w:val="19"/>
          <w:color w:val="auto"/>
        </w:rPr>
        <w:t xml:space="preserve"> </w:t>
      </w:r>
      <w:r>
        <w:rPr>
          <w:rFonts w:ascii="Arial" w:cs="Arial" w:eastAsia="Arial" w:hAnsi="Arial"/>
          <w:sz w:val="19"/>
          <w:szCs w:val="19"/>
          <w:u w:val="single" w:color="auto"/>
          <w:color w:val="FF0000"/>
          <w:strike w:val="1"/>
        </w:rPr>
        <w:t>Schedule I</w:t>
      </w:r>
      <w:r>
        <w:rPr>
          <w:rFonts w:ascii="Arial" w:cs="Arial" w:eastAsia="Arial" w:hAnsi="Arial"/>
          <w:sz w:val="19"/>
          <w:szCs w:val="19"/>
          <w:color w:val="auto"/>
        </w:rPr>
        <w:t xml:space="preserve"> </w:t>
      </w:r>
      <w:r>
        <w:rPr>
          <w:rFonts w:ascii="Arial" w:cs="Arial" w:eastAsia="Arial" w:hAnsi="Arial"/>
          <w:sz w:val="19"/>
          <w:szCs w:val="19"/>
          <w:color w:val="FF0000"/>
          <w:strike w:val="1"/>
        </w:rPr>
        <w:t>(which</w:t>
      </w:r>
      <w:r>
        <w:rPr>
          <w:rFonts w:ascii="Arial" w:cs="Arial" w:eastAsia="Arial" w:hAnsi="Arial"/>
          <w:sz w:val="19"/>
          <w:szCs w:val="19"/>
          <w:color w:val="auto"/>
        </w:rPr>
        <w:t xml:space="preserve"> </w:t>
      </w:r>
      <w:r>
        <w:rPr>
          <w:rFonts w:ascii="Arial" w:cs="Arial" w:eastAsia="Arial" w:hAnsi="Arial"/>
          <w:sz w:val="19"/>
          <w:szCs w:val="19"/>
          <w:color w:val="FF0000"/>
          <w:strike w:val="1"/>
        </w:rPr>
        <w:t xml:space="preserve">schedule includes all Subsidiaries of the REIT (other than the Borrower) that are not Excluded Subsidiaries on the Closing Date) and each other Subsidiary of the REIT that becomes a guarantor of the Obligations in accordance with </w:t>
      </w:r>
      <w:r>
        <w:rPr>
          <w:rFonts w:ascii="Arial" w:cs="Arial" w:eastAsia="Arial" w:hAnsi="Arial"/>
          <w:sz w:val="19"/>
          <w:szCs w:val="19"/>
          <w:u w:val="single" w:color="auto"/>
          <w:color w:val="FF0000"/>
          <w:strike w:val="1"/>
        </w:rPr>
        <w:t>Section 6.12</w:t>
      </w:r>
      <w:r>
        <w:rPr>
          <w:rFonts w:ascii="Arial" w:cs="Arial" w:eastAsia="Arial" w:hAnsi="Arial"/>
          <w:sz w:val="19"/>
          <w:szCs w:val="19"/>
          <w:color w:val="FF0000"/>
          <w:strike w:val="1"/>
        </w:rPr>
        <w:t>, in each case to the extent such Subsidiary is not released from its guarantee of the Obligations by the Administrative Agent in accordance with the provisions of this Agreement or the Guaranty Agreement.</w:t>
      </w:r>
      <w:r>
        <w:rPr>
          <w:rFonts w:ascii="Arial" w:cs="Arial" w:eastAsia="Arial" w:hAnsi="Arial"/>
          <w:sz w:val="19"/>
          <w:szCs w:val="19"/>
          <w:b w:val="1"/>
          <w:bCs w:val="1"/>
          <w:u w:val="single" w:color="auto"/>
          <w:color w:val="0000FF"/>
          <w:highlight w:val="lightGray"/>
          <w:strike w:val="1"/>
        </w:rPr>
        <w:t>that at such time is a Guarantor.</w:t>
      </w:r>
    </w:p>
    <w:p>
      <w:pPr>
        <w:spacing w:after="0" w:line="192"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 Agreement</w:t>
      </w:r>
      <w:r>
        <w:rPr>
          <w:rFonts w:ascii="Arial" w:cs="Arial" w:eastAsia="Arial" w:hAnsi="Arial"/>
          <w:sz w:val="20"/>
          <w:szCs w:val="20"/>
          <w:color w:val="auto"/>
        </w:rPr>
        <w:t xml:space="preserve">” means the Guaranty made by the Guarantors in favor of the Administrative Agent and the Lenders, substantially in the form of </w:t>
      </w:r>
      <w:r>
        <w:rPr>
          <w:rFonts w:ascii="Arial" w:cs="Arial" w:eastAsia="Arial" w:hAnsi="Arial"/>
          <w:sz w:val="20"/>
          <w:szCs w:val="20"/>
          <w:u w:val="single" w:color="auto"/>
          <w:color w:val="auto"/>
        </w:rPr>
        <w:t>Exhibit G</w:t>
      </w:r>
      <w:r>
        <w:rPr>
          <w:rFonts w:ascii="Arial" w:cs="Arial" w:eastAsia="Arial" w:hAnsi="Arial"/>
          <w:sz w:val="20"/>
          <w:szCs w:val="20"/>
          <w:color w:val="auto"/>
        </w:rPr>
        <w:t>.</w:t>
      </w:r>
    </w:p>
    <w:p>
      <w:pPr>
        <w:spacing w:after="0" w:line="191" w:lineRule="exact"/>
        <w:rPr>
          <w:sz w:val="20"/>
          <w:szCs w:val="20"/>
          <w:color w:val="auto"/>
        </w:rPr>
      </w:pPr>
    </w:p>
    <w:p>
      <w:pPr>
        <w:jc w:val="both"/>
        <w:ind w:firstLine="60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means all explosive or radioactive substances or wastes and all hazardous or toxic substances or wastes,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regulated pursuant to any Environmental Law.</w:t>
      </w:r>
    </w:p>
    <w:p>
      <w:pPr>
        <w:spacing w:after="0" w:line="186" w:lineRule="exact"/>
        <w:rPr>
          <w:sz w:val="20"/>
          <w:szCs w:val="20"/>
          <w:color w:val="auto"/>
        </w:rPr>
      </w:pPr>
    </w:p>
    <w:p>
      <w:pPr>
        <w:jc w:val="both"/>
        <w:ind w:firstLine="600"/>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Hotel Lessee Subsidiary</w:t>
      </w:r>
      <w:r>
        <w:rPr>
          <w:rFonts w:ascii="Arial" w:cs="Arial" w:eastAsia="Arial" w:hAnsi="Arial"/>
          <w:sz w:val="19"/>
          <w:szCs w:val="19"/>
          <w:color w:val="auto"/>
        </w:rPr>
        <w:t xml:space="preserve">” means a </w:t>
      </w:r>
      <w:r>
        <w:rPr>
          <w:rFonts w:ascii="Arial" w:cs="Arial" w:eastAsia="Arial" w:hAnsi="Arial"/>
          <w:sz w:val="19"/>
          <w:szCs w:val="19"/>
          <w:color w:val="FF0000"/>
          <w:strike w:val="1"/>
        </w:rPr>
        <w:t>Wholly-Owned</w:t>
      </w:r>
      <w:r>
        <w:rPr>
          <w:rFonts w:ascii="Arial" w:cs="Arial" w:eastAsia="Arial" w:hAnsi="Arial"/>
          <w:sz w:val="19"/>
          <w:szCs w:val="19"/>
          <w:b w:val="1"/>
          <w:bCs w:val="1"/>
          <w:u w:val="single" w:color="auto"/>
          <w:color w:val="0000FF"/>
          <w:highlight w:val="lightGray"/>
        </w:rPr>
        <w:t>Wholly Owned</w:t>
      </w:r>
      <w:r>
        <w:rPr>
          <w:rFonts w:ascii="Arial" w:cs="Arial" w:eastAsia="Arial" w:hAnsi="Arial"/>
          <w:sz w:val="19"/>
          <w:szCs w:val="19"/>
          <w:color w:val="auto"/>
        </w:rPr>
        <w:t xml:space="preserve"> Subsidiary of a TRS Subsidiary that (i) is the lessee of a Hotel Property owned by one or more </w:t>
      </w:r>
      <w:r>
        <w:rPr>
          <w:rFonts w:ascii="Arial" w:cs="Arial" w:eastAsia="Arial" w:hAnsi="Arial"/>
          <w:sz w:val="19"/>
          <w:szCs w:val="19"/>
          <w:b w:val="1"/>
          <w:bCs w:val="1"/>
          <w:u w:val="single" w:color="auto"/>
          <w:color w:val="0000FF"/>
          <w:highlight w:val="lightGray"/>
        </w:rPr>
        <w:t>Wholly Owned Subsidiaries of the Borrower that are</w:t>
      </w:r>
      <w:r>
        <w:rPr>
          <w:rFonts w:ascii="Arial" w:cs="Arial" w:eastAsia="Arial" w:hAnsi="Arial"/>
          <w:sz w:val="19"/>
          <w:szCs w:val="19"/>
          <w:color w:val="auto"/>
        </w:rPr>
        <w:t xml:space="preserve"> Guarantors, (ii) does not conduct any business or operations, other than acting as lessee and operator of such Hotel Property and activities incidental or ancillary thereto, (iii) is not an obligor with respect to any Indebtedness </w:t>
      </w:r>
      <w:r>
        <w:rPr>
          <w:rFonts w:ascii="Arial" w:cs="Arial" w:eastAsia="Arial" w:hAnsi="Arial"/>
          <w:sz w:val="19"/>
          <w:szCs w:val="19"/>
          <w:b w:val="1"/>
          <w:bCs w:val="1"/>
          <w:u w:val="single" w:color="auto"/>
          <w:color w:val="0000FF"/>
          <w:highlight w:val="lightGray"/>
        </w:rPr>
        <w:t>for borrowed money</w:t>
      </w:r>
      <w:r>
        <w:rPr>
          <w:rFonts w:ascii="Arial" w:cs="Arial" w:eastAsia="Arial" w:hAnsi="Arial"/>
          <w:sz w:val="19"/>
          <w:szCs w:val="19"/>
          <w:color w:val="auto"/>
        </w:rPr>
        <w:t xml:space="preserve"> and (iv) does not have any Liens encumbering any of its property, assets or revenues other than Permitted Judgment Liens and Liens permitted under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(excluding clauses (g), (i) and (j) of </w:t>
      </w:r>
      <w:r>
        <w:rPr>
          <w:rFonts w:ascii="Arial" w:cs="Arial" w:eastAsia="Arial" w:hAnsi="Arial"/>
          <w:sz w:val="19"/>
          <w:szCs w:val="19"/>
          <w:u w:val="single" w:color="auto"/>
          <w:color w:val="auto"/>
        </w:rPr>
        <w:t>Section 7.01)</w:t>
      </w:r>
      <w:r>
        <w:rPr>
          <w:rFonts w:ascii="Arial" w:cs="Arial" w:eastAsia="Arial" w:hAnsi="Arial"/>
          <w:sz w:val="19"/>
          <w:szCs w:val="19"/>
          <w:color w:val="FF0000"/>
          <w:strike w:val="1"/>
        </w:rPr>
        <w:t>.</w:t>
      </w:r>
      <w:r>
        <w:rPr>
          <w:rFonts w:ascii="Arial" w:cs="Arial" w:eastAsia="Arial" w:hAnsi="Arial"/>
          <w:sz w:val="19"/>
          <w:szCs w:val="19"/>
          <w:b w:val="1"/>
          <w:bCs w:val="1"/>
          <w:u w:val="single" w:color="auto"/>
          <w:color w:val="0000FF"/>
          <w:highlight w:val="lightGray"/>
        </w:rPr>
        <w:t>; provided, that in the case of clause (i) of this definition, if the Exemption Condition exists at any time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highlight w:val="lightGray"/>
        </w:rPr>
        <w:t>with respect to any such Wholly Owned Subsidiary of the Borrower, the requirement that such Wholly Owned Subsidiary be a Guarantor shall not apply to such Wholly Owned Subsidiary.</w:t>
      </w:r>
    </w:p>
    <w:p>
      <w:pPr>
        <w:spacing w:after="0" w:line="197" w:lineRule="exact"/>
        <w:rPr>
          <w:sz w:val="20"/>
          <w:szCs w:val="20"/>
          <w:color w:val="auto"/>
        </w:rPr>
      </w:pPr>
    </w:p>
    <w:p>
      <w:pPr>
        <w:jc w:val="both"/>
        <w:ind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Hotel Property</w:t>
      </w:r>
      <w:r>
        <w:rPr>
          <w:rFonts w:ascii="Arial" w:cs="Arial" w:eastAsia="Arial" w:hAnsi="Arial"/>
          <w:sz w:val="20"/>
          <w:szCs w:val="20"/>
          <w:color w:val="auto"/>
        </w:rPr>
        <w:t>” means a Portfolio Property that is (i) operated by or on behalf of one or more Subsidiaries of the Borrower as a hotel and (ii) designated as a “Hotel Property” in a written notice executed by a Responsible Officer of the REIT and delivered to the Administrative Agent.</w:t>
      </w:r>
    </w:p>
    <w:p>
      <w:pPr>
        <w:spacing w:after="0" w:line="202" w:lineRule="exact"/>
        <w:rPr>
          <w:sz w:val="20"/>
          <w:szCs w:val="20"/>
          <w:color w:val="auto"/>
        </w:rPr>
      </w:pPr>
    </w:p>
    <w:p>
      <w:pPr>
        <w:jc w:val="both"/>
        <w:ind w:firstLine="600"/>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means, as of any date, any Subsidiary of the Borrower (i) whose assets, when taken together with the assets of all other Subsidiaries of the Borrower that are designated as “Immaterial Subsidiaries” in accordance with clause (ii) of this definition, have an aggregate book value of less than $</w:t>
      </w:r>
      <w:r>
        <w:rPr>
          <w:rFonts w:ascii="Arial" w:cs="Arial" w:eastAsia="Arial" w:hAnsi="Arial"/>
          <w:sz w:val="18"/>
          <w:szCs w:val="18"/>
          <w:color w:val="FF0000"/>
          <w:strike w:val="1"/>
        </w:rPr>
        <w:t>20,000,000</w:t>
      </w:r>
      <w:r>
        <w:rPr>
          <w:rFonts w:ascii="Arial" w:cs="Arial" w:eastAsia="Arial" w:hAnsi="Arial"/>
          <w:sz w:val="18"/>
          <w:szCs w:val="18"/>
          <w:b w:val="1"/>
          <w:bCs w:val="1"/>
          <w:u w:val="single" w:color="auto"/>
          <w:color w:val="0000FF"/>
          <w:highlight w:val="lightGray"/>
        </w:rPr>
        <w:t>30,000,000</w:t>
      </w:r>
      <w:r>
        <w:rPr>
          <w:rFonts w:ascii="Arial" w:cs="Arial" w:eastAsia="Arial" w:hAnsi="Arial"/>
          <w:sz w:val="18"/>
          <w:szCs w:val="18"/>
          <w:color w:val="auto"/>
        </w:rPr>
        <w:t xml:space="preserve"> and (ii) is designated as an “Immaterial Subsidiary” in a written notice executed by a Responsible Officer of the REIT and delivered to the Administrative Agent.</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Impacted Loans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w:t>
      </w:r>
      <w:r>
        <w:rPr>
          <w:rFonts w:ascii="Arial" w:cs="Arial" w:eastAsia="Arial" w:hAnsi="Arial"/>
          <w:sz w:val="20"/>
          <w:szCs w:val="20"/>
          <w:b w:val="1"/>
          <w:bCs w:val="1"/>
          <w:u w:val="single" w:color="auto"/>
          <w:color w:val="0000FF"/>
          <w:highlight w:val="lightGray"/>
        </w:rPr>
        <w:t>(a)</w:t>
      </w:r>
      <w:r>
        <w:rPr>
          <w:rFonts w:ascii="Arial" w:cs="Arial" w:eastAsia="Arial" w:hAnsi="Arial"/>
          <w:sz w:val="20"/>
          <w:szCs w:val="20"/>
          <w:color w:val="auto"/>
        </w:rPr>
        <w:t>.</w:t>
      </w:r>
    </w:p>
    <w:p>
      <w:pPr>
        <w:spacing w:after="0" w:line="200" w:lineRule="exact"/>
        <w:rPr>
          <w:sz w:val="20"/>
          <w:szCs w:val="20"/>
          <w:color w:val="auto"/>
        </w:rPr>
      </w:pPr>
    </w:p>
    <w:p>
      <w:pPr>
        <w:spacing w:after="0" w:line="26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20"/>
          </w:cols>
          <w:pgMar w:left="840" w:top="795" w:right="239" w:bottom="1440" w:gutter="0" w:footer="0" w:header="0"/>
        </w:sectPr>
      </w:pPr>
    </w:p>
    <w:bookmarkStart w:id="251" w:name="page252"/>
    <w:bookmarkEnd w:id="251"/>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Effective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2.17(b)</w:t>
      </w:r>
      <w:r>
        <w:rPr>
          <w:rFonts w:ascii="Arial" w:cs="Arial" w:eastAsia="Arial" w:hAnsi="Arial"/>
          <w:sz w:val="20"/>
          <w:szCs w:val="20"/>
          <w:color w:val="auto"/>
        </w:rPr>
        <w:t>.</w:t>
      </w:r>
    </w:p>
    <w:p>
      <w:pPr>
        <w:spacing w:after="0" w:line="24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2.17(a)</w:t>
      </w:r>
      <w:r>
        <w:rPr>
          <w:rFonts w:ascii="Arial" w:cs="Arial" w:eastAsia="Arial" w:hAnsi="Arial"/>
          <w:sz w:val="20"/>
          <w:szCs w:val="20"/>
          <w:color w:val="auto"/>
        </w:rPr>
        <w:t>.</w:t>
      </w:r>
    </w:p>
    <w:p>
      <w:pPr>
        <w:spacing w:after="0" w:line="245" w:lineRule="exact"/>
        <w:rPr>
          <w:sz w:val="20"/>
          <w:szCs w:val="20"/>
          <w:color w:val="auto"/>
        </w:rPr>
      </w:pPr>
    </w:p>
    <w:p>
      <w:pPr>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as to any Person at a particular time, without duplication, all of the following, whether or not included as indebtedness or liabilities in accordance with GAAP:</w:t>
      </w:r>
    </w:p>
    <w:p>
      <w:pPr>
        <w:spacing w:after="0" w:line="191" w:lineRule="exact"/>
        <w:rPr>
          <w:sz w:val="20"/>
          <w:szCs w:val="20"/>
          <w:color w:val="auto"/>
        </w:rPr>
      </w:pPr>
    </w:p>
    <w:p>
      <w:pPr>
        <w:ind w:left="600" w:firstLine="598"/>
        <w:spacing w:after="0" w:line="272" w:lineRule="auto"/>
        <w:tabs>
          <w:tab w:leader="none" w:pos="1761" w:val="left"/>
        </w:tabs>
        <w:numPr>
          <w:ilvl w:val="0"/>
          <w:numId w:val="275"/>
        </w:numPr>
        <w:rPr>
          <w:rFonts w:ascii="Arial" w:cs="Arial" w:eastAsia="Arial" w:hAnsi="Arial"/>
          <w:sz w:val="20"/>
          <w:szCs w:val="20"/>
          <w:color w:val="auto"/>
        </w:rPr>
      </w:pPr>
      <w:r>
        <w:rPr>
          <w:rFonts w:ascii="Arial" w:cs="Arial" w:eastAsia="Arial" w:hAnsi="Arial"/>
          <w:sz w:val="20"/>
          <w:szCs w:val="20"/>
          <w:color w:val="auto"/>
        </w:rPr>
        <w:t>all obligations of such Person for borrowed money and all obligations of such Person evidenced by bonds, debentures, notes, loan agreements or other similar instruments;</w:t>
      </w:r>
    </w:p>
    <w:p>
      <w:pPr>
        <w:spacing w:after="0" w:line="190" w:lineRule="exact"/>
        <w:rPr>
          <w:rFonts w:ascii="Arial" w:cs="Arial" w:eastAsia="Arial" w:hAnsi="Arial"/>
          <w:sz w:val="20"/>
          <w:szCs w:val="20"/>
          <w:color w:val="auto"/>
        </w:rPr>
      </w:pPr>
    </w:p>
    <w:p>
      <w:pPr>
        <w:jc w:val="both"/>
        <w:ind w:left="600" w:firstLine="598"/>
        <w:spacing w:after="0" w:line="256" w:lineRule="auto"/>
        <w:tabs>
          <w:tab w:leader="none" w:pos="1800" w:val="left"/>
        </w:tabs>
        <w:numPr>
          <w:ilvl w:val="0"/>
          <w:numId w:val="275"/>
        </w:numPr>
        <w:rPr>
          <w:rFonts w:ascii="Arial" w:cs="Arial" w:eastAsia="Arial" w:hAnsi="Arial"/>
          <w:sz w:val="20"/>
          <w:szCs w:val="20"/>
          <w:color w:val="auto"/>
        </w:rPr>
      </w:pPr>
      <w:r>
        <w:rPr>
          <w:rFonts w:ascii="Arial" w:cs="Arial" w:eastAsia="Arial" w:hAnsi="Arial"/>
          <w:sz w:val="20"/>
          <w:szCs w:val="20"/>
          <w:color w:val="auto"/>
        </w:rPr>
        <w:t>the maximum amount of all direct or contingent obligations of such Person arising under letters of credit (including standby and commercial), bankers’ acceptances and similar instruments (including bank guaranties, surety bonds, comfort letters, keep-well agreements and capital maintenance agreements), in each case to the extent such instruments or agreements support financial, rather than performance, obligations;</w:t>
      </w:r>
    </w:p>
    <w:p>
      <w:pPr>
        <w:spacing w:after="0" w:line="205" w:lineRule="exact"/>
        <w:rPr>
          <w:rFonts w:ascii="Arial" w:cs="Arial" w:eastAsia="Arial" w:hAnsi="Arial"/>
          <w:sz w:val="20"/>
          <w:szCs w:val="20"/>
          <w:color w:val="auto"/>
        </w:rPr>
      </w:pPr>
    </w:p>
    <w:p>
      <w:pPr>
        <w:ind w:left="1620" w:hanging="422"/>
        <w:spacing w:after="0"/>
        <w:tabs>
          <w:tab w:leader="none" w:pos="1620" w:val="left"/>
        </w:tabs>
        <w:numPr>
          <w:ilvl w:val="0"/>
          <w:numId w:val="275"/>
        </w:numPr>
        <w:rPr>
          <w:rFonts w:ascii="Arial" w:cs="Arial" w:eastAsia="Arial" w:hAnsi="Arial"/>
          <w:sz w:val="20"/>
          <w:szCs w:val="20"/>
          <w:color w:val="auto"/>
        </w:rPr>
      </w:pPr>
      <w:r>
        <w:rPr>
          <w:rFonts w:ascii="Arial" w:cs="Arial" w:eastAsia="Arial" w:hAnsi="Arial"/>
          <w:sz w:val="20"/>
          <w:szCs w:val="20"/>
          <w:color w:val="auto"/>
        </w:rPr>
        <w:t>net obligations of such Person under any Swap Contract;</w:t>
      </w:r>
    </w:p>
    <w:p>
      <w:pPr>
        <w:spacing w:after="0" w:line="244" w:lineRule="exact"/>
        <w:rPr>
          <w:rFonts w:ascii="Arial" w:cs="Arial" w:eastAsia="Arial" w:hAnsi="Arial"/>
          <w:sz w:val="20"/>
          <w:szCs w:val="20"/>
          <w:color w:val="auto"/>
        </w:rPr>
      </w:pPr>
    </w:p>
    <w:p>
      <w:pPr>
        <w:ind w:left="600" w:firstLine="598"/>
        <w:spacing w:after="0" w:line="272" w:lineRule="auto"/>
        <w:tabs>
          <w:tab w:leader="none" w:pos="1648" w:val="left"/>
        </w:tabs>
        <w:numPr>
          <w:ilvl w:val="0"/>
          <w:numId w:val="275"/>
        </w:numPr>
        <w:rPr>
          <w:rFonts w:ascii="Arial" w:cs="Arial" w:eastAsia="Arial" w:hAnsi="Arial"/>
          <w:sz w:val="20"/>
          <w:szCs w:val="20"/>
          <w:color w:val="auto"/>
        </w:rPr>
      </w:pPr>
      <w:r>
        <w:rPr>
          <w:rFonts w:ascii="Arial" w:cs="Arial" w:eastAsia="Arial" w:hAnsi="Arial"/>
          <w:sz w:val="20"/>
          <w:szCs w:val="20"/>
          <w:color w:val="auto"/>
        </w:rPr>
        <w:t>all obligations of such Person to pay the deferred purchase price of property or services (other than trade accounts payable in the ordinary course of business);</w:t>
      </w:r>
    </w:p>
    <w:p>
      <w:pPr>
        <w:spacing w:after="0" w:line="190" w:lineRule="exact"/>
        <w:rPr>
          <w:rFonts w:ascii="Arial" w:cs="Arial" w:eastAsia="Arial" w:hAnsi="Arial"/>
          <w:sz w:val="20"/>
          <w:szCs w:val="20"/>
          <w:color w:val="auto"/>
        </w:rPr>
      </w:pPr>
    </w:p>
    <w:p>
      <w:pPr>
        <w:jc w:val="both"/>
        <w:ind w:left="600" w:firstLine="598"/>
        <w:spacing w:after="0" w:line="288" w:lineRule="auto"/>
        <w:tabs>
          <w:tab w:leader="none" w:pos="1621"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highlight w:val="lightGray"/>
        </w:rPr>
        <w:t>(valued in the case of this clause (e) at the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highlight w:val="lightGray"/>
        </w:rPr>
        <w:t>lesser of (i) the aggregate unpaid amount of such indebtedness and (ii) if such indebtedness is non-recourse, the fair market value of the property encumbered thereby as determined by such Person in good faith);</w:t>
      </w:r>
    </w:p>
    <w:p>
      <w:pPr>
        <w:spacing w:after="0" w:line="181" w:lineRule="exact"/>
        <w:rPr>
          <w:rFonts w:ascii="Arial" w:cs="Arial" w:eastAsia="Arial" w:hAnsi="Arial"/>
          <w:sz w:val="18"/>
          <w:szCs w:val="18"/>
          <w:color w:val="auto"/>
        </w:rPr>
      </w:pPr>
    </w:p>
    <w:p>
      <w:pPr>
        <w:ind w:left="600" w:firstLine="598"/>
        <w:spacing w:after="0" w:line="272" w:lineRule="auto"/>
        <w:tabs>
          <w:tab w:leader="none" w:pos="1623" w:val="left"/>
        </w:tabs>
        <w:numPr>
          <w:ilvl w:val="0"/>
          <w:numId w:val="275"/>
        </w:numPr>
        <w:rPr>
          <w:rFonts w:ascii="Arial" w:cs="Arial" w:eastAsia="Arial" w:hAnsi="Arial"/>
          <w:sz w:val="20"/>
          <w:szCs w:val="20"/>
          <w:color w:val="auto"/>
        </w:rPr>
      </w:pPr>
      <w:r>
        <w:rPr>
          <w:rFonts w:ascii="Arial" w:cs="Arial" w:eastAsia="Arial" w:hAnsi="Arial"/>
          <w:sz w:val="20"/>
          <w:szCs w:val="20"/>
          <w:color w:val="auto"/>
        </w:rPr>
        <w:t>all Attributable Indebtedness in respect of Capitalized Leases and Synthetic Lease Obligations of such Person and all Synthetic Debt of such Person;</w:t>
      </w:r>
    </w:p>
    <w:p>
      <w:pPr>
        <w:spacing w:after="0" w:line="190" w:lineRule="exact"/>
        <w:rPr>
          <w:rFonts w:ascii="Arial" w:cs="Arial" w:eastAsia="Arial" w:hAnsi="Arial"/>
          <w:sz w:val="20"/>
          <w:szCs w:val="20"/>
          <w:color w:val="auto"/>
        </w:rPr>
      </w:pPr>
    </w:p>
    <w:p>
      <w:pPr>
        <w:jc w:val="both"/>
        <w:ind w:left="600" w:firstLine="598"/>
        <w:spacing w:after="0" w:line="260" w:lineRule="auto"/>
        <w:tabs>
          <w:tab w:leader="none" w:pos="1692" w:val="left"/>
        </w:tabs>
        <w:numPr>
          <w:ilvl w:val="0"/>
          <w:numId w:val="275"/>
        </w:numPr>
        <w:rPr>
          <w:rFonts w:ascii="Arial" w:cs="Arial" w:eastAsia="Arial" w:hAnsi="Arial"/>
          <w:sz w:val="20"/>
          <w:szCs w:val="20"/>
          <w:color w:val="auto"/>
        </w:rPr>
      </w:pPr>
      <w:r>
        <w:rPr>
          <w:rFonts w:ascii="Arial" w:cs="Arial" w:eastAsia="Arial" w:hAnsi="Arial"/>
          <w:sz w:val="20"/>
          <w:szCs w:val="20"/>
          <w:color w:val="auto"/>
        </w:rPr>
        <w:t xml:space="preserve">all obligations of such Person to purchase, redeem, retire, defease or otherwise make any payment in respect of any Equity Interest in such Person, valued, in the case of a redeemable preferred interest, at the greater of its voluntary or involuntary liquidation preference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accrued and unpaid dividends; and</w:t>
      </w:r>
    </w:p>
    <w:p>
      <w:pPr>
        <w:spacing w:after="0" w:line="201" w:lineRule="exact"/>
        <w:rPr>
          <w:rFonts w:ascii="Arial" w:cs="Arial" w:eastAsia="Arial" w:hAnsi="Arial"/>
          <w:sz w:val="20"/>
          <w:szCs w:val="20"/>
          <w:color w:val="auto"/>
        </w:rPr>
      </w:pPr>
    </w:p>
    <w:p>
      <w:pPr>
        <w:ind w:left="1640" w:hanging="442"/>
        <w:spacing w:after="0"/>
        <w:tabs>
          <w:tab w:leader="none" w:pos="1640" w:val="left"/>
        </w:tabs>
        <w:numPr>
          <w:ilvl w:val="0"/>
          <w:numId w:val="275"/>
        </w:numPr>
        <w:rPr>
          <w:rFonts w:ascii="Arial" w:cs="Arial" w:eastAsia="Arial" w:hAnsi="Arial"/>
          <w:sz w:val="20"/>
          <w:szCs w:val="20"/>
          <w:color w:val="auto"/>
        </w:rPr>
      </w:pPr>
      <w:r>
        <w:rPr>
          <w:rFonts w:ascii="Arial" w:cs="Arial" w:eastAsia="Arial" w:hAnsi="Arial"/>
          <w:sz w:val="20"/>
          <w:szCs w:val="20"/>
          <w:color w:val="auto"/>
        </w:rPr>
        <w:t>all Guarantees of such Person in respect of any of the foregoing.</w:t>
      </w:r>
    </w:p>
    <w:p>
      <w:pPr>
        <w:spacing w:after="0" w:line="239"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19"/>
          <w:szCs w:val="19"/>
          <w:color w:val="auto"/>
        </w:rPr>
        <w:t xml:space="preserve">For all purposes hereof, the Indebtedness </w:t>
      </w:r>
      <w:r>
        <w:rPr>
          <w:rFonts w:ascii="Arial" w:cs="Arial" w:eastAsia="Arial" w:hAnsi="Arial"/>
          <w:sz w:val="19"/>
          <w:szCs w:val="19"/>
          <w:color w:val="FF0000"/>
          <w:strike w:val="1"/>
        </w:rPr>
        <w:t>of</w:t>
      </w:r>
      <w:r>
        <w:rPr>
          <w:rFonts w:ascii="Arial" w:cs="Arial" w:eastAsia="Arial" w:hAnsi="Arial"/>
          <w:sz w:val="19"/>
          <w:szCs w:val="19"/>
          <w:b w:val="1"/>
          <w:bCs w:val="1"/>
          <w:u w:val="single" w:color="auto"/>
          <w:color w:val="0000FF"/>
          <w:highlight w:val="lightGray"/>
        </w:rPr>
        <w:t>owed by</w:t>
      </w:r>
      <w:r>
        <w:rPr>
          <w:rFonts w:ascii="Arial" w:cs="Arial" w:eastAsia="Arial" w:hAnsi="Arial"/>
          <w:sz w:val="19"/>
          <w:szCs w:val="19"/>
          <w:color w:val="auto"/>
        </w:rPr>
        <w:t xml:space="preserve"> the REIT or any Subsidiary thereof shall include the Consolidated Group Pro Rata Share of the foregoing items and components thereof attributable to Indebtedness </w:t>
      </w:r>
      <w:r>
        <w:rPr>
          <w:rFonts w:ascii="Arial" w:cs="Arial" w:eastAsia="Arial" w:hAnsi="Arial"/>
          <w:sz w:val="19"/>
          <w:szCs w:val="19"/>
          <w:color w:val="FF0000"/>
          <w:strike w:val="1"/>
        </w:rPr>
        <w:t>of</w:t>
      </w:r>
      <w:r>
        <w:rPr>
          <w:rFonts w:ascii="Arial" w:cs="Arial" w:eastAsia="Arial" w:hAnsi="Arial"/>
          <w:sz w:val="19"/>
          <w:szCs w:val="19"/>
          <w:b w:val="1"/>
          <w:bCs w:val="1"/>
          <w:u w:val="single" w:color="auto"/>
          <w:color w:val="0000FF"/>
          <w:highlight w:val="lightGray"/>
        </w:rPr>
        <w:t>owed by</w:t>
      </w:r>
      <w:r>
        <w:rPr>
          <w:rFonts w:ascii="Arial" w:cs="Arial" w:eastAsia="Arial" w:hAnsi="Arial"/>
          <w:sz w:val="19"/>
          <w:szCs w:val="19"/>
          <w:color w:val="auto"/>
        </w:rPr>
        <w:t xml:space="preserve"> Unconsolidated Affiliates. The amount of any net obligation under any Swap Contract on any date shall be deemed to be the Swap Termination Value thereof as of such date. The amount of any Capitalized Lease or Synthetic Lease Obligation as of any date shall be deemed to be the amount of Attributable Indebtedness in respect thereof as of such date.</w:t>
      </w:r>
    </w:p>
    <w:p>
      <w:pPr>
        <w:spacing w:after="0" w:line="192" w:lineRule="exact"/>
        <w:rPr>
          <w:sz w:val="20"/>
          <w:szCs w:val="20"/>
          <w:color w:val="auto"/>
        </w:rPr>
      </w:pPr>
    </w:p>
    <w:p>
      <w:pPr>
        <w:jc w:val="both"/>
        <w:ind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Arial" w:cs="Arial" w:eastAsia="Arial" w:hAnsi="Arial"/>
          <w:sz w:val="20"/>
          <w:szCs w:val="20"/>
          <w:b w:val="1"/>
          <w:bCs w:val="1"/>
          <w:u w:val="single" w:color="auto"/>
          <w:color w:val="0000FF"/>
          <w:highlight w:val="lightGray"/>
        </w:rPr>
        <w:t>the preceding</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highlight w:val="lightGray"/>
        </w:rPr>
        <w:t>clause</w:t>
      </w:r>
      <w:r>
        <w:rPr>
          <w:rFonts w:ascii="Arial" w:cs="Arial" w:eastAsia="Arial" w:hAnsi="Arial"/>
          <w:sz w:val="20"/>
          <w:szCs w:val="20"/>
          <w:b w:val="1"/>
          <w:bCs w:val="1"/>
          <w:color w:val="0000FF"/>
          <w:highlight w:val="lightGray"/>
        </w:rPr>
        <w:t xml:space="preserve"> </w:t>
      </w:r>
      <w:r>
        <w:rPr>
          <w:rFonts w:ascii="Arial" w:cs="Arial" w:eastAsia="Arial" w:hAnsi="Arial"/>
          <w:sz w:val="20"/>
          <w:szCs w:val="20"/>
          <w:color w:val="000000"/>
        </w:rPr>
        <w:t>(a), Other Taxes.</w:t>
      </w:r>
    </w:p>
    <w:p>
      <w:pPr>
        <w:spacing w:after="0" w:line="17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20"/>
          </w:cols>
          <w:pgMar w:left="840" w:top="795" w:right="239" w:bottom="1440" w:gutter="0" w:footer="0" w:header="0"/>
        </w:sectPr>
      </w:pPr>
    </w:p>
    <w:bookmarkStart w:id="252" w:name="page253"/>
    <w:bookmarkEnd w:id="252"/>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10.04(b)</w:t>
      </w:r>
      <w:r>
        <w:rPr>
          <w:rFonts w:ascii="Arial" w:cs="Arial" w:eastAsia="Arial" w:hAnsi="Arial"/>
          <w:sz w:val="20"/>
          <w:szCs w:val="20"/>
          <w:color w:val="auto"/>
        </w:rPr>
        <w:t>.</w:t>
      </w:r>
    </w:p>
    <w:p>
      <w:pPr>
        <w:spacing w:after="0" w:line="239" w:lineRule="exact"/>
        <w:rPr>
          <w:sz w:val="20"/>
          <w:szCs w:val="20"/>
          <w:color w:val="auto"/>
        </w:rPr>
      </w:pPr>
    </w:p>
    <w:p>
      <w:pPr>
        <w:jc w:val="both"/>
        <w:ind w:firstLine="600"/>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Indirect Owner</w:t>
      </w:r>
      <w:r>
        <w:rPr>
          <w:rFonts w:ascii="Arial" w:cs="Arial" w:eastAsia="Arial" w:hAnsi="Arial"/>
          <w:sz w:val="20"/>
          <w:szCs w:val="20"/>
          <w:color w:val="auto"/>
        </w:rPr>
        <w:t xml:space="preserve">” </w:t>
      </w:r>
      <w:r>
        <w:rPr>
          <w:rFonts w:ascii="Arial" w:cs="Arial" w:eastAsia="Arial" w:hAnsi="Arial"/>
          <w:sz w:val="20"/>
          <w:szCs w:val="20"/>
          <w:color w:val="FF0000"/>
          <w:strike w:val="1"/>
        </w:rPr>
        <w:t>has the meaning specified in the definition of “</w:t>
      </w:r>
      <w:r>
        <w:rPr>
          <w:rFonts w:ascii="Arial" w:cs="Arial" w:eastAsia="Arial" w:hAnsi="Arial"/>
          <w:sz w:val="20"/>
          <w:szCs w:val="20"/>
          <w:b w:val="1"/>
          <w:bCs w:val="1"/>
          <w:u w:val="single" w:color="auto"/>
          <w:color w:val="0000FF"/>
          <w:highlight w:val="lightGray"/>
        </w:rPr>
        <w:t>means each Subsidiary of the Borrower (including, for the</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highlight w:val="lightGray"/>
        </w:rPr>
        <w:t>avoidance of doubt, each Controlled Joint Venture) that directly or indirectly owns an Equity Interest in the Direct Owner of any</w:t>
      </w:r>
      <w:r>
        <w:rPr>
          <w:rFonts w:ascii="Arial" w:cs="Arial" w:eastAsia="Arial" w:hAnsi="Arial"/>
          <w:sz w:val="20"/>
          <w:szCs w:val="20"/>
          <w:b w:val="1"/>
          <w:bCs w:val="1"/>
          <w:color w:val="0000FF"/>
          <w:highlight w:val="lightGray"/>
        </w:rPr>
        <w:t xml:space="preserve"> </w:t>
      </w:r>
      <w:r>
        <w:rPr>
          <w:rFonts w:ascii="Arial" w:cs="Arial" w:eastAsia="Arial" w:hAnsi="Arial"/>
          <w:sz w:val="20"/>
          <w:szCs w:val="20"/>
          <w:color w:val="000000"/>
        </w:rPr>
        <w:t>Unencumbered</w:t>
      </w:r>
      <w:r>
        <w:rPr>
          <w:rFonts w:ascii="Arial" w:cs="Arial" w:eastAsia="Arial" w:hAnsi="Arial"/>
          <w:sz w:val="20"/>
          <w:szCs w:val="20"/>
          <w:b w:val="1"/>
          <w:bCs w:val="1"/>
          <w:color w:val="0000FF"/>
          <w:highlight w:val="lightGray"/>
        </w:rPr>
        <w:t xml:space="preserve"> </w:t>
      </w:r>
      <w:r>
        <w:rPr>
          <w:rFonts w:ascii="Arial" w:cs="Arial" w:eastAsia="Arial" w:hAnsi="Arial"/>
          <w:sz w:val="20"/>
          <w:szCs w:val="20"/>
          <w:color w:val="FF0000"/>
          <w:strike w:val="1"/>
        </w:rPr>
        <w:t>Eligible</w:t>
      </w:r>
      <w:r>
        <w:rPr>
          <w:rFonts w:ascii="Arial" w:cs="Arial" w:eastAsia="Arial" w:hAnsi="Arial"/>
          <w:sz w:val="20"/>
          <w:szCs w:val="20"/>
          <w:b w:val="1"/>
          <w:bCs w:val="1"/>
          <w:u w:val="single" w:color="auto"/>
          <w:color w:val="0000FF"/>
          <w:highlight w:val="lightGray"/>
        </w:rPr>
        <w:t>Portfolio</w:t>
      </w:r>
      <w:r>
        <w:rPr>
          <w:rFonts w:ascii="Arial" w:cs="Arial" w:eastAsia="Arial" w:hAnsi="Arial"/>
          <w:sz w:val="20"/>
          <w:szCs w:val="20"/>
          <w:b w:val="1"/>
          <w:bCs w:val="1"/>
          <w:color w:val="0000FF"/>
          <w:highlight w:val="lightGray"/>
        </w:rPr>
        <w:t xml:space="preserve"> </w:t>
      </w:r>
      <w:r>
        <w:rPr>
          <w:rFonts w:ascii="Arial" w:cs="Arial" w:eastAsia="Arial" w:hAnsi="Arial"/>
          <w:sz w:val="20"/>
          <w:szCs w:val="20"/>
          <w:color w:val="000000"/>
        </w:rPr>
        <w:t>Property.</w:t>
      </w:r>
      <w:r>
        <w:rPr>
          <w:rFonts w:ascii="Arial" w:cs="Arial" w:eastAsia="Arial" w:hAnsi="Arial"/>
          <w:sz w:val="20"/>
          <w:szCs w:val="20"/>
          <w:color w:val="FF0000"/>
          <w:strike w:val="1"/>
        </w:rPr>
        <w:t>”</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Ineligible Institution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10.06(b)(v)</w:t>
      </w:r>
      <w:r>
        <w:rPr>
          <w:rFonts w:ascii="Arial" w:cs="Arial" w:eastAsia="Arial" w:hAnsi="Arial"/>
          <w:sz w:val="20"/>
          <w:szCs w:val="20"/>
          <w:color w:val="auto"/>
        </w:rPr>
        <w:t>.</w:t>
      </w:r>
    </w:p>
    <w:p>
      <w:pPr>
        <w:spacing w:after="0" w:line="24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w:t>
      </w:r>
      <w:r>
        <w:rPr>
          <w:rFonts w:ascii="Arial" w:cs="Arial" w:eastAsia="Arial" w:hAnsi="Arial"/>
          <w:sz w:val="20"/>
          <w:szCs w:val="20"/>
          <w:color w:val="auto"/>
        </w:rPr>
        <w:t>.</w:t>
      </w:r>
    </w:p>
    <w:p>
      <w:pPr>
        <w:spacing w:after="0" w:line="245" w:lineRule="exact"/>
        <w:rPr>
          <w:sz w:val="20"/>
          <w:szCs w:val="20"/>
          <w:color w:val="auto"/>
        </w:rPr>
      </w:pPr>
    </w:p>
    <w:p>
      <w:pPr>
        <w:jc w:val="both"/>
        <w:ind w:firstLine="600"/>
        <w:spacing w:after="0" w:line="260"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Intangible Assets</w:t>
      </w:r>
      <w:r>
        <w:rPr>
          <w:rFonts w:ascii="Arial" w:cs="Arial" w:eastAsia="Arial" w:hAnsi="Arial"/>
          <w:sz w:val="20"/>
          <w:szCs w:val="20"/>
          <w:color w:val="FF0000"/>
          <w:strike w:val="1"/>
        </w:rPr>
        <w:t>” means assets that are considered to be intangible assets under GAAP, including customer lists, goodwill, computer software, copyrights, trade names, trademarks, patents, franchises, licenses, unamortized deferred charges, unamortized debt discount and capitalized research and development costs.</w:t>
      </w:r>
    </w:p>
    <w:p>
      <w:pPr>
        <w:spacing w:after="0" w:line="202" w:lineRule="exact"/>
        <w:rPr>
          <w:sz w:val="20"/>
          <w:szCs w:val="20"/>
          <w:color w:val="auto"/>
        </w:rPr>
      </w:pPr>
    </w:p>
    <w:p>
      <w:pPr>
        <w:jc w:val="both"/>
        <w:ind w:firstLine="600"/>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as to any Eurodollar Rate Loan, the last day of each Interest Period applicable to such Loan and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Interest Period for a Eurodollar Rate Loan exceeds three months, the respective dates that fall every three months after the beginning of such Interest Period shall also be Interest Payment Dates; and (b) as to any Base Rate Loan, the last Business Day of each March, June, September and December and the Maturity Date.</w:t>
      </w:r>
    </w:p>
    <w:p>
      <w:pPr>
        <w:spacing w:after="0" w:line="176" w:lineRule="exact"/>
        <w:rPr>
          <w:sz w:val="20"/>
          <w:szCs w:val="20"/>
          <w:color w:val="auto"/>
        </w:rPr>
      </w:pPr>
    </w:p>
    <w:p>
      <w:pPr>
        <w:jc w:val="both"/>
        <w:ind w:firstLine="600"/>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means, as to each Eurodollar Rate Loan, the period commencing on the date such Eurodollar Rate Loan is disbursed or converted to or continued as a Eurodollar Rate Loan and ending on the date one, two, three or six months (or if agreed by all Lenders, twelve months) thereafter (in each case, subject to availability), as selected by the Borrower in its Loan Notice;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205" w:lineRule="exact"/>
        <w:rPr>
          <w:sz w:val="20"/>
          <w:szCs w:val="20"/>
          <w:color w:val="auto"/>
        </w:rPr>
      </w:pPr>
    </w:p>
    <w:p>
      <w:pPr>
        <w:jc w:val="both"/>
        <w:ind w:left="600" w:firstLine="598"/>
        <w:spacing w:after="0" w:line="260" w:lineRule="auto"/>
        <w:tabs>
          <w:tab w:leader="none" w:pos="1693" w:val="left"/>
        </w:tabs>
        <w:numPr>
          <w:ilvl w:val="0"/>
          <w:numId w:val="276"/>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201" w:lineRule="exact"/>
        <w:rPr>
          <w:rFonts w:ascii="Arial" w:cs="Arial" w:eastAsia="Arial" w:hAnsi="Arial"/>
          <w:sz w:val="20"/>
          <w:szCs w:val="20"/>
          <w:color w:val="auto"/>
        </w:rPr>
      </w:pPr>
    </w:p>
    <w:p>
      <w:pPr>
        <w:jc w:val="both"/>
        <w:ind w:left="600" w:firstLine="598"/>
        <w:spacing w:after="0" w:line="260" w:lineRule="auto"/>
        <w:tabs>
          <w:tab w:leader="none" w:pos="1692" w:val="left"/>
        </w:tabs>
        <w:numPr>
          <w:ilvl w:val="0"/>
          <w:numId w:val="276"/>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201" w:lineRule="exact"/>
        <w:rPr>
          <w:rFonts w:ascii="Arial" w:cs="Arial" w:eastAsia="Arial" w:hAnsi="Arial"/>
          <w:sz w:val="20"/>
          <w:szCs w:val="20"/>
          <w:color w:val="auto"/>
        </w:rPr>
      </w:pPr>
    </w:p>
    <w:p>
      <w:pPr>
        <w:ind w:left="1620" w:hanging="422"/>
        <w:spacing w:after="0"/>
        <w:tabs>
          <w:tab w:leader="none" w:pos="1620" w:val="left"/>
        </w:tabs>
        <w:numPr>
          <w:ilvl w:val="0"/>
          <w:numId w:val="276"/>
        </w:numPr>
        <w:rPr>
          <w:rFonts w:ascii="Arial" w:cs="Arial" w:eastAsia="Arial" w:hAnsi="Arial"/>
          <w:sz w:val="20"/>
          <w:szCs w:val="20"/>
          <w:color w:val="auto"/>
        </w:rPr>
      </w:pPr>
      <w:r>
        <w:rPr>
          <w:rFonts w:ascii="Arial" w:cs="Arial" w:eastAsia="Arial" w:hAnsi="Arial"/>
          <w:sz w:val="20"/>
          <w:szCs w:val="20"/>
          <w:color w:val="auto"/>
        </w:rPr>
        <w:t>no Interest Period shall extend beyond the Maturity Date.</w:t>
      </w:r>
    </w:p>
    <w:p>
      <w:pPr>
        <w:spacing w:after="0" w:line="245" w:lineRule="exact"/>
        <w:rPr>
          <w:sz w:val="20"/>
          <w:szCs w:val="20"/>
          <w:color w:val="auto"/>
        </w:rPr>
      </w:pPr>
    </w:p>
    <w:p>
      <w:pPr>
        <w:jc w:val="both"/>
        <w:ind w:firstLine="600"/>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xml:space="preserve">” means, as to any Person, any direct or indirect (a) investment by such Person, consisting of (i) the purchase or other acquisition of Equity Interests or other securities of another Person or (ii) a loan, advance, other extension of credit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w:t>
      </w:r>
      <w:r>
        <w:rPr>
          <w:rFonts w:ascii="Arial" w:cs="Arial" w:eastAsia="Arial" w:hAnsi="Arial"/>
          <w:sz w:val="18"/>
          <w:szCs w:val="18"/>
          <w:color w:val="FF0000"/>
          <w:strike w:val="1"/>
        </w:rPr>
        <w:t>of</w:t>
      </w:r>
      <w:r>
        <w:rPr>
          <w:rFonts w:ascii="Arial" w:cs="Arial" w:eastAsia="Arial" w:hAnsi="Arial"/>
          <w:sz w:val="18"/>
          <w:szCs w:val="18"/>
          <w:b w:val="1"/>
          <w:bCs w:val="1"/>
          <w:u w:val="single" w:color="auto"/>
          <w:color w:val="0000FF"/>
          <w:highlight w:val="lightGray"/>
        </w:rPr>
        <w:t>owed by</w:t>
      </w:r>
      <w:r>
        <w:rPr>
          <w:rFonts w:ascii="Arial" w:cs="Arial" w:eastAsia="Arial" w:hAnsi="Arial"/>
          <w:sz w:val="18"/>
          <w:szCs w:val="18"/>
          <w:color w:val="auto"/>
        </w:rPr>
        <w:t xml:space="preserve"> such other Person, (b) purchase or other acquisition (in one transaction or a series of transactions) of assets of another Person that constitute a business unit or all or a substantial part of the business of, such Person or (c) purchase, acquisition or other investment in any real property or real property-related assets</w:t>
      </w:r>
    </w:p>
    <w:p>
      <w:pPr>
        <w:spacing w:after="0" w:line="16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20"/>
          </w:cols>
          <w:pgMar w:left="840" w:top="795" w:right="239" w:bottom="1440" w:gutter="0" w:footer="0" w:header="0"/>
        </w:sectPr>
      </w:pPr>
    </w:p>
    <w:bookmarkStart w:id="253" w:name="page254"/>
    <w:bookmarkEnd w:id="253"/>
    <w:p>
      <w:pPr>
        <w:jc w:val="both"/>
        <w:spacing w:after="0" w:line="252" w:lineRule="auto"/>
        <w:rPr>
          <w:sz w:val="20"/>
          <w:szCs w:val="20"/>
          <w:color w:val="auto"/>
        </w:rPr>
      </w:pPr>
      <w:r>
        <w:rPr>
          <w:rFonts w:ascii="Arial" w:cs="Arial" w:eastAsia="Arial" w:hAnsi="Arial"/>
          <w:sz w:val="20"/>
          <w:szCs w:val="20"/>
          <w:color w:val="auto"/>
        </w:rPr>
        <w:t xml:space="preserve">(including, without limitation, mortgage loans and other real estate-related debt investments, investments in unimproved land holdings and Portfolio Properties, and costs to construct real property assets under development). For purposes </w:t>
      </w:r>
      <w:r>
        <w:rPr>
          <w:rFonts w:ascii="Arial" w:cs="Arial" w:eastAsia="Arial" w:hAnsi="Arial"/>
          <w:sz w:val="20"/>
          <w:szCs w:val="20"/>
          <w:color w:val="FF0000"/>
          <w:strike w:val="1"/>
        </w:rPr>
        <w:t>of covenant compliance</w:t>
      </w:r>
      <w:r>
        <w:rPr>
          <w:rFonts w:ascii="Arial" w:cs="Arial" w:eastAsia="Arial" w:hAnsi="Arial"/>
          <w:sz w:val="20"/>
          <w:szCs w:val="20"/>
          <w:b w:val="1"/>
          <w:bCs w:val="1"/>
          <w:u w:val="single" w:color="auto"/>
          <w:color w:val="0000FF"/>
          <w:highlight w:val="lightGray"/>
        </w:rPr>
        <w:t>hereof</w:t>
      </w:r>
      <w:r>
        <w:rPr>
          <w:rFonts w:ascii="Arial" w:cs="Arial" w:eastAsia="Arial" w:hAnsi="Arial"/>
          <w:sz w:val="20"/>
          <w:szCs w:val="20"/>
          <w:color w:val="auto"/>
        </w:rPr>
        <w:t>, the amount of any Investment shall be the amount actually invested, without adjustment for subsequent increases or decreases in the value of such Investment, but determined net of all payments constituting returns of invested capital received in respect of such Investment and, in the case of a guaranty or similar obligation, such Investment will be reduced to the extent the exposure under such guaranty or similar obligation is reduced.</w:t>
      </w:r>
    </w:p>
    <w:p>
      <w:pPr>
        <w:spacing w:after="0" w:line="212" w:lineRule="exact"/>
        <w:rPr>
          <w:sz w:val="20"/>
          <w:szCs w:val="20"/>
          <w:color w:val="auto"/>
        </w:rPr>
      </w:pPr>
    </w:p>
    <w:p>
      <w:pPr>
        <w:jc w:val="both"/>
        <w:ind w:firstLine="6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 Pricing Effective Date</w:t>
      </w:r>
      <w:r>
        <w:rPr>
          <w:rFonts w:ascii="Arial" w:cs="Arial" w:eastAsia="Arial" w:hAnsi="Arial"/>
          <w:sz w:val="18"/>
          <w:szCs w:val="18"/>
          <w:color w:val="auto"/>
        </w:rPr>
        <w:t xml:space="preserve">” means the first Business Day following the date on which (i) the Borrower has obtained an Investment Grade Rating and (ii) the REIT has delivered to the Administrative Agent a certificate executed by a Responsible Officer of the REIT (x) certifying that an Investment Grade Rating has been obtained and is in effect (which certification shall also set forth the Debt Ratings received from each Rating Agency as of such date) and (y) notifying the Administrative Agent that Borrower has irrevocably elected </w:t>
      </w:r>
      <w:r>
        <w:rPr>
          <w:rFonts w:ascii="Arial" w:cs="Arial" w:eastAsia="Arial" w:hAnsi="Arial"/>
          <w:sz w:val="18"/>
          <w:szCs w:val="18"/>
          <w:b w:val="1"/>
          <w:bCs w:val="1"/>
          <w:u w:val="single" w:color="auto"/>
          <w:color w:val="0000FF"/>
          <w:highlight w:val="lightGray"/>
        </w:rPr>
        <w:t>(A)</w:t>
      </w:r>
      <w:r>
        <w:rPr>
          <w:rFonts w:ascii="Arial" w:cs="Arial" w:eastAsia="Arial" w:hAnsi="Arial"/>
          <w:sz w:val="18"/>
          <w:szCs w:val="18"/>
          <w:color w:val="auto"/>
        </w:rPr>
        <w:t xml:space="preserve"> to have the Ratings-Based Applicable Rate apply to </w:t>
      </w:r>
      <w:r>
        <w:rPr>
          <w:rFonts w:ascii="Arial" w:cs="Arial" w:eastAsia="Arial" w:hAnsi="Arial"/>
          <w:sz w:val="18"/>
          <w:szCs w:val="18"/>
          <w:color w:val="FF0000"/>
          <w:strike w:val="1"/>
        </w:rPr>
        <w:t>(A)</w:t>
      </w:r>
      <w:r>
        <w:rPr>
          <w:rFonts w:ascii="Arial" w:cs="Arial" w:eastAsia="Arial" w:hAnsi="Arial"/>
          <w:sz w:val="18"/>
          <w:szCs w:val="18"/>
          <w:color w:val="auto"/>
        </w:rPr>
        <w:t xml:space="preserve"> the pricing of the Facility and (B) to apply ratings-based pricing concurrently under the Revolving Credit Agreement (provided that if (x) the Revolving Credit </w:t>
      </w:r>
      <w:r>
        <w:rPr>
          <w:rFonts w:ascii="Arial" w:cs="Arial" w:eastAsia="Arial" w:hAnsi="Arial"/>
          <w:sz w:val="18"/>
          <w:szCs w:val="18"/>
          <w:color w:val="FF0000"/>
          <w:strike w:val="1"/>
        </w:rPr>
        <w:t>Facility</w:t>
      </w:r>
      <w:r>
        <w:rPr>
          <w:rFonts w:ascii="Arial" w:cs="Arial" w:eastAsia="Arial" w:hAnsi="Arial"/>
          <w:sz w:val="18"/>
          <w:szCs w:val="18"/>
          <w:b w:val="1"/>
          <w:bCs w:val="1"/>
          <w:u w:val="single" w:color="auto"/>
          <w:color w:val="0000FF"/>
          <w:highlight w:val="lightGray"/>
        </w:rPr>
        <w:t>Agreement</w:t>
      </w:r>
      <w:r>
        <w:rPr>
          <w:rFonts w:ascii="Arial" w:cs="Arial" w:eastAsia="Arial" w:hAnsi="Arial"/>
          <w:sz w:val="18"/>
          <w:szCs w:val="18"/>
          <w:color w:val="FF0000"/>
        </w:rPr>
        <w:t xml:space="preserve"> </w:t>
      </w:r>
      <w:r>
        <w:rPr>
          <w:rFonts w:ascii="Arial" w:cs="Arial" w:eastAsia="Arial" w:hAnsi="Arial"/>
          <w:sz w:val="18"/>
          <w:szCs w:val="18"/>
          <w:color w:val="000000"/>
        </w:rPr>
        <w:t>is not then in effect or (y) the Revolving Credit</w:t>
      </w:r>
      <w:r>
        <w:rPr>
          <w:rFonts w:ascii="Arial" w:cs="Arial" w:eastAsia="Arial" w:hAnsi="Arial"/>
          <w:sz w:val="18"/>
          <w:szCs w:val="18"/>
          <w:color w:val="FF0000"/>
        </w:rPr>
        <w:t xml:space="preserve"> </w:t>
      </w:r>
      <w:r>
        <w:rPr>
          <w:rFonts w:ascii="Arial" w:cs="Arial" w:eastAsia="Arial" w:hAnsi="Arial"/>
          <w:sz w:val="18"/>
          <w:szCs w:val="18"/>
          <w:color w:val="FF0000"/>
          <w:strike w:val="1"/>
        </w:rPr>
        <w:t>Facility</w:t>
      </w:r>
      <w:r>
        <w:rPr>
          <w:rFonts w:ascii="Arial" w:cs="Arial" w:eastAsia="Arial" w:hAnsi="Arial"/>
          <w:sz w:val="18"/>
          <w:szCs w:val="18"/>
          <w:b w:val="1"/>
          <w:bCs w:val="1"/>
          <w:u w:val="single" w:color="auto"/>
          <w:color w:val="0000FF"/>
          <w:highlight w:val="lightGray"/>
        </w:rPr>
        <w:t>Agreement</w:t>
      </w:r>
      <w:r>
        <w:rPr>
          <w:rFonts w:ascii="Arial" w:cs="Arial" w:eastAsia="Arial" w:hAnsi="Arial"/>
          <w:sz w:val="18"/>
          <w:szCs w:val="18"/>
          <w:color w:val="FF0000"/>
        </w:rPr>
        <w:t xml:space="preserve"> </w:t>
      </w:r>
      <w:r>
        <w:rPr>
          <w:rFonts w:ascii="Arial" w:cs="Arial" w:eastAsia="Arial" w:hAnsi="Arial"/>
          <w:sz w:val="18"/>
          <w:szCs w:val="18"/>
          <w:color w:val="000000"/>
        </w:rPr>
        <w:t>as then in effect does not provide that the</w:t>
      </w:r>
      <w:r>
        <w:rPr>
          <w:rFonts w:ascii="Arial" w:cs="Arial" w:eastAsia="Arial" w:hAnsi="Arial"/>
          <w:sz w:val="18"/>
          <w:szCs w:val="18"/>
          <w:color w:val="FF0000"/>
        </w:rPr>
        <w:t xml:space="preserve"> </w:t>
      </w:r>
      <w:r>
        <w:rPr>
          <w:rFonts w:ascii="Arial" w:cs="Arial" w:eastAsia="Arial" w:hAnsi="Arial"/>
          <w:sz w:val="18"/>
          <w:szCs w:val="18"/>
          <w:color w:val="000000"/>
        </w:rPr>
        <w:t>Borrower may elect ratings-based pricing thereunder at such time, then satisfaction of this clause (B) shall not be required).</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 Rating</w:t>
      </w:r>
      <w:r>
        <w:rPr>
          <w:rFonts w:ascii="Arial" w:cs="Arial" w:eastAsia="Arial" w:hAnsi="Arial"/>
          <w:sz w:val="18"/>
          <w:szCs w:val="18"/>
          <w:color w:val="auto"/>
        </w:rPr>
        <w:t>” means receipt of one Debt Rating of BBB- or higher from S&amp;P or Baa3 or higher from Moody’s.</w:t>
      </w:r>
    </w:p>
    <w:p>
      <w:pPr>
        <w:spacing w:after="0" w:line="26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IP Rights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5.18</w:t>
      </w:r>
      <w:r>
        <w:rPr>
          <w:rFonts w:ascii="Arial" w:cs="Arial" w:eastAsia="Arial" w:hAnsi="Arial"/>
          <w:sz w:val="20"/>
          <w:szCs w:val="20"/>
          <w:color w:val="auto"/>
        </w:rPr>
        <w:t>.</w:t>
      </w:r>
    </w:p>
    <w:p>
      <w:pPr>
        <w:spacing w:after="0" w:line="24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4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Joinder Agreement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2.17(a)</w:t>
      </w:r>
      <w:r>
        <w:rPr>
          <w:rFonts w:ascii="Arial" w:cs="Arial" w:eastAsia="Arial" w:hAnsi="Arial"/>
          <w:sz w:val="20"/>
          <w:szCs w:val="20"/>
          <w:color w:val="auto"/>
        </w:rPr>
        <w:t>.</w:t>
      </w:r>
    </w:p>
    <w:p>
      <w:pPr>
        <w:spacing w:after="0" w:line="245" w:lineRule="exact"/>
        <w:rPr>
          <w:sz w:val="20"/>
          <w:szCs w:val="20"/>
          <w:color w:val="auto"/>
        </w:rPr>
      </w:pPr>
    </w:p>
    <w:p>
      <w:pPr>
        <w:jc w:val="both"/>
        <w:ind w:firstLine="6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Laws</w:t>
      </w:r>
      <w:r>
        <w:rPr>
          <w:rFonts w:ascii="Arial" w:cs="Arial" w:eastAsia="Arial" w:hAnsi="Arial"/>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w:t>
      </w:r>
      <w:r>
        <w:rPr>
          <w:rFonts w:ascii="Arial" w:cs="Arial" w:eastAsia="Arial" w:hAnsi="Arial"/>
          <w:sz w:val="20"/>
          <w:szCs w:val="20"/>
          <w:color w:val="auto"/>
        </w:rPr>
        <w:t>” has the meaning specified in the introductory paragraph hereto.</w:t>
      </w:r>
    </w:p>
    <w:p>
      <w:pPr>
        <w:spacing w:after="0" w:line="245" w:lineRule="exact"/>
        <w:rPr>
          <w:sz w:val="20"/>
          <w:szCs w:val="20"/>
          <w:color w:val="auto"/>
        </w:rPr>
      </w:pPr>
    </w:p>
    <w:p>
      <w:pPr>
        <w:jc w:val="both"/>
        <w:ind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Lending Office</w:t>
      </w:r>
      <w:r>
        <w:rPr>
          <w:rFonts w:ascii="Arial" w:cs="Arial" w:eastAsia="Arial" w:hAnsi="Arial"/>
          <w:sz w:val="20"/>
          <w:szCs w:val="20"/>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202" w:lineRule="exact"/>
        <w:rPr>
          <w:sz w:val="20"/>
          <w:szCs w:val="20"/>
          <w:color w:val="auto"/>
        </w:rPr>
      </w:pPr>
    </w:p>
    <w:p>
      <w:pPr>
        <w:jc w:val="both"/>
        <w:ind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Leverage-Based Applicable Rate</w:t>
      </w:r>
      <w:r>
        <w:rPr>
          <w:rFonts w:ascii="Arial" w:cs="Arial" w:eastAsia="Arial" w:hAnsi="Arial"/>
          <w:sz w:val="20"/>
          <w:szCs w:val="20"/>
          <w:color w:val="auto"/>
        </w:rPr>
        <w:t xml:space="preserve">” means the applicable percentage per annum set forth below determined by reference to the Consolidated Total Leverage Ratio as set forth in the most recent Compliance Certificate received by the Administrative Agent and the Lenders pursuant to </w:t>
      </w:r>
      <w:r>
        <w:rPr>
          <w:rFonts w:ascii="Arial" w:cs="Arial" w:eastAsia="Arial" w:hAnsi="Arial"/>
          <w:sz w:val="20"/>
          <w:szCs w:val="20"/>
          <w:u w:val="single" w:color="auto"/>
          <w:color w:val="auto"/>
        </w:rPr>
        <w:t>Section 6.02(b)</w:t>
      </w:r>
      <w:r>
        <w:rPr>
          <w:rFonts w:ascii="Arial" w:cs="Arial" w:eastAsia="Arial" w:hAnsi="Arial"/>
          <w:sz w:val="20"/>
          <w:szCs w:val="20"/>
          <w:color w:val="auto"/>
        </w:rPr>
        <w:t>:</w:t>
      </w:r>
    </w:p>
    <w:p>
      <w:pPr>
        <w:spacing w:after="0" w:line="17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20"/>
          </w:cols>
          <w:pgMar w:left="840" w:top="795" w:right="239" w:bottom="1440" w:gutter="0" w:footer="0" w:header="0"/>
        </w:sectPr>
      </w:pPr>
    </w:p>
    <w:bookmarkStart w:id="254" w:name="page255"/>
    <w:bookmarkEnd w:id="254"/>
    <w:tbl>
      <w:tblPr>
        <w:tblLayout w:type="fixed"/>
        <w:tblInd w:w="630" w:type="dxa"/>
        <w:tblCellMar>
          <w:top w:w="0" w:type="dxa"/>
          <w:left w:w="0" w:type="dxa"/>
          <w:bottom w:w="0" w:type="dxa"/>
          <w:right w:w="0" w:type="dxa"/>
        </w:tblCellMar>
      </w:tblPr>
      <w:tr>
        <w:trPr>
          <w:trHeight w:val="280"/>
        </w:trPr>
        <w:tc>
          <w:tcPr>
            <w:tcW w:w="22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Pricing Level</w:t>
            </w:r>
          </w:p>
        </w:tc>
        <w:tc>
          <w:tcPr>
            <w:tcW w:w="3340" w:type="dxa"/>
            <w:vAlign w:val="bottom"/>
            <w:tcBorders>
              <w:top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b w:val="1"/>
                <w:bCs w:val="1"/>
                <w:color w:val="auto"/>
                <w:w w:val="99"/>
              </w:rPr>
              <w:t>Consolidated Total Leverage Ratio</w:t>
            </w:r>
          </w:p>
        </w:tc>
        <w:tc>
          <w:tcPr>
            <w:tcW w:w="23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Eurodollar Rate Loans</w:t>
            </w:r>
          </w:p>
        </w:tc>
        <w:tc>
          <w:tcPr>
            <w:tcW w:w="17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Base Rate Loans</w:t>
            </w:r>
          </w:p>
        </w:tc>
        <w:tc>
          <w:tcPr>
            <w:tcW w:w="0" w:type="dxa"/>
            <w:vAlign w:val="bottom"/>
          </w:tcPr>
          <w:p>
            <w:pPr>
              <w:spacing w:after="0"/>
              <w:rPr>
                <w:sz w:val="1"/>
                <w:szCs w:val="1"/>
                <w:color w:val="auto"/>
              </w:rPr>
            </w:pPr>
          </w:p>
        </w:tc>
      </w:tr>
      <w:tr>
        <w:trPr>
          <w:trHeight w:val="267"/>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w:t>
            </w:r>
          </w:p>
        </w:tc>
        <w:tc>
          <w:tcPr>
            <w:tcW w:w="334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&lt; 40%</w:t>
            </w:r>
          </w:p>
        </w:tc>
        <w:tc>
          <w:tcPr>
            <w:tcW w:w="2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1.70%</w:t>
            </w: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0.70%</w:t>
            </w:r>
          </w:p>
        </w:tc>
        <w:tc>
          <w:tcPr>
            <w:tcW w:w="0" w:type="dxa"/>
            <w:vAlign w:val="bottom"/>
          </w:tcPr>
          <w:p>
            <w:pPr>
              <w:spacing w:after="0"/>
              <w:rPr>
                <w:sz w:val="1"/>
                <w:szCs w:val="1"/>
                <w:color w:val="auto"/>
              </w:rPr>
            </w:pPr>
          </w:p>
        </w:tc>
      </w:tr>
      <w:tr>
        <w:trPr>
          <w:trHeight w:val="287"/>
        </w:trPr>
        <w:tc>
          <w:tcPr>
            <w:tcW w:w="22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II</w:t>
            </w:r>
          </w:p>
        </w:tc>
        <w:tc>
          <w:tcPr>
            <w:tcW w:w="33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&gt; 40% and &lt; 45%</w:t>
            </w:r>
          </w:p>
        </w:tc>
        <w:tc>
          <w:tcPr>
            <w:tcW w:w="230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1.75%</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0.75%</w:t>
            </w:r>
          </w:p>
        </w:tc>
        <w:tc>
          <w:tcPr>
            <w:tcW w:w="0" w:type="dxa"/>
            <w:vAlign w:val="bottom"/>
          </w:tcPr>
          <w:p>
            <w:pPr>
              <w:spacing w:after="0"/>
              <w:rPr>
                <w:sz w:val="1"/>
                <w:szCs w:val="1"/>
                <w:color w:val="auto"/>
              </w:rPr>
            </w:pPr>
          </w:p>
        </w:tc>
      </w:tr>
      <w:tr>
        <w:trPr>
          <w:trHeight w:val="110"/>
        </w:trPr>
        <w:tc>
          <w:tcPr>
            <w:tcW w:w="22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3220" w:type="dxa"/>
            <w:vAlign w:val="bottom"/>
            <w:tcBorders>
              <w:bottom w:val="single" w:sz="8" w:color="auto"/>
              <w:right w:val="single" w:sz="8" w:color="auto"/>
            </w:tcBorders>
          </w:tcPr>
          <w:p>
            <w:pPr>
              <w:spacing w:after="0"/>
              <w:rPr>
                <w:sz w:val="9"/>
                <w:szCs w:val="9"/>
                <w:color w:val="auto"/>
              </w:rPr>
            </w:pPr>
          </w:p>
        </w:tc>
        <w:tc>
          <w:tcPr>
            <w:tcW w:w="2300" w:type="dxa"/>
            <w:vAlign w:val="bottom"/>
            <w:tcBorders>
              <w:bottom w:val="single" w:sz="8" w:color="auto"/>
              <w:right w:val="single" w:sz="8" w:color="auto"/>
            </w:tcBorders>
            <w:vMerge w:val="continue"/>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22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III</w:t>
            </w:r>
          </w:p>
        </w:tc>
        <w:tc>
          <w:tcPr>
            <w:tcW w:w="33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&gt; 45% and &lt; 50%</w:t>
            </w:r>
          </w:p>
        </w:tc>
        <w:tc>
          <w:tcPr>
            <w:tcW w:w="230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1.90%</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0.90%</w:t>
            </w:r>
          </w:p>
        </w:tc>
        <w:tc>
          <w:tcPr>
            <w:tcW w:w="0" w:type="dxa"/>
            <w:vAlign w:val="bottom"/>
          </w:tcPr>
          <w:p>
            <w:pPr>
              <w:spacing w:after="0"/>
              <w:rPr>
                <w:sz w:val="1"/>
                <w:szCs w:val="1"/>
                <w:color w:val="auto"/>
              </w:rPr>
            </w:pPr>
          </w:p>
        </w:tc>
      </w:tr>
      <w:tr>
        <w:trPr>
          <w:trHeight w:val="110"/>
        </w:trPr>
        <w:tc>
          <w:tcPr>
            <w:tcW w:w="22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3220" w:type="dxa"/>
            <w:vAlign w:val="bottom"/>
            <w:tcBorders>
              <w:bottom w:val="single" w:sz="8" w:color="auto"/>
              <w:right w:val="single" w:sz="8" w:color="auto"/>
            </w:tcBorders>
          </w:tcPr>
          <w:p>
            <w:pPr>
              <w:spacing w:after="0"/>
              <w:rPr>
                <w:sz w:val="9"/>
                <w:szCs w:val="9"/>
                <w:color w:val="auto"/>
              </w:rPr>
            </w:pPr>
          </w:p>
        </w:tc>
        <w:tc>
          <w:tcPr>
            <w:tcW w:w="2300" w:type="dxa"/>
            <w:vAlign w:val="bottom"/>
            <w:tcBorders>
              <w:bottom w:val="single" w:sz="8" w:color="auto"/>
              <w:right w:val="single" w:sz="8" w:color="auto"/>
            </w:tcBorders>
            <w:vMerge w:val="continue"/>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22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IV</w:t>
            </w:r>
          </w:p>
        </w:tc>
        <w:tc>
          <w:tcPr>
            <w:tcW w:w="33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&gt; 50% and &lt; 55%</w:t>
            </w:r>
          </w:p>
        </w:tc>
        <w:tc>
          <w:tcPr>
            <w:tcW w:w="230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2.05%</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1.05%</w:t>
            </w:r>
          </w:p>
        </w:tc>
        <w:tc>
          <w:tcPr>
            <w:tcW w:w="0" w:type="dxa"/>
            <w:vAlign w:val="bottom"/>
          </w:tcPr>
          <w:p>
            <w:pPr>
              <w:spacing w:after="0"/>
              <w:rPr>
                <w:sz w:val="1"/>
                <w:szCs w:val="1"/>
                <w:color w:val="auto"/>
              </w:rPr>
            </w:pPr>
          </w:p>
        </w:tc>
      </w:tr>
      <w:tr>
        <w:trPr>
          <w:trHeight w:val="110"/>
        </w:trPr>
        <w:tc>
          <w:tcPr>
            <w:tcW w:w="22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3220" w:type="dxa"/>
            <w:vAlign w:val="bottom"/>
            <w:tcBorders>
              <w:bottom w:val="single" w:sz="8" w:color="auto"/>
              <w:right w:val="single" w:sz="8" w:color="auto"/>
            </w:tcBorders>
          </w:tcPr>
          <w:p>
            <w:pPr>
              <w:spacing w:after="0"/>
              <w:rPr>
                <w:sz w:val="9"/>
                <w:szCs w:val="9"/>
                <w:color w:val="auto"/>
              </w:rPr>
            </w:pPr>
          </w:p>
        </w:tc>
        <w:tc>
          <w:tcPr>
            <w:tcW w:w="2300" w:type="dxa"/>
            <w:vAlign w:val="bottom"/>
            <w:tcBorders>
              <w:bottom w:val="single" w:sz="8" w:color="auto"/>
              <w:right w:val="single" w:sz="8" w:color="auto"/>
            </w:tcBorders>
            <w:vMerge w:val="continue"/>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22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V</w:t>
            </w:r>
          </w:p>
        </w:tc>
        <w:tc>
          <w:tcPr>
            <w:tcW w:w="33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&gt; 55%</w:t>
            </w:r>
          </w:p>
        </w:tc>
        <w:tc>
          <w:tcPr>
            <w:tcW w:w="230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2.35%</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1.35%</w:t>
            </w:r>
          </w:p>
        </w:tc>
        <w:tc>
          <w:tcPr>
            <w:tcW w:w="0" w:type="dxa"/>
            <w:vAlign w:val="bottom"/>
          </w:tcPr>
          <w:p>
            <w:pPr>
              <w:spacing w:after="0"/>
              <w:rPr>
                <w:sz w:val="1"/>
                <w:szCs w:val="1"/>
                <w:color w:val="auto"/>
              </w:rPr>
            </w:pPr>
          </w:p>
        </w:tc>
      </w:tr>
      <w:tr>
        <w:trPr>
          <w:trHeight w:val="110"/>
        </w:trPr>
        <w:tc>
          <w:tcPr>
            <w:tcW w:w="22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3220" w:type="dxa"/>
            <w:vAlign w:val="bottom"/>
            <w:tcBorders>
              <w:bottom w:val="single" w:sz="8" w:color="auto"/>
              <w:right w:val="single" w:sz="8" w:color="auto"/>
            </w:tcBorders>
          </w:tcPr>
          <w:p>
            <w:pPr>
              <w:spacing w:after="0"/>
              <w:rPr>
                <w:sz w:val="9"/>
                <w:szCs w:val="9"/>
                <w:color w:val="auto"/>
              </w:rPr>
            </w:pPr>
          </w:p>
        </w:tc>
        <w:tc>
          <w:tcPr>
            <w:tcW w:w="2300" w:type="dxa"/>
            <w:vAlign w:val="bottom"/>
            <w:tcBorders>
              <w:bottom w:val="single" w:sz="8" w:color="auto"/>
              <w:right w:val="single" w:sz="8" w:color="auto"/>
            </w:tcBorders>
            <w:vMerge w:val="continue"/>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jc w:val="both"/>
        <w:ind w:firstLine="600"/>
        <w:spacing w:after="0" w:line="288" w:lineRule="auto"/>
        <w:rPr>
          <w:sz w:val="20"/>
          <w:szCs w:val="20"/>
          <w:color w:val="auto"/>
        </w:rPr>
      </w:pPr>
      <w:r>
        <w:rPr>
          <w:rFonts w:ascii="Arial" w:cs="Arial" w:eastAsia="Arial" w:hAnsi="Arial"/>
          <w:sz w:val="18"/>
          <w:szCs w:val="18"/>
          <w:color w:val="auto"/>
        </w:rPr>
        <w:t xml:space="preserve">Any increase or decrease in the Leverage-Based Applicable Rate resulting from a change in the Consolidated Total Leverage Ratio shall become effective as of the first Business Day immediately following the date a Compliance Certificate is delivered pursuant to </w:t>
      </w:r>
      <w:r>
        <w:rPr>
          <w:rFonts w:ascii="Arial" w:cs="Arial" w:eastAsia="Arial" w:hAnsi="Arial"/>
          <w:sz w:val="18"/>
          <w:szCs w:val="18"/>
          <w:u w:val="single" w:color="auto"/>
          <w:color w:val="auto"/>
        </w:rPr>
        <w:t>Section 6.02(b)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Compliance Certificate is not delivered when due in accordance with such Section, then Pricing Level V shall apply as of the first Business Day after the date on which such Compliance Certificate was required to have been delivered and shall remain in effect until the date on which such Compliance Certificate is delivered.</w:t>
      </w:r>
    </w:p>
    <w:p>
      <w:pPr>
        <w:spacing w:after="0" w:line="182" w:lineRule="exact"/>
        <w:rPr>
          <w:sz w:val="20"/>
          <w:szCs w:val="20"/>
          <w:color w:val="auto"/>
        </w:rPr>
      </w:pPr>
    </w:p>
    <w:p>
      <w:pPr>
        <w:jc w:val="both"/>
        <w:ind w:firstLine="600"/>
        <w:spacing w:after="0" w:line="253" w:lineRule="auto"/>
        <w:rPr>
          <w:sz w:val="20"/>
          <w:szCs w:val="20"/>
          <w:color w:val="auto"/>
        </w:rPr>
      </w:pPr>
      <w:r>
        <w:rPr>
          <w:rFonts w:ascii="Arial" w:cs="Arial" w:eastAsia="Arial" w:hAnsi="Arial"/>
          <w:sz w:val="20"/>
          <w:szCs w:val="20"/>
          <w:color w:val="auto"/>
        </w:rPr>
        <w:t xml:space="preserve">Notwithstanding anything to the contrary contained in this definition, (i) from the Closing Date to the date on which the Administrative Agent receives a Compliance Certificate pursuant to </w:t>
      </w:r>
      <w:r>
        <w:rPr>
          <w:rFonts w:ascii="Arial" w:cs="Arial" w:eastAsia="Arial" w:hAnsi="Arial"/>
          <w:sz w:val="20"/>
          <w:szCs w:val="20"/>
          <w:u w:val="single" w:color="auto"/>
          <w:color w:val="auto"/>
        </w:rPr>
        <w:t>Section 6.02(b)</w:t>
      </w:r>
      <w:r>
        <w:rPr>
          <w:rFonts w:ascii="Arial" w:cs="Arial" w:eastAsia="Arial" w:hAnsi="Arial"/>
          <w:sz w:val="20"/>
          <w:szCs w:val="20"/>
          <w:color w:val="auto"/>
        </w:rPr>
        <w:t xml:space="preserve"> for the fiscal quarter of the REIT ending March 31, 2016, the Pricing Level shall be determined based on the Consolidated Total Leverage Ratio as set forth in the Pro Forma Closing Date Compliance Certificate and (ii) the determination of the Leverage-Based Applicable Rate for any period shall be subject to the provisions of </w:t>
      </w:r>
      <w:r>
        <w:rPr>
          <w:rFonts w:ascii="Arial" w:cs="Arial" w:eastAsia="Arial" w:hAnsi="Arial"/>
          <w:sz w:val="20"/>
          <w:szCs w:val="20"/>
          <w:u w:val="single" w:color="auto"/>
          <w:color w:val="auto"/>
        </w:rPr>
        <w:t>Section 2.10(b).</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w:t>
      </w:r>
      <w:r>
        <w:rPr>
          <w:rFonts w:ascii="Arial" w:cs="Arial" w:eastAsia="Arial" w:hAnsi="Arial"/>
          <w:sz w:val="20"/>
          <w:szCs w:val="20"/>
          <w:color w:val="auto"/>
        </w:rPr>
        <w:t>” has the meaning specified in the definition of “Eurodollar Rate.”</w:t>
      </w:r>
    </w:p>
    <w:p>
      <w:pPr>
        <w:spacing w:after="0" w:line="245" w:lineRule="exact"/>
        <w:rPr>
          <w:sz w:val="20"/>
          <w:szCs w:val="20"/>
          <w:color w:val="auto"/>
        </w:rPr>
      </w:pPr>
    </w:p>
    <w:p>
      <w:pPr>
        <w:jc w:val="both"/>
        <w:ind w:firstLine="600"/>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easement, right-of-way or other encumbrance on title to real property, lien (statutory or other), charge, or preference, priority or other security interest or preferential arrangement in the nature of a security interest of any kind or nature whatsoever (including any conditional sale or other title retention agreement, and any financing lease having substantially the same economic effect as any of the foregoing).</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means an extension of credit by a Lender to the Borrower as described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herein in the form of a Term Loan.</w:t>
      </w:r>
    </w:p>
    <w:p>
      <w:pPr>
        <w:spacing w:after="0" w:line="26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(a) this Agreement, (b) the Term Notes, (c) the Guaranty Agreement and (d) the Fee</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Letter</w:t>
      </w:r>
      <w:r>
        <w:rPr>
          <w:rFonts w:ascii="Arial" w:cs="Arial" w:eastAsia="Arial" w:hAnsi="Arial"/>
          <w:sz w:val="20"/>
          <w:szCs w:val="20"/>
          <w:b w:val="1"/>
          <w:bCs w:val="1"/>
          <w:color w:val="auto"/>
        </w:rPr>
        <w:t>.</w:t>
      </w:r>
    </w:p>
    <w:p>
      <w:pPr>
        <w:spacing w:after="0" w:line="229" w:lineRule="exact"/>
        <w:rPr>
          <w:sz w:val="20"/>
          <w:szCs w:val="20"/>
          <w:color w:val="auto"/>
        </w:rPr>
      </w:pPr>
    </w:p>
    <w:p>
      <w:pPr>
        <w:jc w:val="both"/>
        <w:ind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Notice</w:t>
      </w:r>
      <w:r>
        <w:rPr>
          <w:rFonts w:ascii="Arial" w:cs="Arial" w:eastAsia="Arial" w:hAnsi="Arial"/>
          <w:sz w:val="20"/>
          <w:szCs w:val="20"/>
          <w:color w:val="auto"/>
        </w:rPr>
        <w:t xml:space="preserve">” means a notice of (a) a Borrowing, (b) a conversion of Loans from one Type to the other, or (c) a continuation of Eurodollar Rate Loans, pursuant to </w:t>
      </w:r>
      <w:r>
        <w:rPr>
          <w:rFonts w:ascii="Arial" w:cs="Arial" w:eastAsia="Arial" w:hAnsi="Arial"/>
          <w:sz w:val="20"/>
          <w:szCs w:val="20"/>
          <w:u w:val="single" w:color="auto"/>
          <w:color w:val="auto"/>
        </w:rPr>
        <w:t>Section 2.02(a)</w:t>
      </w:r>
      <w:r>
        <w:rPr>
          <w:rFonts w:ascii="Arial" w:cs="Arial" w:eastAsia="Arial" w:hAnsi="Arial"/>
          <w:sz w:val="20"/>
          <w:szCs w:val="20"/>
          <w:color w:val="auto"/>
        </w:rPr>
        <w:t xml:space="preserve">, which, if in writing, shall be substantially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highlight w:val="lightGray"/>
        </w:rPr>
        <w:t>(or such other</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highlight w:val="lightGray"/>
        </w:rPr>
        <w:t>form as may be approved by the Administrative Agent)</w:t>
      </w:r>
      <w:r>
        <w:rPr>
          <w:rFonts w:ascii="Arial" w:cs="Arial" w:eastAsia="Arial" w:hAnsi="Arial"/>
          <w:sz w:val="20"/>
          <w:szCs w:val="20"/>
          <w:color w:val="000000"/>
        </w:rPr>
        <w:t>.</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means, collectively, the Borrower and each Guarantor.</w:t>
      </w:r>
    </w:p>
    <w:p>
      <w:pPr>
        <w:spacing w:after="0" w:line="245" w:lineRule="exact"/>
        <w:rPr>
          <w:sz w:val="20"/>
          <w:szCs w:val="20"/>
          <w:color w:val="auto"/>
        </w:rPr>
      </w:pPr>
    </w:p>
    <w:p>
      <w:pPr>
        <w:jc w:val="both"/>
        <w:ind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Party Pro Rata Share</w:t>
      </w:r>
      <w:r>
        <w:rPr>
          <w:rFonts w:ascii="Arial" w:cs="Arial" w:eastAsia="Arial" w:hAnsi="Arial"/>
          <w:sz w:val="20"/>
          <w:szCs w:val="20"/>
          <w:color w:val="auto"/>
        </w:rPr>
        <w:t xml:space="preserve">” means, with respect to any Controlled Joint Venture, the percentage interest held by the </w:t>
      </w:r>
      <w:r>
        <w:rPr>
          <w:rFonts w:ascii="Arial" w:cs="Arial" w:eastAsia="Arial" w:hAnsi="Arial"/>
          <w:sz w:val="20"/>
          <w:szCs w:val="20"/>
          <w:color w:val="FF0000"/>
          <w:strike w:val="1"/>
        </w:rPr>
        <w:t>Loan</w:t>
      </w:r>
      <w:r>
        <w:rPr>
          <w:rFonts w:ascii="Arial" w:cs="Arial" w:eastAsia="Arial" w:hAnsi="Arial"/>
          <w:sz w:val="20"/>
          <w:szCs w:val="20"/>
          <w:color w:val="auto"/>
        </w:rPr>
        <w:t xml:space="preserve"> </w:t>
      </w:r>
      <w:r>
        <w:rPr>
          <w:rFonts w:ascii="Arial" w:cs="Arial" w:eastAsia="Arial" w:hAnsi="Arial"/>
          <w:sz w:val="20"/>
          <w:szCs w:val="20"/>
          <w:color w:val="FF0000"/>
          <w:strike w:val="1"/>
        </w:rPr>
        <w:t>Parties</w:t>
      </w:r>
      <w:r>
        <w:rPr>
          <w:rFonts w:ascii="Arial" w:cs="Arial" w:eastAsia="Arial" w:hAnsi="Arial"/>
          <w:sz w:val="20"/>
          <w:szCs w:val="20"/>
          <w:b w:val="1"/>
          <w:bCs w:val="1"/>
          <w:u w:val="single" w:color="auto"/>
          <w:color w:val="0000FF"/>
          <w:highlight w:val="lightGray"/>
        </w:rPr>
        <w:t>REIT or a Wholly Owned Subsidiary thereof</w:t>
      </w:r>
      <w:r>
        <w:rPr>
          <w:rFonts w:ascii="Arial" w:cs="Arial" w:eastAsia="Arial" w:hAnsi="Arial"/>
          <w:sz w:val="20"/>
          <w:szCs w:val="20"/>
          <w:color w:val="000000"/>
        </w:rPr>
        <w:t>, in the aggregate, in such Controlled Joint Venture determined by calculating</w:t>
      </w:r>
      <w:r>
        <w:rPr>
          <w:rFonts w:ascii="Arial" w:cs="Arial" w:eastAsia="Arial" w:hAnsi="Arial"/>
          <w:sz w:val="20"/>
          <w:szCs w:val="20"/>
          <w:color w:val="FF0000"/>
        </w:rPr>
        <w:t xml:space="preserve"> </w:t>
      </w:r>
      <w:r>
        <w:rPr>
          <w:rFonts w:ascii="Arial" w:cs="Arial" w:eastAsia="Arial" w:hAnsi="Arial"/>
          <w:sz w:val="20"/>
          <w:szCs w:val="20"/>
          <w:color w:val="000000"/>
        </w:rPr>
        <w:t>the percentage of Equity</w:t>
      </w:r>
    </w:p>
    <w:p>
      <w:pPr>
        <w:spacing w:after="0" w:line="17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20"/>
          </w:cols>
          <w:pgMar w:left="840" w:top="907" w:right="239" w:bottom="1440" w:gutter="0" w:footer="0" w:header="0"/>
        </w:sectPr>
      </w:pPr>
    </w:p>
    <w:bookmarkStart w:id="255" w:name="page256"/>
    <w:bookmarkEnd w:id="255"/>
    <w:p>
      <w:pPr>
        <w:jc w:val="both"/>
        <w:ind w:left="1"/>
        <w:spacing w:after="0" w:line="279" w:lineRule="auto"/>
        <w:rPr>
          <w:sz w:val="20"/>
          <w:szCs w:val="20"/>
          <w:color w:val="auto"/>
        </w:rPr>
      </w:pPr>
      <w:r>
        <w:rPr>
          <w:rFonts w:ascii="Arial" w:cs="Arial" w:eastAsia="Arial" w:hAnsi="Arial"/>
          <w:sz w:val="20"/>
          <w:szCs w:val="20"/>
          <w:color w:val="auto"/>
        </w:rPr>
        <w:t xml:space="preserve">Interests of such Controlled Joint Venture owned, directly or indirectly, by the </w:t>
      </w:r>
      <w:r>
        <w:rPr>
          <w:rFonts w:ascii="Arial" w:cs="Arial" w:eastAsia="Arial" w:hAnsi="Arial"/>
          <w:sz w:val="20"/>
          <w:szCs w:val="20"/>
          <w:color w:val="FF0000"/>
          <w:strike w:val="1"/>
        </w:rPr>
        <w:t>Loan Partie</w:t>
      </w:r>
      <w:r>
        <w:rPr>
          <w:rFonts w:ascii="Arial" w:cs="Arial" w:eastAsia="Arial" w:hAnsi="Arial"/>
          <w:sz w:val="20"/>
          <w:szCs w:val="20"/>
          <w:color w:val="FF0000"/>
          <w:highlight w:val="lightGray"/>
          <w:strike w:val="1"/>
        </w:rPr>
        <w:t>s</w:t>
      </w:r>
      <w:r>
        <w:rPr>
          <w:rFonts w:ascii="Arial" w:cs="Arial" w:eastAsia="Arial" w:hAnsi="Arial"/>
          <w:sz w:val="20"/>
          <w:szCs w:val="20"/>
          <w:b w:val="1"/>
          <w:bCs w:val="1"/>
          <w:u w:val="single" w:color="auto"/>
          <w:color w:val="0000FF"/>
          <w:highlight w:val="lightGray"/>
        </w:rPr>
        <w:t>REIT and its Wholly Owned</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highlight w:val="lightGray"/>
        </w:rPr>
        <w:t>Subsidiaries</w:t>
      </w:r>
      <w:r>
        <w:rPr>
          <w:rFonts w:ascii="Arial" w:cs="Arial" w:eastAsia="Arial" w:hAnsi="Arial"/>
          <w:sz w:val="20"/>
          <w:szCs w:val="20"/>
          <w:color w:val="000000"/>
        </w:rPr>
        <w:t>.</w:t>
      </w:r>
    </w:p>
    <w:p>
      <w:pPr>
        <w:spacing w:after="0" w:line="183" w:lineRule="exact"/>
        <w:rPr>
          <w:sz w:val="20"/>
          <w:szCs w:val="20"/>
          <w:color w:val="auto"/>
        </w:rPr>
      </w:pPr>
    </w:p>
    <w:p>
      <w:pPr>
        <w:jc w:val="both"/>
        <w:ind w:left="1"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London Banking Day</w:t>
      </w:r>
      <w:r>
        <w:rPr>
          <w:rFonts w:ascii="Arial" w:cs="Arial" w:eastAsia="Arial" w:hAnsi="Arial"/>
          <w:sz w:val="20"/>
          <w:szCs w:val="20"/>
          <w:color w:val="auto"/>
        </w:rPr>
        <w:t>” means any day on which dealings in Dollar deposits are conducted by and between banks in the London interbank eurodollar market.</w:t>
      </w:r>
    </w:p>
    <w:p>
      <w:pPr>
        <w:spacing w:after="0" w:line="191" w:lineRule="exact"/>
        <w:rPr>
          <w:sz w:val="20"/>
          <w:szCs w:val="20"/>
          <w:color w:val="auto"/>
        </w:rPr>
      </w:pPr>
    </w:p>
    <w:p>
      <w:pPr>
        <w:ind w:left="60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Master Agreement</w:t>
      </w:r>
      <w:r>
        <w:rPr>
          <w:rFonts w:ascii="Arial" w:cs="Arial" w:eastAsia="Arial" w:hAnsi="Arial"/>
          <w:sz w:val="20"/>
          <w:szCs w:val="20"/>
          <w:color w:val="auto"/>
        </w:rPr>
        <w:t>” has the meaning specified in the definition of “Swap Contract.”</w:t>
      </w:r>
    </w:p>
    <w:p>
      <w:pPr>
        <w:spacing w:after="0" w:line="245" w:lineRule="exact"/>
        <w:rPr>
          <w:sz w:val="20"/>
          <w:szCs w:val="20"/>
          <w:color w:val="auto"/>
        </w:rPr>
      </w:pPr>
    </w:p>
    <w:p>
      <w:pPr>
        <w:jc w:val="both"/>
        <w:ind w:left="1" w:firstLine="600"/>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(a) a material adverse change in, or a material adverse effect upon, the operations, business, assets, properties, liabilities (actual or contingent) or condition (financial or otherwise) of the REIT or the Borrower and its Subsidiaries, taken as a whole; (b) a material adverse effect on the rights and remedies of the Administrative Agent or any Lender under any Loan Document, or of the ability of the Borrower and the Loan Parties, taken as a whole, to perform their obligations under any Loan Document; or (c) a material adverse effect upon the legality, validity, binding effect or enforceability against any Loan Party of any Loan Document to which it is a party.</w:t>
      </w:r>
    </w:p>
    <w:p>
      <w:pPr>
        <w:spacing w:after="0" w:line="212" w:lineRule="exact"/>
        <w:rPr>
          <w:sz w:val="20"/>
          <w:szCs w:val="20"/>
          <w:color w:val="auto"/>
        </w:rPr>
      </w:pPr>
    </w:p>
    <w:p>
      <w:pPr>
        <w:jc w:val="both"/>
        <w:ind w:left="1"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Contract</w:t>
      </w:r>
      <w:r>
        <w:rPr>
          <w:rFonts w:ascii="Arial" w:cs="Arial" w:eastAsia="Arial" w:hAnsi="Arial"/>
          <w:sz w:val="20"/>
          <w:szCs w:val="20"/>
          <w:color w:val="auto"/>
        </w:rPr>
        <w:t>” means, with respect to any Person, each contract to which such Person is a party involving aggregate consideration payable to or by such Person of $25,000,000 or more in any year or otherwise material to the business, condition (financial or otherwise), operations, performance</w:t>
      </w:r>
      <w:r>
        <w:rPr>
          <w:rFonts w:ascii="Arial" w:cs="Arial" w:eastAsia="Arial" w:hAnsi="Arial"/>
          <w:sz w:val="20"/>
          <w:szCs w:val="20"/>
          <w:color w:val="FF0000"/>
          <w:strike w:val="1"/>
        </w:rPr>
        <w:t>,</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highlight w:val="lightGray"/>
        </w:rPr>
        <w:t>or</w:t>
      </w:r>
      <w:r>
        <w:rPr>
          <w:rFonts w:ascii="Arial" w:cs="Arial" w:eastAsia="Arial" w:hAnsi="Arial"/>
          <w:sz w:val="20"/>
          <w:szCs w:val="20"/>
          <w:color w:val="auto"/>
        </w:rPr>
        <w:t xml:space="preserve"> properties </w:t>
      </w:r>
      <w:r>
        <w:rPr>
          <w:rFonts w:ascii="Arial" w:cs="Arial" w:eastAsia="Arial" w:hAnsi="Arial"/>
          <w:sz w:val="20"/>
          <w:szCs w:val="20"/>
          <w:color w:val="FF0000"/>
          <w:strike w:val="1"/>
        </w:rPr>
        <w:t>or prospects</w:t>
      </w:r>
      <w:r>
        <w:rPr>
          <w:rFonts w:ascii="Arial" w:cs="Arial" w:eastAsia="Arial" w:hAnsi="Arial"/>
          <w:sz w:val="20"/>
          <w:szCs w:val="20"/>
          <w:color w:val="auto"/>
        </w:rPr>
        <w:t xml:space="preserve"> of such Person.</w:t>
      </w:r>
    </w:p>
    <w:p>
      <w:pPr>
        <w:spacing w:after="0" w:line="202" w:lineRule="exact"/>
        <w:rPr>
          <w:sz w:val="20"/>
          <w:szCs w:val="20"/>
          <w:color w:val="auto"/>
        </w:rPr>
      </w:pPr>
    </w:p>
    <w:p>
      <w:pPr>
        <w:jc w:val="both"/>
        <w:ind w:left="1"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xml:space="preserve">” means March 1, 2023;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such date is not a Business Day, the Maturity Date shall be the next preceding Business Day.</w:t>
      </w:r>
    </w:p>
    <w:p>
      <w:pPr>
        <w:spacing w:after="0" w:line="191" w:lineRule="exact"/>
        <w:rPr>
          <w:sz w:val="20"/>
          <w:szCs w:val="20"/>
          <w:color w:val="auto"/>
        </w:rPr>
      </w:pPr>
    </w:p>
    <w:p>
      <w:pPr>
        <w:ind w:left="60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10.09</w:t>
      </w:r>
      <w:r>
        <w:rPr>
          <w:rFonts w:ascii="Arial" w:cs="Arial" w:eastAsia="Arial" w:hAnsi="Arial"/>
          <w:sz w:val="20"/>
          <w:szCs w:val="20"/>
          <w:color w:val="auto"/>
        </w:rPr>
        <w:t>.</w:t>
      </w:r>
    </w:p>
    <w:p>
      <w:pPr>
        <w:spacing w:after="0" w:line="245" w:lineRule="exact"/>
        <w:rPr>
          <w:sz w:val="20"/>
          <w:szCs w:val="20"/>
          <w:color w:val="auto"/>
        </w:rPr>
      </w:pPr>
    </w:p>
    <w:p>
      <w:pPr>
        <w:ind w:left="60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and any successor thereto.</w:t>
      </w:r>
    </w:p>
    <w:p>
      <w:pPr>
        <w:spacing w:after="0" w:line="245" w:lineRule="exact"/>
        <w:rPr>
          <w:sz w:val="20"/>
          <w:szCs w:val="20"/>
          <w:color w:val="auto"/>
        </w:rPr>
      </w:pPr>
    </w:p>
    <w:p>
      <w:pPr>
        <w:jc w:val="both"/>
        <w:ind w:left="1"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202" w:lineRule="exact"/>
        <w:rPr>
          <w:sz w:val="20"/>
          <w:szCs w:val="20"/>
          <w:color w:val="auto"/>
        </w:rPr>
      </w:pPr>
    </w:p>
    <w:p>
      <w:pPr>
        <w:jc w:val="both"/>
        <w:ind w:left="1" w:firstLine="600"/>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Multiple Employer Plan</w:t>
      </w:r>
      <w:r>
        <w:rPr>
          <w:rFonts w:ascii="Arial" w:cs="Arial" w:eastAsia="Arial" w:hAnsi="Arial"/>
          <w:sz w:val="19"/>
          <w:szCs w:val="19"/>
          <w:color w:val="auto"/>
        </w:rPr>
        <w:t>” means a Plan which has two or more contributing sponsors (including the Borrower or any ERISA Affiliate) at least two of whom are not under common control, as such a plan is described in Section 4064 of ERISA.</w:t>
      </w:r>
    </w:p>
    <w:p>
      <w:pPr>
        <w:spacing w:after="0" w:line="168" w:lineRule="exact"/>
        <w:rPr>
          <w:sz w:val="20"/>
          <w:szCs w:val="20"/>
          <w:color w:val="auto"/>
        </w:rPr>
      </w:pPr>
    </w:p>
    <w:p>
      <w:pPr>
        <w:ind w:left="601"/>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Net Cash Proceeds</w:t>
      </w:r>
      <w:r>
        <w:rPr>
          <w:rFonts w:ascii="Arial" w:cs="Arial" w:eastAsia="Arial" w:hAnsi="Arial"/>
          <w:sz w:val="18"/>
          <w:szCs w:val="18"/>
          <w:color w:val="FF0000"/>
          <w:strike w:val="1"/>
        </w:rPr>
        <w:t>” means (a) with respect to any issuance and sale by the REIT of any of its Equity Interests, the excess of</w:t>
      </w:r>
    </w:p>
    <w:p>
      <w:pPr>
        <w:spacing w:after="0" w:line="46" w:lineRule="exact"/>
        <w:rPr>
          <w:sz w:val="20"/>
          <w:szCs w:val="20"/>
          <w:color w:val="auto"/>
        </w:rPr>
      </w:pPr>
    </w:p>
    <w:p>
      <w:pPr>
        <w:jc w:val="both"/>
        <w:ind w:left="1" w:hanging="1"/>
        <w:spacing w:after="0" w:line="291" w:lineRule="auto"/>
        <w:tabs>
          <w:tab w:leader="none" w:pos="255" w:val="left"/>
        </w:tabs>
        <w:numPr>
          <w:ilvl w:val="0"/>
          <w:numId w:val="277"/>
        </w:numPr>
        <w:rPr>
          <w:rFonts w:ascii="Arial" w:cs="Arial" w:eastAsia="Arial" w:hAnsi="Arial"/>
          <w:sz w:val="17"/>
          <w:szCs w:val="17"/>
          <w:color w:val="FF0000"/>
          <w:strike w:val="1"/>
        </w:rPr>
      </w:pPr>
      <w:r>
        <w:rPr>
          <w:rFonts w:ascii="Arial" w:cs="Arial" w:eastAsia="Arial" w:hAnsi="Arial"/>
          <w:sz w:val="17"/>
          <w:szCs w:val="17"/>
          <w:color w:val="FF0000"/>
          <w:strike w:val="1"/>
        </w:rPr>
        <w:t xml:space="preserve">the sum of the cash and Cash Equivalents received by the REIT in connection with such issuance and sale, </w:t>
      </w:r>
      <w:r>
        <w:rPr>
          <w:rFonts w:ascii="Arial" w:cs="Arial" w:eastAsia="Arial" w:hAnsi="Arial"/>
          <w:sz w:val="17"/>
          <w:szCs w:val="17"/>
          <w:u w:val="single" w:color="auto"/>
          <w:color w:val="FF0000"/>
          <w:strike w:val="1"/>
        </w:rPr>
        <w:t>less</w:t>
      </w:r>
      <w:r>
        <w:rPr>
          <w:rFonts w:ascii="Arial" w:cs="Arial" w:eastAsia="Arial" w:hAnsi="Arial"/>
          <w:sz w:val="17"/>
          <w:szCs w:val="17"/>
          <w:color w:val="FF0000"/>
          <w:strike w:val="1"/>
        </w:rPr>
        <w:t xml:space="preserve"> (ii) underwriting discounts and commissions, and other reasonable out-of-pocket expenses (including the reasonable fees and disbursements of counsel), incurred by the REIT in connection with such issuance or sale and (b) with respect to any Disposition by the REIT or a Subsidiary thereof, the excess, if any, of (i) the sum of cash and Cash Equivalents received in connection with such transaction over (ii) the sum of</w:t>
      </w:r>
    </w:p>
    <w:p>
      <w:pPr>
        <w:spacing w:after="0" w:line="1" w:lineRule="exact"/>
        <w:rPr>
          <w:rFonts w:ascii="Arial" w:cs="Arial" w:eastAsia="Arial" w:hAnsi="Arial"/>
          <w:sz w:val="17"/>
          <w:szCs w:val="17"/>
          <w:color w:val="FF0000"/>
          <w:strike w:val="1"/>
        </w:rPr>
      </w:pPr>
    </w:p>
    <w:p>
      <w:pPr>
        <w:jc w:val="both"/>
        <w:ind w:left="1"/>
        <w:spacing w:after="0" w:line="250" w:lineRule="auto"/>
        <w:rPr>
          <w:rFonts w:ascii="Arial" w:cs="Arial" w:eastAsia="Arial" w:hAnsi="Arial"/>
          <w:sz w:val="17"/>
          <w:szCs w:val="17"/>
          <w:color w:val="FF0000"/>
          <w:strike w:val="1"/>
        </w:rPr>
      </w:pPr>
      <w:r>
        <w:rPr>
          <w:rFonts w:ascii="Arial" w:cs="Arial" w:eastAsia="Arial" w:hAnsi="Arial"/>
          <w:sz w:val="20"/>
          <w:szCs w:val="20"/>
          <w:color w:val="FF0000"/>
          <w:strike w:val="1"/>
        </w:rPr>
        <w:t>(A) the principal amount of any Indebtedness incurred prior to the Closing Date (or, in the case of any asset acquired by the REIT or a Subsidiary thereof after the Closing Date, the principal amount of any Indebtedness incurred on or prior to the date of the acquisition of such asset) that is secured by the applicable asset and that is required to be repaid in connection with such transaction, (B) the expenses incurred by the REIT or</w:t>
      </w:r>
    </w:p>
    <w:p>
      <w:pPr>
        <w:spacing w:after="0" w:line="190" w:lineRule="exact"/>
        <w:rPr>
          <w:sz w:val="20"/>
          <w:szCs w:val="20"/>
          <w:color w:val="auto"/>
        </w:rPr>
      </w:pPr>
    </w:p>
    <w:p>
      <w:pPr>
        <w:ind w:left="496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21"/>
          </w:cols>
          <w:pgMar w:left="839" w:top="789" w:right="239" w:bottom="1440" w:gutter="0" w:footer="0" w:header="0"/>
        </w:sectPr>
      </w:pPr>
    </w:p>
    <w:bookmarkStart w:id="256" w:name="page257"/>
    <w:bookmarkEnd w:id="256"/>
    <w:p>
      <w:pPr>
        <w:jc w:val="both"/>
        <w:spacing w:after="0" w:line="272" w:lineRule="auto"/>
        <w:rPr>
          <w:sz w:val="20"/>
          <w:szCs w:val="20"/>
          <w:color w:val="auto"/>
        </w:rPr>
      </w:pPr>
      <w:r>
        <w:rPr>
          <w:rFonts w:ascii="Arial" w:cs="Arial" w:eastAsia="Arial" w:hAnsi="Arial"/>
          <w:sz w:val="20"/>
          <w:szCs w:val="20"/>
          <w:color w:val="FF0000"/>
          <w:strike w:val="1"/>
        </w:rPr>
        <w:t>such Subsidiary in connection with such transaction and (C) income taxes reasonably estimated to be actually payable within one year of the date of the relevant transaction as a result of any gain recognized in connection therewith.</w:t>
      </w:r>
    </w:p>
    <w:p>
      <w:pPr>
        <w:spacing w:after="0" w:line="191" w:lineRule="exact"/>
        <w:rPr>
          <w:sz w:val="20"/>
          <w:szCs w:val="20"/>
          <w:color w:val="auto"/>
        </w:rPr>
      </w:pPr>
    </w:p>
    <w:p>
      <w:pPr>
        <w:jc w:val="both"/>
        <w:ind w:firstLine="600"/>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Newly-Acquired Portfolio Property</w:t>
      </w:r>
      <w:r>
        <w:rPr>
          <w:rFonts w:ascii="Arial" w:cs="Arial" w:eastAsia="Arial" w:hAnsi="Arial"/>
          <w:sz w:val="20"/>
          <w:szCs w:val="20"/>
          <w:color w:val="auto"/>
        </w:rPr>
        <w:t xml:space="preserve">” means, as of any date of determination, any Portfolio Property acquired or ground leased pursuant to an Eligible Ground Lease by any member of the Consolidated Group from a Person that was not a member of the Consolidated Group during the then most recently ended two consecutive fiscal quarter period of the REIT for which financial statements have been provided to the Administrative Agent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2.17(a)</w:t>
      </w:r>
      <w:r>
        <w:rPr>
          <w:rFonts w:ascii="Arial" w:cs="Arial" w:eastAsia="Arial" w:hAnsi="Arial"/>
          <w:sz w:val="20"/>
          <w:szCs w:val="20"/>
          <w:color w:val="auto"/>
        </w:rPr>
        <w:t>.</w:t>
      </w:r>
    </w:p>
    <w:p>
      <w:pPr>
        <w:spacing w:after="0" w:line="245" w:lineRule="exact"/>
        <w:rPr>
          <w:sz w:val="20"/>
          <w:szCs w:val="20"/>
          <w:color w:val="auto"/>
        </w:rPr>
      </w:pPr>
    </w:p>
    <w:p>
      <w:pPr>
        <w:jc w:val="both"/>
        <w:ind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xml:space="preserve">” means any Lender that does not approve any consent, waiver or amendment that (i) requires the approval of all Lenders or all affected Lenders in accordance with the terms of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and (ii) has been approved by the Required Lenders.</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at any time, each Lender that is not a Defaulting Lender at such time.</w:t>
      </w:r>
    </w:p>
    <w:p>
      <w:pPr>
        <w:spacing w:after="0" w:line="24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Non-Loan Party Subsidiary</w:t>
      </w:r>
      <w:r>
        <w:rPr>
          <w:rFonts w:ascii="Arial" w:cs="Arial" w:eastAsia="Arial" w:hAnsi="Arial"/>
          <w:sz w:val="18"/>
          <w:szCs w:val="18"/>
          <w:color w:val="auto"/>
        </w:rPr>
        <w:t>” has the meaning specified in the definition of “Aggregate Non-Loan Party Investment Amount.”</w:t>
      </w:r>
    </w:p>
    <w:p>
      <w:pPr>
        <w:spacing w:after="0" w:line="268" w:lineRule="exact"/>
        <w:rPr>
          <w:sz w:val="20"/>
          <w:szCs w:val="20"/>
          <w:color w:val="auto"/>
        </w:rPr>
      </w:pPr>
    </w:p>
    <w:p>
      <w:pPr>
        <w:jc w:val="both"/>
        <w:ind w:firstLine="600"/>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Indebtedness</w:t>
      </w:r>
      <w:r>
        <w:rPr>
          <w:rFonts w:ascii="Arial" w:cs="Arial" w:eastAsia="Arial" w:hAnsi="Arial"/>
          <w:sz w:val="18"/>
          <w:szCs w:val="18"/>
          <w:color w:val="auto"/>
        </w:rPr>
        <w:t xml:space="preserve">” means, with respect to a Person, (a) Indebtedness, or a Guarantee of Indebtedness, in respect of which recourse for payment (except for customary exceptions for fraud, misrepresentation, misapplication of cash, waste, environmental claims and liabilities, prohibited transfers, violations of single purpose entity covenants, and other circumstances customarily excluded by institutional lenders from exculpation provisions and/or included in separate guaranty or indemnification agreements in non-recourse or tax-exempt financings of real estate, including those set forth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is contractually limited to specific assets of such Person encumbered by a Lien securing such Indebtedness or Guarantee, (b) if such Person is a Single Asset Entity, any Indebtedness </w:t>
      </w:r>
      <w:r>
        <w:rPr>
          <w:rFonts w:ascii="Arial" w:cs="Arial" w:eastAsia="Arial" w:hAnsi="Arial"/>
          <w:sz w:val="18"/>
          <w:szCs w:val="18"/>
          <w:color w:val="FF0000"/>
          <w:strike w:val="1"/>
        </w:rPr>
        <w:t>of</w:t>
      </w:r>
      <w:r>
        <w:rPr>
          <w:rFonts w:ascii="Arial" w:cs="Arial" w:eastAsia="Arial" w:hAnsi="Arial"/>
          <w:sz w:val="18"/>
          <w:szCs w:val="18"/>
          <w:b w:val="1"/>
          <w:bCs w:val="1"/>
          <w:u w:val="single" w:color="auto"/>
          <w:color w:val="0000FF"/>
          <w:highlight w:val="lightGray"/>
        </w:rPr>
        <w:t>owed by</w:t>
      </w:r>
      <w:r>
        <w:rPr>
          <w:rFonts w:ascii="Arial" w:cs="Arial" w:eastAsia="Arial" w:hAnsi="Arial"/>
          <w:sz w:val="18"/>
          <w:szCs w:val="18"/>
          <w:color w:val="auto"/>
        </w:rPr>
        <w:t xml:space="preserve"> such Person (other than Indebtedness described in the immediately following clause (c)), or (c) if such Person is a Single Asset Holding Company, any Indebtedness (“Holdco Indebtedness”) of such Single Asset Holding Company resulting from a Guarantee of, or Lien securing, Indebtedness </w:t>
      </w:r>
      <w:r>
        <w:rPr>
          <w:rFonts w:ascii="Arial" w:cs="Arial" w:eastAsia="Arial" w:hAnsi="Arial"/>
          <w:sz w:val="18"/>
          <w:szCs w:val="18"/>
          <w:color w:val="FF0000"/>
          <w:strike w:val="1"/>
        </w:rPr>
        <w:t>of</w:t>
      </w:r>
      <w:r>
        <w:rPr>
          <w:rFonts w:ascii="Arial" w:cs="Arial" w:eastAsia="Arial" w:hAnsi="Arial"/>
          <w:sz w:val="18"/>
          <w:szCs w:val="18"/>
          <w:b w:val="1"/>
          <w:bCs w:val="1"/>
          <w:u w:val="single" w:color="auto"/>
          <w:color w:val="0000FF"/>
          <w:highlight w:val="lightGray"/>
        </w:rPr>
        <w:t>owed by</w:t>
      </w:r>
      <w:r>
        <w:rPr>
          <w:rFonts w:ascii="Arial" w:cs="Arial" w:eastAsia="Arial" w:hAnsi="Arial"/>
          <w:sz w:val="18"/>
          <w:szCs w:val="18"/>
          <w:color w:val="auto"/>
        </w:rPr>
        <w:t xml:space="preserve"> a Single Asset Entity that is a Subsidiary of such Single Asset Holding Company, so long as, in each case, either (i) recourse for payment of such Holdco Indebtedness (except for customary exceptions for fraud, misrepresentation, misapplication of cash, waste, environmental claims and liabilities, prohibited transfers, violations of single purpose entity covenants, and other circumstances customarily excluded by institutional lenders from exculpation provisions and/or included in separate guaranty or indemnification agreements in non-recourse or tax-exempt financings of real estate, including those set forth on </w:t>
      </w:r>
      <w:r>
        <w:rPr>
          <w:rFonts w:ascii="Arial" w:cs="Arial" w:eastAsia="Arial" w:hAnsi="Arial"/>
          <w:sz w:val="18"/>
          <w:szCs w:val="18"/>
          <w:u w:val="single" w:color="auto"/>
          <w:color w:val="auto"/>
        </w:rPr>
        <w:t>Schedule III</w:t>
      </w:r>
      <w:r>
        <w:rPr>
          <w:rFonts w:ascii="Arial" w:cs="Arial" w:eastAsia="Arial" w:hAnsi="Arial"/>
          <w:sz w:val="18"/>
          <w:szCs w:val="18"/>
          <w:color w:val="auto"/>
        </w:rPr>
        <w:t>) is contractually limited to the Equity Interests held by such Single Asset Holding Company in such Single Asset Entity or (ii) such Single Asset Holding Company has no assets other than Equity Interests in such Single Asset Entity and cash and other assets of nominal value incidental to the ownership of the such Single Asset Entity.</w:t>
      </w:r>
    </w:p>
    <w:p>
      <w:pPr>
        <w:spacing w:after="0" w:line="198" w:lineRule="exact"/>
        <w:rPr>
          <w:sz w:val="20"/>
          <w:szCs w:val="20"/>
          <w:color w:val="auto"/>
        </w:rPr>
      </w:pPr>
    </w:p>
    <w:p>
      <w:pPr>
        <w:jc w:val="both"/>
        <w:ind w:firstLine="600"/>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Non-Stabilized Portfolio Property</w:t>
      </w:r>
      <w:r>
        <w:rPr>
          <w:rFonts w:ascii="Arial" w:cs="Arial" w:eastAsia="Arial" w:hAnsi="Arial"/>
          <w:sz w:val="20"/>
          <w:szCs w:val="20"/>
          <w:color w:val="auto"/>
        </w:rPr>
        <w:t xml:space="preserve">” means, as of any date of determination, any Portfolio Property (i) that was previously (but is no longer) under development and in which </w:t>
      </w:r>
      <w:r>
        <w:rPr>
          <w:rFonts w:ascii="Arial" w:cs="Arial" w:eastAsia="Arial" w:hAnsi="Arial"/>
          <w:sz w:val="20"/>
          <w:szCs w:val="20"/>
          <w:color w:val="FF0000"/>
          <w:strike w:val="1"/>
        </w:rPr>
        <w:t>an</w:t>
      </w:r>
      <w:r>
        <w:rPr>
          <w:rFonts w:ascii="Arial" w:cs="Arial" w:eastAsia="Arial" w:hAnsi="Arial"/>
          <w:sz w:val="20"/>
          <w:szCs w:val="20"/>
          <w:b w:val="1"/>
          <w:bCs w:val="1"/>
          <w:u w:val="single" w:color="auto"/>
          <w:color w:val="0000FF"/>
          <w:highlight w:val="lightGray"/>
        </w:rPr>
        <w:t>a Development</w:t>
      </w:r>
      <w:r>
        <w:rPr>
          <w:rFonts w:ascii="Arial" w:cs="Arial" w:eastAsia="Arial" w:hAnsi="Arial"/>
          <w:sz w:val="20"/>
          <w:szCs w:val="20"/>
          <w:color w:val="auto"/>
        </w:rPr>
        <w:t xml:space="preserve"> Investment was made by the REIT or a Subsidiary thereof after </w:t>
      </w:r>
      <w:r>
        <w:rPr>
          <w:rFonts w:ascii="Arial" w:cs="Arial" w:eastAsia="Arial" w:hAnsi="Arial"/>
          <w:sz w:val="20"/>
          <w:szCs w:val="20"/>
          <w:color w:val="FF0000"/>
          <w:strike w:val="1"/>
        </w:rPr>
        <w:t>January 9, 2014 pursuant to</w:t>
      </w:r>
      <w:r>
        <w:rPr>
          <w:rFonts w:ascii="Arial" w:cs="Arial" w:eastAsia="Arial" w:hAnsi="Arial"/>
          <w:sz w:val="20"/>
          <w:szCs w:val="20"/>
          <w:color w:val="FF0000"/>
        </w:rPr>
        <w:t xml:space="preserve"> </w:t>
      </w:r>
      <w:r>
        <w:rPr>
          <w:rFonts w:ascii="Arial" w:cs="Arial" w:eastAsia="Arial" w:hAnsi="Arial"/>
          <w:sz w:val="20"/>
          <w:szCs w:val="20"/>
          <w:u w:val="single" w:color="auto"/>
          <w:color w:val="FF0000"/>
          <w:strike w:val="1"/>
        </w:rPr>
        <w:t>Section 7.03(e)</w:t>
      </w:r>
      <w:r>
        <w:rPr>
          <w:rFonts w:ascii="Arial" w:cs="Arial" w:eastAsia="Arial" w:hAnsi="Arial"/>
          <w:sz w:val="20"/>
          <w:szCs w:val="20"/>
          <w:b w:val="1"/>
          <w:bCs w:val="1"/>
          <w:u w:val="single" w:color="auto"/>
          <w:color w:val="0000FF"/>
          <w:highlight w:val="lightGray"/>
        </w:rPr>
        <w:t>the Third Amendment Effective Date</w:t>
      </w:r>
      <w:r>
        <w:rPr>
          <w:rFonts w:ascii="Arial" w:cs="Arial" w:eastAsia="Arial" w:hAnsi="Arial"/>
          <w:sz w:val="20"/>
          <w:szCs w:val="20"/>
          <w:color w:val="FF0000"/>
        </w:rPr>
        <w:t xml:space="preserve"> </w:t>
      </w:r>
      <w:r>
        <w:rPr>
          <w:rFonts w:ascii="Arial" w:cs="Arial" w:eastAsia="Arial" w:hAnsi="Arial"/>
          <w:sz w:val="20"/>
          <w:szCs w:val="20"/>
          <w:color w:val="000000"/>
        </w:rPr>
        <w:t>and (ii) in respect of which the Stabilization Date</w:t>
      </w:r>
      <w:r>
        <w:rPr>
          <w:rFonts w:ascii="Arial" w:cs="Arial" w:eastAsia="Arial" w:hAnsi="Arial"/>
          <w:sz w:val="20"/>
          <w:szCs w:val="20"/>
          <w:color w:val="FF0000"/>
        </w:rPr>
        <w:t xml:space="preserve"> </w:t>
      </w:r>
      <w:r>
        <w:rPr>
          <w:rFonts w:ascii="Arial" w:cs="Arial" w:eastAsia="Arial" w:hAnsi="Arial"/>
          <w:sz w:val="20"/>
          <w:szCs w:val="20"/>
          <w:color w:val="000000"/>
        </w:rPr>
        <w:t>has</w:t>
      </w:r>
    </w:p>
    <w:p>
      <w:pPr>
        <w:spacing w:after="0" w:line="18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20"/>
          </w:cols>
          <w:pgMar w:left="840" w:top="795" w:right="239" w:bottom="1440" w:gutter="0" w:footer="0" w:header="0"/>
        </w:sectPr>
      </w:pPr>
    </w:p>
    <w:bookmarkStart w:id="257" w:name="page258"/>
    <w:bookmarkEnd w:id="257"/>
    <w:p>
      <w:pPr>
        <w:jc w:val="both"/>
        <w:spacing w:after="0" w:line="260" w:lineRule="auto"/>
        <w:rPr>
          <w:sz w:val="20"/>
          <w:szCs w:val="20"/>
          <w:color w:val="auto"/>
        </w:rPr>
      </w:pPr>
      <w:r>
        <w:rPr>
          <w:rFonts w:ascii="Arial" w:cs="Arial" w:eastAsia="Arial" w:hAnsi="Arial"/>
          <w:sz w:val="20"/>
          <w:szCs w:val="20"/>
          <w:color w:val="auto"/>
        </w:rPr>
        <w:t xml:space="preserve">not occurred on or prior to such date. </w:t>
      </w:r>
      <w:r>
        <w:rPr>
          <w:rFonts w:ascii="Arial" w:cs="Arial" w:eastAsia="Arial" w:hAnsi="Arial"/>
          <w:sz w:val="20"/>
          <w:szCs w:val="20"/>
          <w:color w:val="FF0000"/>
          <w:strike w:val="1"/>
        </w:rPr>
        <w:t>Each reference to Investments made pursuant to</w:t>
      </w:r>
      <w:r>
        <w:rPr>
          <w:rFonts w:ascii="Arial" w:cs="Arial" w:eastAsia="Arial" w:hAnsi="Arial"/>
          <w:sz w:val="20"/>
          <w:szCs w:val="20"/>
          <w:color w:val="auto"/>
        </w:rPr>
        <w:t xml:space="preserve"> </w:t>
      </w:r>
      <w:r>
        <w:rPr>
          <w:rFonts w:ascii="Arial" w:cs="Arial" w:eastAsia="Arial" w:hAnsi="Arial"/>
          <w:sz w:val="20"/>
          <w:szCs w:val="20"/>
          <w:u w:val="single" w:color="auto"/>
          <w:color w:val="FF0000"/>
          <w:strike w:val="1"/>
        </w:rPr>
        <w:t>Section 7.03(e)</w:t>
      </w:r>
      <w:r>
        <w:rPr>
          <w:rFonts w:ascii="Arial" w:cs="Arial" w:eastAsia="Arial" w:hAnsi="Arial"/>
          <w:sz w:val="20"/>
          <w:szCs w:val="20"/>
          <w:color w:val="auto"/>
        </w:rPr>
        <w:t xml:space="preserve"> </w:t>
      </w:r>
      <w:r>
        <w:rPr>
          <w:rFonts w:ascii="Arial" w:cs="Arial" w:eastAsia="Arial" w:hAnsi="Arial"/>
          <w:sz w:val="20"/>
          <w:szCs w:val="20"/>
          <w:color w:val="FF0000"/>
          <w:strike w:val="1"/>
        </w:rPr>
        <w:t>in this definition shall be</w:t>
      </w:r>
      <w:r>
        <w:rPr>
          <w:rFonts w:ascii="Arial" w:cs="Arial" w:eastAsia="Arial" w:hAnsi="Arial"/>
          <w:sz w:val="20"/>
          <w:szCs w:val="20"/>
          <w:color w:val="auto"/>
        </w:rPr>
        <w:t xml:space="preserve"> </w:t>
      </w:r>
      <w:r>
        <w:rPr>
          <w:rFonts w:ascii="Arial" w:cs="Arial" w:eastAsia="Arial" w:hAnsi="Arial"/>
          <w:sz w:val="20"/>
          <w:szCs w:val="20"/>
          <w:color w:val="FF0000"/>
          <w:strike w:val="1"/>
        </w:rPr>
        <w:t xml:space="preserve">deemed to also include, without duplication, Investments made after January 9, 2014 and prior to the Closing Date of the type contemplated by </w:t>
      </w:r>
      <w:r>
        <w:rPr>
          <w:rFonts w:ascii="Arial" w:cs="Arial" w:eastAsia="Arial" w:hAnsi="Arial"/>
          <w:sz w:val="20"/>
          <w:szCs w:val="20"/>
          <w:u w:val="single" w:color="auto"/>
          <w:color w:val="FF0000"/>
          <w:strike w:val="1"/>
        </w:rPr>
        <w:t>Section 7.03(e)</w:t>
      </w:r>
      <w:r>
        <w:rPr>
          <w:rFonts w:ascii="Arial" w:cs="Arial" w:eastAsia="Arial" w:hAnsi="Arial"/>
          <w:sz w:val="20"/>
          <w:szCs w:val="20"/>
          <w:color w:val="FF0000"/>
          <w:strike w:val="1"/>
        </w:rPr>
        <w:t>.</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NPL</w:t>
      </w:r>
      <w:r>
        <w:rPr>
          <w:rFonts w:ascii="Arial" w:cs="Arial" w:eastAsia="Arial" w:hAnsi="Arial"/>
          <w:sz w:val="20"/>
          <w:szCs w:val="20"/>
          <w:color w:val="auto"/>
        </w:rPr>
        <w:t>” means the National Priorities List under CERCLA.</w:t>
      </w:r>
    </w:p>
    <w:p>
      <w:pPr>
        <w:spacing w:after="0" w:line="245"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Obligations</w:t>
      </w:r>
      <w:r>
        <w:rPr>
          <w:rFonts w:ascii="Arial" w:cs="Arial" w:eastAsia="Arial" w:hAnsi="Arial"/>
          <w:sz w:val="20"/>
          <w:szCs w:val="20"/>
          <w:color w:val="auto"/>
        </w:rPr>
        <w:t>” means all advances to, and debts, liabilities, obligations, covenants and duties of, any Loan Party arising under any Loan Document or otherwise with respect to any Loan,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United States Department of the Treasury.</w:t>
      </w:r>
    </w:p>
    <w:p>
      <w:pPr>
        <w:spacing w:after="0" w:line="245" w:lineRule="exact"/>
        <w:rPr>
          <w:sz w:val="20"/>
          <w:szCs w:val="20"/>
          <w:color w:val="auto"/>
        </w:rPr>
      </w:pPr>
    </w:p>
    <w:p>
      <w:pPr>
        <w:jc w:val="both"/>
        <w:ind w:firstLine="600"/>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Organization Documents</w:t>
      </w:r>
      <w:r>
        <w:rPr>
          <w:rFonts w:ascii="Arial" w:cs="Arial" w:eastAsia="Arial" w:hAnsi="Arial"/>
          <w:sz w:val="20"/>
          <w:szCs w:val="20"/>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215" w:lineRule="exact"/>
        <w:rPr>
          <w:sz w:val="20"/>
          <w:szCs w:val="20"/>
          <w:color w:val="auto"/>
        </w:rPr>
      </w:pPr>
    </w:p>
    <w:p>
      <w:pPr>
        <w:jc w:val="both"/>
        <w:ind w:firstLine="6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Connection Taxes</w:t>
      </w:r>
      <w:r>
        <w:rPr>
          <w:rFonts w:ascii="Arial" w:cs="Arial" w:eastAsia="Arial" w:hAnsi="Arial"/>
          <w:sz w:val="20"/>
          <w:szCs w:val="20"/>
          <w:color w:val="auto"/>
        </w:rPr>
        <w:t>” means, with respect to any Recipient, Taxes imposed solely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Documents).</w:t>
      </w:r>
    </w:p>
    <w:p>
      <w:pPr>
        <w:spacing w:after="0" w:line="212" w:lineRule="exact"/>
        <w:rPr>
          <w:sz w:val="20"/>
          <w:szCs w:val="20"/>
          <w:color w:val="auto"/>
        </w:rPr>
      </w:pPr>
    </w:p>
    <w:p>
      <w:pPr>
        <w:jc w:val="both"/>
        <w:ind w:firstLine="60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9"/>
          <w:szCs w:val="19"/>
          <w:u w:val="single" w:color="auto"/>
          <w:color w:val="auto"/>
        </w:rPr>
        <w:t>Section 3.06</w:t>
      </w:r>
      <w:r>
        <w:rPr>
          <w:rFonts w:ascii="Arial" w:cs="Arial" w:eastAsia="Arial" w:hAnsi="Arial"/>
          <w:sz w:val="19"/>
          <w:szCs w:val="19"/>
          <w:color w:val="auto"/>
        </w:rPr>
        <w:t>).</w:t>
      </w:r>
    </w:p>
    <w:p>
      <w:pPr>
        <w:spacing w:after="0" w:line="192"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Outstanding Amount</w:t>
      </w:r>
      <w:r>
        <w:rPr>
          <w:rFonts w:ascii="Arial" w:cs="Arial" w:eastAsia="Arial" w:hAnsi="Arial"/>
          <w:sz w:val="20"/>
          <w:szCs w:val="20"/>
          <w:color w:val="auto"/>
        </w:rPr>
        <w:t>” means, with respect to any Loan on any date, the aggregate outstanding principal amount thereof after giving effect to any borrowings and prepayments or repayments of such Loan occurring on such date.</w:t>
      </w:r>
    </w:p>
    <w:p>
      <w:pPr>
        <w:spacing w:after="0" w:line="191" w:lineRule="exact"/>
        <w:rPr>
          <w:sz w:val="20"/>
          <w:szCs w:val="20"/>
          <w:color w:val="auto"/>
        </w:rPr>
      </w:pPr>
    </w:p>
    <w:p>
      <w:pPr>
        <w:jc w:val="both"/>
        <w:ind w:firstLine="600"/>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Bank Funding Rate</w:t>
      </w:r>
      <w:r>
        <w:rPr>
          <w:rFonts w:ascii="Arial" w:cs="Arial" w:eastAsia="Arial" w:hAnsi="Arial"/>
          <w:sz w:val="20"/>
          <w:szCs w:val="20"/>
          <w:color w:val="auto"/>
        </w:rPr>
        <w:t>” means, for any day, the rate per annum comprised of both overnight federal funds and overnight Eurodollar borrowings by U.S.-managed banking offices of depository institutions (as such composite rate shall be determined by the FRBNY as set forth on its public website from time to time) and published on the next succeeding Business Day by the FRBNY</w:t>
      </w:r>
    </w:p>
    <w:p>
      <w:pPr>
        <w:spacing w:after="0" w:line="18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20"/>
          </w:cols>
          <w:pgMar w:left="840" w:top="795" w:right="239" w:bottom="1440" w:gutter="0" w:footer="0" w:header="0"/>
        </w:sectPr>
      </w:pPr>
    </w:p>
    <w:bookmarkStart w:id="258" w:name="page259"/>
    <w:bookmarkEnd w:id="258"/>
    <w:p>
      <w:pPr>
        <w:spacing w:after="0"/>
        <w:rPr>
          <w:sz w:val="20"/>
          <w:szCs w:val="20"/>
          <w:color w:val="auto"/>
        </w:rPr>
      </w:pPr>
      <w:r>
        <w:rPr>
          <w:rFonts w:ascii="Arial" w:cs="Arial" w:eastAsia="Arial" w:hAnsi="Arial"/>
          <w:sz w:val="19"/>
          <w:szCs w:val="19"/>
          <w:color w:val="auto"/>
        </w:rPr>
        <w:t>as an overnight bank funding rate (from and after such date as the FRBNY shall commence to publish such composite rate).</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Pari Passu Debt Incurrence</w:t>
      </w:r>
      <w:r>
        <w:rPr>
          <w:rFonts w:ascii="Arial" w:cs="Arial" w:eastAsia="Arial" w:hAnsi="Arial"/>
          <w:sz w:val="20"/>
          <w:szCs w:val="20"/>
          <w:color w:val="FF0000"/>
          <w:strike w:val="1"/>
        </w:rPr>
        <w:t xml:space="preserve">” has the meaning specified in </w:t>
      </w:r>
      <w:r>
        <w:rPr>
          <w:rFonts w:ascii="Arial" w:cs="Arial" w:eastAsia="Arial" w:hAnsi="Arial"/>
          <w:sz w:val="20"/>
          <w:szCs w:val="20"/>
          <w:u w:val="single" w:color="auto"/>
          <w:color w:val="FF0000"/>
          <w:strike w:val="1"/>
        </w:rPr>
        <w:t>Section 10.20</w:t>
      </w:r>
      <w:r>
        <w:rPr>
          <w:rFonts w:ascii="Arial" w:cs="Arial" w:eastAsia="Arial" w:hAnsi="Arial"/>
          <w:sz w:val="20"/>
          <w:szCs w:val="20"/>
          <w:color w:val="FF0000"/>
          <w:strike w:val="1"/>
        </w:rPr>
        <w:t>.</w:t>
      </w:r>
    </w:p>
    <w:p>
      <w:pPr>
        <w:spacing w:after="0" w:line="23" w:lineRule="exact"/>
        <w:rPr>
          <w:sz w:val="20"/>
          <w:szCs w:val="20"/>
          <w:color w:val="auto"/>
        </w:rPr>
      </w:pPr>
    </w:p>
    <w:p>
      <w:pPr>
        <w:jc w:val="both"/>
        <w:ind w:firstLine="600"/>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Pari Passu Obligations</w:t>
      </w:r>
      <w:r>
        <w:rPr>
          <w:rFonts w:ascii="Arial" w:cs="Arial" w:eastAsia="Arial" w:hAnsi="Arial"/>
          <w:sz w:val="20"/>
          <w:szCs w:val="20"/>
          <w:color w:val="auto"/>
        </w:rPr>
        <w:t>” means Unsecured Indebtedness (</w:t>
      </w:r>
      <w:r>
        <w:rPr>
          <w:rFonts w:ascii="Arial" w:cs="Arial" w:eastAsia="Arial" w:hAnsi="Arial"/>
          <w:sz w:val="20"/>
          <w:szCs w:val="20"/>
          <w:b w:val="1"/>
          <w:bCs w:val="1"/>
          <w:u w:val="single" w:color="auto"/>
          <w:color w:val="0000FF"/>
          <w:highlight w:val="lightGray"/>
        </w:rPr>
        <w:t>without giving effect to the proviso in the definition thereof and</w:t>
      </w:r>
      <w:r>
        <w:rPr>
          <w:rFonts w:ascii="Arial" w:cs="Arial" w:eastAsia="Arial" w:hAnsi="Arial"/>
          <w:sz w:val="20"/>
          <w:szCs w:val="20"/>
          <w:color w:val="auto"/>
        </w:rPr>
        <w:t xml:space="preserve"> exclusive of the Obligations) of </w:t>
      </w:r>
      <w:r>
        <w:rPr>
          <w:rFonts w:ascii="Arial" w:cs="Arial" w:eastAsia="Arial" w:hAnsi="Arial"/>
          <w:sz w:val="20"/>
          <w:szCs w:val="20"/>
          <w:color w:val="FF0000"/>
          <w:strike w:val="1"/>
        </w:rPr>
        <w:t>the Borrower or any Guarantor</w:t>
      </w:r>
      <w:r>
        <w:rPr>
          <w:rFonts w:ascii="Arial" w:cs="Arial" w:eastAsia="Arial" w:hAnsi="Arial"/>
          <w:sz w:val="20"/>
          <w:szCs w:val="20"/>
          <w:b w:val="1"/>
          <w:bCs w:val="1"/>
          <w:u w:val="single" w:color="auto"/>
          <w:color w:val="0000FF"/>
          <w:highlight w:val="lightGray"/>
        </w:rPr>
        <w:t>any member of the Consolidated Group</w:t>
      </w:r>
      <w:r>
        <w:rPr>
          <w:rFonts w:ascii="Arial" w:cs="Arial" w:eastAsia="Arial" w:hAnsi="Arial"/>
          <w:sz w:val="20"/>
          <w:szCs w:val="20"/>
          <w:color w:val="auto"/>
        </w:rPr>
        <w:t xml:space="preserve"> owing to </w:t>
      </w:r>
      <w:r>
        <w:rPr>
          <w:rFonts w:ascii="Arial" w:cs="Arial" w:eastAsia="Arial" w:hAnsi="Arial"/>
          <w:sz w:val="20"/>
          <w:szCs w:val="20"/>
          <w:color w:val="FF0000"/>
          <w:strike w:val="1"/>
        </w:rPr>
        <w:t>Persons</w:t>
      </w:r>
      <w:r>
        <w:rPr>
          <w:rFonts w:ascii="Arial" w:cs="Arial" w:eastAsia="Arial" w:hAnsi="Arial"/>
          <w:sz w:val="20"/>
          <w:szCs w:val="20"/>
          <w:b w:val="1"/>
          <w:bCs w:val="1"/>
          <w:u w:val="single" w:color="auto"/>
          <w:color w:val="0000FF"/>
          <w:highlight w:val="lightGray"/>
        </w:rPr>
        <w:t>a Person</w:t>
      </w:r>
      <w:r>
        <w:rPr>
          <w:rFonts w:ascii="Arial" w:cs="Arial" w:eastAsia="Arial" w:hAnsi="Arial"/>
          <w:sz w:val="20"/>
          <w:szCs w:val="20"/>
          <w:color w:val="auto"/>
        </w:rPr>
        <w:t xml:space="preserve"> that </w:t>
      </w:r>
      <w:r>
        <w:rPr>
          <w:rFonts w:ascii="Arial" w:cs="Arial" w:eastAsia="Arial" w:hAnsi="Arial"/>
          <w:sz w:val="20"/>
          <w:szCs w:val="20"/>
          <w:color w:val="FF0000"/>
          <w:strike w:val="1"/>
        </w:rPr>
        <w:t>are</w:t>
      </w:r>
      <w:r>
        <w:rPr>
          <w:rFonts w:ascii="Arial" w:cs="Arial" w:eastAsia="Arial" w:hAnsi="Arial"/>
          <w:sz w:val="20"/>
          <w:szCs w:val="20"/>
          <w:b w:val="1"/>
          <w:bCs w:val="1"/>
          <w:u w:val="single" w:color="auto"/>
          <w:color w:val="0000FF"/>
          <w:highlight w:val="lightGray"/>
        </w:rPr>
        <w:t>is</w:t>
      </w:r>
      <w:r>
        <w:rPr>
          <w:rFonts w:ascii="Arial" w:cs="Arial" w:eastAsia="Arial" w:hAnsi="Arial"/>
          <w:sz w:val="20"/>
          <w:szCs w:val="20"/>
          <w:color w:val="auto"/>
        </w:rPr>
        <w:t xml:space="preserve"> not </w:t>
      </w:r>
      <w:r>
        <w:rPr>
          <w:rFonts w:ascii="Arial" w:cs="Arial" w:eastAsia="Arial" w:hAnsi="Arial"/>
          <w:sz w:val="20"/>
          <w:szCs w:val="20"/>
          <w:color w:val="FF0000"/>
          <w:strike w:val="1"/>
        </w:rPr>
        <w:t>members</w:t>
      </w:r>
      <w:r>
        <w:rPr>
          <w:rFonts w:ascii="Arial" w:cs="Arial" w:eastAsia="Arial" w:hAnsi="Arial"/>
          <w:sz w:val="20"/>
          <w:szCs w:val="20"/>
          <w:b w:val="1"/>
          <w:bCs w:val="1"/>
          <w:u w:val="single" w:color="auto"/>
          <w:color w:val="0000FF"/>
          <w:highlight w:val="lightGray"/>
        </w:rPr>
        <w:t>a member</w:t>
      </w:r>
      <w:r>
        <w:rPr>
          <w:rFonts w:ascii="Arial" w:cs="Arial" w:eastAsia="Arial" w:hAnsi="Arial"/>
          <w:sz w:val="20"/>
          <w:szCs w:val="20"/>
          <w:color w:val="auto"/>
        </w:rPr>
        <w:t xml:space="preserve"> of the Consolidated Group.</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10.06(d)</w:t>
      </w:r>
      <w:r>
        <w:rPr>
          <w:rFonts w:ascii="Arial" w:cs="Arial" w:eastAsia="Arial" w:hAnsi="Arial"/>
          <w:sz w:val="20"/>
          <w:szCs w:val="20"/>
          <w:color w:val="auto"/>
        </w:rPr>
        <w:t>.</w:t>
      </w:r>
    </w:p>
    <w:p>
      <w:pPr>
        <w:spacing w:after="0" w:line="24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10.06(d)</w:t>
      </w:r>
      <w:r>
        <w:rPr>
          <w:rFonts w:ascii="Arial" w:cs="Arial" w:eastAsia="Arial" w:hAnsi="Arial"/>
          <w:sz w:val="20"/>
          <w:szCs w:val="20"/>
          <w:color w:val="auto"/>
        </w:rPr>
        <w:t>.</w:t>
      </w:r>
    </w:p>
    <w:p>
      <w:pPr>
        <w:spacing w:after="0" w:line="245"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means the USA PATRIOT Act (Title III of Pub. L. 107-56 (signed into law October 26, 2001)), as amended from time to time, and any successor statute.</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w:t>
      </w:r>
    </w:p>
    <w:p>
      <w:pPr>
        <w:spacing w:after="0" w:line="245" w:lineRule="exact"/>
        <w:rPr>
          <w:sz w:val="20"/>
          <w:szCs w:val="20"/>
          <w:color w:val="auto"/>
        </w:rPr>
      </w:pPr>
    </w:p>
    <w:p>
      <w:pPr>
        <w:jc w:val="both"/>
        <w:ind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Funding Rules</w:t>
      </w:r>
      <w:r>
        <w:rPr>
          <w:rFonts w:ascii="Arial" w:cs="Arial" w:eastAsia="Arial" w:hAnsi="Arial"/>
          <w:sz w:val="20"/>
          <w:szCs w:val="20"/>
          <w:color w:val="auto"/>
        </w:rPr>
        <w:t>” means the rules of the Code and ERISA regarding minimum required contributions (including any installment payment thereof) to Pension Plans, and such related rules, as and set forth in Sections 412, 430, 431, 432 and 436 of the Code and Sections 302, 303, 304 and 305 of ERISA.</w:t>
      </w:r>
    </w:p>
    <w:p>
      <w:pPr>
        <w:spacing w:after="0" w:line="202" w:lineRule="exact"/>
        <w:rPr>
          <w:sz w:val="20"/>
          <w:szCs w:val="20"/>
          <w:color w:val="auto"/>
        </w:rPr>
      </w:pPr>
    </w:p>
    <w:p>
      <w:pPr>
        <w:jc w:val="both"/>
        <w:ind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Code.</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Holders</w:t>
      </w:r>
      <w:r>
        <w:rPr>
          <w:rFonts w:ascii="Arial" w:cs="Arial" w:eastAsia="Arial" w:hAnsi="Arial"/>
          <w:sz w:val="20"/>
          <w:szCs w:val="20"/>
          <w:color w:val="auto"/>
        </w:rPr>
        <w:t>” means Ernest S. Rady and the Rady Affiliates.</w:t>
      </w:r>
    </w:p>
    <w:p>
      <w:pPr>
        <w:spacing w:after="0" w:line="245" w:lineRule="exact"/>
        <w:rPr>
          <w:sz w:val="20"/>
          <w:szCs w:val="20"/>
          <w:color w:val="auto"/>
        </w:rPr>
      </w:pPr>
    </w:p>
    <w:p>
      <w:pPr>
        <w:jc w:val="both"/>
        <w:ind w:firstLine="600"/>
        <w:spacing w:after="0" w:line="256"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Permitted Investments</w:t>
      </w:r>
      <w:r>
        <w:rPr>
          <w:rFonts w:ascii="Arial" w:cs="Arial" w:eastAsia="Arial" w:hAnsi="Arial"/>
          <w:sz w:val="20"/>
          <w:szCs w:val="20"/>
          <w:color w:val="FF0000"/>
          <w:strike w:val="1"/>
        </w:rPr>
        <w:t xml:space="preserve">” means Investments by the REIT, the Borrower or any of their respective Subsidiaries made pursuant to </w:t>
      </w:r>
      <w:r>
        <w:rPr>
          <w:rFonts w:ascii="Arial" w:cs="Arial" w:eastAsia="Arial" w:hAnsi="Arial"/>
          <w:sz w:val="20"/>
          <w:szCs w:val="20"/>
          <w:u w:val="single" w:color="auto"/>
          <w:color w:val="FF0000"/>
          <w:strike w:val="1"/>
        </w:rPr>
        <w:t>Section 7.03(b)(iii)</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FF0000"/>
          <w:strike w:val="1"/>
        </w:rPr>
        <w:t>(c)</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FF0000"/>
          <w:strike w:val="1"/>
        </w:rPr>
        <w:t>(d)</w:t>
      </w:r>
      <w:r>
        <w:rPr>
          <w:rFonts w:ascii="Arial" w:cs="Arial" w:eastAsia="Arial" w:hAnsi="Arial"/>
          <w:sz w:val="20"/>
          <w:szCs w:val="20"/>
          <w:color w:val="FF0000"/>
          <w:strike w:val="1"/>
        </w:rPr>
        <w:t xml:space="preserve">, or </w:t>
      </w:r>
      <w:r>
        <w:rPr>
          <w:rFonts w:ascii="Arial" w:cs="Arial" w:eastAsia="Arial" w:hAnsi="Arial"/>
          <w:sz w:val="20"/>
          <w:szCs w:val="20"/>
          <w:u w:val="single" w:color="auto"/>
          <w:color w:val="FF0000"/>
          <w:strike w:val="1"/>
        </w:rPr>
        <w:t>(e)</w:t>
      </w:r>
      <w:r>
        <w:rPr>
          <w:rFonts w:ascii="Arial" w:cs="Arial" w:eastAsia="Arial" w:hAnsi="Arial"/>
          <w:sz w:val="20"/>
          <w:szCs w:val="20"/>
          <w:color w:val="FF0000"/>
          <w:strike w:val="1"/>
        </w:rPr>
        <w:t xml:space="preserve">. Each reference to Investments made pursuant to </w:t>
      </w:r>
      <w:r>
        <w:rPr>
          <w:rFonts w:ascii="Arial" w:cs="Arial" w:eastAsia="Arial" w:hAnsi="Arial"/>
          <w:sz w:val="20"/>
          <w:szCs w:val="20"/>
          <w:u w:val="single" w:color="auto"/>
          <w:color w:val="FF0000"/>
          <w:strike w:val="1"/>
        </w:rPr>
        <w:t>Section 7.03(b)(iii)</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FF0000"/>
          <w:strike w:val="1"/>
        </w:rPr>
        <w:t>(c)</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FF0000"/>
          <w:strike w:val="1"/>
        </w:rPr>
        <w:t>(d)</w:t>
      </w:r>
      <w:r>
        <w:rPr>
          <w:rFonts w:ascii="Arial" w:cs="Arial" w:eastAsia="Arial" w:hAnsi="Arial"/>
          <w:sz w:val="20"/>
          <w:szCs w:val="20"/>
          <w:color w:val="FF0000"/>
          <w:strike w:val="1"/>
        </w:rPr>
        <w:t xml:space="preserve"> or </w:t>
      </w:r>
      <w:r>
        <w:rPr>
          <w:rFonts w:ascii="Arial" w:cs="Arial" w:eastAsia="Arial" w:hAnsi="Arial"/>
          <w:sz w:val="20"/>
          <w:szCs w:val="20"/>
          <w:u w:val="single" w:color="auto"/>
          <w:color w:val="FF0000"/>
          <w:strike w:val="1"/>
        </w:rPr>
        <w:t>(e)</w:t>
      </w:r>
      <w:r>
        <w:rPr>
          <w:rFonts w:ascii="Arial" w:cs="Arial" w:eastAsia="Arial" w:hAnsi="Arial"/>
          <w:sz w:val="20"/>
          <w:szCs w:val="20"/>
          <w:color w:val="FF0000"/>
          <w:strike w:val="1"/>
        </w:rPr>
        <w:t xml:space="preserve"> in this definition shall be deemed to include, without duplication, Investments made prior to the Closing Date pursuant to Section 7.03(b)(iii), (c), (d) or (e) of the Revolving Credit Agreement.</w:t>
      </w:r>
    </w:p>
    <w:p>
      <w:pPr>
        <w:spacing w:after="0" w:line="205" w:lineRule="exact"/>
        <w:rPr>
          <w:sz w:val="20"/>
          <w:szCs w:val="20"/>
          <w:color w:val="auto"/>
        </w:rPr>
      </w:pPr>
    </w:p>
    <w:p>
      <w:pPr>
        <w:jc w:val="both"/>
        <w:ind w:firstLine="600"/>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Judgment Liens</w:t>
      </w:r>
      <w:r>
        <w:rPr>
          <w:rFonts w:ascii="Arial" w:cs="Arial" w:eastAsia="Arial" w:hAnsi="Arial"/>
          <w:sz w:val="19"/>
          <w:szCs w:val="19"/>
          <w:color w:val="auto"/>
        </w:rPr>
        <w:t xml:space="preserve">” means Liens permitted under </w:t>
      </w:r>
      <w:r>
        <w:rPr>
          <w:rFonts w:ascii="Arial" w:cs="Arial" w:eastAsia="Arial" w:hAnsi="Arial"/>
          <w:sz w:val="19"/>
          <w:szCs w:val="19"/>
          <w:u w:val="single" w:color="auto"/>
          <w:color w:val="auto"/>
        </w:rPr>
        <w:t>Section 7.01(g)</w:t>
      </w:r>
      <w:r>
        <w:rPr>
          <w:rFonts w:ascii="Arial" w:cs="Arial" w:eastAsia="Arial" w:hAnsi="Arial"/>
          <w:sz w:val="19"/>
          <w:szCs w:val="19"/>
          <w:color w:val="auto"/>
        </w:rPr>
        <w:t xml:space="preserve"> (solely to the extent the aggregate amount of the judgments secured by such Liens under </w:t>
      </w:r>
      <w:r>
        <w:rPr>
          <w:rFonts w:ascii="Arial" w:cs="Arial" w:eastAsia="Arial" w:hAnsi="Arial"/>
          <w:sz w:val="19"/>
          <w:szCs w:val="19"/>
          <w:u w:val="single" w:color="auto"/>
          <w:color w:val="auto"/>
        </w:rPr>
        <w:t>Section 7.01(g)</w:t>
      </w:r>
      <w:r>
        <w:rPr>
          <w:rFonts w:ascii="Arial" w:cs="Arial" w:eastAsia="Arial" w:hAnsi="Arial"/>
          <w:sz w:val="19"/>
          <w:szCs w:val="19"/>
          <w:color w:val="auto"/>
        </w:rPr>
        <w:t xml:space="preserve"> encumbering (x) </w:t>
      </w:r>
      <w:r>
        <w:rPr>
          <w:rFonts w:ascii="Arial" w:cs="Arial" w:eastAsia="Arial" w:hAnsi="Arial"/>
          <w:sz w:val="19"/>
          <w:szCs w:val="19"/>
          <w:color w:val="FF0000"/>
          <w:strike w:val="1"/>
        </w:rPr>
        <w:t>Eligible</w:t>
      </w:r>
      <w:r>
        <w:rPr>
          <w:rFonts w:ascii="Arial" w:cs="Arial" w:eastAsia="Arial" w:hAnsi="Arial"/>
          <w:sz w:val="19"/>
          <w:szCs w:val="19"/>
          <w:color w:val="auto"/>
        </w:rPr>
        <w:t xml:space="preserve"> Unencumbered </w:t>
      </w:r>
      <w:r>
        <w:rPr>
          <w:rFonts w:ascii="Arial" w:cs="Arial" w:eastAsia="Arial" w:hAnsi="Arial"/>
          <w:sz w:val="19"/>
          <w:szCs w:val="19"/>
          <w:b w:val="1"/>
          <w:bCs w:val="1"/>
          <w:u w:val="single" w:color="auto"/>
          <w:color w:val="0000FF"/>
          <w:highlight w:val="lightGray"/>
        </w:rPr>
        <w:t>Eligible</w:t>
      </w:r>
      <w:r>
        <w:rPr>
          <w:rFonts w:ascii="Arial" w:cs="Arial" w:eastAsia="Arial" w:hAnsi="Arial"/>
          <w:sz w:val="19"/>
          <w:szCs w:val="19"/>
          <w:color w:val="auto"/>
        </w:rPr>
        <w:t xml:space="preserve"> Properties (and the income therefrom and proceeds thereof) and (y) the Equity Interests of any Subsidiary that owns or ground leases an </w:t>
      </w:r>
      <w:r>
        <w:rPr>
          <w:rFonts w:ascii="Arial" w:cs="Arial" w:eastAsia="Arial" w:hAnsi="Arial"/>
          <w:sz w:val="19"/>
          <w:szCs w:val="19"/>
          <w:color w:val="FF0000"/>
          <w:strike w:val="1"/>
        </w:rPr>
        <w:t>Eligible</w:t>
      </w:r>
      <w:r>
        <w:rPr>
          <w:rFonts w:ascii="Arial" w:cs="Arial" w:eastAsia="Arial" w:hAnsi="Arial"/>
          <w:sz w:val="19"/>
          <w:szCs w:val="19"/>
          <w:color w:val="auto"/>
        </w:rPr>
        <w:t xml:space="preserve"> Unencumbered </w:t>
      </w:r>
      <w:r>
        <w:rPr>
          <w:rFonts w:ascii="Arial" w:cs="Arial" w:eastAsia="Arial" w:hAnsi="Arial"/>
          <w:sz w:val="19"/>
          <w:szCs w:val="19"/>
          <w:b w:val="1"/>
          <w:bCs w:val="1"/>
          <w:u w:val="single" w:color="auto"/>
          <w:color w:val="0000FF"/>
          <w:highlight w:val="lightGray"/>
        </w:rPr>
        <w:t>Eligible</w:t>
      </w:r>
      <w:r>
        <w:rPr>
          <w:rFonts w:ascii="Arial" w:cs="Arial" w:eastAsia="Arial" w:hAnsi="Arial"/>
          <w:sz w:val="19"/>
          <w:szCs w:val="19"/>
          <w:b w:val="1"/>
          <w:bCs w:val="1"/>
          <w:color w:val="0000FF"/>
          <w:highlight w:val="lightGray"/>
        </w:rPr>
        <w:t xml:space="preserve"> </w:t>
      </w:r>
      <w:r>
        <w:rPr>
          <w:rFonts w:ascii="Arial" w:cs="Arial" w:eastAsia="Arial" w:hAnsi="Arial"/>
          <w:sz w:val="19"/>
          <w:szCs w:val="19"/>
          <w:color w:val="000000"/>
        </w:rPr>
        <w:t>Property (and any Subsidiary of the Borrower that directly or indirectly owns any Equity Interests in such Subsidiary) (and the</w:t>
      </w:r>
      <w:r>
        <w:rPr>
          <w:rFonts w:ascii="Arial" w:cs="Arial" w:eastAsia="Arial" w:hAnsi="Arial"/>
          <w:sz w:val="19"/>
          <w:szCs w:val="19"/>
          <w:b w:val="1"/>
          <w:bCs w:val="1"/>
          <w:color w:val="0000FF"/>
          <w:highlight w:val="lightGray"/>
        </w:rPr>
        <w:t xml:space="preserve"> </w:t>
      </w:r>
      <w:r>
        <w:rPr>
          <w:rFonts w:ascii="Arial" w:cs="Arial" w:eastAsia="Arial" w:hAnsi="Arial"/>
          <w:sz w:val="19"/>
          <w:szCs w:val="19"/>
          <w:color w:val="000000"/>
        </w:rPr>
        <w:t>income therefrom and proceeds thereof) does not exceed $10,000,000).</w:t>
      </w:r>
    </w:p>
    <w:p>
      <w:pPr>
        <w:spacing w:after="0" w:line="195" w:lineRule="exact"/>
        <w:rPr>
          <w:sz w:val="20"/>
          <w:szCs w:val="20"/>
          <w:color w:val="auto"/>
        </w:rPr>
      </w:pPr>
    </w:p>
    <w:p>
      <w:pPr>
        <w:jc w:val="both"/>
        <w:ind w:firstLine="60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Pari Passu Encumbrances</w:t>
      </w:r>
      <w:r>
        <w:rPr>
          <w:rFonts w:ascii="Arial" w:cs="Arial" w:eastAsia="Arial" w:hAnsi="Arial"/>
          <w:sz w:val="19"/>
          <w:szCs w:val="19"/>
          <w:color w:val="auto"/>
        </w:rPr>
        <w:t xml:space="preserve">” means encumbrances that are contained in documentation evidencing or governing Pari Passu Obligations which encumbrances are the result of (i) limitations on the ability of the REIT or any Subsidiary thereof to transfer property to the </w:t>
      </w:r>
      <w:r>
        <w:rPr>
          <w:rFonts w:ascii="Arial" w:cs="Arial" w:eastAsia="Arial" w:hAnsi="Arial"/>
          <w:sz w:val="19"/>
          <w:szCs w:val="19"/>
          <w:b w:val="1"/>
          <w:bCs w:val="1"/>
          <w:u w:val="single" w:color="auto"/>
          <w:color w:val="0000FF"/>
          <w:highlight w:val="lightGray"/>
        </w:rPr>
        <w:t>REIT, the</w:t>
      </w:r>
      <w:r>
        <w:rPr>
          <w:rFonts w:ascii="Arial" w:cs="Arial" w:eastAsia="Arial" w:hAnsi="Arial"/>
          <w:sz w:val="19"/>
          <w:szCs w:val="19"/>
          <w:color w:val="auto"/>
        </w:rPr>
        <w:t xml:space="preserve"> Borrower </w:t>
      </w:r>
      <w:r>
        <w:rPr>
          <w:rFonts w:ascii="Arial" w:cs="Arial" w:eastAsia="Arial" w:hAnsi="Arial"/>
          <w:sz w:val="19"/>
          <w:szCs w:val="19"/>
          <w:color w:val="FF0000"/>
          <w:strike w:val="1"/>
        </w:rPr>
        <w:t>or</w:t>
      </w:r>
      <w:r>
        <w:rPr>
          <w:rFonts w:ascii="Arial" w:cs="Arial" w:eastAsia="Arial" w:hAnsi="Arial"/>
          <w:sz w:val="19"/>
          <w:szCs w:val="19"/>
          <w:b w:val="1"/>
          <w:bCs w:val="1"/>
          <w:u w:val="single" w:color="auto"/>
          <w:color w:val="0000FF"/>
          <w:highlight w:val="lightGray"/>
        </w:rPr>
        <w:t>,</w:t>
      </w:r>
      <w:r>
        <w:rPr>
          <w:rFonts w:ascii="Arial" w:cs="Arial" w:eastAsia="Arial" w:hAnsi="Arial"/>
          <w:sz w:val="19"/>
          <w:szCs w:val="19"/>
          <w:color w:val="auto"/>
        </w:rPr>
        <w:t xml:space="preserve"> any Guarantor </w:t>
      </w:r>
      <w:r>
        <w:rPr>
          <w:rFonts w:ascii="Arial" w:cs="Arial" w:eastAsia="Arial" w:hAnsi="Arial"/>
          <w:sz w:val="19"/>
          <w:szCs w:val="19"/>
          <w:b w:val="1"/>
          <w:bCs w:val="1"/>
          <w:u w:val="single" w:color="auto"/>
          <w:color w:val="0000FF"/>
          <w:highlight w:val="lightGray"/>
        </w:rPr>
        <w:t>or any Wholly Owned Subsidiary of the Borrower</w:t>
      </w:r>
      <w:r>
        <w:rPr>
          <w:rFonts w:ascii="Arial" w:cs="Arial" w:eastAsia="Arial" w:hAnsi="Arial"/>
          <w:sz w:val="19"/>
          <w:szCs w:val="19"/>
          <w:color w:val="auto"/>
        </w:rPr>
        <w:t xml:space="preserve">, (ii) limitations on the ability of the REIT or any Subsidiary </w:t>
      </w:r>
      <w:r>
        <w:rPr>
          <w:rFonts w:ascii="Arial" w:cs="Arial" w:eastAsia="Arial" w:hAnsi="Arial"/>
          <w:sz w:val="19"/>
          <w:szCs w:val="19"/>
          <w:b w:val="1"/>
          <w:bCs w:val="1"/>
          <w:u w:val="single" w:color="auto"/>
          <w:color w:val="0000FF"/>
          <w:highlight w:val="lightGray"/>
        </w:rPr>
        <w:t>thereof</w:t>
      </w:r>
      <w:r>
        <w:rPr>
          <w:rFonts w:ascii="Arial" w:cs="Arial" w:eastAsia="Arial" w:hAnsi="Arial"/>
          <w:sz w:val="19"/>
          <w:szCs w:val="19"/>
          <w:color w:val="auto"/>
        </w:rPr>
        <w:t xml:space="preserve"> to create, incur, assume or suffer to exist Liens</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20"/>
          </w:cols>
          <w:pgMar w:left="840" w:top="795" w:right="239" w:bottom="1440" w:gutter="0" w:footer="0" w:header="0"/>
        </w:sectPr>
      </w:pPr>
    </w:p>
    <w:bookmarkStart w:id="259" w:name="page260"/>
    <w:bookmarkEnd w:id="259"/>
    <w:p>
      <w:pPr>
        <w:jc w:val="both"/>
        <w:spacing w:after="0" w:line="256" w:lineRule="auto"/>
        <w:rPr>
          <w:sz w:val="20"/>
          <w:szCs w:val="20"/>
          <w:color w:val="auto"/>
        </w:rPr>
      </w:pPr>
      <w:r>
        <w:rPr>
          <w:rFonts w:ascii="Arial" w:cs="Arial" w:eastAsia="Arial" w:hAnsi="Arial"/>
          <w:sz w:val="20"/>
          <w:szCs w:val="20"/>
          <w:color w:val="auto"/>
        </w:rPr>
        <w:t>on Unencumbered Eligible Properties or the Equity Interests of any Person that owns, or ground leases under an Eligible Ground Lease, an Unencumbered Eligible Property (or the Equity Interest of any Subsidiary of the Borrower that directly or indirectly owns any Equity Interests in such Person) or (iii) any requirement that Pari Passu Obligations be secured on an “equal and ratable basis” to the extent that the Obligations are secured.</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Permitted Subsidiary Guarantor Release</w:t>
      </w:r>
      <w:r>
        <w:rPr>
          <w:rFonts w:ascii="Arial" w:cs="Arial" w:eastAsia="Arial" w:hAnsi="Arial"/>
          <w:sz w:val="20"/>
          <w:szCs w:val="20"/>
          <w:color w:val="FF0000"/>
          <w:strike w:val="1"/>
        </w:rPr>
        <w:t xml:space="preserve">” has the meaning specified in </w:t>
      </w:r>
      <w:r>
        <w:rPr>
          <w:rFonts w:ascii="Arial" w:cs="Arial" w:eastAsia="Arial" w:hAnsi="Arial"/>
          <w:sz w:val="20"/>
          <w:szCs w:val="20"/>
          <w:u w:val="single" w:color="auto"/>
          <w:color w:val="FF0000"/>
          <w:strike w:val="1"/>
        </w:rPr>
        <w:t>Section 10.20</w:t>
      </w:r>
      <w:r>
        <w:rPr>
          <w:rFonts w:ascii="Arial" w:cs="Arial" w:eastAsia="Arial" w:hAnsi="Arial"/>
          <w:sz w:val="20"/>
          <w:szCs w:val="20"/>
          <w:color w:val="FF0000"/>
          <w:strike w:val="1"/>
        </w:rPr>
        <w:t>.</w:t>
      </w:r>
    </w:p>
    <w:p>
      <w:pPr>
        <w:spacing w:after="0" w:line="245"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Unencumbered Property Liens</w:t>
      </w:r>
      <w:r>
        <w:rPr>
          <w:rFonts w:ascii="Arial" w:cs="Arial" w:eastAsia="Arial" w:hAnsi="Arial"/>
          <w:sz w:val="20"/>
          <w:szCs w:val="20"/>
          <w:color w:val="auto"/>
        </w:rPr>
        <w:t xml:space="preserve">” means Liens permitted under </w:t>
      </w:r>
      <w:r>
        <w:rPr>
          <w:rFonts w:ascii="Arial" w:cs="Arial" w:eastAsia="Arial" w:hAnsi="Arial"/>
          <w:sz w:val="20"/>
          <w:szCs w:val="20"/>
          <w:u w:val="single" w:color="auto"/>
          <w:color w:val="auto"/>
        </w:rPr>
        <w:t>Section 7.01(a)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w:t>
      </w:r>
      <w:r>
        <w:rPr>
          <w:rFonts w:ascii="Arial" w:cs="Arial" w:eastAsia="Arial" w:hAnsi="Arial"/>
          <w:sz w:val="20"/>
          <w:szCs w:val="20"/>
          <w:u w:val="single" w:color="auto"/>
          <w:color w:val="auto"/>
        </w:rPr>
        <w:t>(f)</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(h)</w:t>
      </w:r>
      <w:r>
        <w:rPr>
          <w:rFonts w:ascii="Arial" w:cs="Arial" w:eastAsia="Arial" w:hAnsi="Arial"/>
          <w:sz w:val="20"/>
          <w:szCs w:val="20"/>
          <w:color w:val="auto"/>
        </w:rPr>
        <w:t>, Permitted Judgment Liens and Permitted Pari Passu Encumbrances.</w:t>
      </w:r>
    </w:p>
    <w:p>
      <w:pPr>
        <w:spacing w:after="0" w:line="191"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91" w:lineRule="exact"/>
        <w:rPr>
          <w:sz w:val="20"/>
          <w:szCs w:val="20"/>
          <w:color w:val="auto"/>
        </w:rPr>
      </w:pPr>
    </w:p>
    <w:p>
      <w:pPr>
        <w:jc w:val="both"/>
        <w:ind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4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Portfolio Property</w:t>
      </w:r>
      <w:r>
        <w:rPr>
          <w:rFonts w:ascii="Arial" w:cs="Arial" w:eastAsia="Arial" w:hAnsi="Arial"/>
          <w:sz w:val="20"/>
          <w:szCs w:val="20"/>
          <w:color w:val="auto"/>
        </w:rPr>
        <w:t>” means any real property owned or ground leased by a Subsidiary of the Borrower.</w:t>
      </w:r>
    </w:p>
    <w:p>
      <w:pPr>
        <w:spacing w:after="0" w:line="245" w:lineRule="exact"/>
        <w:rPr>
          <w:sz w:val="20"/>
          <w:szCs w:val="20"/>
          <w:color w:val="auto"/>
        </w:rPr>
      </w:pPr>
    </w:p>
    <w:p>
      <w:pPr>
        <w:jc w:val="both"/>
        <w:ind w:firstLine="600"/>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Property Net Operating Income</w:t>
      </w:r>
      <w:r>
        <w:rPr>
          <w:rFonts w:ascii="Arial" w:cs="Arial" w:eastAsia="Arial" w:hAnsi="Arial"/>
          <w:sz w:val="18"/>
          <w:szCs w:val="18"/>
          <w:color w:val="auto"/>
        </w:rPr>
        <w:t xml:space="preserve">” means, with respect to any Portfolio Property for any fiscal quarter of the REIT, an amount equal to (i) the aggregate gross revenues from the operation of such Portfolio Property from tenants in occupancy and paying rent during such fiscal quarter (or, in the case of a Hotel Property, from the operation of such Portfolio Property during such fiscal quarter), minus (ii) all expenses and other proper charges incurred during such fiscal quarter in connection with the operation of such Portfolio Property (including accruals for real estate taxes and insurance, but excluding any management fees, debt service charges, income taxes, depreciation, amortization and other non-cash expenses (including, without limitation, non-cash write-offs (including with respect to straight line rents) and mark-to-market adjustments)), which expenses and accruals shall be calculated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 the case of a Hotel Property that has been owned, or ground leased under an Eligible Ground Lease, by one or more Subsidiaries of the Borrower for at least four consecutive full fiscal quarters for which financial statements have been provided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the Portfolio Property Net Operating Income of such Hotel Property shall be, for any fiscal quarter of the REIT, the average quarterly Portfolio Property Net Operating Income for the four consecutive full fiscal quarter period ending on the last day of such fiscal quarter of the REIT (with the Portfolio Property Net Operating Income for each fiscal quarter included in such four fiscal quarter period being determined in accordance with this definition without giving effect to this proviso) and (ii) in the case of a Hotel Property that has not been owned, or ground leased under an Eligible Ground Lease, by one or more Subsidiaries of the Borrower for at least four consecutive full fiscal quarters for which financial statements have been provided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the Portfolio Property Net Operating Income of such Hotel Property shall be, for any fiscal quarter of the REIT, the average quarterly Portfolio Property Net Operating Income for the period consisting of all of the full fiscal quarters commencing after the date such Hotel Property was acquired (or after an Eligible Ground Lease is entered into with respect to such Hotel Property, if applicable) by a</w:t>
      </w:r>
    </w:p>
    <w:p>
      <w:pPr>
        <w:spacing w:after="0" w:line="16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20"/>
          </w:cols>
          <w:pgMar w:left="840" w:top="795" w:right="239" w:bottom="1440" w:gutter="0" w:footer="0" w:header="0"/>
        </w:sectPr>
      </w:pPr>
    </w:p>
    <w:bookmarkStart w:id="260" w:name="page261"/>
    <w:bookmarkEnd w:id="260"/>
    <w:p>
      <w:pPr>
        <w:jc w:val="both"/>
        <w:spacing w:after="0" w:line="263" w:lineRule="auto"/>
        <w:rPr>
          <w:sz w:val="20"/>
          <w:szCs w:val="20"/>
          <w:color w:val="auto"/>
        </w:rPr>
      </w:pPr>
      <w:r>
        <w:rPr>
          <w:rFonts w:ascii="Arial" w:cs="Arial" w:eastAsia="Arial" w:hAnsi="Arial"/>
          <w:sz w:val="19"/>
          <w:szCs w:val="19"/>
          <w:color w:val="auto"/>
        </w:rPr>
        <w:t xml:space="preserve">Subsidiary of the Borrower for which financial statements have been provided to the Administrative Agent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(with the Portfolio Property Net Operating Income for each fiscal quarter included in such period being determined in accordance with this definition without giving effect to this proviso). For purposes of this definition, in the case of any Portfolio Property that is owned, or ground leased pursuant to an Eligible Ground Lease, by one or more Subsidiaries of the Borrower for at least one full fiscal month of the REIT but less than one full fiscal quarter for which financial statements have been provided to the Administrative Agent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the Portfolio Property Net Operating Income of such Portfolio Property shall equal (x) if such Portfolio Property is owned, or ground leased pursuant to an Eligible Ground Lease, for less than two full fiscal months of the REIT, the Portfolio Property Net Operating Income of such Portfolio Property calculated with respect to the then most recently ended fiscal month of the REIT (instead of on the basis of a fiscal quarter as otherwise contemplated herein), multiplied by 3 and (y) if such Portfolio Property is owned, or ground leased pursuant to an Eligible Ground Lease, for at least two full fiscal months of the REIT, the Portfolio Property Net Operating Income of such Portfolio Property calculated with respect to the then most recently ended two fiscal month period of the REIT (instead of on the basis of a fiscal quarter as otherwise contemplated herein), multiplied by 3/2. For the avoidance of doubt, for purposes of this definition, the Portfolio Property Net Operating Income of any Portfolio Property that is owned, or ground leased pursuant to an Eligible Ground Lease, by one or more Subsidiaries of the Borrower for less than one full fiscal month of the REIT shall be $0.</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Prepayment Premium</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2.05(b)</w:t>
      </w:r>
      <w:r>
        <w:rPr>
          <w:rFonts w:ascii="Arial" w:cs="Arial" w:eastAsia="Arial" w:hAnsi="Arial"/>
          <w:sz w:val="20"/>
          <w:szCs w:val="20"/>
          <w:color w:val="auto"/>
        </w:rPr>
        <w:t>.</w:t>
      </w:r>
    </w:p>
    <w:p>
      <w:pPr>
        <w:spacing w:after="0" w:line="245" w:lineRule="exact"/>
        <w:rPr>
          <w:sz w:val="20"/>
          <w:szCs w:val="20"/>
          <w:color w:val="auto"/>
        </w:rPr>
      </w:pPr>
    </w:p>
    <w:p>
      <w:pPr>
        <w:jc w:val="both"/>
        <w:ind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Pricing Grid</w:t>
      </w:r>
      <w:r>
        <w:rPr>
          <w:rFonts w:ascii="Arial" w:cs="Arial" w:eastAsia="Arial" w:hAnsi="Arial"/>
          <w:sz w:val="20"/>
          <w:szCs w:val="20"/>
          <w:color w:val="auto"/>
        </w:rPr>
        <w:t>” means (i) prior to the Investment Grade Pricing Effective Date, the pricing grid set forth in the definition of “Leverage-Based Applicable Rate” and (ii) on and after the Investment Grade Pricing Effective Date, the pricing grid set forth in the definition of “Ratings-Based Applicable Rate.”</w:t>
      </w:r>
    </w:p>
    <w:p>
      <w:pPr>
        <w:spacing w:after="0" w:line="202" w:lineRule="exact"/>
        <w:rPr>
          <w:sz w:val="20"/>
          <w:szCs w:val="20"/>
          <w:color w:val="auto"/>
        </w:rPr>
      </w:pPr>
    </w:p>
    <w:p>
      <w:pPr>
        <w:jc w:val="both"/>
        <w:ind w:firstLine="600"/>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Prime Rate</w:t>
      </w:r>
      <w:r>
        <w:rPr>
          <w:rFonts w:ascii="Arial" w:cs="Arial" w:eastAsia="Arial" w:hAnsi="Arial"/>
          <w:sz w:val="19"/>
          <w:szCs w:val="19"/>
          <w:color w:val="auto"/>
        </w:rPr>
        <w:t>” means a rate per annum equal to the prime rate of interest announced from time to time by U.S. Bank or its parent (which is not necessarily the lowest rate charged to any customer), changing when and as said prime rate changes.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Forma Closing Date Compliance Certificate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4.01(a)(xi)</w:t>
      </w:r>
      <w:r>
        <w:rPr>
          <w:rFonts w:ascii="Arial" w:cs="Arial" w:eastAsia="Arial" w:hAnsi="Arial"/>
          <w:sz w:val="20"/>
          <w:szCs w:val="20"/>
          <w:color w:val="auto"/>
        </w:rPr>
        <w:t>.</w:t>
      </w:r>
    </w:p>
    <w:p>
      <w:pPr>
        <w:spacing w:after="0" w:line="239" w:lineRule="exact"/>
        <w:rPr>
          <w:sz w:val="20"/>
          <w:szCs w:val="20"/>
          <w:color w:val="auto"/>
        </w:rPr>
      </w:pPr>
    </w:p>
    <w:p>
      <w:pPr>
        <w:jc w:val="both"/>
        <w:ind w:firstLine="600"/>
        <w:spacing w:after="0" w:line="279" w:lineRule="auto"/>
        <w:rPr>
          <w:sz w:val="20"/>
          <w:szCs w:val="20"/>
          <w:color w:val="auto"/>
        </w:rPr>
      </w:pPr>
      <w:r>
        <w:rPr>
          <w:rFonts w:ascii="Arial" w:cs="Arial" w:eastAsia="Arial" w:hAnsi="Arial"/>
          <w:sz w:val="20"/>
          <w:szCs w:val="20"/>
          <w:b w:val="1"/>
          <w:bCs w:val="1"/>
          <w:u w:val="single" w:color="auto"/>
          <w:color w:val="0000FF"/>
          <w:highlight w:val="lightGray"/>
        </w:rPr>
        <w:t>“PTE” means a prohibited transaction class exemption issued by the U.S. Department of Labor, as any such exemption may be amended from time to time.</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45" w:lineRule="exact"/>
        <w:rPr>
          <w:sz w:val="20"/>
          <w:szCs w:val="20"/>
          <w:color w:val="auto"/>
        </w:rPr>
      </w:pPr>
    </w:p>
    <w:p>
      <w:pPr>
        <w:jc w:val="both"/>
        <w:ind w:firstLine="600"/>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Development Property</w:t>
      </w:r>
      <w:r>
        <w:rPr>
          <w:rFonts w:ascii="Arial" w:cs="Arial" w:eastAsia="Arial" w:hAnsi="Arial"/>
          <w:sz w:val="19"/>
          <w:szCs w:val="19"/>
          <w:color w:val="auto"/>
        </w:rPr>
        <w:t xml:space="preserve">” means, as of any date of determination, all or any portion of a Portfolio Property which, on such date, is the subject of ground-up development;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Portfolio Property (or portion thereof) will only constitute a Qualified Development Property (i) if all requisite zoning requirements and land use requirements have been satisfied, and all permits and approvals have been obtained for all grading, offsite and infrastructure work necessary to improve the applicable Portfolio Property (or portion thereof) as intended have been obtained, (ii) if physical site improvement thereto has commenced and is continuing, and (iii) until the date on which all applicable improvements thereto receive a final certificate of occupancy or equivalent certification allowing legal occupancy thereof for its intended purpose.</w:t>
      </w:r>
    </w:p>
    <w:p>
      <w:pPr>
        <w:spacing w:after="0" w:line="200" w:lineRule="exact"/>
        <w:rPr>
          <w:sz w:val="20"/>
          <w:szCs w:val="20"/>
          <w:color w:val="auto"/>
        </w:rPr>
      </w:pPr>
    </w:p>
    <w:p>
      <w:pPr>
        <w:spacing w:after="0" w:line="21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20"/>
          </w:cols>
          <w:pgMar w:left="840" w:top="795" w:right="239" w:bottom="1440" w:gutter="0" w:footer="0" w:header="0"/>
        </w:sectPr>
      </w:pPr>
    </w:p>
    <w:bookmarkStart w:id="261" w:name="page262"/>
    <w:bookmarkEnd w:id="261"/>
    <w:p>
      <w:pPr>
        <w:jc w:val="both"/>
        <w:ind w:left="1" w:firstLine="6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Rady Affiliates</w:t>
      </w:r>
      <w:r>
        <w:rPr>
          <w:rFonts w:ascii="Arial" w:cs="Arial" w:eastAsia="Arial" w:hAnsi="Arial"/>
          <w:sz w:val="20"/>
          <w:szCs w:val="20"/>
          <w:color w:val="auto"/>
        </w:rPr>
        <w:t>” shall mean (i) all lineal descendants of Ernest S. Rady and all spouses and adopted children of Ernest S. Rady and such descendants; (ii) all trusts for the benefit of any person described in clause (i) and trustees of such trusts; (iii) all legal representatives of any person or trust described in clause (i) or (ii); and (iv) all partnerships, corporations, limited liability companies or other entities Controlling, Controlled by or under common Control with Ernest S. Rady or any person, trust or other entity described in clauses (i), (ii) or (iii).</w:t>
      </w:r>
    </w:p>
    <w:p>
      <w:pPr>
        <w:spacing w:after="0" w:line="212" w:lineRule="exact"/>
        <w:rPr>
          <w:sz w:val="20"/>
          <w:szCs w:val="20"/>
          <w:color w:val="auto"/>
        </w:rPr>
      </w:pPr>
    </w:p>
    <w:p>
      <w:pPr>
        <w:ind w:left="60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Rating Agency</w:t>
      </w:r>
      <w:r>
        <w:rPr>
          <w:rFonts w:ascii="Arial" w:cs="Arial" w:eastAsia="Arial" w:hAnsi="Arial"/>
          <w:sz w:val="20"/>
          <w:szCs w:val="20"/>
          <w:color w:val="auto"/>
        </w:rPr>
        <w:t>” means any of S&amp;P, Moody’s or Fitch.</w:t>
      </w:r>
    </w:p>
    <w:p>
      <w:pPr>
        <w:spacing w:after="0" w:line="245" w:lineRule="exact"/>
        <w:rPr>
          <w:sz w:val="20"/>
          <w:szCs w:val="20"/>
          <w:color w:val="auto"/>
        </w:rPr>
      </w:pPr>
    </w:p>
    <w:p>
      <w:pPr>
        <w:jc w:val="both"/>
        <w:ind w:left="1"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Ratings-Based Applicable Rate</w:t>
      </w:r>
      <w:r>
        <w:rPr>
          <w:rFonts w:ascii="Arial" w:cs="Arial" w:eastAsia="Arial" w:hAnsi="Arial"/>
          <w:sz w:val="20"/>
          <w:szCs w:val="20"/>
          <w:color w:val="auto"/>
        </w:rPr>
        <w:t>” means the applicable percentages per annum determined, at any time, based on the range into which the Debt Ratings then fall, in accordance with the following table:</w:t>
      </w:r>
    </w:p>
    <w:p>
      <w:pPr>
        <w:spacing w:after="0" w:line="302" w:lineRule="exact"/>
        <w:rPr>
          <w:sz w:val="20"/>
          <w:szCs w:val="20"/>
          <w:color w:val="auto"/>
        </w:rPr>
      </w:pPr>
    </w:p>
    <w:tbl>
      <w:tblPr>
        <w:tblLayout w:type="fixed"/>
        <w:tblInd w:w="631" w:type="dxa"/>
        <w:tblCellMar>
          <w:top w:w="0" w:type="dxa"/>
          <w:left w:w="0" w:type="dxa"/>
          <w:bottom w:w="0" w:type="dxa"/>
          <w:right w:w="0" w:type="dxa"/>
        </w:tblCellMar>
      </w:tblPr>
      <w:tr>
        <w:trPr>
          <w:trHeight w:val="280"/>
        </w:trPr>
        <w:tc>
          <w:tcPr>
            <w:tcW w:w="21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Pricing Level</w:t>
            </w:r>
          </w:p>
        </w:tc>
        <w:tc>
          <w:tcPr>
            <w:tcW w:w="36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w w:val="98"/>
              </w:rPr>
              <w:t>Debt Ratings (S&amp;P and Fitch/Moody’s)</w:t>
            </w:r>
          </w:p>
        </w:tc>
        <w:tc>
          <w:tcPr>
            <w:tcW w:w="22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Eurodollar Rate Loans</w:t>
            </w:r>
          </w:p>
        </w:tc>
        <w:tc>
          <w:tcPr>
            <w:tcW w:w="16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w w:val="96"/>
              </w:rPr>
              <w:t>Base Rate Loans</w:t>
            </w:r>
          </w:p>
        </w:tc>
      </w:tr>
      <w:tr>
        <w:trPr>
          <w:trHeight w:val="267"/>
        </w:trPr>
        <w:tc>
          <w:tcPr>
            <w:tcW w:w="2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w:t>
            </w: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 A- / A3</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1.50 %</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0.50 %</w:t>
            </w:r>
          </w:p>
        </w:tc>
      </w:tr>
      <w:tr>
        <w:trPr>
          <w:trHeight w:val="267"/>
        </w:trPr>
        <w:tc>
          <w:tcPr>
            <w:tcW w:w="2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II</w:t>
            </w: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BBB+ / Baa1</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1.55 %</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0.55 %</w:t>
            </w:r>
          </w:p>
        </w:tc>
      </w:tr>
      <w:tr>
        <w:trPr>
          <w:trHeight w:val="267"/>
        </w:trPr>
        <w:tc>
          <w:tcPr>
            <w:tcW w:w="2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III</w:t>
            </w: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BBB / Baa2</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1.65 %</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0.65 %</w:t>
            </w:r>
          </w:p>
        </w:tc>
      </w:tr>
      <w:tr>
        <w:trPr>
          <w:trHeight w:val="267"/>
        </w:trPr>
        <w:tc>
          <w:tcPr>
            <w:tcW w:w="2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IV</w:t>
            </w: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BBB- / Baa3</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1.90 %</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0.90 %</w:t>
            </w:r>
          </w:p>
        </w:tc>
      </w:tr>
      <w:tr>
        <w:trPr>
          <w:trHeight w:val="267"/>
        </w:trPr>
        <w:tc>
          <w:tcPr>
            <w:tcW w:w="2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w:t>
            </w: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&lt;BBB-/Baa3</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2.45%</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1.45%</w:t>
            </w:r>
          </w:p>
        </w:tc>
      </w:tr>
    </w:tbl>
    <w:p>
      <w:pPr>
        <w:spacing w:after="0" w:line="231" w:lineRule="exact"/>
        <w:rPr>
          <w:sz w:val="20"/>
          <w:szCs w:val="20"/>
          <w:color w:val="auto"/>
        </w:rPr>
      </w:pPr>
    </w:p>
    <w:p>
      <w:pPr>
        <w:jc w:val="both"/>
        <w:ind w:left="1" w:firstLine="600"/>
        <w:spacing w:after="0" w:line="278" w:lineRule="auto"/>
        <w:rPr>
          <w:sz w:val="20"/>
          <w:szCs w:val="20"/>
          <w:color w:val="auto"/>
        </w:rPr>
      </w:pPr>
      <w:r>
        <w:rPr>
          <w:rFonts w:ascii="Arial" w:cs="Arial" w:eastAsia="Arial" w:hAnsi="Arial"/>
          <w:sz w:val="18"/>
          <w:szCs w:val="18"/>
          <w:color w:val="auto"/>
        </w:rPr>
        <w:t>If at any time the Borrower has only a Debt Rating either from S&amp;P or Moody’s, then the Ratings-Based Applicable Rate shall be the rate per annum that would be applicable in the above Pricing Grid to such Debt Rating. If at any time the Borrower has at least two (2) Debt Ratings, and such Debt Ratings are split, then: (A) if the difference between the highest of such Debt Ratings and the lowest of such Debt Ratings is one ratings category (e.g. Baa2 by Moody’s and BBB- by S&amp;P or Fitch), the Ratings-Based Applicable Rate shall be the rate per annum that would be applicable in the above Pricing Grid if the highest of the Debt Ratings were used; and</w:t>
      </w:r>
    </w:p>
    <w:p>
      <w:pPr>
        <w:spacing w:after="0" w:line="4" w:lineRule="exact"/>
        <w:rPr>
          <w:sz w:val="20"/>
          <w:szCs w:val="20"/>
          <w:color w:val="auto"/>
        </w:rPr>
      </w:pPr>
    </w:p>
    <w:p>
      <w:pPr>
        <w:jc w:val="both"/>
        <w:ind w:left="1" w:hanging="1"/>
        <w:spacing w:after="0" w:line="266" w:lineRule="auto"/>
        <w:tabs>
          <w:tab w:leader="none" w:pos="320" w:val="left"/>
        </w:tabs>
        <w:numPr>
          <w:ilvl w:val="0"/>
          <w:numId w:val="278"/>
        </w:numPr>
        <w:rPr>
          <w:rFonts w:ascii="Arial" w:cs="Arial" w:eastAsia="Arial" w:hAnsi="Arial"/>
          <w:sz w:val="19"/>
          <w:szCs w:val="19"/>
          <w:color w:val="auto"/>
        </w:rPr>
      </w:pPr>
      <w:r>
        <w:rPr>
          <w:rFonts w:ascii="Arial" w:cs="Arial" w:eastAsia="Arial" w:hAnsi="Arial"/>
          <w:sz w:val="19"/>
          <w:szCs w:val="19"/>
          <w:color w:val="auto"/>
        </w:rPr>
        <w:t>if the difference between the highest of such Debt Ratings and the lowest of such Debt Ratings is two ratings categories (e.g. Baa1 by Moody’s and BBB- by S&amp;P) or more, the Ratings-Based Applicable Rate shall be the rate per annum that would be applicable in the above Pricing Grid if the rating that is one lower than the highest of the applicable Debt Ratings were used. If at any time the Borrower has no Debt Rating or has only a Debt Rating from Fitch, then the Ratings-Based Applicable Rate shall be the rate per annum that would be applicable to Pricing Level V in the above Pricing Grid.</w:t>
      </w:r>
    </w:p>
    <w:p>
      <w:pPr>
        <w:spacing w:after="0" w:line="197" w:lineRule="exact"/>
        <w:rPr>
          <w:sz w:val="20"/>
          <w:szCs w:val="20"/>
          <w:color w:val="auto"/>
        </w:rPr>
      </w:pPr>
    </w:p>
    <w:p>
      <w:pPr>
        <w:jc w:val="both"/>
        <w:ind w:left="1" w:firstLine="600"/>
        <w:spacing w:after="0" w:line="251" w:lineRule="auto"/>
        <w:rPr>
          <w:sz w:val="20"/>
          <w:szCs w:val="20"/>
          <w:color w:val="auto"/>
        </w:rPr>
      </w:pPr>
      <w:r>
        <w:rPr>
          <w:rFonts w:ascii="Arial" w:cs="Arial" w:eastAsia="Arial" w:hAnsi="Arial"/>
          <w:sz w:val="20"/>
          <w:szCs w:val="20"/>
          <w:color w:val="auto"/>
        </w:rPr>
        <w:t xml:space="preserve">Initially, the Ratings-Based Applicable Rate shall be determined based upon the Debt Ratings specified in the certificate delivered pursuant to clause (ii) of the definition of “Investment Grade Pricing Effective Date.” Thereafter, each change in the Ratings-Based Applicable Rate resulting from a publicly announced change in a Debt Rating shall be effective, in the case of an upgrade, during the period commencing on the date of delivery by the REIT to the Administrative Agent of notice thereof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6.03(e)</w:t>
      </w:r>
      <w:r>
        <w:rPr>
          <w:rFonts w:ascii="Arial" w:cs="Arial" w:eastAsia="Arial" w:hAnsi="Arial"/>
          <w:sz w:val="20"/>
          <w:szCs w:val="20"/>
          <w:color w:val="auto"/>
        </w:rPr>
        <w:t xml:space="preserve">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w:t>
      </w:r>
    </w:p>
    <w:p>
      <w:pPr>
        <w:spacing w:after="0" w:line="215" w:lineRule="exact"/>
        <w:rPr>
          <w:sz w:val="20"/>
          <w:szCs w:val="20"/>
          <w:color w:val="auto"/>
        </w:rPr>
      </w:pPr>
    </w:p>
    <w:p>
      <w:pPr>
        <w:jc w:val="both"/>
        <w:ind w:left="1"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Real Estate Investment Trust</w:t>
      </w:r>
      <w:r>
        <w:rPr>
          <w:rFonts w:ascii="Arial" w:cs="Arial" w:eastAsia="Arial" w:hAnsi="Arial"/>
          <w:sz w:val="20"/>
          <w:szCs w:val="20"/>
          <w:color w:val="auto"/>
        </w:rPr>
        <w:t>” means any Person that qualifies as a real estate investment trust under Sections 856 through 860 of the Code.</w:t>
      </w:r>
    </w:p>
    <w:p>
      <w:pPr>
        <w:spacing w:after="0" w:line="168" w:lineRule="exact"/>
        <w:rPr>
          <w:sz w:val="20"/>
          <w:szCs w:val="20"/>
          <w:color w:val="auto"/>
        </w:rPr>
      </w:pPr>
    </w:p>
    <w:p>
      <w:pPr>
        <w:ind w:left="4961"/>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821"/>
          </w:cols>
          <w:pgMar w:left="839" w:top="795" w:right="239" w:bottom="1440" w:gutter="0" w:footer="0" w:header="0"/>
        </w:sectPr>
      </w:pPr>
    </w:p>
    <w:bookmarkStart w:id="262" w:name="page263"/>
    <w:bookmarkEnd w:id="262"/>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the Administrative Agent, any Lender or any other recipient of any payment to be made by or on account of any obligation of any Loan Party hereunder.</w:t>
      </w:r>
    </w:p>
    <w:p>
      <w:pPr>
        <w:spacing w:after="0" w:line="185" w:lineRule="exact"/>
        <w:rPr>
          <w:sz w:val="20"/>
          <w:szCs w:val="20"/>
          <w:color w:val="auto"/>
        </w:rPr>
      </w:pPr>
    </w:p>
    <w:p>
      <w:pPr>
        <w:jc w:val="both"/>
        <w:ind w:firstLine="600"/>
        <w:spacing w:after="0" w:line="27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Recourse Indebtedness</w:t>
      </w:r>
      <w:r>
        <w:rPr>
          <w:rFonts w:ascii="Arial" w:cs="Arial" w:eastAsia="Arial" w:hAnsi="Arial"/>
          <w:sz w:val="20"/>
          <w:szCs w:val="20"/>
          <w:color w:val="auto"/>
        </w:rPr>
        <w:t xml:space="preserve">” means, with respect to any Person, Indebtedness </w:t>
      </w:r>
      <w:r>
        <w:rPr>
          <w:rFonts w:ascii="Arial" w:cs="Arial" w:eastAsia="Arial" w:hAnsi="Arial"/>
          <w:sz w:val="20"/>
          <w:szCs w:val="20"/>
          <w:color w:val="FF0000"/>
          <w:strike w:val="1"/>
        </w:rPr>
        <w:t>of</w:t>
      </w:r>
      <w:r>
        <w:rPr>
          <w:rFonts w:ascii="Arial" w:cs="Arial" w:eastAsia="Arial" w:hAnsi="Arial"/>
          <w:sz w:val="20"/>
          <w:szCs w:val="20"/>
          <w:b w:val="1"/>
          <w:bCs w:val="1"/>
          <w:u w:val="single" w:color="auto"/>
          <w:color w:val="0000FF"/>
          <w:highlight w:val="lightGray"/>
        </w:rPr>
        <w:t>owed b</w:t>
      </w:r>
      <w:r>
        <w:rPr>
          <w:rFonts w:ascii="Arial" w:cs="Arial" w:eastAsia="Arial" w:hAnsi="Arial"/>
          <w:sz w:val="20"/>
          <w:szCs w:val="20"/>
          <w:b w:val="1"/>
          <w:bCs w:val="1"/>
          <w:u w:val="single" w:color="auto"/>
          <w:color w:val="0000FF"/>
        </w:rPr>
        <w:t>y</w:t>
      </w:r>
      <w:r>
        <w:rPr>
          <w:rFonts w:ascii="Arial" w:cs="Arial" w:eastAsia="Arial" w:hAnsi="Arial"/>
          <w:sz w:val="20"/>
          <w:szCs w:val="20"/>
          <w:color w:val="auto"/>
        </w:rPr>
        <w:t xml:space="preserve"> such Person other than </w:t>
      </w:r>
      <w:r>
        <w:rPr>
          <w:rFonts w:ascii="Arial" w:cs="Arial" w:eastAsia="Arial" w:hAnsi="Arial"/>
          <w:sz w:val="20"/>
          <w:szCs w:val="20"/>
          <w:b w:val="1"/>
          <w:bCs w:val="1"/>
          <w:u w:val="single" w:color="auto"/>
          <w:color w:val="0000FF"/>
          <w:highlight w:val="lightGray"/>
        </w:rPr>
        <w:t>(a)</w:t>
      </w:r>
      <w:r>
        <w:rPr>
          <w:rFonts w:ascii="Arial" w:cs="Arial" w:eastAsia="Arial" w:hAnsi="Arial"/>
          <w:sz w:val="20"/>
          <w:szCs w:val="20"/>
          <w:color w:val="auto"/>
        </w:rPr>
        <w:t xml:space="preserve"> Nonrecourse Indebtedness </w:t>
      </w:r>
      <w:r>
        <w:rPr>
          <w:rFonts w:ascii="Arial" w:cs="Arial" w:eastAsia="Arial" w:hAnsi="Arial"/>
          <w:sz w:val="20"/>
          <w:szCs w:val="20"/>
          <w:color w:val="FF0000"/>
          <w:strike w:val="1"/>
        </w:rPr>
        <w:t>of</w:t>
      </w:r>
      <w:r>
        <w:rPr>
          <w:rFonts w:ascii="Arial" w:cs="Arial" w:eastAsia="Arial" w:hAnsi="Arial"/>
          <w:sz w:val="20"/>
          <w:szCs w:val="20"/>
          <w:b w:val="1"/>
          <w:bCs w:val="1"/>
          <w:u w:val="single" w:color="auto"/>
          <w:color w:val="0000FF"/>
          <w:highlight w:val="lightGray"/>
        </w:rPr>
        <w:t>owed by</w:t>
      </w:r>
      <w:r>
        <w:rPr>
          <w:rFonts w:ascii="Arial" w:cs="Arial" w:eastAsia="Arial" w:hAnsi="Arial"/>
          <w:sz w:val="20"/>
          <w:szCs w:val="20"/>
          <w:color w:val="auto"/>
        </w:rPr>
        <w:t xml:space="preserve"> such Person and </w:t>
      </w:r>
      <w:r>
        <w:rPr>
          <w:rFonts w:ascii="Arial" w:cs="Arial" w:eastAsia="Arial" w:hAnsi="Arial"/>
          <w:sz w:val="20"/>
          <w:szCs w:val="20"/>
          <w:b w:val="1"/>
          <w:bCs w:val="1"/>
          <w:u w:val="single" w:color="auto"/>
          <w:color w:val="0000FF"/>
          <w:highlight w:val="lightGray"/>
        </w:rPr>
        <w:t>(b)</w:t>
      </w:r>
      <w:r>
        <w:rPr>
          <w:rFonts w:ascii="Arial" w:cs="Arial" w:eastAsia="Arial" w:hAnsi="Arial"/>
          <w:sz w:val="20"/>
          <w:szCs w:val="20"/>
          <w:color w:val="auto"/>
        </w:rPr>
        <w:t xml:space="preserve"> Indebtedness under the Loan Documents.</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10.06(c)</w:t>
      </w:r>
      <w:r>
        <w:rPr>
          <w:rFonts w:ascii="Arial" w:cs="Arial" w:eastAsia="Arial" w:hAnsi="Arial"/>
          <w:sz w:val="20"/>
          <w:szCs w:val="20"/>
          <w:color w:val="auto"/>
        </w:rPr>
        <w:t>.</w:t>
      </w:r>
    </w:p>
    <w:p>
      <w:pPr>
        <w:spacing w:after="0" w:line="24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Indemnified Person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10.04(b)</w:t>
      </w:r>
      <w:r>
        <w:rPr>
          <w:rFonts w:ascii="Arial" w:cs="Arial" w:eastAsia="Arial" w:hAnsi="Arial"/>
          <w:sz w:val="20"/>
          <w:szCs w:val="20"/>
          <w:color w:val="auto"/>
        </w:rPr>
        <w:t>.</w:t>
      </w:r>
    </w:p>
    <w:p>
      <w:pPr>
        <w:spacing w:after="0" w:line="245"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Person, such Person’s Affiliates and the partners, directors, officers, employees, agents, trustees and advisors of such Person and of such Person’s Affiliates.</w:t>
      </w:r>
    </w:p>
    <w:p>
      <w:pPr>
        <w:spacing w:after="0" w:line="191"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Release</w:t>
      </w:r>
      <w:r>
        <w:rPr>
          <w:rFonts w:ascii="Arial" w:cs="Arial" w:eastAsia="Arial" w:hAnsi="Arial"/>
          <w:sz w:val="20"/>
          <w:szCs w:val="20"/>
          <w:color w:val="auto"/>
        </w:rPr>
        <w:t>” means any release, spill, emission, discharge, deposit, disposal, leaking, pumping, pouring, dumping, emptying, injection or leaching into the Environment, or into, from or through any building, structure or facility.</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Removal Effective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9.06(b)</w:t>
      </w:r>
      <w:r>
        <w:rPr>
          <w:rFonts w:ascii="Arial" w:cs="Arial" w:eastAsia="Arial" w:hAnsi="Arial"/>
          <w:sz w:val="20"/>
          <w:szCs w:val="20"/>
          <w:color w:val="auto"/>
        </w:rPr>
        <w:t>.</w:t>
      </w:r>
    </w:p>
    <w:p>
      <w:pPr>
        <w:spacing w:after="0" w:line="245"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means any of the events set forth in Section 4043(c) of ERISA, other than events for which the 30 day notice period has been waived.</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with respect to a Borrowing, conversion or continuation of Term Loans, a Loan Notice.</w:t>
      </w:r>
    </w:p>
    <w:p>
      <w:pPr>
        <w:spacing w:after="0" w:line="268" w:lineRule="exact"/>
        <w:rPr>
          <w:sz w:val="20"/>
          <w:szCs w:val="20"/>
          <w:color w:val="auto"/>
        </w:rPr>
      </w:pPr>
    </w:p>
    <w:p>
      <w:pPr>
        <w:jc w:val="both"/>
        <w:ind w:firstLine="600"/>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as of any date of determination, Lenders holding more than 50% of the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portion of the Facility held by any Defaulting Lender shall be excluded for purposes of making a determination of Required Lenders.</w:t>
      </w:r>
    </w:p>
    <w:p>
      <w:pPr>
        <w:spacing w:after="0" w:line="144" w:lineRule="exact"/>
        <w:rPr>
          <w:sz w:val="20"/>
          <w:szCs w:val="20"/>
          <w:color w:val="auto"/>
        </w:rPr>
      </w:pPr>
    </w:p>
    <w:p>
      <w:pPr>
        <w:jc w:val="both"/>
        <w:ind w:firstLine="60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xml:space="preserve">” means the chief executive officer, president, chief financial officer, treasurer, assistant treasurer or controller of a Loan Party </w:t>
      </w:r>
      <w:r>
        <w:rPr>
          <w:rFonts w:ascii="Arial" w:cs="Arial" w:eastAsia="Arial" w:hAnsi="Arial"/>
          <w:sz w:val="18"/>
          <w:szCs w:val="18"/>
          <w:color w:val="FF0000"/>
          <w:strike w:val="1"/>
        </w:rPr>
        <w:t>and</w:t>
      </w:r>
      <w:r>
        <w:rPr>
          <w:rFonts w:ascii="Arial" w:cs="Arial" w:eastAsia="Arial" w:hAnsi="Arial"/>
          <w:sz w:val="18"/>
          <w:szCs w:val="18"/>
          <w:b w:val="1"/>
          <w:bCs w:val="1"/>
          <w:u w:val="single" w:color="auto"/>
          <w:color w:val="0000FF"/>
          <w:highlight w:val="lightGray"/>
        </w:rPr>
        <w:t>or any entity authorized to act on behalf of such Loan Party,</w:t>
      </w:r>
      <w:r>
        <w:rPr>
          <w:rFonts w:ascii="Arial" w:cs="Arial" w:eastAsia="Arial" w:hAnsi="Arial"/>
          <w:sz w:val="18"/>
          <w:szCs w:val="18"/>
          <w:color w:val="auto"/>
        </w:rPr>
        <w:t xml:space="preserve"> solely for purposes of the delivery of incumbency certificates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the secretary or any assistant secretary of a Loan Party </w:t>
      </w:r>
      <w:r>
        <w:rPr>
          <w:rFonts w:ascii="Arial" w:cs="Arial" w:eastAsia="Arial" w:hAnsi="Arial"/>
          <w:sz w:val="18"/>
          <w:szCs w:val="18"/>
          <w:b w:val="1"/>
          <w:bCs w:val="1"/>
          <w:u w:val="single" w:color="auto"/>
          <w:color w:val="0000FF"/>
          <w:highlight w:val="lightGray"/>
        </w:rPr>
        <w:t>or entity authorized to act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highlight w:val="lightGray"/>
        </w:rPr>
        <w:t>on behalf of a Loan Party and, solely for purposes of notices given pursuant to Article II, any other officer or employee of the applicable Loan Party or entity authorized to act on behalf of such Loan Party so designated by any of the foregoing officers in a notice to the Administrative Agent or any other officer or employee of the applicable Loan Party or entity authorized to act on behalf of such Loan Party designated in or pursuant to an agreement between the applicable Loan Party or entity authorized to act on behalf of such Loan Party and the Administrative Agent</w:t>
      </w:r>
      <w:r>
        <w:rPr>
          <w:rFonts w:ascii="Arial" w:cs="Arial" w:eastAsia="Arial" w:hAnsi="Arial"/>
          <w:sz w:val="18"/>
          <w:szCs w:val="18"/>
          <w:color w:val="000000"/>
        </w:rPr>
        <w:t>. Any document delivered hereunder that is signed by</w:t>
      </w:r>
      <w:r>
        <w:rPr>
          <w:rFonts w:ascii="Arial" w:cs="Arial" w:eastAsia="Arial" w:hAnsi="Arial"/>
          <w:sz w:val="18"/>
          <w:szCs w:val="18"/>
          <w:b w:val="1"/>
          <w:bCs w:val="1"/>
          <w:color w:val="0000FF"/>
          <w:highlight w:val="lightGray"/>
        </w:rPr>
        <w:t xml:space="preserve"> </w:t>
      </w:r>
      <w:r>
        <w:rPr>
          <w:rFonts w:ascii="Arial" w:cs="Arial" w:eastAsia="Arial" w:hAnsi="Arial"/>
          <w:sz w:val="18"/>
          <w:szCs w:val="18"/>
          <w:color w:val="000000"/>
        </w:rPr>
        <w:t>a Responsible Officer of a Loan Party</w:t>
      </w:r>
      <w:r>
        <w:rPr>
          <w:rFonts w:ascii="Arial" w:cs="Arial" w:eastAsia="Arial" w:hAnsi="Arial"/>
          <w:sz w:val="18"/>
          <w:szCs w:val="18"/>
          <w:b w:val="1"/>
          <w:bCs w:val="1"/>
          <w:u w:val="single" w:color="auto"/>
          <w:color w:val="0000FF"/>
        </w:rPr>
        <w:t>,</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highlight w:val="lightGray"/>
        </w:rPr>
        <w:t>or entity authorized to act on behalf of such Loan Party,</w:t>
      </w:r>
      <w:r>
        <w:rPr>
          <w:rFonts w:ascii="Arial" w:cs="Arial" w:eastAsia="Arial" w:hAnsi="Arial"/>
          <w:sz w:val="18"/>
          <w:szCs w:val="18"/>
          <w:color w:val="000000"/>
        </w:rPr>
        <w:t xml:space="preserve"> shall be conclusively presumed to have been authorized by all necessary corporate</w:t>
      </w:r>
      <w:r>
        <w:rPr>
          <w:rFonts w:ascii="Arial" w:cs="Arial" w:eastAsia="Arial" w:hAnsi="Arial"/>
          <w:sz w:val="18"/>
          <w:szCs w:val="18"/>
          <w:b w:val="1"/>
          <w:bCs w:val="1"/>
          <w:u w:val="single" w:color="auto"/>
          <w:color w:val="0000FF"/>
          <w:highlight w:val="lightGray"/>
        </w:rPr>
        <w:t>, limited liability company</w:t>
      </w:r>
      <w:r>
        <w:rPr>
          <w:rFonts w:ascii="Arial" w:cs="Arial" w:eastAsia="Arial" w:hAnsi="Arial"/>
          <w:sz w:val="18"/>
          <w:szCs w:val="18"/>
          <w:color w:val="000000"/>
        </w:rPr>
        <w:t>, partnership and/or other action on the part of such Loan Party and such Responsible Officer shall be conclusively presumed to have acted on behalf of such Loan Party.</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Resignation Effective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9.06(a)</w:t>
      </w:r>
      <w:r>
        <w:rPr>
          <w:rFonts w:ascii="Arial" w:cs="Arial" w:eastAsia="Arial" w:hAnsi="Arial"/>
          <w:sz w:val="20"/>
          <w:szCs w:val="20"/>
          <w:color w:val="auto"/>
        </w:rPr>
        <w:t>.</w:t>
      </w:r>
    </w:p>
    <w:p>
      <w:pPr>
        <w:spacing w:after="0" w:line="200" w:lineRule="exact"/>
        <w:rPr>
          <w:sz w:val="20"/>
          <w:szCs w:val="20"/>
          <w:color w:val="auto"/>
        </w:rPr>
      </w:pPr>
    </w:p>
    <w:p>
      <w:pPr>
        <w:spacing w:after="0" w:line="25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820"/>
          </w:cols>
          <w:pgMar w:left="840" w:top="795" w:right="239" w:bottom="1440" w:gutter="0" w:footer="0" w:header="0"/>
        </w:sectPr>
      </w:pPr>
    </w:p>
    <w:bookmarkStart w:id="263" w:name="page264"/>
    <w:bookmarkEnd w:id="263"/>
    <w:p>
      <w:pPr>
        <w:ind w:left="60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Restatement Effective Date</w:t>
      </w:r>
      <w:r>
        <w:rPr>
          <w:rFonts w:ascii="Arial" w:cs="Arial" w:eastAsia="Arial" w:hAnsi="Arial"/>
          <w:sz w:val="20"/>
          <w:szCs w:val="20"/>
          <w:color w:val="FF0000"/>
          <w:strike w:val="1"/>
        </w:rPr>
        <w:t>” has the meaning specified in the Revolving Credit Agreement.</w:t>
      </w:r>
    </w:p>
    <w:p>
      <w:pPr>
        <w:spacing w:after="0" w:line="245" w:lineRule="exact"/>
        <w:rPr>
          <w:sz w:val="20"/>
          <w:szCs w:val="20"/>
          <w:color w:val="auto"/>
        </w:rPr>
      </w:pPr>
    </w:p>
    <w:p>
      <w:pPr>
        <w:jc w:val="both"/>
        <w:ind w:firstLine="6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w:t>
      </w:r>
      <w:r>
        <w:rPr>
          <w:rFonts w:ascii="Arial" w:cs="Arial" w:eastAsia="Arial" w:hAnsi="Arial"/>
          <w:sz w:val="20"/>
          <w:szCs w:val="20"/>
          <w:color w:val="auto"/>
        </w:rPr>
        <w:t xml:space="preserve">” means any dividend or other distribution (whether in cash, securities or other property) with respect to any capital stock or other Equity Interest of any Person </w:t>
      </w:r>
      <w:r>
        <w:rPr>
          <w:rFonts w:ascii="Arial" w:cs="Arial" w:eastAsia="Arial" w:hAnsi="Arial"/>
          <w:sz w:val="20"/>
          <w:szCs w:val="20"/>
          <w:color w:val="FF0000"/>
          <w:strike w:val="1"/>
        </w:rPr>
        <w:t>or any of its Subsidiaries</w:t>
      </w:r>
      <w:r>
        <w:rPr>
          <w:rFonts w:ascii="Arial" w:cs="Arial" w:eastAsia="Arial" w:hAnsi="Arial"/>
          <w:sz w:val="20"/>
          <w:szCs w:val="20"/>
          <w:color w:val="auto"/>
        </w:rPr>
        <w:t>, or any payment (whether in cash, securities or other property), including any sinking fund or similar deposit, on account of the purchase, redemption, retirement, defeasance, acquisition, cancellation or termination of any such capital stock or other Equity Interest, or on account of any return of capital to any Person’s stockholders, partners or members (or the equivalent of any thereof).</w:t>
      </w:r>
    </w:p>
    <w:p>
      <w:pPr>
        <w:spacing w:after="0" w:line="206" w:lineRule="exact"/>
        <w:rPr>
          <w:sz w:val="20"/>
          <w:szCs w:val="20"/>
          <w:color w:val="auto"/>
        </w:rPr>
      </w:pPr>
    </w:p>
    <w:p>
      <w:pPr>
        <w:jc w:val="both"/>
        <w:ind w:firstLine="600"/>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Agreement</w:t>
      </w:r>
      <w:r>
        <w:rPr>
          <w:rFonts w:ascii="Arial" w:cs="Arial" w:eastAsia="Arial" w:hAnsi="Arial"/>
          <w:sz w:val="20"/>
          <w:szCs w:val="20"/>
          <w:color w:val="auto"/>
        </w:rPr>
        <w:t xml:space="preserve">” means that certain </w:t>
      </w:r>
      <w:r>
        <w:rPr>
          <w:rFonts w:ascii="Arial" w:cs="Arial" w:eastAsia="Arial" w:hAnsi="Arial"/>
          <w:sz w:val="20"/>
          <w:szCs w:val="20"/>
          <w:b w:val="1"/>
          <w:bCs w:val="1"/>
          <w:u w:val="single" w:color="auto"/>
          <w:color w:val="0000FF"/>
          <w:highlight w:val="lightGray"/>
        </w:rPr>
        <w:t>Second</w:t>
      </w:r>
      <w:r>
        <w:rPr>
          <w:rFonts w:ascii="Arial" w:cs="Arial" w:eastAsia="Arial" w:hAnsi="Arial"/>
          <w:sz w:val="20"/>
          <w:szCs w:val="20"/>
          <w:color w:val="auto"/>
        </w:rPr>
        <w:t xml:space="preserve"> Amended and Restated Credit Agreement, dated as of January 9, </w:t>
      </w:r>
      <w:r>
        <w:rPr>
          <w:rFonts w:ascii="Arial" w:cs="Arial" w:eastAsia="Arial" w:hAnsi="Arial"/>
          <w:sz w:val="20"/>
          <w:szCs w:val="20"/>
          <w:color w:val="FF0000"/>
          <w:strike w:val="1"/>
        </w:rPr>
        <w:t>2014</w:t>
      </w:r>
      <w:r>
        <w:rPr>
          <w:rFonts w:ascii="Arial" w:cs="Arial" w:eastAsia="Arial" w:hAnsi="Arial"/>
          <w:sz w:val="20"/>
          <w:szCs w:val="20"/>
          <w:b w:val="1"/>
          <w:bCs w:val="1"/>
          <w:u w:val="single" w:color="auto"/>
          <w:color w:val="0000FF"/>
          <w:highlight w:val="lightGray"/>
        </w:rPr>
        <w:t>2018</w:t>
      </w:r>
      <w:r>
        <w:rPr>
          <w:rFonts w:ascii="Arial" w:cs="Arial" w:eastAsia="Arial" w:hAnsi="Arial"/>
          <w:sz w:val="20"/>
          <w:szCs w:val="20"/>
          <w:color w:val="000000"/>
        </w:rPr>
        <w:t>, by and among the Borrower, the REIT,</w:t>
      </w:r>
      <w:r>
        <w:rPr>
          <w:rFonts w:ascii="Arial" w:cs="Arial" w:eastAsia="Arial" w:hAnsi="Arial"/>
          <w:sz w:val="20"/>
          <w:szCs w:val="20"/>
          <w:color w:val="FF0000"/>
        </w:rPr>
        <w:t xml:space="preserve"> </w:t>
      </w:r>
      <w:r>
        <w:rPr>
          <w:rFonts w:ascii="Arial" w:cs="Arial" w:eastAsia="Arial" w:hAnsi="Arial"/>
          <w:sz w:val="20"/>
          <w:szCs w:val="20"/>
          <w:color w:val="FF0000"/>
          <w:strike w:val="1"/>
        </w:rPr>
        <w:t>a guarantor,</w:t>
      </w:r>
      <w:r>
        <w:rPr>
          <w:rFonts w:ascii="Arial" w:cs="Arial" w:eastAsia="Arial" w:hAnsi="Arial"/>
          <w:sz w:val="20"/>
          <w:szCs w:val="20"/>
          <w:color w:val="FF0000"/>
        </w:rPr>
        <w:t xml:space="preserve"> </w:t>
      </w:r>
      <w:r>
        <w:rPr>
          <w:rFonts w:ascii="Arial" w:cs="Arial" w:eastAsia="Arial" w:hAnsi="Arial"/>
          <w:sz w:val="20"/>
          <w:szCs w:val="20"/>
          <w:color w:val="000000"/>
        </w:rPr>
        <w:t>the</w:t>
      </w:r>
      <w:r>
        <w:rPr>
          <w:rFonts w:ascii="Arial" w:cs="Arial" w:eastAsia="Arial" w:hAnsi="Arial"/>
          <w:sz w:val="20"/>
          <w:szCs w:val="20"/>
          <w:color w:val="FF0000"/>
        </w:rPr>
        <w:t xml:space="preserve"> </w:t>
      </w:r>
      <w:r>
        <w:rPr>
          <w:rFonts w:ascii="Arial" w:cs="Arial" w:eastAsia="Arial" w:hAnsi="Arial"/>
          <w:sz w:val="20"/>
          <w:szCs w:val="20"/>
          <w:color w:val="FF0000"/>
          <w:strike w:val="1"/>
        </w:rPr>
        <w:t>other</w:t>
      </w:r>
      <w:r>
        <w:rPr>
          <w:rFonts w:ascii="Arial" w:cs="Arial" w:eastAsia="Arial" w:hAnsi="Arial"/>
          <w:sz w:val="20"/>
          <w:szCs w:val="20"/>
          <w:color w:val="FF0000"/>
        </w:rPr>
        <w:t xml:space="preserve"> </w:t>
      </w:r>
      <w:r>
        <w:rPr>
          <w:rFonts w:ascii="Arial" w:cs="Arial" w:eastAsia="Arial" w:hAnsi="Arial"/>
          <w:sz w:val="20"/>
          <w:szCs w:val="20"/>
          <w:color w:val="000000"/>
        </w:rPr>
        <w:t>financial institutions parties thereto from time to time as</w:t>
      </w:r>
      <w:r>
        <w:rPr>
          <w:rFonts w:ascii="Arial" w:cs="Arial" w:eastAsia="Arial" w:hAnsi="Arial"/>
          <w:sz w:val="20"/>
          <w:szCs w:val="20"/>
          <w:color w:val="FF0000"/>
        </w:rPr>
        <w:t xml:space="preserve"> </w:t>
      </w:r>
      <w:r>
        <w:rPr>
          <w:rFonts w:ascii="Arial" w:cs="Arial" w:eastAsia="Arial" w:hAnsi="Arial"/>
          <w:sz w:val="20"/>
          <w:szCs w:val="20"/>
          <w:color w:val="000000"/>
        </w:rPr>
        <w:t xml:space="preserve">lenders and Bank of America, N.A., as administrative agent, as amended, restated, supplemented, refinanced or replaced </w:t>
      </w:r>
      <w:r>
        <w:rPr>
          <w:rFonts w:ascii="Arial" w:cs="Arial" w:eastAsia="Arial" w:hAnsi="Arial"/>
          <w:sz w:val="20"/>
          <w:szCs w:val="20"/>
          <w:b w:val="1"/>
          <w:bCs w:val="1"/>
          <w:u w:val="single" w:color="auto"/>
          <w:color w:val="0000FF"/>
          <w:highlight w:val="lightGray"/>
        </w:rPr>
        <w:t>from time to</w:t>
      </w:r>
      <w:r>
        <w:rPr>
          <w:rFonts w:ascii="Arial" w:cs="Arial" w:eastAsia="Arial" w:hAnsi="Arial"/>
          <w:sz w:val="20"/>
          <w:szCs w:val="20"/>
          <w:color w:val="000000"/>
        </w:rPr>
        <w:t xml:space="preserve"> </w:t>
      </w:r>
      <w:r>
        <w:rPr>
          <w:rFonts w:ascii="Arial" w:cs="Arial" w:eastAsia="Arial" w:hAnsi="Arial"/>
          <w:sz w:val="20"/>
          <w:szCs w:val="20"/>
          <w:b w:val="1"/>
          <w:bCs w:val="1"/>
          <w:u w:val="single" w:color="auto"/>
          <w:color w:val="0000FF"/>
          <w:highlight w:val="lightGray"/>
        </w:rPr>
        <w:t>time</w:t>
      </w:r>
      <w:r>
        <w:rPr>
          <w:rFonts w:ascii="Arial" w:cs="Arial" w:eastAsia="Arial" w:hAnsi="Arial"/>
          <w:sz w:val="20"/>
          <w:szCs w:val="20"/>
          <w:color w:val="000000"/>
        </w:rPr>
        <w:t>.</w:t>
      </w:r>
    </w:p>
    <w:p>
      <w:pPr>
        <w:spacing w:after="0" w:line="204" w:lineRule="exact"/>
        <w:rPr>
          <w:sz w:val="20"/>
          <w:szCs w:val="20"/>
          <w:color w:val="auto"/>
        </w:rPr>
      </w:pPr>
    </w:p>
    <w:p>
      <w:pPr>
        <w:jc w:val="both"/>
        <w:ind w:firstLine="600"/>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Risk-Based Capital Guidelines</w:t>
      </w:r>
      <w:r>
        <w:rPr>
          <w:rFonts w:ascii="Arial" w:cs="Arial" w:eastAsia="Arial" w:hAnsi="Arial"/>
          <w:sz w:val="18"/>
          <w:szCs w:val="18"/>
          <w:color w:val="auto"/>
        </w:rPr>
        <w:t>” means (i) the risk-based capital guidelines in effect in the United States on the date of this Agreement, including transition rules, and (ii) the corresponding capital regulations promulgated by regulatory authorities outside the United States including transition rules, and any amendments to such regulations adopted prior to the date of this Agreement.</w:t>
      </w:r>
    </w:p>
    <w:p>
      <w:pPr>
        <w:spacing w:after="0" w:line="168"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Country</w:t>
      </w:r>
      <w:r>
        <w:rPr>
          <w:rFonts w:ascii="Arial" w:cs="Arial" w:eastAsia="Arial" w:hAnsi="Arial"/>
          <w:sz w:val="20"/>
          <w:szCs w:val="20"/>
          <w:color w:val="auto"/>
        </w:rPr>
        <w:t>” means, at any time, any country or territory which is itself the subject or target of any comprehensive Sanctions.</w:t>
      </w:r>
    </w:p>
    <w:p>
      <w:pPr>
        <w:spacing w:after="0" w:line="191" w:lineRule="exact"/>
        <w:rPr>
          <w:sz w:val="20"/>
          <w:szCs w:val="20"/>
          <w:color w:val="auto"/>
        </w:rPr>
      </w:pPr>
    </w:p>
    <w:p>
      <w:pPr>
        <w:jc w:val="both"/>
        <w:ind w:firstLine="6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Person</w:t>
      </w:r>
      <w:r>
        <w:rPr>
          <w:rFonts w:ascii="Arial" w:cs="Arial" w:eastAsia="Arial" w:hAnsi="Arial"/>
          <w:sz w:val="20"/>
          <w:szCs w:val="20"/>
          <w:color w:val="auto"/>
        </w:rPr>
        <w:t>” means, at any time, (a) any Person or group listed in any Sanctions-related list of designated Persons maintained by OFAC or the U.S. Department of State, the United Nations Security Council, the European Union or any EU member state, (b) any Person or group operating, organized or resident in a Sanctioned Country, (c) any agency, political subdivision or instrumentality of the government of a Sanctioned Country, or (d) any Person 50% or more owned, directly or indirectly, by any of the above.</w:t>
      </w:r>
    </w:p>
    <w:p>
      <w:pPr>
        <w:spacing w:after="0" w:line="212" w:lineRule="exact"/>
        <w:rPr>
          <w:sz w:val="20"/>
          <w:szCs w:val="20"/>
          <w:color w:val="auto"/>
        </w:rPr>
      </w:pPr>
    </w:p>
    <w:p>
      <w:pPr>
        <w:jc w:val="both"/>
        <w:ind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means any international economic sanction administered or enforced by the United States Government (including, without limitation, OFAC), the United Nations Security Council, the European Union, Her Majesty’s Treasury or other relevant sanctions authority.</w:t>
      </w:r>
    </w:p>
    <w:p>
      <w:pPr>
        <w:spacing w:after="0" w:line="196" w:lineRule="exact"/>
        <w:rPr>
          <w:sz w:val="20"/>
          <w:szCs w:val="20"/>
          <w:color w:val="auto"/>
        </w:rPr>
      </w:pPr>
    </w:p>
    <w:p>
      <w:pPr>
        <w:jc w:val="both"/>
        <w:ind w:firstLine="600"/>
        <w:spacing w:after="0" w:line="27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xml:space="preserve">” means </w:t>
      </w:r>
      <w:r>
        <w:rPr>
          <w:rFonts w:ascii="Arial" w:cs="Arial" w:eastAsia="Arial" w:hAnsi="Arial"/>
          <w:sz w:val="20"/>
          <w:szCs w:val="20"/>
          <w:color w:val="FF0000"/>
          <w:strike w:val="1"/>
        </w:rPr>
        <w:t>Standard &amp; Poor’s</w:t>
      </w:r>
      <w:r>
        <w:rPr>
          <w:rFonts w:ascii="Arial" w:cs="Arial" w:eastAsia="Arial" w:hAnsi="Arial"/>
          <w:sz w:val="20"/>
          <w:szCs w:val="20"/>
          <w:b w:val="1"/>
          <w:bCs w:val="1"/>
          <w:u w:val="single" w:color="auto"/>
          <w:color w:val="0000FF"/>
          <w:highlight w:val="lightGray"/>
        </w:rPr>
        <w:t>S&amp;P Global</w:t>
      </w:r>
      <w:r>
        <w:rPr>
          <w:rFonts w:ascii="Arial" w:cs="Arial" w:eastAsia="Arial" w:hAnsi="Arial"/>
          <w:sz w:val="20"/>
          <w:szCs w:val="20"/>
          <w:color w:val="auto"/>
        </w:rPr>
        <w:t xml:space="preserve"> Ratings </w:t>
      </w:r>
      <w:r>
        <w:rPr>
          <w:rFonts w:ascii="Arial" w:cs="Arial" w:eastAsia="Arial" w:hAnsi="Arial"/>
          <w:sz w:val="20"/>
          <w:szCs w:val="20"/>
          <w:color w:val="FF0000"/>
          <w:strike w:val="1"/>
        </w:rPr>
        <w:t>Services</w:t>
      </w:r>
      <w:r>
        <w:rPr>
          <w:rFonts w:ascii="Arial" w:cs="Arial" w:eastAsia="Arial" w:hAnsi="Arial"/>
          <w:sz w:val="20"/>
          <w:szCs w:val="20"/>
          <w:color w:val="auto"/>
        </w:rPr>
        <w:t xml:space="preserve">, a division of </w:t>
      </w:r>
      <w:r>
        <w:rPr>
          <w:rFonts w:ascii="Arial" w:cs="Arial" w:eastAsia="Arial" w:hAnsi="Arial"/>
          <w:sz w:val="20"/>
          <w:szCs w:val="20"/>
          <w:color w:val="FF0000"/>
          <w:strike w:val="1"/>
        </w:rPr>
        <w:t>The McGraw-Hill Companies,</w:t>
      </w:r>
      <w:r>
        <w:rPr>
          <w:rFonts w:ascii="Arial" w:cs="Arial" w:eastAsia="Arial" w:hAnsi="Arial"/>
          <w:sz w:val="20"/>
          <w:szCs w:val="20"/>
          <w:b w:val="1"/>
          <w:bCs w:val="1"/>
          <w:u w:val="single" w:color="auto"/>
          <w:color w:val="0000FF"/>
          <w:highlight w:val="lightGray"/>
        </w:rPr>
        <w:t>S&amp;P Global</w:t>
      </w:r>
      <w:r>
        <w:rPr>
          <w:rFonts w:ascii="Arial" w:cs="Arial" w:eastAsia="Arial" w:hAnsi="Arial"/>
          <w:sz w:val="20"/>
          <w:szCs w:val="20"/>
          <w:color w:val="auto"/>
        </w:rPr>
        <w:t xml:space="preserve"> Inc., and any successor </w:t>
      </w:r>
      <w:r>
        <w:rPr>
          <w:rFonts w:ascii="Arial" w:cs="Arial" w:eastAsia="Arial" w:hAnsi="Arial"/>
          <w:sz w:val="20"/>
          <w:szCs w:val="20"/>
          <w:color w:val="FF0000"/>
          <w:strike w:val="1"/>
        </w:rPr>
        <w:t>thereto</w:t>
      </w:r>
      <w:r>
        <w:rPr>
          <w:rFonts w:ascii="Arial" w:cs="Arial" w:eastAsia="Arial" w:hAnsi="Arial"/>
          <w:sz w:val="20"/>
          <w:szCs w:val="20"/>
          <w:b w:val="1"/>
          <w:bCs w:val="1"/>
          <w:u w:val="single" w:color="auto"/>
          <w:color w:val="0000FF"/>
          <w:highlight w:val="lightGray"/>
        </w:rPr>
        <w:t>to its rating agency business</w:t>
      </w:r>
      <w:r>
        <w:rPr>
          <w:rFonts w:ascii="Arial" w:cs="Arial" w:eastAsia="Arial" w:hAnsi="Arial"/>
          <w:sz w:val="20"/>
          <w:szCs w:val="20"/>
          <w:color w:val="auto"/>
        </w:rPr>
        <w:t>.</w:t>
      </w:r>
    </w:p>
    <w:p>
      <w:pPr>
        <w:spacing w:after="0" w:line="183"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Securities and Exchange Commission, or any Governmental Authority succeeding to any of its principal functions.</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Section 2.10(b) Termination Date</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2.10(b)</w:t>
      </w:r>
      <w:r>
        <w:rPr>
          <w:rFonts w:ascii="Arial" w:cs="Arial" w:eastAsia="Arial" w:hAnsi="Arial"/>
          <w:sz w:val="20"/>
          <w:szCs w:val="20"/>
          <w:color w:val="auto"/>
        </w:rPr>
        <w:t>.</w:t>
      </w:r>
    </w:p>
    <w:p>
      <w:pPr>
        <w:spacing w:after="0" w:line="239" w:lineRule="exact"/>
        <w:rPr>
          <w:sz w:val="20"/>
          <w:szCs w:val="20"/>
          <w:color w:val="auto"/>
        </w:rPr>
      </w:pPr>
    </w:p>
    <w:p>
      <w:pPr>
        <w:jc w:val="both"/>
        <w:ind w:firstLine="600"/>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Indebtedness</w:t>
      </w:r>
      <w:r>
        <w:rPr>
          <w:rFonts w:ascii="Arial" w:cs="Arial" w:eastAsia="Arial" w:hAnsi="Arial"/>
          <w:sz w:val="20"/>
          <w:szCs w:val="20"/>
          <w:color w:val="auto"/>
        </w:rPr>
        <w:t xml:space="preserve">” means, with respect to any Person, all Indebtedness </w:t>
      </w:r>
      <w:r>
        <w:rPr>
          <w:rFonts w:ascii="Arial" w:cs="Arial" w:eastAsia="Arial" w:hAnsi="Arial"/>
          <w:sz w:val="20"/>
          <w:szCs w:val="20"/>
          <w:color w:val="FF0000"/>
          <w:strike w:val="1"/>
        </w:rPr>
        <w:t>of</w:t>
      </w:r>
      <w:r>
        <w:rPr>
          <w:rFonts w:ascii="Arial" w:cs="Arial" w:eastAsia="Arial" w:hAnsi="Arial"/>
          <w:sz w:val="20"/>
          <w:szCs w:val="20"/>
          <w:b w:val="1"/>
          <w:bCs w:val="1"/>
          <w:u w:val="single" w:color="auto"/>
          <w:color w:val="0000FF"/>
          <w:highlight w:val="lightGray"/>
        </w:rPr>
        <w:t>owed by</w:t>
      </w:r>
      <w:r>
        <w:rPr>
          <w:rFonts w:ascii="Arial" w:cs="Arial" w:eastAsia="Arial" w:hAnsi="Arial"/>
          <w:sz w:val="20"/>
          <w:szCs w:val="20"/>
          <w:color w:val="auto"/>
        </w:rPr>
        <w:t xml:space="preserve"> such Person that is secured by a mortgage, deed of trust, lien, pledge, encumbrance, security interest or other Lien </w:t>
      </w:r>
      <w:r>
        <w:rPr>
          <w:rFonts w:ascii="Arial" w:cs="Arial" w:eastAsia="Arial" w:hAnsi="Arial"/>
          <w:sz w:val="20"/>
          <w:szCs w:val="20"/>
          <w:b w:val="1"/>
          <w:bCs w:val="1"/>
          <w:u w:val="single" w:color="auto"/>
          <w:color w:val="0000FF"/>
          <w:highlight w:val="lightGray"/>
        </w:rPr>
        <w:t>(excluding in any event Indebtedness outstanding</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highlight w:val="lightGray"/>
        </w:rPr>
        <w:t>under this Agreement)</w:t>
      </w:r>
      <w:r>
        <w:rPr>
          <w:rFonts w:ascii="Arial" w:cs="Arial" w:eastAsia="Arial" w:hAnsi="Arial"/>
          <w:sz w:val="20"/>
          <w:szCs w:val="20"/>
          <w:color w:val="000000"/>
        </w:rPr>
        <w:t>.</w:t>
      </w:r>
    </w:p>
    <w:p>
      <w:pPr>
        <w:spacing w:after="0" w:line="193" w:lineRule="exact"/>
        <w:rPr>
          <w:sz w:val="20"/>
          <w:szCs w:val="20"/>
          <w:color w:val="auto"/>
        </w:rPr>
      </w:pPr>
    </w:p>
    <w:p>
      <w:pPr>
        <w:jc w:val="both"/>
        <w:ind w:firstLine="600"/>
        <w:spacing w:after="0" w:line="27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Recourse Indebtedness</w:t>
      </w:r>
      <w:r>
        <w:rPr>
          <w:rFonts w:ascii="Arial" w:cs="Arial" w:eastAsia="Arial" w:hAnsi="Arial"/>
          <w:sz w:val="20"/>
          <w:szCs w:val="20"/>
          <w:color w:val="auto"/>
        </w:rPr>
        <w:t xml:space="preserve">” means, as to any Person, Recourse Indebtedness </w:t>
      </w:r>
      <w:r>
        <w:rPr>
          <w:rFonts w:ascii="Arial" w:cs="Arial" w:eastAsia="Arial" w:hAnsi="Arial"/>
          <w:sz w:val="20"/>
          <w:szCs w:val="20"/>
          <w:color w:val="FF0000"/>
          <w:strike w:val="1"/>
        </w:rPr>
        <w:t>of</w:t>
      </w:r>
      <w:r>
        <w:rPr>
          <w:rFonts w:ascii="Arial" w:cs="Arial" w:eastAsia="Arial" w:hAnsi="Arial"/>
          <w:sz w:val="20"/>
          <w:szCs w:val="20"/>
          <w:b w:val="1"/>
          <w:bCs w:val="1"/>
          <w:u w:val="single" w:color="auto"/>
          <w:color w:val="0000FF"/>
          <w:highlight w:val="lightGray"/>
        </w:rPr>
        <w:t>owed by</w:t>
      </w:r>
      <w:r>
        <w:rPr>
          <w:rFonts w:ascii="Arial" w:cs="Arial" w:eastAsia="Arial" w:hAnsi="Arial"/>
          <w:sz w:val="20"/>
          <w:szCs w:val="20"/>
          <w:color w:val="auto"/>
        </w:rPr>
        <w:t xml:space="preserve"> such Person that constitutes Secured Indebtedness.</w:t>
      </w:r>
    </w:p>
    <w:p>
      <w:pPr>
        <w:spacing w:after="0" w:line="16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820"/>
          </w:cols>
          <w:pgMar w:left="840" w:top="795" w:right="239" w:bottom="1440" w:gutter="0" w:footer="0" w:header="0"/>
        </w:sectPr>
      </w:pPr>
    </w:p>
    <w:bookmarkStart w:id="264" w:name="page265"/>
    <w:bookmarkEnd w:id="264"/>
    <w:p>
      <w:pPr>
        <w:jc w:val="both"/>
        <w:ind w:firstLine="600"/>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Total Asset Value</w:t>
      </w:r>
      <w:r>
        <w:rPr>
          <w:rFonts w:ascii="Arial" w:cs="Arial" w:eastAsia="Arial" w:hAnsi="Arial"/>
          <w:sz w:val="20"/>
          <w:szCs w:val="20"/>
          <w:color w:val="auto"/>
        </w:rPr>
        <w:t>” means, as of any time for the Consolidated Group, the sum of (i) Total Asset Value</w:t>
      </w:r>
      <w:r>
        <w:rPr>
          <w:rFonts w:ascii="Arial" w:cs="Arial" w:eastAsia="Arial" w:hAnsi="Arial"/>
          <w:sz w:val="20"/>
          <w:szCs w:val="20"/>
          <w:color w:val="FF0000"/>
          <w:strike w:val="1"/>
        </w:rPr>
        <w:t>,</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highlight w:val="lightGray"/>
        </w:rPr>
        <w:t>and</w:t>
      </w:r>
      <w:r>
        <w:rPr>
          <w:rFonts w:ascii="Arial" w:cs="Arial" w:eastAsia="Arial" w:hAnsi="Arial"/>
          <w:sz w:val="20"/>
          <w:szCs w:val="20"/>
          <w:color w:val="auto"/>
        </w:rPr>
        <w:t xml:space="preserve"> (ii</w:t>
      </w:r>
      <w:r>
        <w:rPr>
          <w:rFonts w:ascii="Arial" w:cs="Arial" w:eastAsia="Arial" w:hAnsi="Arial"/>
          <w:sz w:val="20"/>
          <w:szCs w:val="20"/>
          <w:color w:val="FF0000"/>
          <w:strike w:val="1"/>
        </w:rPr>
        <w:t>) all</w:t>
      </w:r>
      <w:r>
        <w:rPr>
          <w:rFonts w:ascii="Arial" w:cs="Arial" w:eastAsia="Arial" w:hAnsi="Arial"/>
          <w:sz w:val="20"/>
          <w:szCs w:val="20"/>
          <w:color w:val="auto"/>
        </w:rPr>
        <w:t xml:space="preserve"> </w:t>
      </w:r>
      <w:r>
        <w:rPr>
          <w:rFonts w:ascii="Arial" w:cs="Arial" w:eastAsia="Arial" w:hAnsi="Arial"/>
          <w:sz w:val="20"/>
          <w:szCs w:val="20"/>
          <w:color w:val="FF0000"/>
          <w:strike w:val="1"/>
        </w:rPr>
        <w:t>cash and Cash Equivalents owned by the Consolidated Group and (iii</w:t>
      </w:r>
      <w:r>
        <w:rPr>
          <w:rFonts w:ascii="Arial" w:cs="Arial" w:eastAsia="Arial" w:hAnsi="Arial"/>
          <w:sz w:val="20"/>
          <w:szCs w:val="20"/>
          <w:color w:val="000000"/>
        </w:rPr>
        <w:t>) the Consolidated Group Pro Rata Share of all cash and Cash</w:t>
      </w:r>
      <w:r>
        <w:rPr>
          <w:rFonts w:ascii="Arial" w:cs="Arial" w:eastAsia="Arial" w:hAnsi="Arial"/>
          <w:sz w:val="20"/>
          <w:szCs w:val="20"/>
          <w:color w:val="FF0000"/>
        </w:rPr>
        <w:t xml:space="preserve"> </w:t>
      </w:r>
      <w:r>
        <w:rPr>
          <w:rFonts w:ascii="Arial" w:cs="Arial" w:eastAsia="Arial" w:hAnsi="Arial"/>
          <w:sz w:val="20"/>
          <w:szCs w:val="20"/>
          <w:color w:val="000000"/>
        </w:rPr>
        <w:t>Equivalents owned by Unconsolidated Affiliates, in each case at such time.</w:t>
      </w:r>
    </w:p>
    <w:p>
      <w:pPr>
        <w:spacing w:after="0" w:line="199"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Shareholders’ Equity</w:t>
      </w:r>
      <w:r>
        <w:rPr>
          <w:rFonts w:ascii="Arial" w:cs="Arial" w:eastAsia="Arial" w:hAnsi="Arial"/>
          <w:sz w:val="20"/>
          <w:szCs w:val="20"/>
          <w:color w:val="FF0000"/>
          <w:strike w:val="1"/>
        </w:rPr>
        <w:t>” means, as of any date of determination, consolidated shareholders’ equity of the Consolidated Group as of that date determined in accordance with GAAP.</w:t>
      </w:r>
    </w:p>
    <w:p>
      <w:pPr>
        <w:spacing w:after="0" w:line="191" w:lineRule="exact"/>
        <w:rPr>
          <w:sz w:val="20"/>
          <w:szCs w:val="20"/>
          <w:color w:val="auto"/>
        </w:rPr>
      </w:pPr>
    </w:p>
    <w:p>
      <w:pPr>
        <w:jc w:val="both"/>
        <w:ind w:firstLine="600"/>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Significant Subsidiary</w:t>
      </w:r>
      <w:r>
        <w:rPr>
          <w:rFonts w:ascii="Arial" w:cs="Arial" w:eastAsia="Arial" w:hAnsi="Arial"/>
          <w:sz w:val="20"/>
          <w:szCs w:val="20"/>
          <w:color w:val="auto"/>
        </w:rPr>
        <w:t xml:space="preserve">” means, on any date of determination, each Subsidiary </w:t>
      </w:r>
      <w:r>
        <w:rPr>
          <w:rFonts w:ascii="Arial" w:cs="Arial" w:eastAsia="Arial" w:hAnsi="Arial"/>
          <w:sz w:val="20"/>
          <w:szCs w:val="20"/>
          <w:color w:val="FF0000"/>
          <w:strike w:val="1"/>
        </w:rPr>
        <w:t>or group of Subsidiaries</w:t>
      </w:r>
      <w:r>
        <w:rPr>
          <w:rFonts w:ascii="Arial" w:cs="Arial" w:eastAsia="Arial" w:hAnsi="Arial"/>
          <w:sz w:val="20"/>
          <w:szCs w:val="20"/>
          <w:color w:val="auto"/>
        </w:rPr>
        <w:t xml:space="preserve"> of the REIT whose assets have an aggregate book value that is greater than five percent (5.00%) of the aggregate book value of the assets of the Consolidated Group (it being understood that such calculations shall be determined in the aggregate for all Subsidiaries of the REIT subject to any of the events specified in clause (f), (g) or (h) of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205" w:lineRule="exact"/>
        <w:rPr>
          <w:sz w:val="20"/>
          <w:szCs w:val="20"/>
          <w:color w:val="auto"/>
        </w:rPr>
      </w:pPr>
    </w:p>
    <w:p>
      <w:pPr>
        <w:jc w:val="both"/>
        <w:ind w:firstLine="600"/>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Single Asset Entity</w:t>
      </w:r>
      <w:r>
        <w:rPr>
          <w:rFonts w:ascii="Arial" w:cs="Arial" w:eastAsia="Arial" w:hAnsi="Arial"/>
          <w:sz w:val="20"/>
          <w:szCs w:val="20"/>
          <w:color w:val="auto"/>
        </w:rPr>
        <w:t>” means a Person (other than an individual) that (a) only owns a single real property and/or cash and other assets of nominal value incidental to such Person’s ownership of such real property; (b) is engaged only in the business of owning, developing and/or leasing such real property and activities incidental thereto; and (c) receives substantially all of its gross revenues from such real property. In addition, if the assets of a Person consist solely of (i) Equity Interests in one or more other Single Asset Entities and (ii) cash and other assets of nominal value incidental to such Person’s ownership of the other Single Asset Entities, such Person shall also be deemed to be a Single Asset Entity for purposes of this Agreement (such an entity, a “Single Asset Holding Company”).</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Single Asset Holding Company</w:t>
      </w:r>
      <w:r>
        <w:rPr>
          <w:rFonts w:ascii="Arial" w:cs="Arial" w:eastAsia="Arial" w:hAnsi="Arial"/>
          <w:sz w:val="20"/>
          <w:szCs w:val="20"/>
          <w:color w:val="auto"/>
        </w:rPr>
        <w:t xml:space="preserve">” has the meaning </w:t>
      </w:r>
      <w:r>
        <w:rPr>
          <w:rFonts w:ascii="Arial" w:cs="Arial" w:eastAsia="Arial" w:hAnsi="Arial"/>
          <w:sz w:val="20"/>
          <w:szCs w:val="20"/>
          <w:color w:val="FF0000"/>
          <w:strike w:val="1"/>
        </w:rPr>
        <w:t>given that term</w:t>
      </w:r>
      <w:r>
        <w:rPr>
          <w:rFonts w:ascii="Arial" w:cs="Arial" w:eastAsia="Arial" w:hAnsi="Arial"/>
          <w:sz w:val="20"/>
          <w:szCs w:val="20"/>
          <w:b w:val="1"/>
          <w:bCs w:val="1"/>
          <w:u w:val="single" w:color="auto"/>
          <w:color w:val="0000FF"/>
          <w:highlight w:val="lightGray"/>
        </w:rPr>
        <w:t>specified</w:t>
      </w:r>
      <w:r>
        <w:rPr>
          <w:rFonts w:ascii="Arial" w:cs="Arial" w:eastAsia="Arial" w:hAnsi="Arial"/>
          <w:sz w:val="20"/>
          <w:szCs w:val="20"/>
          <w:color w:val="auto"/>
        </w:rPr>
        <w:t xml:space="preserve"> in the definition of “Single Asset Entity.”</w:t>
      </w:r>
    </w:p>
    <w:p>
      <w:pPr>
        <w:spacing w:after="0" w:line="251" w:lineRule="exact"/>
        <w:rPr>
          <w:sz w:val="20"/>
          <w:szCs w:val="20"/>
          <w:color w:val="auto"/>
        </w:rPr>
      </w:pPr>
    </w:p>
    <w:p>
      <w:pPr>
        <w:jc w:val="both"/>
        <w:ind w:firstLine="600"/>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and “</w:t>
      </w:r>
      <w:r>
        <w:rPr>
          <w:rFonts w:ascii="Arial" w:cs="Arial" w:eastAsia="Arial" w:hAnsi="Arial"/>
          <w:sz w:val="19"/>
          <w:szCs w:val="19"/>
          <w:u w:val="single" w:color="auto"/>
          <w:color w:val="auto"/>
        </w:rPr>
        <w:t>Solvency</w:t>
      </w:r>
      <w:r>
        <w:rPr>
          <w:rFonts w:ascii="Arial" w:cs="Arial" w:eastAsia="Arial" w:hAnsi="Arial"/>
          <w:sz w:val="19"/>
          <w:szCs w:val="19"/>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98"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Solvency Certificate</w:t>
      </w:r>
      <w:r>
        <w:rPr>
          <w:rFonts w:ascii="Arial" w:cs="Arial" w:eastAsia="Arial" w:hAnsi="Arial"/>
          <w:sz w:val="20"/>
          <w:szCs w:val="20"/>
          <w:color w:val="auto"/>
        </w:rPr>
        <w:t xml:space="preserve">” means a Solvency Certificate of the chief financial officer of the REIT substantially in the form of </w:t>
      </w:r>
      <w:r>
        <w:rPr>
          <w:rFonts w:ascii="Arial" w:cs="Arial" w:eastAsia="Arial" w:hAnsi="Arial"/>
          <w:sz w:val="20"/>
          <w:szCs w:val="20"/>
          <w:u w:val="single" w:color="auto"/>
          <w:color w:val="auto"/>
        </w:rPr>
        <w:t>Exhibit G</w:t>
      </w:r>
      <w:r>
        <w:rPr>
          <w:rFonts w:ascii="Arial" w:cs="Arial" w:eastAsia="Arial" w:hAnsi="Arial"/>
          <w:sz w:val="20"/>
          <w:szCs w:val="20"/>
          <w:color w:val="auto"/>
        </w:rPr>
        <w:t>.</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Event of Default</w:t>
      </w:r>
      <w:r>
        <w:rPr>
          <w:rFonts w:ascii="Arial" w:cs="Arial" w:eastAsia="Arial" w:hAnsi="Arial"/>
          <w:sz w:val="20"/>
          <w:szCs w:val="20"/>
          <w:color w:val="auto"/>
        </w:rPr>
        <w:t xml:space="preserve">” means an Event of Default arising under </w:t>
      </w:r>
      <w:r>
        <w:rPr>
          <w:rFonts w:ascii="Arial" w:cs="Arial" w:eastAsia="Arial" w:hAnsi="Arial"/>
          <w:sz w:val="20"/>
          <w:szCs w:val="20"/>
          <w:u w:val="single" w:color="auto"/>
          <w:color w:val="auto"/>
        </w:rPr>
        <w:t>Section 8.01(a)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(f)</w:t>
      </w:r>
      <w:r>
        <w:rPr>
          <w:rFonts w:ascii="Arial" w:cs="Arial" w:eastAsia="Arial" w:hAnsi="Arial"/>
          <w:sz w:val="20"/>
          <w:szCs w:val="20"/>
          <w:color w:val="auto"/>
        </w:rPr>
        <w:t>.</w:t>
      </w:r>
    </w:p>
    <w:p>
      <w:pPr>
        <w:spacing w:after="0" w:line="239" w:lineRule="exact"/>
        <w:rPr>
          <w:sz w:val="20"/>
          <w:szCs w:val="20"/>
          <w:color w:val="auto"/>
        </w:rPr>
      </w:pPr>
    </w:p>
    <w:p>
      <w:pPr>
        <w:jc w:val="both"/>
        <w:ind w:firstLine="600"/>
        <w:spacing w:after="0" w:line="263" w:lineRule="auto"/>
        <w:rPr>
          <w:sz w:val="20"/>
          <w:szCs w:val="20"/>
          <w:color w:val="auto"/>
        </w:rPr>
      </w:pPr>
      <w:r>
        <w:rPr>
          <w:rFonts w:ascii="Arial" w:cs="Arial" w:eastAsia="Arial" w:hAnsi="Arial"/>
          <w:sz w:val="20"/>
          <w:szCs w:val="20"/>
          <w:b w:val="1"/>
          <w:bCs w:val="1"/>
          <w:u w:val="single" w:color="auto"/>
          <w:color w:val="0000FF"/>
          <w:highlight w:val="lightGray"/>
        </w:rPr>
        <w:t>“Specified Investments” means Investments by the REIT, the Borrower or any of their respective Subsidiaries in or in respect of (a) costs to construct Portfolio Properties (i.e., construction-in-progress) and real property assets under development (a “Development</w:t>
      </w:r>
    </w:p>
    <w:p>
      <w:pPr>
        <w:spacing w:after="0" w:line="17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820"/>
          </w:cols>
          <w:pgMar w:left="840" w:top="789" w:right="239" w:bottom="1440" w:gutter="0" w:footer="0" w:header="0"/>
        </w:sectPr>
      </w:pPr>
    </w:p>
    <w:bookmarkStart w:id="265" w:name="page266"/>
    <w:bookmarkEnd w:id="265"/>
    <w:p>
      <w:pPr>
        <w:jc w:val="both"/>
        <w:spacing w:after="0" w:line="279" w:lineRule="auto"/>
        <w:rPr>
          <w:sz w:val="20"/>
          <w:szCs w:val="20"/>
          <w:color w:val="auto"/>
        </w:rPr>
      </w:pPr>
      <w:r>
        <w:rPr>
          <w:rFonts w:ascii="Arial" w:cs="Arial" w:eastAsia="Arial" w:hAnsi="Arial"/>
          <w:sz w:val="20"/>
          <w:szCs w:val="20"/>
          <w:b w:val="1"/>
          <w:bCs w:val="1"/>
          <w:u w:val="single" w:color="auto"/>
          <w:color w:val="0000FF"/>
          <w:highlight w:val="lightGray"/>
        </w:rPr>
        <w:t>Investment”), (b) Unconsolidated Affiliates, (c) unimproved land holdings and (d) commercial mortgage loans and commercial real estate-related mezzanine loans.</w:t>
      </w:r>
    </w:p>
    <w:p>
      <w:pPr>
        <w:spacing w:after="0" w:line="177" w:lineRule="exact"/>
        <w:rPr>
          <w:sz w:val="20"/>
          <w:szCs w:val="20"/>
          <w:color w:val="auto"/>
        </w:rPr>
      </w:pPr>
    </w:p>
    <w:p>
      <w:pPr>
        <w:jc w:val="both"/>
        <w:ind w:firstLine="6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Stabilization Date</w:t>
      </w:r>
      <w:r>
        <w:rPr>
          <w:rFonts w:ascii="Arial" w:cs="Arial" w:eastAsia="Arial" w:hAnsi="Arial"/>
          <w:sz w:val="18"/>
          <w:szCs w:val="18"/>
          <w:color w:val="auto"/>
        </w:rPr>
        <w:t xml:space="preserve">” means, with respect to any Portfolio Property under development in which </w:t>
      </w:r>
      <w:r>
        <w:rPr>
          <w:rFonts w:ascii="Arial" w:cs="Arial" w:eastAsia="Arial" w:hAnsi="Arial"/>
          <w:sz w:val="18"/>
          <w:szCs w:val="18"/>
          <w:color w:val="FF0000"/>
          <w:strike w:val="1"/>
        </w:rPr>
        <w:t>an</w:t>
      </w:r>
      <w:r>
        <w:rPr>
          <w:rFonts w:ascii="Arial" w:cs="Arial" w:eastAsia="Arial" w:hAnsi="Arial"/>
          <w:sz w:val="18"/>
          <w:szCs w:val="18"/>
          <w:b w:val="1"/>
          <w:bCs w:val="1"/>
          <w:u w:val="single" w:color="auto"/>
          <w:color w:val="0000FF"/>
          <w:highlight w:val="lightGray"/>
        </w:rPr>
        <w:t>a Development</w:t>
      </w:r>
      <w:r>
        <w:rPr>
          <w:rFonts w:ascii="Arial" w:cs="Arial" w:eastAsia="Arial" w:hAnsi="Arial"/>
          <w:sz w:val="18"/>
          <w:szCs w:val="18"/>
          <w:color w:val="auto"/>
        </w:rPr>
        <w:t xml:space="preserve"> Investment was made by the REIT or a Subsidiary thereof </w:t>
      </w:r>
      <w:r>
        <w:rPr>
          <w:rFonts w:ascii="Arial" w:cs="Arial" w:eastAsia="Arial" w:hAnsi="Arial"/>
          <w:sz w:val="18"/>
          <w:szCs w:val="18"/>
          <w:color w:val="FF0000"/>
          <w:strike w:val="1"/>
        </w:rPr>
        <w:t>pursuant to</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Section 7.03(e)</w:t>
      </w:r>
      <w:r>
        <w:rPr>
          <w:rFonts w:ascii="Arial" w:cs="Arial" w:eastAsia="Arial" w:hAnsi="Arial"/>
          <w:sz w:val="18"/>
          <w:szCs w:val="18"/>
          <w:color w:val="auto"/>
        </w:rPr>
        <w:t xml:space="preserve"> and subsequent to such Investment the construction of such Portfolio Property has been substantially completed, the date that is the earlier of (i) the last day of the first full fiscal quarter of the REIT following substantial completion of such construction for which financial statements have been provided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in which Portfolio Property Net Operating Income of such Portfolio Property for such fiscal quarter is greater than $0 and (ii) the last day of the second full fiscal quarter of the REIT following substantial completion of such construction in which financial statements have been provided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Each reference to Investments made pursuant to </w:t>
      </w:r>
      <w:r>
        <w:rPr>
          <w:rFonts w:ascii="Arial" w:cs="Arial" w:eastAsia="Arial" w:hAnsi="Arial"/>
          <w:sz w:val="18"/>
          <w:szCs w:val="18"/>
          <w:u w:val="single" w:color="auto"/>
          <w:color w:val="FF0000"/>
          <w:strike w:val="1"/>
        </w:rPr>
        <w:t>Section 7.03(e)</w:t>
      </w:r>
      <w:r>
        <w:rPr>
          <w:rFonts w:ascii="Arial" w:cs="Arial" w:eastAsia="Arial" w:hAnsi="Arial"/>
          <w:sz w:val="18"/>
          <w:szCs w:val="18"/>
          <w:color w:val="FF0000"/>
          <w:strike w:val="1"/>
        </w:rPr>
        <w:t xml:space="preserve"> in this definition shall be deemed to include, without duplication, Investments made prior to the Closing Date pursuant to Section 7.03(e) of the Revolving Credit Agreement.</w:t>
      </w:r>
    </w:p>
    <w:p>
      <w:pPr>
        <w:spacing w:after="0" w:line="190"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Stabilized Portfolio Property</w:t>
      </w:r>
      <w:r>
        <w:rPr>
          <w:rFonts w:ascii="Arial" w:cs="Arial" w:eastAsia="Arial" w:hAnsi="Arial"/>
          <w:sz w:val="20"/>
          <w:szCs w:val="20"/>
          <w:color w:val="auto"/>
        </w:rPr>
        <w:t xml:space="preserve">” means, as of any date of determination, any Portfolio Property (i) that was previously (but is no longer) under development and in which </w:t>
      </w:r>
      <w:r>
        <w:rPr>
          <w:rFonts w:ascii="Arial" w:cs="Arial" w:eastAsia="Arial" w:hAnsi="Arial"/>
          <w:sz w:val="20"/>
          <w:szCs w:val="20"/>
          <w:color w:val="FF0000"/>
          <w:strike w:val="1"/>
        </w:rPr>
        <w:t>an</w:t>
      </w:r>
      <w:r>
        <w:rPr>
          <w:rFonts w:ascii="Arial" w:cs="Arial" w:eastAsia="Arial" w:hAnsi="Arial"/>
          <w:sz w:val="20"/>
          <w:szCs w:val="20"/>
          <w:b w:val="1"/>
          <w:bCs w:val="1"/>
          <w:u w:val="single" w:color="auto"/>
          <w:color w:val="0000FF"/>
          <w:highlight w:val="lightGray"/>
        </w:rPr>
        <w:t>a Development</w:t>
      </w:r>
      <w:r>
        <w:rPr>
          <w:rFonts w:ascii="Arial" w:cs="Arial" w:eastAsia="Arial" w:hAnsi="Arial"/>
          <w:sz w:val="20"/>
          <w:szCs w:val="20"/>
          <w:color w:val="auto"/>
        </w:rPr>
        <w:t xml:space="preserve"> Investment was made by the REIT or a Subsidiary thereof after </w:t>
      </w:r>
      <w:r>
        <w:rPr>
          <w:rFonts w:ascii="Arial" w:cs="Arial" w:eastAsia="Arial" w:hAnsi="Arial"/>
          <w:sz w:val="20"/>
          <w:szCs w:val="20"/>
          <w:color w:val="FF0000"/>
          <w:strike w:val="1"/>
        </w:rPr>
        <w:t>January 9,</w:t>
      </w:r>
      <w:r>
        <w:rPr>
          <w:rFonts w:ascii="Arial" w:cs="Arial" w:eastAsia="Arial" w:hAnsi="Arial"/>
          <w:sz w:val="20"/>
          <w:szCs w:val="20"/>
          <w:color w:val="auto"/>
        </w:rPr>
        <w:t xml:space="preserve"> </w:t>
      </w:r>
      <w:r>
        <w:rPr>
          <w:rFonts w:ascii="Arial" w:cs="Arial" w:eastAsia="Arial" w:hAnsi="Arial"/>
          <w:sz w:val="20"/>
          <w:szCs w:val="20"/>
          <w:color w:val="FF0000"/>
          <w:strike w:val="1"/>
        </w:rPr>
        <w:t>2014 pursuant to</w:t>
      </w:r>
      <w:r>
        <w:rPr>
          <w:rFonts w:ascii="Arial" w:cs="Arial" w:eastAsia="Arial" w:hAnsi="Arial"/>
          <w:sz w:val="20"/>
          <w:szCs w:val="20"/>
          <w:color w:val="FF0000"/>
        </w:rPr>
        <w:t xml:space="preserve"> </w:t>
      </w:r>
      <w:r>
        <w:rPr>
          <w:rFonts w:ascii="Arial" w:cs="Arial" w:eastAsia="Arial" w:hAnsi="Arial"/>
          <w:sz w:val="20"/>
          <w:szCs w:val="20"/>
          <w:u w:val="single" w:color="auto"/>
          <w:color w:val="FF0000"/>
          <w:strike w:val="1"/>
        </w:rPr>
        <w:t>Section 7.03(e)</w:t>
      </w:r>
      <w:r>
        <w:rPr>
          <w:rFonts w:ascii="Arial" w:cs="Arial" w:eastAsia="Arial" w:hAnsi="Arial"/>
          <w:sz w:val="20"/>
          <w:szCs w:val="20"/>
          <w:b w:val="1"/>
          <w:bCs w:val="1"/>
          <w:u w:val="single" w:color="auto"/>
          <w:color w:val="0000FF"/>
          <w:highlight w:val="lightGray"/>
        </w:rPr>
        <w:t>the Third Amendment Effective Date</w:t>
      </w:r>
      <w:r>
        <w:rPr>
          <w:rFonts w:ascii="Arial" w:cs="Arial" w:eastAsia="Arial" w:hAnsi="Arial"/>
          <w:sz w:val="20"/>
          <w:szCs w:val="20"/>
          <w:color w:val="FF0000"/>
        </w:rPr>
        <w:t xml:space="preserve"> </w:t>
      </w:r>
      <w:r>
        <w:rPr>
          <w:rFonts w:ascii="Arial" w:cs="Arial" w:eastAsia="Arial" w:hAnsi="Arial"/>
          <w:sz w:val="20"/>
          <w:szCs w:val="20"/>
          <w:color w:val="000000"/>
        </w:rPr>
        <w:t>and (ii) in respect of which the Stabilization Date has</w:t>
      </w:r>
      <w:r>
        <w:rPr>
          <w:rFonts w:ascii="Arial" w:cs="Arial" w:eastAsia="Arial" w:hAnsi="Arial"/>
          <w:sz w:val="20"/>
          <w:szCs w:val="20"/>
          <w:color w:val="FF0000"/>
        </w:rPr>
        <w:t xml:space="preserve"> </w:t>
      </w:r>
      <w:r>
        <w:rPr>
          <w:rFonts w:ascii="Arial" w:cs="Arial" w:eastAsia="Arial" w:hAnsi="Arial"/>
          <w:sz w:val="20"/>
          <w:szCs w:val="20"/>
          <w:color w:val="000000"/>
        </w:rPr>
        <w:t xml:space="preserve">occurred on or prior to such date. </w:t>
      </w:r>
      <w:r>
        <w:rPr>
          <w:rFonts w:ascii="Arial" w:cs="Arial" w:eastAsia="Arial" w:hAnsi="Arial"/>
          <w:sz w:val="20"/>
          <w:szCs w:val="20"/>
          <w:color w:val="FF0000"/>
          <w:strike w:val="1"/>
        </w:rPr>
        <w:t>Each reference to Investments made pursuant to</w:t>
      </w:r>
      <w:r>
        <w:rPr>
          <w:rFonts w:ascii="Arial" w:cs="Arial" w:eastAsia="Arial" w:hAnsi="Arial"/>
          <w:sz w:val="20"/>
          <w:szCs w:val="20"/>
          <w:color w:val="000000"/>
        </w:rPr>
        <w:t xml:space="preserve"> </w:t>
      </w:r>
      <w:r>
        <w:rPr>
          <w:rFonts w:ascii="Arial" w:cs="Arial" w:eastAsia="Arial" w:hAnsi="Arial"/>
          <w:sz w:val="20"/>
          <w:szCs w:val="20"/>
          <w:u w:val="single" w:color="auto"/>
          <w:color w:val="FF0000"/>
          <w:strike w:val="1"/>
        </w:rPr>
        <w:t>Section 7.03(e)</w:t>
      </w:r>
      <w:r>
        <w:rPr>
          <w:rFonts w:ascii="Arial" w:cs="Arial" w:eastAsia="Arial" w:hAnsi="Arial"/>
          <w:sz w:val="20"/>
          <w:szCs w:val="20"/>
          <w:color w:val="000000"/>
        </w:rPr>
        <w:t xml:space="preserve"> </w:t>
      </w:r>
      <w:r>
        <w:rPr>
          <w:rFonts w:ascii="Arial" w:cs="Arial" w:eastAsia="Arial" w:hAnsi="Arial"/>
          <w:sz w:val="20"/>
          <w:szCs w:val="20"/>
          <w:color w:val="FF0000"/>
          <w:strike w:val="1"/>
        </w:rPr>
        <w:t>in this definition shall be deemed to</w:t>
      </w:r>
      <w:r>
        <w:rPr>
          <w:rFonts w:ascii="Arial" w:cs="Arial" w:eastAsia="Arial" w:hAnsi="Arial"/>
          <w:sz w:val="20"/>
          <w:szCs w:val="20"/>
          <w:color w:val="000000"/>
        </w:rPr>
        <w:t xml:space="preserve"> </w:t>
      </w:r>
      <w:r>
        <w:rPr>
          <w:rFonts w:ascii="Arial" w:cs="Arial" w:eastAsia="Arial" w:hAnsi="Arial"/>
          <w:sz w:val="20"/>
          <w:szCs w:val="20"/>
          <w:color w:val="FF0000"/>
          <w:strike w:val="1"/>
        </w:rPr>
        <w:t xml:space="preserve">also include, without duplication, Investments made after January 9, 2014 and prior to the Closing Date of the type contemplated by </w:t>
      </w:r>
      <w:r>
        <w:rPr>
          <w:rFonts w:ascii="Arial" w:cs="Arial" w:eastAsia="Arial" w:hAnsi="Arial"/>
          <w:sz w:val="20"/>
          <w:szCs w:val="20"/>
          <w:u w:val="single" w:color="auto"/>
          <w:color w:val="FF0000"/>
          <w:strike w:val="1"/>
        </w:rPr>
        <w:t>Section 7.03(e)</w:t>
      </w:r>
      <w:r>
        <w:rPr>
          <w:rFonts w:ascii="Arial" w:cs="Arial" w:eastAsia="Arial" w:hAnsi="Arial"/>
          <w:sz w:val="20"/>
          <w:szCs w:val="20"/>
          <w:color w:val="FF0000"/>
          <w:strike w:val="1"/>
        </w:rPr>
        <w:t>.</w:t>
      </w:r>
    </w:p>
    <w:p>
      <w:pPr>
        <w:spacing w:after="0" w:line="212"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Arial" w:cs="Arial" w:eastAsia="Arial" w:hAnsi="Arial"/>
          <w:sz w:val="20"/>
          <w:szCs w:val="20"/>
          <w:u w:val="single" w:color="auto"/>
          <w:color w:val="auto"/>
        </w:rPr>
        <w:t>Subsidiary</w:t>
      </w:r>
      <w:r>
        <w:rPr>
          <w:rFonts w:ascii="Arial" w:cs="Arial" w:eastAsia="Arial" w:hAnsi="Arial"/>
          <w:sz w:val="20"/>
          <w:szCs w:val="20"/>
          <w:color w:val="auto"/>
        </w:rPr>
        <w:t>” or to “</w:t>
      </w:r>
      <w:r>
        <w:rPr>
          <w:rFonts w:ascii="Arial" w:cs="Arial" w:eastAsia="Arial" w:hAnsi="Arial"/>
          <w:sz w:val="20"/>
          <w:szCs w:val="20"/>
          <w:u w:val="single" w:color="auto"/>
          <w:color w:val="auto"/>
        </w:rPr>
        <w:t>Subsidiaries</w:t>
      </w:r>
      <w:r>
        <w:rPr>
          <w:rFonts w:ascii="Arial" w:cs="Arial" w:eastAsia="Arial" w:hAnsi="Arial"/>
          <w:sz w:val="20"/>
          <w:szCs w:val="20"/>
          <w:color w:val="auto"/>
        </w:rPr>
        <w:t>” shall refer to a Subsidiary or Subsidiaries of the REIT.</w:t>
      </w:r>
    </w:p>
    <w:p>
      <w:pPr>
        <w:spacing w:after="0" w:line="212" w:lineRule="exact"/>
        <w:rPr>
          <w:sz w:val="20"/>
          <w:szCs w:val="20"/>
          <w:color w:val="auto"/>
        </w:rPr>
      </w:pPr>
    </w:p>
    <w:p>
      <w:pPr>
        <w:jc w:val="both"/>
        <w:ind w:firstLine="60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Contract</w:t>
      </w:r>
      <w:r>
        <w:rPr>
          <w:rFonts w:ascii="Arial" w:cs="Arial" w:eastAsia="Arial" w:hAnsi="Arial"/>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8"/>
          <w:szCs w:val="18"/>
          <w:u w:val="single" w:color="auto"/>
          <w:color w:val="auto"/>
        </w:rPr>
        <w:t>Master Agreement</w:t>
      </w:r>
      <w:r>
        <w:rPr>
          <w:rFonts w:ascii="Arial" w:cs="Arial" w:eastAsia="Arial" w:hAnsi="Arial"/>
          <w:sz w:val="18"/>
          <w:szCs w:val="18"/>
          <w:color w:val="auto"/>
        </w:rPr>
        <w:t>”), including any such obligations or liabilities under any Master Agreement.</w:t>
      </w:r>
    </w:p>
    <w:p>
      <w:pPr>
        <w:spacing w:after="0" w:line="187"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Termination Value</w:t>
      </w:r>
      <w:r>
        <w:rPr>
          <w:rFonts w:ascii="Arial" w:cs="Arial" w:eastAsia="Arial" w:hAnsi="Arial"/>
          <w:sz w:val="20"/>
          <w:szCs w:val="20"/>
          <w:color w:val="auto"/>
        </w:rPr>
        <w:t>” means, in respect of any one or more Swap Contracts, after taking into account the effect of any legally enforceable netting agreement relating to such Swap Contracts,</w:t>
      </w:r>
    </w:p>
    <w:p>
      <w:pPr>
        <w:spacing w:after="0" w:line="16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20"/>
          </w:cols>
          <w:pgMar w:left="840" w:top="789" w:right="239" w:bottom="1440" w:gutter="0" w:footer="0" w:header="0"/>
        </w:sectPr>
      </w:pPr>
    </w:p>
    <w:bookmarkStart w:id="266" w:name="page267"/>
    <w:bookmarkEnd w:id="266"/>
    <w:p>
      <w:pPr>
        <w:jc w:val="both"/>
        <w:ind w:left="1" w:hanging="1"/>
        <w:spacing w:after="0" w:line="293" w:lineRule="auto"/>
        <w:tabs>
          <w:tab w:leader="none" w:pos="296" w:val="left"/>
        </w:tabs>
        <w:numPr>
          <w:ilvl w:val="0"/>
          <w:numId w:val="279"/>
        </w:numPr>
        <w:rPr>
          <w:rFonts w:ascii="Arial" w:cs="Arial" w:eastAsia="Arial" w:hAnsi="Arial"/>
          <w:sz w:val="18"/>
          <w:szCs w:val="18"/>
          <w:color w:val="auto"/>
        </w:rPr>
      </w:pPr>
      <w:r>
        <w:rPr>
          <w:rFonts w:ascii="Arial" w:cs="Arial" w:eastAsia="Arial" w:hAnsi="Arial"/>
          <w:sz w:val="18"/>
          <w:szCs w:val="18"/>
          <w:color w:val="auto"/>
        </w:rPr>
        <w:t>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6" w:lineRule="exact"/>
        <w:rPr>
          <w:sz w:val="20"/>
          <w:szCs w:val="20"/>
          <w:color w:val="auto"/>
        </w:rPr>
      </w:pPr>
    </w:p>
    <w:p>
      <w:pPr>
        <w:jc w:val="both"/>
        <w:ind w:left="1" w:firstLine="60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Synthetic Debt</w:t>
      </w:r>
      <w:r>
        <w:rPr>
          <w:rFonts w:ascii="Arial" w:cs="Arial" w:eastAsia="Arial" w:hAnsi="Arial"/>
          <w:sz w:val="19"/>
          <w:szCs w:val="19"/>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“Indebtedness” or as a liability on the consolidated balance sheet of such Person and its Subsidiaries in accordance with GAAP.</w:t>
      </w:r>
    </w:p>
    <w:p>
      <w:pPr>
        <w:spacing w:after="0" w:line="192" w:lineRule="exact"/>
        <w:rPr>
          <w:sz w:val="20"/>
          <w:szCs w:val="20"/>
          <w:color w:val="auto"/>
        </w:rPr>
      </w:pPr>
    </w:p>
    <w:p>
      <w:pPr>
        <w:jc w:val="both"/>
        <w:ind w:left="1" w:firstLine="6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Synthetic Lease Obligation</w:t>
      </w:r>
      <w:r>
        <w:rPr>
          <w:rFonts w:ascii="Arial" w:cs="Arial" w:eastAsia="Arial" w:hAnsi="Arial"/>
          <w:sz w:val="20"/>
          <w:szCs w:val="20"/>
          <w:color w:val="auto"/>
        </w:rPr>
        <w:t xml:space="preserve">”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w:t>
      </w:r>
      <w:r>
        <w:rPr>
          <w:rFonts w:ascii="Arial" w:cs="Arial" w:eastAsia="Arial" w:hAnsi="Arial"/>
          <w:sz w:val="20"/>
          <w:szCs w:val="20"/>
          <w:color w:val="FF0000"/>
          <w:strike w:val="1"/>
        </w:rPr>
        <w:t>the indebtedness of</w:t>
      </w:r>
      <w:r>
        <w:rPr>
          <w:rFonts w:ascii="Arial" w:cs="Arial" w:eastAsia="Arial" w:hAnsi="Arial"/>
          <w:sz w:val="20"/>
          <w:szCs w:val="20"/>
          <w:b w:val="1"/>
          <w:bCs w:val="1"/>
          <w:u w:val="single" w:color="auto"/>
          <w:color w:val="0000FF"/>
          <w:highlight w:val="lightGray"/>
        </w:rPr>
        <w:t>Indebtedness owed by</w:t>
      </w:r>
      <w:r>
        <w:rPr>
          <w:rFonts w:ascii="Arial" w:cs="Arial" w:eastAsia="Arial" w:hAnsi="Arial"/>
          <w:sz w:val="20"/>
          <w:szCs w:val="20"/>
          <w:color w:val="auto"/>
        </w:rPr>
        <w:t xml:space="preserve"> such Person (without regard to accounting treatment).</w:t>
      </w:r>
    </w:p>
    <w:p>
      <w:pPr>
        <w:spacing w:after="0" w:line="212" w:lineRule="exact"/>
        <w:rPr>
          <w:sz w:val="20"/>
          <w:szCs w:val="20"/>
          <w:color w:val="auto"/>
        </w:rPr>
      </w:pPr>
    </w:p>
    <w:p>
      <w:pPr>
        <w:jc w:val="both"/>
        <w:ind w:left="1"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202" w:lineRule="exact"/>
        <w:rPr>
          <w:sz w:val="20"/>
          <w:szCs w:val="20"/>
          <w:color w:val="auto"/>
        </w:rPr>
      </w:pPr>
    </w:p>
    <w:p>
      <w:pPr>
        <w:ind w:left="60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shall, unless otherwise specified, include each Incremental Term</w:t>
      </w:r>
    </w:p>
    <w:p>
      <w:pPr>
        <w:spacing w:after="0" w:line="46" w:lineRule="exact"/>
        <w:rPr>
          <w:sz w:val="20"/>
          <w:szCs w:val="20"/>
          <w:color w:val="auto"/>
        </w:rPr>
      </w:pPr>
    </w:p>
    <w:p>
      <w:pPr>
        <w:ind w:left="1"/>
        <w:spacing w:after="0"/>
        <w:rPr>
          <w:sz w:val="20"/>
          <w:szCs w:val="20"/>
          <w:color w:val="auto"/>
        </w:rPr>
      </w:pPr>
      <w:r>
        <w:rPr>
          <w:rFonts w:ascii="Arial" w:cs="Arial" w:eastAsia="Arial" w:hAnsi="Arial"/>
          <w:sz w:val="20"/>
          <w:szCs w:val="20"/>
          <w:color w:val="auto"/>
        </w:rPr>
        <w:t>Loan.</w:t>
      </w:r>
    </w:p>
    <w:p>
      <w:pPr>
        <w:spacing w:after="0" w:line="229" w:lineRule="exact"/>
        <w:rPr>
          <w:sz w:val="20"/>
          <w:szCs w:val="20"/>
          <w:color w:val="auto"/>
        </w:rPr>
      </w:pPr>
    </w:p>
    <w:p>
      <w:pPr>
        <w:jc w:val="both"/>
        <w:ind w:left="1" w:firstLine="600"/>
        <w:spacing w:after="0" w:line="246"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Note</w:t>
      </w:r>
      <w:r>
        <w:rPr>
          <w:rFonts w:ascii="Arial" w:cs="Arial" w:eastAsia="Arial" w:hAnsi="Arial"/>
          <w:sz w:val="20"/>
          <w:szCs w:val="20"/>
          <w:color w:val="auto"/>
        </w:rPr>
        <w:t xml:space="preserve">” means a promissory note made by the Borrower in favor of a Lender evidencing Term Loans made by such Lender, substantially in the form of </w:t>
      </w:r>
      <w:r>
        <w:rPr>
          <w:rFonts w:ascii="Arial" w:cs="Arial" w:eastAsia="Arial" w:hAnsi="Arial"/>
          <w:sz w:val="20"/>
          <w:szCs w:val="20"/>
          <w:u w:val="single" w:color="auto"/>
          <w:color w:val="auto"/>
        </w:rPr>
        <w:t>Exhibit C</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2</w:t>
      </w:r>
      <w:r>
        <w:rPr>
          <w:rFonts w:ascii="Arial" w:cs="Arial" w:eastAsia="Arial" w:hAnsi="Arial"/>
          <w:sz w:val="20"/>
          <w:szCs w:val="20"/>
          <w:color w:val="auto"/>
        </w:rPr>
        <w:t>.</w:t>
      </w:r>
    </w:p>
    <w:p>
      <w:pPr>
        <w:spacing w:after="0" w:line="215" w:lineRule="exact"/>
        <w:rPr>
          <w:sz w:val="20"/>
          <w:szCs w:val="20"/>
          <w:color w:val="auto"/>
        </w:rPr>
      </w:pPr>
    </w:p>
    <w:p>
      <w:pPr>
        <w:ind w:left="601"/>
        <w:spacing w:after="0"/>
        <w:rPr>
          <w:sz w:val="20"/>
          <w:szCs w:val="20"/>
          <w:color w:val="auto"/>
        </w:rPr>
      </w:pPr>
      <w:r>
        <w:rPr>
          <w:rFonts w:ascii="Arial" w:cs="Arial" w:eastAsia="Arial" w:hAnsi="Arial"/>
          <w:sz w:val="20"/>
          <w:szCs w:val="20"/>
          <w:b w:val="1"/>
          <w:bCs w:val="1"/>
          <w:u w:val="single" w:color="auto"/>
          <w:color w:val="0000FF"/>
          <w:highlight w:val="lightGray"/>
        </w:rPr>
        <w:t>“Third Amendment Effective Date” means January 9, 2018.</w:t>
      </w:r>
    </w:p>
    <w:p>
      <w:pPr>
        <w:spacing w:after="0" w:line="251" w:lineRule="exact"/>
        <w:rPr>
          <w:sz w:val="20"/>
          <w:szCs w:val="20"/>
          <w:color w:val="auto"/>
        </w:rPr>
      </w:pPr>
    </w:p>
    <w:p>
      <w:pPr>
        <w:ind w:left="60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Threshold Amount</w:t>
      </w:r>
      <w:r>
        <w:rPr>
          <w:rFonts w:ascii="Arial" w:cs="Arial" w:eastAsia="Arial" w:hAnsi="Arial"/>
          <w:sz w:val="20"/>
          <w:szCs w:val="20"/>
          <w:color w:val="auto"/>
        </w:rPr>
        <w:t>” means $35,000,000.</w:t>
      </w:r>
    </w:p>
    <w:p>
      <w:pPr>
        <w:spacing w:after="0" w:line="245" w:lineRule="exact"/>
        <w:rPr>
          <w:sz w:val="20"/>
          <w:szCs w:val="20"/>
          <w:color w:val="auto"/>
        </w:rPr>
      </w:pPr>
    </w:p>
    <w:p>
      <w:pPr>
        <w:jc w:val="both"/>
        <w:ind w:left="1" w:firstLine="600"/>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Asset Value</w:t>
      </w:r>
      <w:r>
        <w:rPr>
          <w:rFonts w:ascii="Arial" w:cs="Arial" w:eastAsia="Arial" w:hAnsi="Arial"/>
          <w:sz w:val="19"/>
          <w:szCs w:val="19"/>
          <w:color w:val="auto"/>
        </w:rPr>
        <w:t xml:space="preserve">” means, as of any time for the Consolidated Group, without duplication, (a) an amount equal (i) to the sum of the Portfolio Property Net Operating Income of each Portfolio Property owned, or ground leased pursuant to an Eligible Ground Lease, by the Consolidated Group for the then most recently ended fiscal quarter of the REIT for which financial statements have been provided to the Administrative Agent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(excluding each Disposed Portfolio Property, each Newly-Acquired Portfolio Property</w:t>
      </w:r>
      <w:r>
        <w:rPr>
          <w:rFonts w:ascii="Arial" w:cs="Arial" w:eastAsia="Arial" w:hAnsi="Arial"/>
          <w:sz w:val="19"/>
          <w:szCs w:val="19"/>
          <w:b w:val="1"/>
          <w:bCs w:val="1"/>
          <w:u w:val="single" w:color="auto"/>
          <w:color w:val="0000FF"/>
          <w:highlight w:val="lightGray"/>
        </w:rPr>
        <w:t>, each Qualified Development Property</w:t>
      </w:r>
      <w:r>
        <w:rPr>
          <w:rFonts w:ascii="Arial" w:cs="Arial" w:eastAsia="Arial" w:hAnsi="Arial"/>
          <w:sz w:val="19"/>
          <w:szCs w:val="19"/>
          <w:color w:val="auto"/>
        </w:rPr>
        <w:t xml:space="preserve"> and each Non-Stabilized Portfolio Property), </w:t>
      </w:r>
      <w:r>
        <w:rPr>
          <w:rFonts w:ascii="Arial" w:cs="Arial" w:eastAsia="Arial" w:hAnsi="Arial"/>
          <w:sz w:val="19"/>
          <w:szCs w:val="19"/>
          <w:i w:val="1"/>
          <w:iCs w:val="1"/>
          <w:color w:val="auto"/>
        </w:rPr>
        <w:t>divided by</w:t>
      </w:r>
      <w:r>
        <w:rPr>
          <w:rFonts w:ascii="Arial" w:cs="Arial" w:eastAsia="Arial" w:hAnsi="Arial"/>
          <w:sz w:val="19"/>
          <w:szCs w:val="19"/>
          <w:color w:val="auto"/>
        </w:rPr>
        <w:t xml:space="preserve"> the Applicable Capitalization Rate for each such Portfolio Property,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(ii) four, </w:t>
      </w:r>
      <w:r>
        <w:rPr>
          <w:rFonts w:ascii="Arial" w:cs="Arial" w:eastAsia="Arial" w:hAnsi="Arial"/>
          <w:sz w:val="19"/>
          <w:szCs w:val="19"/>
          <w:i w:val="1"/>
          <w:iCs w:val="1"/>
          <w:color w:val="auto"/>
        </w:rPr>
        <w:t>plus</w:t>
      </w:r>
      <w:r>
        <w:rPr>
          <w:rFonts w:ascii="Arial" w:cs="Arial" w:eastAsia="Arial" w:hAnsi="Arial"/>
          <w:sz w:val="19"/>
          <w:szCs w:val="19"/>
          <w:color w:val="auto"/>
        </w:rPr>
        <w:t xml:space="preserve"> (b) the acquisition cost paid by the applicable member(s) of the Consolidated Group for each Newly-Acquired Portfolio Property, </w:t>
      </w:r>
      <w:r>
        <w:rPr>
          <w:rFonts w:ascii="Arial" w:cs="Arial" w:eastAsia="Arial" w:hAnsi="Arial"/>
          <w:sz w:val="19"/>
          <w:szCs w:val="19"/>
          <w:i w:val="1"/>
          <w:iCs w:val="1"/>
          <w:color w:val="auto"/>
        </w:rPr>
        <w:t>plus</w:t>
      </w:r>
      <w:r>
        <w:rPr>
          <w:rFonts w:ascii="Arial" w:cs="Arial" w:eastAsia="Arial" w:hAnsi="Arial"/>
          <w:sz w:val="19"/>
          <w:szCs w:val="19"/>
          <w:color w:val="auto"/>
        </w:rPr>
        <w:t xml:space="preserve"> (c) the aggregate book value of all </w:t>
      </w:r>
      <w:r>
        <w:rPr>
          <w:rFonts w:ascii="Arial" w:cs="Arial" w:eastAsia="Arial" w:hAnsi="Arial"/>
          <w:sz w:val="19"/>
          <w:szCs w:val="19"/>
          <w:color w:val="FF0000"/>
          <w:strike w:val="1"/>
        </w:rPr>
        <w:t>Permitted</w:t>
      </w:r>
      <w:r>
        <w:rPr>
          <w:rFonts w:ascii="Arial" w:cs="Arial" w:eastAsia="Arial" w:hAnsi="Arial"/>
          <w:sz w:val="19"/>
          <w:szCs w:val="19"/>
          <w:b w:val="1"/>
          <w:bCs w:val="1"/>
          <w:u w:val="single" w:color="auto"/>
          <w:color w:val="0000FF"/>
          <w:highlight w:val="lightGray"/>
        </w:rPr>
        <w:t>Specified</w:t>
      </w:r>
      <w:r>
        <w:rPr>
          <w:rFonts w:ascii="Arial" w:cs="Arial" w:eastAsia="Arial" w:hAnsi="Arial"/>
          <w:sz w:val="19"/>
          <w:szCs w:val="19"/>
          <w:color w:val="FF0000"/>
        </w:rPr>
        <w:t xml:space="preserve"> </w:t>
      </w:r>
      <w:r>
        <w:rPr>
          <w:rFonts w:ascii="Arial" w:cs="Arial" w:eastAsia="Arial" w:hAnsi="Arial"/>
          <w:sz w:val="19"/>
          <w:szCs w:val="19"/>
          <w:color w:val="000000"/>
        </w:rPr>
        <w:t>Investments owned by the Consolidated Group at such time,</w:t>
      </w:r>
      <w:r>
        <w:rPr>
          <w:rFonts w:ascii="Arial" w:cs="Arial" w:eastAsia="Arial" w:hAnsi="Arial"/>
          <w:sz w:val="19"/>
          <w:szCs w:val="19"/>
          <w:color w:val="FF0000"/>
        </w:rPr>
        <w:t xml:space="preserve"> </w:t>
      </w:r>
      <w:r>
        <w:rPr>
          <w:rFonts w:ascii="Arial" w:cs="Arial" w:eastAsia="Arial" w:hAnsi="Arial"/>
          <w:sz w:val="19"/>
          <w:szCs w:val="19"/>
          <w:i w:val="1"/>
          <w:iCs w:val="1"/>
          <w:color w:val="000000"/>
        </w:rPr>
        <w:t>plus</w:t>
      </w:r>
      <w:r>
        <w:rPr>
          <w:rFonts w:ascii="Arial" w:cs="Arial" w:eastAsia="Arial" w:hAnsi="Arial"/>
          <w:sz w:val="19"/>
          <w:szCs w:val="19"/>
          <w:color w:val="FF0000"/>
        </w:rPr>
        <w:t xml:space="preserve"> </w:t>
      </w:r>
      <w:r>
        <w:rPr>
          <w:rFonts w:ascii="Arial" w:cs="Arial" w:eastAsia="Arial" w:hAnsi="Arial"/>
          <w:sz w:val="19"/>
          <w:szCs w:val="19"/>
          <w:color w:val="000000"/>
        </w:rPr>
        <w:t>(d) the aggregate undepreciated book value of all</w:t>
      </w:r>
      <w:r>
        <w:rPr>
          <w:rFonts w:ascii="Arial" w:cs="Arial" w:eastAsia="Arial" w:hAnsi="Arial"/>
          <w:sz w:val="19"/>
          <w:szCs w:val="19"/>
          <w:color w:val="FF0000"/>
        </w:rPr>
        <w:t xml:space="preserve"> </w:t>
      </w:r>
      <w:r>
        <w:rPr>
          <w:rFonts w:ascii="Arial" w:cs="Arial" w:eastAsia="Arial" w:hAnsi="Arial"/>
          <w:sz w:val="19"/>
          <w:szCs w:val="19"/>
          <w:color w:val="000000"/>
        </w:rPr>
        <w:t xml:space="preserve">Qualified Development Properties and all Non-Stabilized Portfolio Properties at such time, </w:t>
      </w:r>
      <w:r>
        <w:rPr>
          <w:rFonts w:ascii="Arial" w:cs="Arial" w:eastAsia="Arial" w:hAnsi="Arial"/>
          <w:sz w:val="19"/>
          <w:szCs w:val="19"/>
          <w:i w:val="1"/>
          <w:iCs w:val="1"/>
          <w:color w:val="000000"/>
        </w:rPr>
        <w:t>plus</w:t>
      </w:r>
      <w:r>
        <w:rPr>
          <w:rFonts w:ascii="Arial" w:cs="Arial" w:eastAsia="Arial" w:hAnsi="Arial"/>
          <w:sz w:val="19"/>
          <w:szCs w:val="19"/>
          <w:color w:val="000000"/>
        </w:rPr>
        <w:t xml:space="preserve"> (e) the Consolidated Group Pro Rata Share of each of the items referenced in clauses (a) through (d) of this definition (and the components thereof) to the extent relating to Portfolio Properties, </w:t>
      </w:r>
      <w:r>
        <w:rPr>
          <w:rFonts w:ascii="Arial" w:cs="Arial" w:eastAsia="Arial" w:hAnsi="Arial"/>
          <w:sz w:val="19"/>
          <w:szCs w:val="19"/>
          <w:color w:val="FF0000"/>
          <w:strike w:val="1"/>
        </w:rPr>
        <w:t>Permitted</w:t>
      </w:r>
      <w:r>
        <w:rPr>
          <w:rFonts w:ascii="Arial" w:cs="Arial" w:eastAsia="Arial" w:hAnsi="Arial"/>
          <w:sz w:val="19"/>
          <w:szCs w:val="19"/>
          <w:b w:val="1"/>
          <w:bCs w:val="1"/>
          <w:u w:val="single" w:color="auto"/>
          <w:color w:val="0000FF"/>
          <w:highlight w:val="lightGray"/>
        </w:rPr>
        <w:t>Specified</w:t>
      </w:r>
      <w:r>
        <w:rPr>
          <w:rFonts w:ascii="Arial" w:cs="Arial" w:eastAsia="Arial" w:hAnsi="Arial"/>
          <w:sz w:val="19"/>
          <w:szCs w:val="19"/>
          <w:color w:val="000000"/>
        </w:rPr>
        <w:t xml:space="preserve"> Investments, Qualified</w:t>
      </w:r>
    </w:p>
    <w:p>
      <w:pPr>
        <w:spacing w:after="0" w:line="181" w:lineRule="exact"/>
        <w:rPr>
          <w:sz w:val="20"/>
          <w:szCs w:val="20"/>
          <w:color w:val="auto"/>
        </w:rPr>
      </w:pPr>
    </w:p>
    <w:p>
      <w:pPr>
        <w:ind w:left="4961"/>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21"/>
          </w:cols>
          <w:pgMar w:left="839" w:top="795" w:right="239" w:bottom="1440" w:gutter="0" w:footer="0" w:header="0"/>
        </w:sectPr>
      </w:pPr>
    </w:p>
    <w:bookmarkStart w:id="267" w:name="page268"/>
    <w:bookmarkEnd w:id="267"/>
    <w:p>
      <w:pPr>
        <w:jc w:val="both"/>
        <w:spacing w:after="0" w:line="284" w:lineRule="auto"/>
        <w:rPr>
          <w:sz w:val="20"/>
          <w:szCs w:val="20"/>
          <w:color w:val="auto"/>
        </w:rPr>
      </w:pPr>
      <w:r>
        <w:rPr>
          <w:rFonts w:ascii="Arial" w:cs="Arial" w:eastAsia="Arial" w:hAnsi="Arial"/>
          <w:sz w:val="18"/>
          <w:szCs w:val="18"/>
          <w:color w:val="auto"/>
        </w:rPr>
        <w:t>Development Properties or Non-Stabilized Portfolio Properties, as applicable, owned by Unconsolidated Affiliates</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that for</w:t>
      </w:r>
      <w:r>
        <w:rPr>
          <w:rFonts w:ascii="Arial" w:cs="Arial" w:eastAsia="Arial" w:hAnsi="Arial"/>
          <w:sz w:val="18"/>
          <w:szCs w:val="18"/>
          <w:color w:val="auto"/>
        </w:rPr>
        <w:t xml:space="preserve"> </w:t>
      </w:r>
      <w:r>
        <w:rPr>
          <w:rFonts w:ascii="Arial" w:cs="Arial" w:eastAsia="Arial" w:hAnsi="Arial"/>
          <w:sz w:val="18"/>
          <w:szCs w:val="18"/>
          <w:color w:val="FF0000"/>
          <w:strike w:val="1"/>
        </w:rPr>
        <w:t>purposes of</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Section 7.03(b)(iii)</w:t>
      </w:r>
      <w:r>
        <w:rPr>
          <w:rFonts w:ascii="Arial" w:cs="Arial" w:eastAsia="Arial" w:hAnsi="Arial"/>
          <w:sz w:val="18"/>
          <w:szCs w:val="18"/>
          <w:color w:val="FF0000"/>
          <w:strike w:val="1"/>
        </w:rPr>
        <w:t>,</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(b)(iv)</w:t>
      </w:r>
      <w:r>
        <w:rPr>
          <w:rFonts w:ascii="Arial" w:cs="Arial" w:eastAsia="Arial" w:hAnsi="Arial"/>
          <w:sz w:val="18"/>
          <w:szCs w:val="18"/>
          <w:color w:val="FF0000"/>
          <w:strike w:val="1"/>
        </w:rPr>
        <w:t>,</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(c)</w:t>
      </w:r>
      <w:r>
        <w:rPr>
          <w:rFonts w:ascii="Arial" w:cs="Arial" w:eastAsia="Arial" w:hAnsi="Arial"/>
          <w:sz w:val="18"/>
          <w:szCs w:val="18"/>
          <w:color w:val="FF0000"/>
          <w:strike w:val="1"/>
        </w:rPr>
        <w:t>,</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(d)</w:t>
      </w:r>
      <w:r>
        <w:rPr>
          <w:rFonts w:ascii="Arial" w:cs="Arial" w:eastAsia="Arial" w:hAnsi="Arial"/>
          <w:sz w:val="18"/>
          <w:szCs w:val="18"/>
          <w:color w:val="FF0000"/>
        </w:rPr>
        <w:t xml:space="preserve"> </w:t>
      </w:r>
      <w:r>
        <w:rPr>
          <w:rFonts w:ascii="Arial" w:cs="Arial" w:eastAsia="Arial" w:hAnsi="Arial"/>
          <w:sz w:val="18"/>
          <w:szCs w:val="18"/>
          <w:color w:val="FF0000"/>
          <w:strike w:val="1"/>
        </w:rPr>
        <w:t>and</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(e)</w:t>
      </w:r>
      <w:r>
        <w:rPr>
          <w:rFonts w:ascii="Arial" w:cs="Arial" w:eastAsia="Arial" w:hAnsi="Arial"/>
          <w:sz w:val="18"/>
          <w:szCs w:val="18"/>
          <w:color w:val="FF0000"/>
          <w:strike w:val="1"/>
        </w:rPr>
        <w:t>,</w:t>
      </w:r>
      <w:r>
        <w:rPr>
          <w:rFonts w:ascii="Arial" w:cs="Arial" w:eastAsia="Arial" w:hAnsi="Arial"/>
          <w:sz w:val="18"/>
          <w:szCs w:val="18"/>
          <w:b w:val="1"/>
          <w:bCs w:val="1"/>
          <w:color w:val="0000FF"/>
          <w:highlight w:val="lightGray"/>
        </w:rPr>
        <w:t>,</w:t>
      </w:r>
      <w:r>
        <w:rPr>
          <w:rFonts w:ascii="Arial" w:cs="Arial" w:eastAsia="Arial" w:hAnsi="Arial"/>
          <w:sz w:val="18"/>
          <w:szCs w:val="18"/>
          <w:color w:val="FF0000"/>
        </w:rPr>
        <w:t xml:space="preserve"> </w:t>
      </w:r>
      <w:r>
        <w:rPr>
          <w:rFonts w:ascii="Arial" w:cs="Arial" w:eastAsia="Arial" w:hAnsi="Arial"/>
          <w:sz w:val="18"/>
          <w:szCs w:val="18"/>
          <w:b w:val="1"/>
          <w:bCs w:val="1"/>
          <w:u w:val="single" w:color="auto"/>
          <w:color w:val="0000FF"/>
          <w:highlight w:val="lightGray"/>
        </w:rPr>
        <w:t>which Portfolio Property, Specified Investment, Qualified Development</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u w:val="single" w:color="auto"/>
          <w:color w:val="0000FF"/>
          <w:highlight w:val="lightGray"/>
        </w:rPr>
        <w:t>Property or Non-Stabilized Portfolio Property would if owned or ground leased by a member of the Consolidated Group constitute a Portfolio Property, Specified Investment, Qualified Development Property or Non-Stabilized Portfolio Property described in one of the clauses above, will be included in the calculation of</w:t>
      </w:r>
      <w:r>
        <w:rPr>
          <w:rFonts w:ascii="Arial" w:cs="Arial" w:eastAsia="Arial" w:hAnsi="Arial"/>
          <w:sz w:val="20"/>
          <w:szCs w:val="20"/>
          <w:b w:val="1"/>
          <w:bCs w:val="1"/>
          <w:color w:val="0000FF"/>
          <w:highlight w:val="lightGray"/>
        </w:rPr>
        <w:t xml:space="preserve"> </w:t>
      </w:r>
      <w:r>
        <w:rPr>
          <w:rFonts w:ascii="Arial" w:cs="Arial" w:eastAsia="Arial" w:hAnsi="Arial"/>
          <w:sz w:val="20"/>
          <w:szCs w:val="20"/>
          <w:color w:val="000000"/>
        </w:rPr>
        <w:t>Total Asset Value</w:t>
      </w:r>
      <w:r>
        <w:rPr>
          <w:rFonts w:ascii="Arial" w:cs="Arial" w:eastAsia="Arial" w:hAnsi="Arial"/>
          <w:sz w:val="20"/>
          <w:szCs w:val="20"/>
          <w:b w:val="1"/>
          <w:bCs w:val="1"/>
          <w:color w:val="0000FF"/>
          <w:highlight w:val="lightGray"/>
        </w:rPr>
        <w:t xml:space="preserve"> </w:t>
      </w:r>
      <w:r>
        <w:rPr>
          <w:rFonts w:ascii="Arial" w:cs="Arial" w:eastAsia="Arial" w:hAnsi="Arial"/>
          <w:sz w:val="20"/>
          <w:szCs w:val="20"/>
          <w:color w:val="FF0000"/>
          <w:strike w:val="1"/>
        </w:rPr>
        <w:t>shall also include</w:t>
      </w:r>
      <w:r>
        <w:rPr>
          <w:rFonts w:ascii="Arial" w:cs="Arial" w:eastAsia="Arial" w:hAnsi="Arial"/>
          <w:sz w:val="20"/>
          <w:szCs w:val="20"/>
          <w:b w:val="1"/>
          <w:bCs w:val="1"/>
          <w:u w:val="single" w:color="auto"/>
          <w:color w:val="0000FF"/>
          <w:highlight w:val="lightGray"/>
        </w:rPr>
        <w:t>on a basis</w:t>
      </w:r>
      <w:r>
        <w:rPr>
          <w:rFonts w:ascii="Arial" w:cs="Arial" w:eastAsia="Arial" w:hAnsi="Arial"/>
          <w:sz w:val="20"/>
          <w:szCs w:val="20"/>
          <w:b w:val="1"/>
          <w:bCs w:val="1"/>
          <w:color w:val="0000FF"/>
          <w:highlight w:val="lightGray"/>
        </w:rPr>
        <w:t xml:space="preserve"> </w:t>
      </w:r>
      <w:r>
        <w:rPr>
          <w:rFonts w:ascii="Arial" w:cs="Arial" w:eastAsia="Arial" w:hAnsi="Arial"/>
          <w:sz w:val="20"/>
          <w:szCs w:val="20"/>
          <w:b w:val="1"/>
          <w:bCs w:val="1"/>
          <w:u w:val="single" w:color="auto"/>
          <w:color w:val="0000FF"/>
          <w:highlight w:val="lightGray"/>
        </w:rPr>
        <w:t>consistent with the above described treatment for Properties owned or ground leased by Consolidated Parties,</w:t>
      </w:r>
      <w:r>
        <w:rPr>
          <w:rFonts w:ascii="Arial" w:cs="Arial" w:eastAsia="Arial" w:hAnsi="Arial"/>
          <w:sz w:val="20"/>
          <w:szCs w:val="20"/>
          <w:b w:val="1"/>
          <w:bCs w:val="1"/>
          <w:color w:val="0000FF"/>
          <w:highlight w:val="lightGray"/>
        </w:rPr>
        <w:t xml:space="preserve"> </w:t>
      </w:r>
      <w:r>
        <w:rPr>
          <w:rFonts w:ascii="Arial" w:cs="Arial" w:eastAsia="Arial" w:hAnsi="Arial"/>
          <w:sz w:val="20"/>
          <w:szCs w:val="20"/>
          <w:b w:val="1"/>
          <w:bCs w:val="1"/>
          <w:i w:val="1"/>
          <w:iCs w:val="1"/>
          <w:u w:val="single" w:color="auto"/>
          <w:color w:val="0000FF"/>
          <w:highlight w:val="lightGray"/>
        </w:rPr>
        <w:t>plus</w:t>
      </w:r>
      <w:r>
        <w:rPr>
          <w:sz w:val="1"/>
          <w:szCs w:val="1"/>
          <w:color w:val="auto"/>
        </w:rPr>
        <w:drawing>
          <wp:inline distT="0" distB="0" distL="0" distR="0">
            <wp:extent cx="39370" cy="13462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9370" cy="134620"/>
                    </a:xfrm>
                    <a:prstGeom prst="rect">
                      <a:avLst/>
                    </a:prstGeom>
                    <a:noFill/>
                    <a:ln>
                      <a:noFill/>
                    </a:ln>
                  </pic:spPr>
                </pic:pic>
              </a:graphicData>
            </a:graphic>
          </wp:inline>
        </w:drawing>
      </w:r>
      <w:r>
        <w:rPr>
          <w:rFonts w:ascii="Arial" w:cs="Arial" w:eastAsia="Arial" w:hAnsi="Arial"/>
          <w:sz w:val="20"/>
          <w:szCs w:val="20"/>
          <w:b w:val="1"/>
          <w:bCs w:val="1"/>
          <w:u w:val="single" w:color="auto"/>
          <w:color w:val="0000FF"/>
          <w:highlight w:val="lightGray"/>
        </w:rPr>
        <w:t xml:space="preserve">(f) </w:t>
      </w:r>
      <w:r>
        <w:rPr>
          <w:rFonts w:ascii="Arial" w:cs="Arial" w:eastAsia="Arial" w:hAnsi="Arial"/>
          <w:sz w:val="20"/>
          <w:szCs w:val="20"/>
          <w:color w:val="000000"/>
        </w:rPr>
        <w:t>all cash</w:t>
      </w:r>
      <w:r>
        <w:rPr>
          <w:rFonts w:ascii="Arial" w:cs="Arial" w:eastAsia="Arial" w:hAnsi="Arial"/>
          <w:sz w:val="20"/>
          <w:szCs w:val="20"/>
          <w:b w:val="1"/>
          <w:bCs w:val="1"/>
          <w:u w:val="single" w:color="auto"/>
          <w:color w:val="0000FF"/>
          <w:highlight w:val="lightGray"/>
        </w:rPr>
        <w:t xml:space="preserve"> </w:t>
      </w:r>
      <w:r>
        <w:rPr>
          <w:rFonts w:ascii="Arial" w:cs="Arial" w:eastAsia="Arial" w:hAnsi="Arial"/>
          <w:sz w:val="20"/>
          <w:szCs w:val="20"/>
          <w:u w:val="single" w:color="auto"/>
          <w:color w:val="000000"/>
        </w:rPr>
        <w:t xml:space="preserve">and Cash Equivalents owned by </w:t>
      </w:r>
      <w:r>
        <w:rPr>
          <w:rFonts w:ascii="Arial" w:cs="Arial" w:eastAsia="Arial" w:hAnsi="Arial"/>
          <w:sz w:val="20"/>
          <w:szCs w:val="20"/>
          <w:b w:val="1"/>
          <w:bCs w:val="1"/>
          <w:u w:val="single" w:color="auto"/>
          <w:color w:val="0000FF"/>
          <w:highlight w:val="lightGray"/>
        </w:rPr>
        <w:t>members of</w:t>
      </w:r>
      <w:r>
        <w:rPr>
          <w:rFonts w:ascii="Arial" w:cs="Arial" w:eastAsia="Arial" w:hAnsi="Arial"/>
          <w:sz w:val="20"/>
          <w:szCs w:val="20"/>
          <w:u w:val="single" w:color="auto"/>
          <w:color w:val="000000"/>
        </w:rPr>
        <w:t xml:space="preserve"> the Consolidated Group at such time</w:t>
      </w:r>
      <w:r>
        <w:rPr>
          <w:rFonts w:ascii="Arial" w:cs="Arial" w:eastAsia="Arial" w:hAnsi="Arial"/>
          <w:sz w:val="20"/>
          <w:szCs w:val="20"/>
          <w:u w:val="single" w:color="auto"/>
          <w:color w:val="FF0000"/>
          <w:strike w:val="1"/>
        </w:rPr>
        <w:t>.</w:t>
      </w:r>
      <w:r>
        <w:rPr>
          <w:rFonts w:ascii="Arial" w:cs="Arial" w:eastAsia="Arial" w:hAnsi="Arial"/>
          <w:sz w:val="20"/>
          <w:szCs w:val="20"/>
          <w:b w:val="1"/>
          <w:bCs w:val="1"/>
          <w:u w:val="single" w:color="auto"/>
          <w:color w:val="0000FF"/>
          <w:highlight w:val="lightGray"/>
        </w:rPr>
        <w:t>; provided, that notwithstanding the foregoing,</w:t>
      </w:r>
      <w:r>
        <w:rPr>
          <w:rFonts w:ascii="Arial" w:cs="Arial" w:eastAsia="Arial" w:hAnsi="Arial"/>
          <w:sz w:val="20"/>
          <w:szCs w:val="20"/>
          <w:u w:val="single" w:color="auto"/>
          <w:color w:val="000000"/>
        </w:rPr>
        <w:t xml:space="preserve"> </w:t>
      </w:r>
      <w:r>
        <w:rPr>
          <w:rFonts w:ascii="Arial" w:cs="Arial" w:eastAsia="Arial" w:hAnsi="Arial"/>
          <w:sz w:val="20"/>
          <w:szCs w:val="20"/>
          <w:b w:val="1"/>
          <w:bCs w:val="1"/>
          <w:u w:val="single" w:color="auto"/>
          <w:color w:val="0000FF"/>
          <w:highlight w:val="lightGray"/>
        </w:rPr>
        <w:t>for purposes of calculating Total Asset Value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6276340</wp:posOffset>
            </wp:positionH>
            <wp:positionV relativeFrom="paragraph">
              <wp:posOffset>-332740</wp:posOffset>
            </wp:positionV>
            <wp:extent cx="3683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6830" cy="7620"/>
                    </a:xfrm>
                    <a:prstGeom prst="rect">
                      <a:avLst/>
                    </a:prstGeom>
                    <a:noFill/>
                  </pic:spPr>
                </pic:pic>
              </a:graphicData>
            </a:graphic>
          </wp:anchor>
        </w:drawing>
      </w:r>
    </w:p>
    <w:p>
      <w:pPr>
        <w:spacing w:after="0" w:line="192" w:lineRule="exact"/>
        <w:rPr>
          <w:sz w:val="20"/>
          <w:szCs w:val="20"/>
          <w:color w:val="auto"/>
        </w:rPr>
      </w:pPr>
    </w:p>
    <w:p>
      <w:pPr>
        <w:jc w:val="both"/>
        <w:ind w:left="300" w:firstLine="898"/>
        <w:spacing w:after="0" w:line="263" w:lineRule="auto"/>
        <w:tabs>
          <w:tab w:leader="none" w:pos="1987" w:val="left"/>
        </w:tabs>
        <w:numPr>
          <w:ilvl w:val="0"/>
          <w:numId w:val="280"/>
        </w:numPr>
        <w:rPr>
          <w:rFonts w:ascii="Arial" w:cs="Arial" w:eastAsia="Arial" w:hAnsi="Arial"/>
          <w:sz w:val="20"/>
          <w:szCs w:val="20"/>
          <w:color w:val="auto"/>
        </w:rPr>
      </w:pPr>
      <w:r>
        <w:rPr>
          <w:rFonts w:ascii="Arial" w:cs="Arial" w:eastAsia="Arial" w:hAnsi="Arial"/>
          <w:sz w:val="20"/>
          <w:szCs w:val="20"/>
          <w:b w:val="1"/>
          <w:bCs w:val="1"/>
          <w:u w:val="single" w:color="auto"/>
          <w:color w:val="0000FF"/>
          <w:highlight w:val="lightGray"/>
        </w:rPr>
        <w:t>not more than twenty percent (25%) of the Total Asset Value at any time may be attributable to costs to construct Portfolio Properties (i.e., construction-in-progress) and real property assets under development, with any excess over the foregoing limit being excluded from Total Asset Value;</w:t>
      </w:r>
    </w:p>
    <w:p>
      <w:pPr>
        <w:spacing w:after="0" w:line="193" w:lineRule="exact"/>
        <w:rPr>
          <w:rFonts w:ascii="Arial" w:cs="Arial" w:eastAsia="Arial" w:hAnsi="Arial"/>
          <w:sz w:val="20"/>
          <w:szCs w:val="20"/>
          <w:color w:val="auto"/>
        </w:rPr>
      </w:pPr>
    </w:p>
    <w:p>
      <w:pPr>
        <w:jc w:val="both"/>
        <w:ind w:left="300" w:firstLine="898"/>
        <w:spacing w:after="0" w:line="263" w:lineRule="auto"/>
        <w:tabs>
          <w:tab w:leader="none" w:pos="2043" w:val="left"/>
        </w:tabs>
        <w:numPr>
          <w:ilvl w:val="0"/>
          <w:numId w:val="280"/>
        </w:numPr>
        <w:rPr>
          <w:rFonts w:ascii="Arial" w:cs="Arial" w:eastAsia="Arial" w:hAnsi="Arial"/>
          <w:sz w:val="20"/>
          <w:szCs w:val="20"/>
          <w:color w:val="auto"/>
        </w:rPr>
      </w:pPr>
      <w:r>
        <w:rPr>
          <w:rFonts w:ascii="Arial" w:cs="Arial" w:eastAsia="Arial" w:hAnsi="Arial"/>
          <w:sz w:val="20"/>
          <w:szCs w:val="20"/>
          <w:b w:val="1"/>
          <w:bCs w:val="1"/>
          <w:u w:val="single" w:color="auto"/>
          <w:color w:val="0000FF"/>
          <w:highlight w:val="lightGray"/>
        </w:rPr>
        <w:t>not more than five percent (5%) of the Total Asset Value at any time may be attributable to unimproved land holdings (excluding, for the avoidance of doubt, Investments accounted for under clause (i) above), with any excess over the foregoing limit being excluded from Total Asset Value;</w:t>
      </w:r>
    </w:p>
    <w:p>
      <w:pPr>
        <w:spacing w:after="0" w:line="193" w:lineRule="exact"/>
        <w:rPr>
          <w:rFonts w:ascii="Arial" w:cs="Arial" w:eastAsia="Arial" w:hAnsi="Arial"/>
          <w:sz w:val="20"/>
          <w:szCs w:val="20"/>
          <w:color w:val="auto"/>
        </w:rPr>
      </w:pPr>
    </w:p>
    <w:p>
      <w:pPr>
        <w:jc w:val="both"/>
        <w:ind w:left="300" w:firstLine="898"/>
        <w:spacing w:after="0" w:line="263" w:lineRule="auto"/>
        <w:tabs>
          <w:tab w:leader="none" w:pos="2098" w:val="left"/>
        </w:tabs>
        <w:numPr>
          <w:ilvl w:val="0"/>
          <w:numId w:val="280"/>
        </w:numPr>
        <w:rPr>
          <w:rFonts w:ascii="Arial" w:cs="Arial" w:eastAsia="Arial" w:hAnsi="Arial"/>
          <w:sz w:val="20"/>
          <w:szCs w:val="20"/>
          <w:color w:val="auto"/>
        </w:rPr>
      </w:pPr>
      <w:r>
        <w:rPr>
          <w:rFonts w:ascii="Arial" w:cs="Arial" w:eastAsia="Arial" w:hAnsi="Arial"/>
          <w:sz w:val="20"/>
          <w:szCs w:val="20"/>
          <w:b w:val="1"/>
          <w:bCs w:val="1"/>
          <w:u w:val="single" w:color="auto"/>
          <w:color w:val="0000FF"/>
          <w:highlight w:val="lightGray"/>
        </w:rPr>
        <w:t>not more than ten percent (10%) of the Total Asset Value at any time may be attributable to commercial mortgage loans and commercial real estate-related mezzanine loans, with any excess over the foregoing limit being excluded from Total Asset Value;</w:t>
      </w:r>
    </w:p>
    <w:p>
      <w:pPr>
        <w:spacing w:after="0" w:line="193" w:lineRule="exact"/>
        <w:rPr>
          <w:rFonts w:ascii="Arial" w:cs="Arial" w:eastAsia="Arial" w:hAnsi="Arial"/>
          <w:sz w:val="20"/>
          <w:szCs w:val="20"/>
          <w:color w:val="auto"/>
        </w:rPr>
      </w:pPr>
    </w:p>
    <w:p>
      <w:pPr>
        <w:jc w:val="both"/>
        <w:ind w:left="300" w:firstLine="898"/>
        <w:spacing w:after="0" w:line="263" w:lineRule="auto"/>
        <w:tabs>
          <w:tab w:leader="none" w:pos="2087" w:val="left"/>
        </w:tabs>
        <w:numPr>
          <w:ilvl w:val="0"/>
          <w:numId w:val="280"/>
        </w:numPr>
        <w:rPr>
          <w:rFonts w:ascii="Arial" w:cs="Arial" w:eastAsia="Arial" w:hAnsi="Arial"/>
          <w:sz w:val="20"/>
          <w:szCs w:val="20"/>
          <w:color w:val="auto"/>
        </w:rPr>
      </w:pPr>
      <w:r>
        <w:rPr>
          <w:rFonts w:ascii="Arial" w:cs="Arial" w:eastAsia="Arial" w:hAnsi="Arial"/>
          <w:sz w:val="20"/>
          <w:szCs w:val="20"/>
          <w:b w:val="1"/>
          <w:bCs w:val="1"/>
          <w:u w:val="single" w:color="auto"/>
          <w:color w:val="0000FF"/>
          <w:highlight w:val="lightGray"/>
        </w:rPr>
        <w:t xml:space="preserve">not more than twenty percent (20%) of the Total Asset Value at any time may be attributable to Investments in Unconsolidated Affiliates, with any excess over the foregoing limit being excluded from Total Asset Value; </w:t>
      </w:r>
      <w:r>
        <w:rPr>
          <w:rFonts w:ascii="Arial" w:cs="Arial" w:eastAsia="Arial" w:hAnsi="Arial"/>
          <w:sz w:val="20"/>
          <w:szCs w:val="20"/>
          <w:b w:val="1"/>
          <w:bCs w:val="1"/>
          <w:color w:val="0000FF"/>
          <w:highlight w:val="lightGray"/>
        </w:rPr>
        <w:t>and</w:t>
      </w:r>
    </w:p>
    <w:p>
      <w:pPr>
        <w:spacing w:after="0" w:line="193" w:lineRule="exact"/>
        <w:rPr>
          <w:rFonts w:ascii="Arial" w:cs="Arial" w:eastAsia="Arial" w:hAnsi="Arial"/>
          <w:sz w:val="20"/>
          <w:szCs w:val="20"/>
          <w:color w:val="auto"/>
        </w:rPr>
      </w:pPr>
    </w:p>
    <w:p>
      <w:pPr>
        <w:ind w:left="300" w:firstLine="898"/>
        <w:spacing w:after="0" w:line="306" w:lineRule="auto"/>
        <w:tabs>
          <w:tab w:leader="none" w:pos="2032" w:val="left"/>
        </w:tabs>
        <w:numPr>
          <w:ilvl w:val="0"/>
          <w:numId w:val="280"/>
        </w:numPr>
        <w:rPr>
          <w:rFonts w:ascii="Arial" w:cs="Arial" w:eastAsia="Arial" w:hAnsi="Arial"/>
          <w:sz w:val="19"/>
          <w:szCs w:val="19"/>
          <w:color w:val="auto"/>
        </w:rPr>
      </w:pPr>
      <w:r>
        <w:rPr>
          <w:rFonts w:ascii="Arial" w:cs="Arial" w:eastAsia="Arial" w:hAnsi="Arial"/>
          <w:sz w:val="19"/>
          <w:szCs w:val="19"/>
          <w:b w:val="1"/>
          <w:bCs w:val="1"/>
          <w:u w:val="single" w:color="auto"/>
          <w:color w:val="0000FF"/>
          <w:highlight w:val="lightGray"/>
        </w:rPr>
        <w:t>not more than twenty-five percent (25%) of the Total Asset Value at any time may be attributable to Specified Investments, with any excess over the foregoing limit being excluded from Total Asset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-519430</wp:posOffset>
            </wp:positionV>
            <wp:extent cx="20447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4470" cy="7620"/>
                    </a:xfrm>
                    <a:prstGeom prst="rect">
                      <a:avLst/>
                    </a:prstGeom>
                    <a:noFill/>
                  </pic:spPr>
                </pic:pic>
              </a:graphicData>
            </a:graphic>
          </wp:anchor>
        </w:drawing>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Outstandings</w:t>
      </w:r>
      <w:r>
        <w:rPr>
          <w:rFonts w:ascii="Arial" w:cs="Arial" w:eastAsia="Arial" w:hAnsi="Arial"/>
          <w:sz w:val="20"/>
          <w:szCs w:val="20"/>
          <w:color w:val="auto"/>
        </w:rPr>
        <w:t>” means the aggregate Outstanding Amount of all Loans.</w:t>
      </w:r>
    </w:p>
    <w:p>
      <w:pPr>
        <w:spacing w:after="0" w:line="239" w:lineRule="exact"/>
        <w:rPr>
          <w:sz w:val="20"/>
          <w:szCs w:val="20"/>
          <w:color w:val="auto"/>
        </w:rPr>
      </w:pPr>
    </w:p>
    <w:p>
      <w:pPr>
        <w:jc w:val="both"/>
        <w:ind w:firstLine="600"/>
        <w:spacing w:after="0" w:line="27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TRS Subsidiary</w:t>
      </w:r>
      <w:r>
        <w:rPr>
          <w:rFonts w:ascii="Arial" w:cs="Arial" w:eastAsia="Arial" w:hAnsi="Arial"/>
          <w:sz w:val="20"/>
          <w:szCs w:val="20"/>
          <w:color w:val="auto"/>
        </w:rPr>
        <w:t xml:space="preserve">” means a </w:t>
      </w:r>
      <w:r>
        <w:rPr>
          <w:rFonts w:ascii="Arial" w:cs="Arial" w:eastAsia="Arial" w:hAnsi="Arial"/>
          <w:sz w:val="20"/>
          <w:szCs w:val="20"/>
          <w:color w:val="FF0000"/>
          <w:strike w:val="1"/>
        </w:rPr>
        <w:t>Wholly-Owned</w:t>
      </w:r>
      <w:r>
        <w:rPr>
          <w:rFonts w:ascii="Arial" w:cs="Arial" w:eastAsia="Arial" w:hAnsi="Arial"/>
          <w:sz w:val="20"/>
          <w:szCs w:val="20"/>
          <w:b w:val="1"/>
          <w:bCs w:val="1"/>
          <w:u w:val="single" w:color="auto"/>
          <w:color w:val="0000FF"/>
          <w:highlight w:val="lightGray"/>
        </w:rPr>
        <w:t>Wholly Owned</w:t>
      </w:r>
      <w:r>
        <w:rPr>
          <w:rFonts w:ascii="Arial" w:cs="Arial" w:eastAsia="Arial" w:hAnsi="Arial"/>
          <w:sz w:val="20"/>
          <w:szCs w:val="20"/>
          <w:color w:val="auto"/>
        </w:rPr>
        <w:t xml:space="preserve"> Subsidiary of the REIT that is a “taxable REIT subsidiary” under Section 856(l) of the Code.</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a Loan, its character as a Base Rate Loan or a Eurodollar Rate Loan.</w:t>
      </w:r>
    </w:p>
    <w:p>
      <w:pPr>
        <w:spacing w:after="0" w:line="245" w:lineRule="exact"/>
        <w:rPr>
          <w:sz w:val="20"/>
          <w:szCs w:val="20"/>
          <w:color w:val="auto"/>
        </w:rPr>
      </w:pPr>
    </w:p>
    <w:p>
      <w:pPr>
        <w:jc w:val="both"/>
        <w:ind w:firstLine="600"/>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Unconsolidated Affiliate</w:t>
      </w:r>
      <w:r>
        <w:rPr>
          <w:rFonts w:ascii="Arial" w:cs="Arial" w:eastAsia="Arial" w:hAnsi="Arial"/>
          <w:sz w:val="20"/>
          <w:szCs w:val="20"/>
          <w:color w:val="auto"/>
        </w:rPr>
        <w:t>” means, at any date, any Person (x) in which the Consolidated Group, directly or indirectly, holds an Equity Interest, which investment is accounted for in the consolidated financial statements of the Consolidated Group on an equity basis of accounting and (y) whose financial results are not consolidated with the financial results of the Consolidated Group under GAAP.</w:t>
      </w:r>
    </w:p>
    <w:p>
      <w:pPr>
        <w:spacing w:after="0" w:line="205"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Unencumbered Asset Value</w:t>
      </w:r>
      <w:r>
        <w:rPr>
          <w:rFonts w:ascii="Arial" w:cs="Arial" w:eastAsia="Arial" w:hAnsi="Arial"/>
          <w:sz w:val="20"/>
          <w:szCs w:val="20"/>
          <w:color w:val="auto"/>
        </w:rPr>
        <w:t>” means, as of any time for the Consolidated Group, without duplication, (a) an amount equal to (i) the sum of the Unencumbered Property NOI of each</w:t>
      </w:r>
    </w:p>
    <w:p>
      <w:pPr>
        <w:spacing w:after="0" w:line="16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820"/>
          </w:cols>
          <w:pgMar w:left="840" w:top="795" w:right="239" w:bottom="1440" w:gutter="0" w:footer="0" w:header="0"/>
        </w:sectPr>
      </w:pPr>
    </w:p>
    <w:bookmarkStart w:id="268" w:name="page269"/>
    <w:bookmarkEnd w:id="268"/>
    <w:p>
      <w:pPr>
        <w:jc w:val="both"/>
        <w:spacing w:after="0" w:line="281" w:lineRule="auto"/>
        <w:rPr>
          <w:sz w:val="20"/>
          <w:szCs w:val="20"/>
          <w:color w:val="auto"/>
        </w:rPr>
      </w:pPr>
      <w:r>
        <w:rPr>
          <w:rFonts w:ascii="Arial" w:cs="Arial" w:eastAsia="Arial" w:hAnsi="Arial"/>
          <w:sz w:val="18"/>
          <w:szCs w:val="18"/>
          <w:color w:val="auto"/>
        </w:rPr>
        <w:t xml:space="preserve">Unencumbered Eligible Property owned, or ground leased under an Eligible Ground Lease, by the Consolidated Group for the then most recently ended fiscal quarter of the REIT for which financial statements have been provided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(excluding each Unencumbered Eligible Property that is a Disposed Portfolio Property, a Newly-Acquired Portfolio Property</w:t>
      </w:r>
      <w:r>
        <w:rPr>
          <w:rFonts w:ascii="Arial" w:cs="Arial" w:eastAsia="Arial" w:hAnsi="Arial"/>
          <w:sz w:val="18"/>
          <w:szCs w:val="18"/>
          <w:b w:val="1"/>
          <w:bCs w:val="1"/>
          <w:u w:val="single" w:color="auto"/>
          <w:color w:val="0000FF"/>
          <w:highlight w:val="lightGray"/>
        </w:rPr>
        <w:t>, a Qualified Development Property</w:t>
      </w:r>
      <w:r>
        <w:rPr>
          <w:rFonts w:ascii="Arial" w:cs="Arial" w:eastAsia="Arial" w:hAnsi="Arial"/>
          <w:sz w:val="18"/>
          <w:szCs w:val="18"/>
          <w:color w:val="auto"/>
        </w:rPr>
        <w:t xml:space="preserve"> or a Non-Stabilized Portfolio Property),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Applicable Capitalization Rate for each such Unencumbered Eligible Property,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(ii) four,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undepreciated book value at such time of each Unencumbered Eligible Property that is a Qualified Development Property or a Non-Stabilized Portfolio Property, </w:t>
      </w:r>
      <w:r>
        <w:rPr>
          <w:rFonts w:ascii="Arial" w:cs="Arial" w:eastAsia="Arial" w:hAnsi="Arial"/>
          <w:sz w:val="18"/>
          <w:szCs w:val="18"/>
          <w:i w:val="1"/>
          <w:iCs w:val="1"/>
          <w:color w:val="auto"/>
        </w:rPr>
        <w:t xml:space="preserve">plus </w:t>
      </w:r>
      <w:r>
        <w:rPr>
          <w:rFonts w:ascii="Arial" w:cs="Arial" w:eastAsia="Arial" w:hAnsi="Arial"/>
          <w:sz w:val="18"/>
          <w:szCs w:val="18"/>
          <w:color w:val="auto"/>
        </w:rPr>
        <w:t>(c) the acquisition cost paid by the applicable member(s) of the Consolidated Group for each Unencumbered Eligible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that is a Newly-Acquired Portfolio Property;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the acquisition of any Newly-Acquired Property by a Controlled Joint Venture, only the Loan Party Pro Rata Share of such acquisition cost </w:t>
      </w:r>
      <w:r>
        <w:rPr>
          <w:rFonts w:ascii="Arial" w:cs="Arial" w:eastAsia="Arial" w:hAnsi="Arial"/>
          <w:sz w:val="18"/>
          <w:szCs w:val="18"/>
          <w:color w:val="FF0000"/>
          <w:strike w:val="1"/>
        </w:rPr>
        <w:t>attributable to the Loan Parties’ interests in such</w:t>
      </w:r>
      <w:r>
        <w:rPr>
          <w:rFonts w:ascii="Arial" w:cs="Arial" w:eastAsia="Arial" w:hAnsi="Arial"/>
          <w:sz w:val="18"/>
          <w:szCs w:val="18"/>
          <w:color w:val="auto"/>
        </w:rPr>
        <w:t xml:space="preserve"> </w:t>
      </w:r>
      <w:r>
        <w:rPr>
          <w:rFonts w:ascii="Arial" w:cs="Arial" w:eastAsia="Arial" w:hAnsi="Arial"/>
          <w:sz w:val="18"/>
          <w:szCs w:val="18"/>
          <w:color w:val="FF0000"/>
          <w:strike w:val="1"/>
        </w:rPr>
        <w:t>Controlled Joint Venture</w:t>
      </w:r>
      <w:r>
        <w:rPr>
          <w:rFonts w:ascii="Arial" w:cs="Arial" w:eastAsia="Arial" w:hAnsi="Arial"/>
          <w:sz w:val="18"/>
          <w:szCs w:val="18"/>
          <w:color w:val="FF0000"/>
        </w:rPr>
        <w:t xml:space="preserve"> </w:t>
      </w:r>
      <w:r>
        <w:rPr>
          <w:rFonts w:ascii="Arial" w:cs="Arial" w:eastAsia="Arial" w:hAnsi="Arial"/>
          <w:sz w:val="18"/>
          <w:szCs w:val="18"/>
          <w:color w:val="000000"/>
        </w:rPr>
        <w:t>shall be included in the calculation of Unencumbered Asset Value;</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00"/>
        </w:rPr>
        <w:t>,</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further</w:t>
      </w:r>
      <w:r>
        <w:rPr>
          <w:rFonts w:ascii="Arial" w:cs="Arial" w:eastAsia="Arial" w:hAnsi="Arial"/>
          <w:sz w:val="18"/>
          <w:szCs w:val="18"/>
          <w:color w:val="000000"/>
        </w:rPr>
        <w:t>, that:</w:t>
      </w:r>
    </w:p>
    <w:p>
      <w:pPr>
        <w:spacing w:after="0" w:line="187" w:lineRule="exact"/>
        <w:rPr>
          <w:sz w:val="20"/>
          <w:szCs w:val="20"/>
          <w:color w:val="auto"/>
        </w:rPr>
      </w:pPr>
    </w:p>
    <w:p>
      <w:pPr>
        <w:jc w:val="both"/>
        <w:ind w:left="600" w:firstLine="598"/>
        <w:spacing w:after="0" w:line="288" w:lineRule="auto"/>
        <w:tabs>
          <w:tab w:leader="none" w:pos="1682" w:val="left"/>
        </w:tabs>
        <w:numPr>
          <w:ilvl w:val="1"/>
          <w:numId w:val="281"/>
        </w:numPr>
        <w:rPr>
          <w:rFonts w:ascii="Arial" w:cs="Arial" w:eastAsia="Arial" w:hAnsi="Arial"/>
          <w:sz w:val="18"/>
          <w:szCs w:val="18"/>
          <w:color w:val="auto"/>
        </w:rPr>
      </w:pPr>
      <w:r>
        <w:rPr>
          <w:rFonts w:ascii="Arial" w:cs="Arial" w:eastAsia="Arial" w:hAnsi="Arial"/>
          <w:sz w:val="18"/>
          <w:szCs w:val="18"/>
          <w:color w:val="auto"/>
        </w:rPr>
        <w:t>not more than 20% of the Unencumbered Asset Value at any time may be in respect of Unencumbered Eligible Properties that are not office, retail or multi-family properties (and, for purposes of determining compliance with such 20% limitation, if an Unencumbered Eligible Property is considered “multi-use”, the Borrower shall be permitted to include the Unencumbered Property NOI of such Unencumbered Eligible Property’s office, retail or multi-family component without limitation under this clause (a)), with any excess over the foregoing limit being excluded from the Unencumbered Asset Value;</w:t>
      </w:r>
    </w:p>
    <w:p>
      <w:pPr>
        <w:spacing w:after="0" w:line="181" w:lineRule="exact"/>
        <w:rPr>
          <w:rFonts w:ascii="Arial" w:cs="Arial" w:eastAsia="Arial" w:hAnsi="Arial"/>
          <w:sz w:val="18"/>
          <w:szCs w:val="18"/>
          <w:color w:val="auto"/>
        </w:rPr>
      </w:pPr>
    </w:p>
    <w:p>
      <w:pPr>
        <w:jc w:val="both"/>
        <w:ind w:left="620" w:firstLine="553"/>
        <w:spacing w:after="0" w:line="260" w:lineRule="auto"/>
        <w:tabs>
          <w:tab w:leader="none" w:pos="1679" w:val="left"/>
        </w:tabs>
        <w:numPr>
          <w:ilvl w:val="0"/>
          <w:numId w:val="282"/>
        </w:numPr>
        <w:rPr>
          <w:rFonts w:ascii="Arial" w:cs="Arial" w:eastAsia="Arial" w:hAnsi="Arial"/>
          <w:sz w:val="20"/>
          <w:szCs w:val="20"/>
          <w:color w:val="auto"/>
        </w:rPr>
      </w:pPr>
      <w:r>
        <w:rPr>
          <w:rFonts w:ascii="Arial" w:cs="Arial" w:eastAsia="Arial" w:hAnsi="Arial"/>
          <w:sz w:val="20"/>
          <w:szCs w:val="20"/>
          <w:color w:val="auto"/>
        </w:rPr>
        <w:t>not more than 20% of the Unencumbered Asset Value at any time may be in respect of Unencumbered Eligible Properties that are either owned by a Controlled Joint Venture or ground leased under an Eligible Ground Lease, with any excess over the foregoing limit being excluded from the Unencumbered Asset Value;</w:t>
      </w:r>
    </w:p>
    <w:p>
      <w:pPr>
        <w:spacing w:after="0" w:line="201" w:lineRule="exact"/>
        <w:rPr>
          <w:rFonts w:ascii="Arial" w:cs="Arial" w:eastAsia="Arial" w:hAnsi="Arial"/>
          <w:sz w:val="20"/>
          <w:szCs w:val="20"/>
          <w:color w:val="auto"/>
        </w:rPr>
      </w:pPr>
    </w:p>
    <w:p>
      <w:pPr>
        <w:jc w:val="both"/>
        <w:ind w:left="600" w:firstLine="598"/>
        <w:spacing w:after="0" w:line="260" w:lineRule="auto"/>
        <w:tabs>
          <w:tab w:leader="none" w:pos="1682" w:val="left"/>
        </w:tabs>
        <w:numPr>
          <w:ilvl w:val="1"/>
          <w:numId w:val="282"/>
        </w:numPr>
        <w:rPr>
          <w:rFonts w:ascii="Arial" w:cs="Arial" w:eastAsia="Arial" w:hAnsi="Arial"/>
          <w:sz w:val="20"/>
          <w:szCs w:val="20"/>
          <w:color w:val="auto"/>
        </w:rPr>
      </w:pPr>
      <w:r>
        <w:rPr>
          <w:rFonts w:ascii="Arial" w:cs="Arial" w:eastAsia="Arial" w:hAnsi="Arial"/>
          <w:sz w:val="20"/>
          <w:szCs w:val="20"/>
          <w:color w:val="auto"/>
        </w:rPr>
        <w:t>not more than 10% of the Unencumbered Asset Value at any time may be in respect of Unencumbered Eligible Properties that constitute Qualified Development Properties, with any excess over the foregoing limit being excluded from the Unencumbered Asset Value; and</w:t>
      </w:r>
    </w:p>
    <w:p>
      <w:pPr>
        <w:spacing w:after="0" w:line="201" w:lineRule="exact"/>
        <w:rPr>
          <w:rFonts w:ascii="Arial" w:cs="Arial" w:eastAsia="Arial" w:hAnsi="Arial"/>
          <w:sz w:val="20"/>
          <w:szCs w:val="20"/>
          <w:color w:val="auto"/>
        </w:rPr>
      </w:pPr>
    </w:p>
    <w:p>
      <w:pPr>
        <w:jc w:val="both"/>
        <w:ind w:left="600" w:firstLine="598"/>
        <w:spacing w:after="0" w:line="260" w:lineRule="auto"/>
        <w:tabs>
          <w:tab w:leader="none" w:pos="1691" w:val="left"/>
        </w:tabs>
        <w:numPr>
          <w:ilvl w:val="1"/>
          <w:numId w:val="282"/>
        </w:numPr>
        <w:rPr>
          <w:rFonts w:ascii="Arial" w:cs="Arial" w:eastAsia="Arial" w:hAnsi="Arial"/>
          <w:sz w:val="20"/>
          <w:szCs w:val="20"/>
          <w:color w:val="auto"/>
        </w:rPr>
      </w:pPr>
      <w:r>
        <w:rPr>
          <w:rFonts w:ascii="Arial" w:cs="Arial" w:eastAsia="Arial" w:hAnsi="Arial"/>
          <w:sz w:val="20"/>
          <w:szCs w:val="20"/>
          <w:color w:val="auto"/>
        </w:rPr>
        <w:t>not more than 20% of the Unencumbered Asset Value at any time may be in respect of Unencumbered Eligible Properties that are referenced in clauses (b) and (c) above, with any excess over the foregoing limit being excluded from the Unencumbered Asset Value.</w:t>
      </w:r>
    </w:p>
    <w:p>
      <w:pPr>
        <w:spacing w:after="0" w:line="202" w:lineRule="exact"/>
        <w:rPr>
          <w:sz w:val="20"/>
          <w:szCs w:val="20"/>
          <w:color w:val="auto"/>
        </w:rPr>
      </w:pPr>
    </w:p>
    <w:p>
      <w:pPr>
        <w:ind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Unencumbered Eligible Property</w:t>
      </w:r>
      <w:r>
        <w:rPr>
          <w:rFonts w:ascii="Arial" w:cs="Arial" w:eastAsia="Arial" w:hAnsi="Arial"/>
          <w:sz w:val="20"/>
          <w:szCs w:val="20"/>
          <w:color w:val="auto"/>
        </w:rPr>
        <w:t>” means, at any time, an Unencumbered Portfolio Property that meets each of the following criteria at such time:</w:t>
      </w:r>
    </w:p>
    <w:p>
      <w:pPr>
        <w:spacing w:after="0" w:line="191" w:lineRule="exact"/>
        <w:rPr>
          <w:sz w:val="20"/>
          <w:szCs w:val="20"/>
          <w:color w:val="auto"/>
        </w:rPr>
      </w:pPr>
    </w:p>
    <w:p>
      <w:pPr>
        <w:ind w:left="1180"/>
        <w:spacing w:after="0"/>
        <w:tabs>
          <w:tab w:leader="none" w:pos="1580" w:val="left"/>
        </w:tabs>
        <w:rPr>
          <w:sz w:val="20"/>
          <w:szCs w:val="20"/>
          <w:color w:val="auto"/>
        </w:rPr>
      </w:pPr>
      <w:r>
        <w:rPr>
          <w:rFonts w:ascii="Arial" w:cs="Arial" w:eastAsia="Arial" w:hAnsi="Arial"/>
          <w:sz w:val="20"/>
          <w:szCs w:val="20"/>
          <w:color w:val="FF0000"/>
          <w:strike w:val="1"/>
        </w:rPr>
        <w:t>(a)</w:t>
      </w:r>
      <w:r>
        <w:rPr>
          <w:sz w:val="20"/>
          <w:szCs w:val="20"/>
          <w:color w:val="auto"/>
        </w:rPr>
        <w:tab/>
      </w:r>
      <w:r>
        <w:rPr>
          <w:rFonts w:ascii="Arial" w:cs="Arial" w:eastAsia="Arial" w:hAnsi="Arial"/>
          <w:sz w:val="18"/>
          <w:szCs w:val="18"/>
          <w:color w:val="FF0000"/>
          <w:strike w:val="1"/>
        </w:rPr>
        <w:t>such Unencumbered Portfolio Property is located in the United States of America;</w:t>
      </w:r>
    </w:p>
    <w:p>
      <w:pPr>
        <w:spacing w:after="0" w:line="239" w:lineRule="exact"/>
        <w:rPr>
          <w:sz w:val="20"/>
          <w:szCs w:val="20"/>
          <w:color w:val="auto"/>
        </w:rPr>
      </w:pPr>
    </w:p>
    <w:p>
      <w:pPr>
        <w:jc w:val="both"/>
        <w:ind w:left="620" w:firstLine="553"/>
        <w:spacing w:after="0" w:line="258" w:lineRule="auto"/>
        <w:tabs>
          <w:tab w:leader="none" w:pos="1740" w:val="left"/>
        </w:tabs>
        <w:numPr>
          <w:ilvl w:val="0"/>
          <w:numId w:val="283"/>
        </w:numPr>
        <w:rPr>
          <w:rFonts w:ascii="Arial" w:cs="Arial" w:eastAsia="Arial" w:hAnsi="Arial"/>
          <w:sz w:val="20"/>
          <w:szCs w:val="20"/>
          <w:b w:val="1"/>
          <w:bCs w:val="1"/>
          <w:u w:val="single" w:color="auto"/>
          <w:color w:val="0000FF"/>
          <w:highlight w:val="lightGray"/>
        </w:rPr>
      </w:pPr>
      <w:r>
        <w:rPr>
          <w:rFonts w:ascii="Arial" w:cs="Arial" w:eastAsia="Arial" w:hAnsi="Arial"/>
          <w:sz w:val="20"/>
          <w:szCs w:val="20"/>
          <w:b w:val="1"/>
          <w:bCs w:val="1"/>
          <w:u w:val="single" w:color="auto"/>
          <w:color w:val="0000FF"/>
        </w:rPr>
        <w:t xml:space="preserve">each Direct Owner and Indirect Owner of such Unencumbered Portfolio Property is a Wholly Owned </w:t>
      </w:r>
      <w:r>
        <w:rPr>
          <w:rFonts w:ascii="Arial" w:cs="Arial" w:eastAsia="Arial" w:hAnsi="Arial"/>
          <w:sz w:val="20"/>
          <w:szCs w:val="20"/>
          <w:b w:val="1"/>
          <w:bCs w:val="1"/>
          <w:u w:val="single" w:color="auto"/>
          <w:color w:val="0000FF"/>
          <w:highlight w:val="lightGray"/>
        </w:rPr>
        <w:t>Subsidiary of the Borrower or a Controlled Joint Venture, in each case, that is organized in the District of Columbia or a state within the United States of America, and such Unencumbered Portfolio Property is located in the District of Columbia or a state within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-611505</wp:posOffset>
            </wp:positionV>
            <wp:extent cx="5979795" cy="134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79795" cy="134620"/>
                    </a:xfrm>
                    <a:prstGeom prst="rect">
                      <a:avLst/>
                    </a:prstGeom>
                    <a:noFill/>
                  </pic:spPr>
                </pic:pic>
              </a:graphicData>
            </a:graphic>
          </wp:anchor>
        </w:drawing>
      </w:r>
    </w:p>
    <w:p>
      <w:pPr>
        <w:spacing w:after="0" w:line="39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820"/>
          </w:cols>
          <w:pgMar w:left="840" w:top="795" w:right="239" w:bottom="1440" w:gutter="0" w:footer="0" w:header="0"/>
        </w:sectPr>
      </w:pPr>
    </w:p>
    <w:bookmarkStart w:id="269" w:name="page270"/>
    <w:bookmarkEnd w:id="269"/>
    <w:p>
      <w:pPr>
        <w:jc w:val="both"/>
        <w:ind w:left="620" w:firstLine="553"/>
        <w:spacing w:after="0" w:line="256" w:lineRule="auto"/>
        <w:tabs>
          <w:tab w:leader="none" w:pos="1715" w:val="left"/>
        </w:tabs>
        <w:numPr>
          <w:ilvl w:val="0"/>
          <w:numId w:val="284"/>
        </w:numPr>
        <w:rPr>
          <w:rFonts w:ascii="Arial" w:cs="Arial" w:eastAsia="Arial" w:hAnsi="Arial"/>
          <w:sz w:val="20"/>
          <w:szCs w:val="20"/>
          <w:color w:val="auto"/>
        </w:rPr>
      </w:pPr>
      <w:r>
        <w:rPr>
          <w:rFonts w:ascii="Arial" w:cs="Arial" w:eastAsia="Arial" w:hAnsi="Arial"/>
          <w:sz w:val="20"/>
          <w:szCs w:val="20"/>
          <w:color w:val="auto"/>
        </w:rPr>
        <w:t>such Unencumbered Portfolio Property (and the income therefrom and proceeds thereof) is not subject to any Liens or other encumbrances (other than Permitted Unencumbered Property Liens), and such Unencumbered Portfolio Property is in good order and condition and is free of all title, survey and other defects (other than defects constituting Permitted Unencumbered Property Liens);</w:t>
      </w:r>
    </w:p>
    <w:p>
      <w:pPr>
        <w:spacing w:after="0" w:line="205" w:lineRule="exact"/>
        <w:rPr>
          <w:rFonts w:ascii="Arial" w:cs="Arial" w:eastAsia="Arial" w:hAnsi="Arial"/>
          <w:sz w:val="20"/>
          <w:szCs w:val="20"/>
          <w:color w:val="auto"/>
        </w:rPr>
      </w:pPr>
    </w:p>
    <w:p>
      <w:pPr>
        <w:jc w:val="both"/>
        <w:ind w:left="620" w:firstLine="553"/>
        <w:spacing w:after="0" w:line="270" w:lineRule="auto"/>
        <w:tabs>
          <w:tab w:leader="none" w:pos="1615" w:val="left"/>
        </w:tabs>
        <w:numPr>
          <w:ilvl w:val="0"/>
          <w:numId w:val="284"/>
        </w:numPr>
        <w:rPr>
          <w:rFonts w:ascii="Arial" w:cs="Arial" w:eastAsia="Arial" w:hAnsi="Arial"/>
          <w:sz w:val="19"/>
          <w:szCs w:val="19"/>
          <w:color w:val="auto"/>
        </w:rPr>
      </w:pPr>
      <w:r>
        <w:rPr>
          <w:rFonts w:ascii="Arial" w:cs="Arial" w:eastAsia="Arial" w:hAnsi="Arial"/>
          <w:sz w:val="19"/>
          <w:szCs w:val="19"/>
          <w:color w:val="auto"/>
        </w:rPr>
        <w:t xml:space="preserve">the Equity Interests of each </w:t>
      </w:r>
      <w:r>
        <w:rPr>
          <w:rFonts w:ascii="Arial" w:cs="Arial" w:eastAsia="Arial" w:hAnsi="Arial"/>
          <w:sz w:val="19"/>
          <w:szCs w:val="19"/>
          <w:color w:val="FF0000"/>
          <w:strike w:val="1"/>
        </w:rPr>
        <w:t>Person that directly owns or ground leases an interest in such Unencumbered Portfolio</w:t>
      </w:r>
      <w:r>
        <w:rPr>
          <w:rFonts w:ascii="Arial" w:cs="Arial" w:eastAsia="Arial" w:hAnsi="Arial"/>
          <w:sz w:val="19"/>
          <w:szCs w:val="19"/>
          <w:color w:val="auto"/>
        </w:rPr>
        <w:t xml:space="preserve"> </w:t>
      </w:r>
      <w:r>
        <w:rPr>
          <w:rFonts w:ascii="Arial" w:cs="Arial" w:eastAsia="Arial" w:hAnsi="Arial"/>
          <w:sz w:val="19"/>
          <w:szCs w:val="19"/>
          <w:color w:val="FF0000"/>
          <w:strike w:val="1"/>
        </w:rPr>
        <w:t>Property (the “</w:t>
      </w:r>
      <w:r>
        <w:rPr>
          <w:rFonts w:ascii="Arial" w:cs="Arial" w:eastAsia="Arial" w:hAnsi="Arial"/>
          <w:sz w:val="19"/>
          <w:szCs w:val="19"/>
          <w:color w:val="000000"/>
        </w:rPr>
        <w:t>Direct Owner</w:t>
      </w:r>
      <w:r>
        <w:rPr>
          <w:rFonts w:ascii="Arial" w:cs="Arial" w:eastAsia="Arial" w:hAnsi="Arial"/>
          <w:sz w:val="19"/>
          <w:szCs w:val="19"/>
          <w:color w:val="FF0000"/>
          <w:strike w:val="1"/>
        </w:rPr>
        <w:t>”)</w:t>
      </w:r>
      <w:r>
        <w:rPr>
          <w:rFonts w:ascii="Arial" w:cs="Arial" w:eastAsia="Arial" w:hAnsi="Arial"/>
          <w:sz w:val="19"/>
          <w:szCs w:val="19"/>
          <w:color w:val="000000"/>
        </w:rPr>
        <w:t>, and those of each</w:t>
      </w:r>
      <w:r>
        <w:rPr>
          <w:rFonts w:ascii="Arial" w:cs="Arial" w:eastAsia="Arial" w:hAnsi="Arial"/>
          <w:sz w:val="19"/>
          <w:szCs w:val="19"/>
          <w:color w:val="FF0000"/>
        </w:rPr>
        <w:t xml:space="preserve"> </w:t>
      </w:r>
      <w:r>
        <w:rPr>
          <w:rFonts w:ascii="Arial" w:cs="Arial" w:eastAsia="Arial" w:hAnsi="Arial"/>
          <w:sz w:val="19"/>
          <w:szCs w:val="19"/>
          <w:color w:val="FF0000"/>
          <w:strike w:val="1"/>
        </w:rPr>
        <w:t>Subsidiary of the Borrower that directly or indirectly owns any Equity</w:t>
      </w:r>
      <w:r>
        <w:rPr>
          <w:rFonts w:ascii="Arial" w:cs="Arial" w:eastAsia="Arial" w:hAnsi="Arial"/>
          <w:sz w:val="19"/>
          <w:szCs w:val="19"/>
          <w:color w:val="FF0000"/>
        </w:rPr>
        <w:t xml:space="preserve"> </w:t>
      </w:r>
      <w:r>
        <w:rPr>
          <w:rFonts w:ascii="Arial" w:cs="Arial" w:eastAsia="Arial" w:hAnsi="Arial"/>
          <w:sz w:val="19"/>
          <w:szCs w:val="19"/>
          <w:color w:val="FF0000"/>
          <w:strike w:val="1"/>
        </w:rPr>
        <w:t>Interests of each</w:t>
      </w:r>
      <w:r>
        <w:rPr>
          <w:rFonts w:ascii="Arial" w:cs="Arial" w:eastAsia="Arial" w:hAnsi="Arial"/>
          <w:sz w:val="19"/>
          <w:szCs w:val="19"/>
          <w:b w:val="1"/>
          <w:bCs w:val="1"/>
          <w:u w:val="single" w:color="auto"/>
          <w:color w:val="0000FF"/>
          <w:highlight w:val="lightGray"/>
        </w:rPr>
        <w:t>Indirect Owner of any such</w:t>
      </w:r>
      <w:r>
        <w:rPr>
          <w:rFonts w:ascii="Arial" w:cs="Arial" w:eastAsia="Arial" w:hAnsi="Arial"/>
          <w:sz w:val="19"/>
          <w:szCs w:val="19"/>
          <w:color w:val="FF0000"/>
        </w:rPr>
        <w:t xml:space="preserve"> </w:t>
      </w:r>
      <w:r>
        <w:rPr>
          <w:rFonts w:ascii="Arial" w:cs="Arial" w:eastAsia="Arial" w:hAnsi="Arial"/>
          <w:sz w:val="19"/>
          <w:szCs w:val="19"/>
          <w:color w:val="000000"/>
        </w:rPr>
        <w:t>Direct Owner</w:t>
      </w:r>
      <w:r>
        <w:rPr>
          <w:rFonts w:ascii="Arial" w:cs="Arial" w:eastAsia="Arial" w:hAnsi="Arial"/>
          <w:sz w:val="19"/>
          <w:szCs w:val="19"/>
          <w:color w:val="FF0000"/>
        </w:rPr>
        <w:t xml:space="preserve"> </w:t>
      </w:r>
      <w:r>
        <w:rPr>
          <w:rFonts w:ascii="Arial" w:cs="Arial" w:eastAsia="Arial" w:hAnsi="Arial"/>
          <w:sz w:val="19"/>
          <w:szCs w:val="19"/>
          <w:color w:val="FF0000"/>
          <w:strike w:val="1"/>
        </w:rPr>
        <w:t>(each an “</w:t>
      </w:r>
      <w:r>
        <w:rPr>
          <w:rFonts w:ascii="Arial" w:cs="Arial" w:eastAsia="Arial" w:hAnsi="Arial"/>
          <w:sz w:val="19"/>
          <w:szCs w:val="19"/>
          <w:u w:val="single" w:color="auto"/>
          <w:color w:val="FF0000"/>
          <w:strike w:val="1"/>
        </w:rPr>
        <w:t>Indirect Owner</w:t>
      </w:r>
      <w:r>
        <w:rPr>
          <w:rFonts w:ascii="Arial" w:cs="Arial" w:eastAsia="Arial" w:hAnsi="Arial"/>
          <w:sz w:val="19"/>
          <w:szCs w:val="19"/>
          <w:color w:val="FF0000"/>
          <w:strike w:val="1"/>
        </w:rPr>
        <w:t>”)</w:t>
      </w:r>
      <w:r>
        <w:rPr>
          <w:rFonts w:ascii="Arial" w:cs="Arial" w:eastAsia="Arial" w:hAnsi="Arial"/>
          <w:sz w:val="19"/>
          <w:szCs w:val="19"/>
          <w:color w:val="000000"/>
        </w:rPr>
        <w:t>, are not junior in any manner to any</w:t>
      </w:r>
      <w:r>
        <w:rPr>
          <w:rFonts w:ascii="Arial" w:cs="Arial" w:eastAsia="Arial" w:hAnsi="Arial"/>
          <w:sz w:val="19"/>
          <w:szCs w:val="19"/>
          <w:color w:val="FF0000"/>
        </w:rPr>
        <w:t xml:space="preserve"> </w:t>
      </w:r>
      <w:r>
        <w:rPr>
          <w:rFonts w:ascii="Arial" w:cs="Arial" w:eastAsia="Arial" w:hAnsi="Arial"/>
          <w:sz w:val="19"/>
          <w:szCs w:val="19"/>
          <w:color w:val="000000"/>
        </w:rPr>
        <w:t xml:space="preserve">other class of Equity Interests in such Person or subject to any Liens or other encumbrances (other than Liens permitted under </w:t>
      </w:r>
      <w:r>
        <w:rPr>
          <w:rFonts w:ascii="Arial" w:cs="Arial" w:eastAsia="Arial" w:hAnsi="Arial"/>
          <w:sz w:val="19"/>
          <w:szCs w:val="19"/>
          <w:u w:val="single" w:color="auto"/>
          <w:color w:val="000000"/>
        </w:rPr>
        <w:t>Section 7.01(a)</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(b)</w:t>
      </w:r>
      <w:r>
        <w:rPr>
          <w:rFonts w:ascii="Arial" w:cs="Arial" w:eastAsia="Arial" w:hAnsi="Arial"/>
          <w:sz w:val="19"/>
          <w:szCs w:val="19"/>
          <w:b w:val="1"/>
          <w:bCs w:val="1"/>
          <w:u w:val="single" w:color="auto"/>
          <w:color w:val="0000FF"/>
          <w:highlight w:val="lightGray"/>
        </w:rPr>
        <w:t>, (c)</w:t>
      </w:r>
      <w:r>
        <w:rPr>
          <w:rFonts w:ascii="Arial" w:cs="Arial" w:eastAsia="Arial" w:hAnsi="Arial"/>
          <w:sz w:val="19"/>
          <w:szCs w:val="19"/>
          <w:color w:val="000000"/>
        </w:rPr>
        <w:t xml:space="preserve"> or </w:t>
      </w:r>
      <w:r>
        <w:rPr>
          <w:rFonts w:ascii="Arial" w:cs="Arial" w:eastAsia="Arial" w:hAnsi="Arial"/>
          <w:sz w:val="19"/>
          <w:szCs w:val="19"/>
          <w:u w:val="single" w:color="auto"/>
          <w:color w:val="000000"/>
        </w:rPr>
        <w:t>(l)</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highlight w:val="lightGray"/>
        </w:rPr>
        <w:t>and Permitted Pari Passu Encumbrances</w:t>
      </w:r>
      <w:r>
        <w:rPr>
          <w:rFonts w:ascii="Arial" w:cs="Arial" w:eastAsia="Arial" w:hAnsi="Arial"/>
          <w:sz w:val="19"/>
          <w:szCs w:val="19"/>
          <w:color w:val="000000"/>
        </w:rPr>
        <w:t>);</w:t>
      </w:r>
    </w:p>
    <w:p>
      <w:pPr>
        <w:spacing w:after="0" w:line="195" w:lineRule="exact"/>
        <w:rPr>
          <w:sz w:val="20"/>
          <w:szCs w:val="20"/>
          <w:color w:val="auto"/>
        </w:rPr>
      </w:pPr>
    </w:p>
    <w:p>
      <w:pPr>
        <w:jc w:val="both"/>
        <w:ind w:left="600" w:firstLine="598"/>
        <w:spacing w:after="0" w:line="260" w:lineRule="auto"/>
        <w:tabs>
          <w:tab w:leader="none" w:pos="1664" w:val="left"/>
        </w:tabs>
        <w:numPr>
          <w:ilvl w:val="1"/>
          <w:numId w:val="285"/>
        </w:numPr>
        <w:rPr>
          <w:rFonts w:ascii="Arial" w:cs="Arial" w:eastAsia="Arial" w:hAnsi="Arial"/>
          <w:sz w:val="20"/>
          <w:szCs w:val="20"/>
          <w:color w:val="auto"/>
        </w:rPr>
      </w:pPr>
      <w:r>
        <w:rPr>
          <w:rFonts w:ascii="Arial" w:cs="Arial" w:eastAsia="Arial" w:hAnsi="Arial"/>
          <w:sz w:val="20"/>
          <w:szCs w:val="20"/>
          <w:color w:val="auto"/>
        </w:rPr>
        <w:t xml:space="preserve">no Direct Owner or Indirect Owner of such Unencumbered Portfolio Property shall have any Indebtedness (other than the Obligations and other Indebtedness permitted under </w:t>
      </w:r>
      <w:r>
        <w:rPr>
          <w:rFonts w:ascii="Arial" w:cs="Arial" w:eastAsia="Arial" w:hAnsi="Arial"/>
          <w:sz w:val="20"/>
          <w:szCs w:val="20"/>
          <w:u w:val="single" w:color="auto"/>
          <w:color w:val="auto"/>
        </w:rPr>
        <w:t>Section 7.02</w:t>
      </w:r>
      <w:r>
        <w:rPr>
          <w:rFonts w:ascii="Arial" w:cs="Arial" w:eastAsia="Arial" w:hAnsi="Arial"/>
          <w:sz w:val="20"/>
          <w:szCs w:val="20"/>
          <w:color w:val="auto"/>
        </w:rPr>
        <w:t>) and shall not be subject to any proceedings under any Debtor Relief Law;</w:t>
      </w:r>
    </w:p>
    <w:p>
      <w:pPr>
        <w:spacing w:after="0" w:line="201" w:lineRule="exact"/>
        <w:rPr>
          <w:rFonts w:ascii="Arial" w:cs="Arial" w:eastAsia="Arial" w:hAnsi="Arial"/>
          <w:sz w:val="20"/>
          <w:szCs w:val="20"/>
          <w:color w:val="auto"/>
        </w:rPr>
      </w:pPr>
    </w:p>
    <w:p>
      <w:pPr>
        <w:ind w:left="620" w:firstLine="553"/>
        <w:spacing w:after="0" w:line="272" w:lineRule="auto"/>
        <w:tabs>
          <w:tab w:leader="none" w:pos="1672" w:val="left"/>
        </w:tabs>
        <w:numPr>
          <w:ilvl w:val="0"/>
          <w:numId w:val="286"/>
        </w:numPr>
        <w:rPr>
          <w:rFonts w:ascii="Arial" w:cs="Arial" w:eastAsia="Arial" w:hAnsi="Arial"/>
          <w:sz w:val="20"/>
          <w:szCs w:val="20"/>
          <w:color w:val="auto"/>
        </w:rPr>
      </w:pPr>
      <w:r>
        <w:rPr>
          <w:rFonts w:ascii="Arial" w:cs="Arial" w:eastAsia="Arial" w:hAnsi="Arial"/>
          <w:sz w:val="20"/>
          <w:szCs w:val="20"/>
          <w:color w:val="auto"/>
        </w:rPr>
        <w:t>such Unencumbered Portfolio Property is free of Hazardous Materials except as would not materially affect the value of such Unencumbered Portfolio Property;</w:t>
      </w:r>
    </w:p>
    <w:p>
      <w:pPr>
        <w:spacing w:after="0" w:line="190" w:lineRule="exact"/>
        <w:rPr>
          <w:rFonts w:ascii="Arial" w:cs="Arial" w:eastAsia="Arial" w:hAnsi="Arial"/>
          <w:sz w:val="20"/>
          <w:szCs w:val="20"/>
          <w:color w:val="auto"/>
        </w:rPr>
      </w:pPr>
    </w:p>
    <w:p>
      <w:pPr>
        <w:jc w:val="both"/>
        <w:ind w:left="620" w:firstLine="553"/>
        <w:spacing w:after="0" w:line="281" w:lineRule="auto"/>
        <w:tabs>
          <w:tab w:leader="none" w:pos="160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such Unencumbered Portfolio Property is free and clear of all negative pledges or any restrictions on the ability of the Subsidiary of the Borrower that owns or ground leases such Unencumbered Portfolio Property to transfer or encumber such Unencumbered Portfolio Property, except for (1) Permitted Pari Passu Encumbrances</w:t>
      </w:r>
      <w:r>
        <w:rPr>
          <w:rFonts w:ascii="Arial" w:cs="Arial" w:eastAsia="Arial" w:hAnsi="Arial"/>
          <w:sz w:val="18"/>
          <w:szCs w:val="18"/>
          <w:color w:val="FF0000"/>
          <w:strike w:val="1"/>
        </w:rPr>
        <w:t>, and the restrictions on Liens,</w:t>
      </w:r>
      <w:r>
        <w:rPr>
          <w:rFonts w:ascii="Arial" w:cs="Arial" w:eastAsia="Arial" w:hAnsi="Arial"/>
          <w:sz w:val="18"/>
          <w:szCs w:val="18"/>
          <w:color w:val="auto"/>
        </w:rPr>
        <w:t xml:space="preserve"> </w:t>
      </w:r>
      <w:r>
        <w:rPr>
          <w:rFonts w:ascii="Arial" w:cs="Arial" w:eastAsia="Arial" w:hAnsi="Arial"/>
          <w:sz w:val="18"/>
          <w:szCs w:val="18"/>
          <w:color w:val="FF0000"/>
          <w:strike w:val="1"/>
        </w:rPr>
        <w:t>assignments and transfers of assets existing on the Closing Date and set forth on</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Schedule 7.09</w:t>
      </w:r>
      <w:r>
        <w:rPr>
          <w:rFonts w:ascii="Arial" w:cs="Arial" w:eastAsia="Arial" w:hAnsi="Arial"/>
          <w:sz w:val="18"/>
          <w:szCs w:val="18"/>
          <w:color w:val="FF0000"/>
        </w:rPr>
        <w:t xml:space="preserve"> </w:t>
      </w:r>
      <w:r>
        <w:rPr>
          <w:rFonts w:ascii="Arial" w:cs="Arial" w:eastAsia="Arial" w:hAnsi="Arial"/>
          <w:sz w:val="18"/>
          <w:szCs w:val="18"/>
          <w:color w:val="000000"/>
        </w:rPr>
        <w:t>and (2) customary restrictions</w:t>
      </w:r>
      <w:r>
        <w:rPr>
          <w:rFonts w:ascii="Arial" w:cs="Arial" w:eastAsia="Arial" w:hAnsi="Arial"/>
          <w:sz w:val="18"/>
          <w:szCs w:val="18"/>
          <w:color w:val="FF0000"/>
        </w:rPr>
        <w:t xml:space="preserve"> </w:t>
      </w:r>
      <w:r>
        <w:rPr>
          <w:rFonts w:ascii="Arial" w:cs="Arial" w:eastAsia="Arial" w:hAnsi="Arial"/>
          <w:sz w:val="18"/>
          <w:szCs w:val="18"/>
          <w:color w:val="000000"/>
        </w:rPr>
        <w:t>on Liens, assignments and transfers of assets contained in leases, licenses and other Contractual Obligations entered into in the ordinary course of business that (x) do not prevent the grant of a Lien on such Unencumbered Portfolio Property to secure the Obligations, (y) would not prevent a mortgagee of such Unencumbered Portfolio Property from transferring such Unencumbered Portfolio Property in the event such mortgagee were to foreclose on its Lien on such Unencumbered Portfolio Property and (z) do not materially impair or interfere in the use or operations of such Unencumbered Portfolio Property or the Administrative Agent’s and the Lenders’ rights and remedies under the Loan Documents; and</w:t>
      </w:r>
    </w:p>
    <w:p>
      <w:pPr>
        <w:spacing w:after="0" w:line="186" w:lineRule="exact"/>
        <w:rPr>
          <w:rFonts w:ascii="Arial" w:cs="Arial" w:eastAsia="Arial" w:hAnsi="Arial"/>
          <w:sz w:val="18"/>
          <w:szCs w:val="18"/>
          <w:color w:val="auto"/>
        </w:rPr>
      </w:pPr>
    </w:p>
    <w:p>
      <w:pPr>
        <w:jc w:val="both"/>
        <w:ind w:left="600" w:firstLine="598"/>
        <w:spacing w:after="0" w:line="253" w:lineRule="auto"/>
        <w:tabs>
          <w:tab w:leader="none" w:pos="1657" w:val="left"/>
        </w:tabs>
        <w:numPr>
          <w:ilvl w:val="1"/>
          <w:numId w:val="286"/>
        </w:numPr>
        <w:rPr>
          <w:rFonts w:ascii="Arial" w:cs="Arial" w:eastAsia="Arial" w:hAnsi="Arial"/>
          <w:sz w:val="20"/>
          <w:szCs w:val="20"/>
          <w:color w:val="auto"/>
        </w:rPr>
      </w:pPr>
      <w:r>
        <w:rPr>
          <w:rFonts w:ascii="Arial" w:cs="Arial" w:eastAsia="Arial" w:hAnsi="Arial"/>
          <w:sz w:val="20"/>
          <w:szCs w:val="20"/>
          <w:color w:val="auto"/>
        </w:rPr>
        <w:t>in the case of an Unencumbered Portfolio Property other than a Qualified Development Property, after giving pro forma effect to the inclusion of such Unencumbered Portfolio Property as an Unencumbered Eligible Property, the aggregate minimum occupancy for all Unencumbered Portfolio Properties</w:t>
      </w:r>
    </w:p>
    <w:p>
      <w:pPr>
        <w:ind w:left="1200"/>
        <w:spacing w:after="0"/>
        <w:rPr>
          <w:rFonts w:ascii="Arial" w:cs="Arial" w:eastAsia="Arial" w:hAnsi="Arial"/>
          <w:sz w:val="20"/>
          <w:szCs w:val="20"/>
          <w:color w:val="auto"/>
        </w:rPr>
      </w:pPr>
      <w:r>
        <w:rPr>
          <w:rFonts w:ascii="Arial" w:cs="Arial" w:eastAsia="Arial" w:hAnsi="Arial"/>
          <w:sz w:val="20"/>
          <w:szCs w:val="20"/>
          <w:color w:val="auto"/>
        </w:rPr>
        <w:t>(other than Hotel Properties) included in the calculation of Unencumbered Asset Value shall be at least 80%;</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that (i) an Unencumbered Portfolio Property shall not constitute an Unencumbered Eligible Property unless and until the Borrower has delivered to the Administrative Agent a certificate signed by a Responsible Officer of the Borrower designating such Unencumbered Portfolio Property as an “Unencumbered Eligible Property” and certifying that such Unencumbered Portfolio Property satisfies each of the eligibility criteria set forth in clauses (a) through (g) above (or, in the case an Unencumbered Portfolio Property that satisfies each of the eligibility criteria set forth in clauses (a)</w:t>
      </w:r>
    </w:p>
    <w:p>
      <w:pPr>
        <w:spacing w:after="0" w:line="18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820"/>
          </w:cols>
          <w:pgMar w:left="840" w:top="795" w:right="239" w:bottom="1440" w:gutter="0" w:footer="0" w:header="0"/>
        </w:sectPr>
      </w:pPr>
    </w:p>
    <w:bookmarkStart w:id="270" w:name="page271"/>
    <w:bookmarkEnd w:id="270"/>
    <w:p>
      <w:pPr>
        <w:jc w:val="both"/>
        <w:ind w:left="1"/>
        <w:spacing w:after="0" w:line="283" w:lineRule="auto"/>
        <w:rPr>
          <w:sz w:val="20"/>
          <w:szCs w:val="20"/>
          <w:color w:val="auto"/>
        </w:rPr>
      </w:pPr>
      <w:r>
        <w:rPr>
          <w:rFonts w:ascii="Arial" w:cs="Arial" w:eastAsia="Arial" w:hAnsi="Arial"/>
          <w:sz w:val="18"/>
          <w:szCs w:val="18"/>
          <w:color w:val="auto"/>
        </w:rPr>
        <w:t xml:space="preserve">through (g) above on the </w:t>
      </w:r>
      <w:r>
        <w:rPr>
          <w:rFonts w:ascii="Arial" w:cs="Arial" w:eastAsia="Arial" w:hAnsi="Arial"/>
          <w:sz w:val="18"/>
          <w:szCs w:val="18"/>
          <w:color w:val="FF0000"/>
          <w:strike w:val="1"/>
        </w:rPr>
        <w:t>Closing</w:t>
      </w:r>
      <w:r>
        <w:rPr>
          <w:rFonts w:ascii="Arial" w:cs="Arial" w:eastAsia="Arial" w:hAnsi="Arial"/>
          <w:sz w:val="18"/>
          <w:szCs w:val="18"/>
          <w:b w:val="1"/>
          <w:bCs w:val="1"/>
          <w:u w:val="single" w:color="auto"/>
          <w:color w:val="0000FF"/>
          <w:highlight w:val="lightGray"/>
        </w:rPr>
        <w:t>Third Amendment Effective</w:t>
      </w:r>
      <w:r>
        <w:rPr>
          <w:rFonts w:ascii="Arial" w:cs="Arial" w:eastAsia="Arial" w:hAnsi="Arial"/>
          <w:sz w:val="18"/>
          <w:szCs w:val="18"/>
          <w:color w:val="auto"/>
        </w:rPr>
        <w:t xml:space="preserve"> Date, is listed on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hereto), (ii) if at any time any Unencumbered Portfolio Property that is included as an “Unencumbered Eligible Property” (whether on the Closing Date or at any thereafter) ceases to satisfy any of the eligibility criteria set forth in clauses (a) through (g) above, such Unencumbered Portfolio Property shall automatically cease to be an Unencumbered Eligible Property at such time and the Borrower shall promptly notify the Lender in writing thereof and (iii) the Borrower may rescind the designation of any Unencumbered Portfolio Property as an “Unencumbered Eligible Property” at any time by providing written notice thereof to the Administrative Agent so long as (</w:t>
      </w:r>
      <w:r>
        <w:rPr>
          <w:rFonts w:ascii="Arial" w:cs="Arial" w:eastAsia="Arial" w:hAnsi="Arial"/>
          <w:sz w:val="18"/>
          <w:szCs w:val="18"/>
          <w:color w:val="FF0000"/>
          <w:strike w:val="1"/>
        </w:rPr>
        <w:t>i</w:t>
      </w:r>
      <w:r>
        <w:rPr>
          <w:rFonts w:ascii="Arial" w:cs="Arial" w:eastAsia="Arial" w:hAnsi="Arial"/>
          <w:sz w:val="18"/>
          <w:szCs w:val="18"/>
          <w:b w:val="1"/>
          <w:bCs w:val="1"/>
          <w:u w:val="single" w:color="auto"/>
          <w:color w:val="0000FF"/>
          <w:highlight w:val="lightGray"/>
        </w:rPr>
        <w:t>x</w:t>
      </w:r>
      <w:r>
        <w:rPr>
          <w:rFonts w:ascii="Arial" w:cs="Arial" w:eastAsia="Arial" w:hAnsi="Arial"/>
          <w:sz w:val="18"/>
          <w:szCs w:val="18"/>
          <w:color w:val="auto"/>
        </w:rPr>
        <w:t>) no Default or Event of Default has occurred and is continuing or would result therefrom and (</w:t>
      </w:r>
      <w:r>
        <w:rPr>
          <w:rFonts w:ascii="Arial" w:cs="Arial" w:eastAsia="Arial" w:hAnsi="Arial"/>
          <w:sz w:val="18"/>
          <w:szCs w:val="18"/>
          <w:color w:val="FF0000"/>
          <w:strike w:val="1"/>
        </w:rPr>
        <w:t>ii</w:t>
      </w:r>
      <w:r>
        <w:rPr>
          <w:rFonts w:ascii="Arial" w:cs="Arial" w:eastAsia="Arial" w:hAnsi="Arial"/>
          <w:sz w:val="18"/>
          <w:szCs w:val="18"/>
          <w:b w:val="1"/>
          <w:bCs w:val="1"/>
          <w:u w:val="single" w:color="auto"/>
          <w:color w:val="0000FF"/>
          <w:highlight w:val="lightGray"/>
        </w:rPr>
        <w:t>y</w:t>
      </w:r>
      <w:r>
        <w:rPr>
          <w:rFonts w:ascii="Arial" w:cs="Arial" w:eastAsia="Arial" w:hAnsi="Arial"/>
          <w:sz w:val="18"/>
          <w:szCs w:val="18"/>
          <w:color w:val="auto"/>
        </w:rPr>
        <w:t xml:space="preserve">) the Loan Parties are in pro forma compliance with the </w:t>
      </w:r>
      <w:r>
        <w:rPr>
          <w:rFonts w:ascii="Arial" w:cs="Arial" w:eastAsia="Arial" w:hAnsi="Arial"/>
          <w:sz w:val="18"/>
          <w:szCs w:val="18"/>
          <w:color w:val="FF0000"/>
          <w:strike w:val="1"/>
        </w:rPr>
        <w:t>financial</w:t>
      </w:r>
      <w:r>
        <w:rPr>
          <w:rFonts w:ascii="Arial" w:cs="Arial" w:eastAsia="Arial" w:hAnsi="Arial"/>
          <w:sz w:val="18"/>
          <w:szCs w:val="18"/>
          <w:color w:val="auto"/>
        </w:rPr>
        <w:t xml:space="preserve"> covenants contained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highlight w:val="lightGray"/>
        </w:rPr>
        <w:t>7.02(b) and Section</w:t>
      </w:r>
      <w:r>
        <w:rPr>
          <w:rFonts w:ascii="Arial" w:cs="Arial" w:eastAsia="Arial" w:hAnsi="Arial"/>
          <w:sz w:val="18"/>
          <w:szCs w:val="18"/>
          <w:color w:val="auto"/>
        </w:rPr>
        <w:t xml:space="preserve"> 7.11</w:t>
      </w:r>
      <w:r>
        <w:rPr>
          <w:rFonts w:ascii="Arial" w:cs="Arial" w:eastAsia="Arial" w:hAnsi="Arial"/>
          <w:sz w:val="18"/>
          <w:szCs w:val="18"/>
          <w:u w:val="single" w:color="auto"/>
          <w:color w:val="FF0000"/>
          <w:strike w:val="1"/>
        </w:rPr>
        <w:t>(a)</w:t>
      </w:r>
      <w:r>
        <w:rPr>
          <w:rFonts w:ascii="Arial" w:cs="Arial" w:eastAsia="Arial" w:hAnsi="Arial"/>
          <w:sz w:val="18"/>
          <w:szCs w:val="18"/>
          <w:color w:val="auto"/>
        </w:rPr>
        <w:t xml:space="preserve"> </w:t>
      </w:r>
      <w:r>
        <w:rPr>
          <w:rFonts w:ascii="Arial" w:cs="Arial" w:eastAsia="Arial" w:hAnsi="Arial"/>
          <w:sz w:val="18"/>
          <w:szCs w:val="18"/>
          <w:color w:val="FF0000"/>
          <w:strike w:val="1"/>
        </w:rPr>
        <w:t>through</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(f)</w:t>
      </w:r>
      <w:r>
        <w:rPr>
          <w:rFonts w:ascii="Arial" w:cs="Arial" w:eastAsia="Arial" w:hAnsi="Arial"/>
          <w:sz w:val="18"/>
          <w:szCs w:val="18"/>
          <w:color w:val="auto"/>
        </w:rPr>
        <w:t xml:space="preserve"> after giving effect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4182745</wp:posOffset>
            </wp:positionH>
            <wp:positionV relativeFrom="paragraph">
              <wp:posOffset>-49530</wp:posOffset>
            </wp:positionV>
            <wp:extent cx="24892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8920" cy="7620"/>
                    </a:xfrm>
                    <a:prstGeom prst="rect">
                      <a:avLst/>
                    </a:prstGeom>
                    <a:noFill/>
                  </pic:spPr>
                </pic:pic>
              </a:graphicData>
            </a:graphic>
          </wp:anchor>
        </w:drawing>
      </w:r>
    </w:p>
    <w:p>
      <w:pPr>
        <w:spacing w:after="0" w:line="169"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Notwithstanding anything to the contrary contained herein, an Unencumbered Portfolio Property shall not be deemed an Unencumbered Eligible Property if any Direct Owner or Indirect Owner thereof that is not a Guarantor is obligated in respect of any outstanding Indebtedness for borrowed money that constitutes Recourse Indebtedness.</w:t>
      </w:r>
    </w:p>
    <w:p>
      <w:pPr>
        <w:spacing w:after="0" w:line="202" w:lineRule="exact"/>
        <w:rPr>
          <w:sz w:val="20"/>
          <w:szCs w:val="20"/>
          <w:color w:val="auto"/>
        </w:rPr>
      </w:pPr>
    </w:p>
    <w:p>
      <w:pPr>
        <w:jc w:val="both"/>
        <w:ind w:left="1" w:firstLine="600"/>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Unencumbered Portfolio Property</w:t>
      </w:r>
      <w:r>
        <w:rPr>
          <w:rFonts w:ascii="Arial" w:cs="Arial" w:eastAsia="Arial" w:hAnsi="Arial"/>
          <w:sz w:val="18"/>
          <w:szCs w:val="18"/>
          <w:color w:val="auto"/>
        </w:rPr>
        <w:t xml:space="preserve">” means any real property (i) that is 100% directly owned by one or more </w:t>
      </w:r>
      <w:r>
        <w:rPr>
          <w:rFonts w:ascii="Arial" w:cs="Arial" w:eastAsia="Arial" w:hAnsi="Arial"/>
          <w:sz w:val="18"/>
          <w:szCs w:val="18"/>
          <w:color w:val="FF0000"/>
          <w:strike w:val="1"/>
        </w:rPr>
        <w:t>Wholly-Owned</w:t>
      </w:r>
      <w:r>
        <w:rPr>
          <w:rFonts w:ascii="Arial" w:cs="Arial" w:eastAsia="Arial" w:hAnsi="Arial"/>
          <w:sz w:val="18"/>
          <w:szCs w:val="18"/>
          <w:b w:val="1"/>
          <w:bCs w:val="1"/>
          <w:u w:val="single" w:color="auto"/>
          <w:color w:val="0000FF"/>
          <w:highlight w:val="lightGray"/>
        </w:rPr>
        <w:t>Wholly Owned</w:t>
      </w:r>
      <w:r>
        <w:rPr>
          <w:rFonts w:ascii="Arial" w:cs="Arial" w:eastAsia="Arial" w:hAnsi="Arial"/>
          <w:sz w:val="18"/>
          <w:szCs w:val="18"/>
          <w:color w:val="FF0000"/>
        </w:rPr>
        <w:t xml:space="preserve"> </w:t>
      </w:r>
      <w:r>
        <w:rPr>
          <w:rFonts w:ascii="Arial" w:cs="Arial" w:eastAsia="Arial" w:hAnsi="Arial"/>
          <w:sz w:val="18"/>
          <w:szCs w:val="18"/>
          <w:color w:val="000000"/>
        </w:rPr>
        <w:t>Subsidiaries of the Borrower that are Guarantors; (ii) that is 100% owned directly by a Controlled Joint</w:t>
      </w:r>
      <w:r>
        <w:rPr>
          <w:rFonts w:ascii="Arial" w:cs="Arial" w:eastAsia="Arial" w:hAnsi="Arial"/>
          <w:sz w:val="18"/>
          <w:szCs w:val="18"/>
          <w:color w:val="FF0000"/>
        </w:rPr>
        <w:t xml:space="preserve"> </w:t>
      </w:r>
      <w:r>
        <w:rPr>
          <w:rFonts w:ascii="Arial" w:cs="Arial" w:eastAsia="Arial" w:hAnsi="Arial"/>
          <w:sz w:val="18"/>
          <w:szCs w:val="18"/>
          <w:color w:val="000000"/>
        </w:rPr>
        <w:t xml:space="preserve">Venture or (iii) in which one or more </w:t>
      </w:r>
      <w:r>
        <w:rPr>
          <w:rFonts w:ascii="Arial" w:cs="Arial" w:eastAsia="Arial" w:hAnsi="Arial"/>
          <w:sz w:val="18"/>
          <w:szCs w:val="18"/>
          <w:color w:val="FF0000"/>
          <w:strike w:val="1"/>
        </w:rPr>
        <w:t>Wholly-Owned</w:t>
      </w:r>
      <w:r>
        <w:rPr>
          <w:rFonts w:ascii="Arial" w:cs="Arial" w:eastAsia="Arial" w:hAnsi="Arial"/>
          <w:sz w:val="18"/>
          <w:szCs w:val="18"/>
          <w:b w:val="1"/>
          <w:bCs w:val="1"/>
          <w:u w:val="single" w:color="auto"/>
          <w:color w:val="0000FF"/>
          <w:highlight w:val="lightGray"/>
        </w:rPr>
        <w:t>Wholly Owned</w:t>
      </w:r>
      <w:r>
        <w:rPr>
          <w:rFonts w:ascii="Arial" w:cs="Arial" w:eastAsia="Arial" w:hAnsi="Arial"/>
          <w:sz w:val="18"/>
          <w:szCs w:val="18"/>
          <w:color w:val="000000"/>
        </w:rPr>
        <w:t xml:space="preserve"> Subsidiaries of the Borrower that are Guarantors or a Controlled Joint Venture, as applicable, holds a 100% ground leasehold interest under an Eligible Ground Lease;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in the case of clauses (i) and (iii) of this definition, if the Exemption </w:t>
      </w:r>
      <w:r>
        <w:rPr>
          <w:rFonts w:ascii="Arial" w:cs="Arial" w:eastAsia="Arial" w:hAnsi="Arial"/>
          <w:sz w:val="18"/>
          <w:szCs w:val="18"/>
          <w:color w:val="FF0000"/>
          <w:strike w:val="1"/>
        </w:rPr>
        <w:t>Conditions exist</w:t>
      </w:r>
      <w:r>
        <w:rPr>
          <w:rFonts w:ascii="Arial" w:cs="Arial" w:eastAsia="Arial" w:hAnsi="Arial"/>
          <w:sz w:val="18"/>
          <w:szCs w:val="18"/>
          <w:b w:val="1"/>
          <w:bCs w:val="1"/>
          <w:u w:val="single" w:color="auto"/>
          <w:color w:val="0000FF"/>
          <w:highlight w:val="lightGray"/>
        </w:rPr>
        <w:t>Condition exists</w:t>
      </w:r>
      <w:r>
        <w:rPr>
          <w:rFonts w:ascii="Arial" w:cs="Arial" w:eastAsia="Arial" w:hAnsi="Arial"/>
          <w:sz w:val="18"/>
          <w:szCs w:val="18"/>
          <w:color w:val="000000"/>
        </w:rPr>
        <w:t xml:space="preserve"> at any time with respect to a </w:t>
      </w:r>
      <w:r>
        <w:rPr>
          <w:rFonts w:ascii="Arial" w:cs="Arial" w:eastAsia="Arial" w:hAnsi="Arial"/>
          <w:sz w:val="18"/>
          <w:szCs w:val="18"/>
          <w:color w:val="FF0000"/>
          <w:strike w:val="1"/>
        </w:rPr>
        <w:t>Wholly-Owned</w:t>
      </w:r>
      <w:r>
        <w:rPr>
          <w:rFonts w:ascii="Arial" w:cs="Arial" w:eastAsia="Arial" w:hAnsi="Arial"/>
          <w:sz w:val="18"/>
          <w:szCs w:val="18"/>
          <w:b w:val="1"/>
          <w:bCs w:val="1"/>
          <w:u w:val="single" w:color="auto"/>
          <w:color w:val="0000FF"/>
          <w:highlight w:val="lightGray"/>
        </w:rPr>
        <w:t>Wholly Owned</w:t>
      </w:r>
      <w:r>
        <w:rPr>
          <w:rFonts w:ascii="Arial" w:cs="Arial" w:eastAsia="Arial" w:hAnsi="Arial"/>
          <w:sz w:val="18"/>
          <w:szCs w:val="18"/>
          <w:color w:val="FF0000"/>
        </w:rPr>
        <w:t xml:space="preserve"> </w:t>
      </w:r>
      <w:r>
        <w:rPr>
          <w:rFonts w:ascii="Arial" w:cs="Arial" w:eastAsia="Arial" w:hAnsi="Arial"/>
          <w:sz w:val="18"/>
          <w:szCs w:val="18"/>
          <w:color w:val="000000"/>
        </w:rPr>
        <w:t>Subsidiary of the Borrower that owns or ground leases all or any portion of such real property, the requirement</w:t>
      </w:r>
      <w:r>
        <w:rPr>
          <w:rFonts w:ascii="Arial" w:cs="Arial" w:eastAsia="Arial" w:hAnsi="Arial"/>
          <w:sz w:val="18"/>
          <w:szCs w:val="18"/>
          <w:color w:val="FF0000"/>
        </w:rPr>
        <w:t xml:space="preserve"> </w:t>
      </w:r>
      <w:r>
        <w:rPr>
          <w:rFonts w:ascii="Arial" w:cs="Arial" w:eastAsia="Arial" w:hAnsi="Arial"/>
          <w:sz w:val="18"/>
          <w:szCs w:val="18"/>
          <w:color w:val="000000"/>
        </w:rPr>
        <w:t xml:space="preserve">that such </w:t>
      </w:r>
      <w:r>
        <w:rPr>
          <w:rFonts w:ascii="Arial" w:cs="Arial" w:eastAsia="Arial" w:hAnsi="Arial"/>
          <w:sz w:val="18"/>
          <w:szCs w:val="18"/>
          <w:color w:val="FF0000"/>
          <w:strike w:val="1"/>
        </w:rPr>
        <w:t>Wholly-Owned</w:t>
      </w:r>
      <w:r>
        <w:rPr>
          <w:rFonts w:ascii="Arial" w:cs="Arial" w:eastAsia="Arial" w:hAnsi="Arial"/>
          <w:sz w:val="18"/>
          <w:szCs w:val="18"/>
          <w:b w:val="1"/>
          <w:bCs w:val="1"/>
          <w:u w:val="single" w:color="auto"/>
          <w:color w:val="0000FF"/>
          <w:highlight w:val="lightGray"/>
        </w:rPr>
        <w:t>Wholly Owned</w:t>
      </w:r>
      <w:r>
        <w:rPr>
          <w:rFonts w:ascii="Arial" w:cs="Arial" w:eastAsia="Arial" w:hAnsi="Arial"/>
          <w:sz w:val="18"/>
          <w:szCs w:val="18"/>
          <w:color w:val="000000"/>
        </w:rPr>
        <w:t xml:space="preserve"> Subsidiary be a Guarantor shall not apply to such </w:t>
      </w:r>
      <w:r>
        <w:rPr>
          <w:rFonts w:ascii="Arial" w:cs="Arial" w:eastAsia="Arial" w:hAnsi="Arial"/>
          <w:sz w:val="18"/>
          <w:szCs w:val="18"/>
          <w:color w:val="FF0000"/>
          <w:strike w:val="1"/>
        </w:rPr>
        <w:t>Wholly-Owned</w:t>
      </w:r>
      <w:r>
        <w:rPr>
          <w:rFonts w:ascii="Arial" w:cs="Arial" w:eastAsia="Arial" w:hAnsi="Arial"/>
          <w:sz w:val="18"/>
          <w:szCs w:val="18"/>
          <w:b w:val="1"/>
          <w:bCs w:val="1"/>
          <w:u w:val="single" w:color="auto"/>
          <w:color w:val="0000FF"/>
          <w:highlight w:val="lightGray"/>
        </w:rPr>
        <w:t>Wholly Owned</w:t>
      </w:r>
      <w:r>
        <w:rPr>
          <w:rFonts w:ascii="Arial" w:cs="Arial" w:eastAsia="Arial" w:hAnsi="Arial"/>
          <w:sz w:val="18"/>
          <w:szCs w:val="18"/>
          <w:color w:val="000000"/>
        </w:rPr>
        <w:t xml:space="preserve"> Subsidiary.</w:t>
      </w:r>
    </w:p>
    <w:p>
      <w:pPr>
        <w:spacing w:after="0" w:line="184" w:lineRule="exact"/>
        <w:rPr>
          <w:sz w:val="20"/>
          <w:szCs w:val="20"/>
          <w:color w:val="auto"/>
        </w:rPr>
      </w:pPr>
    </w:p>
    <w:p>
      <w:pPr>
        <w:jc w:val="both"/>
        <w:ind w:left="1" w:firstLine="600"/>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Unencumbered Property NOI</w:t>
      </w:r>
      <w:r>
        <w:rPr>
          <w:rFonts w:ascii="Arial" w:cs="Arial" w:eastAsia="Arial" w:hAnsi="Arial"/>
          <w:sz w:val="20"/>
          <w:szCs w:val="20"/>
          <w:color w:val="auto"/>
        </w:rPr>
        <w:t xml:space="preserve">” means, with respect to any Unencumbered Eligible Property for any fiscal quarter of the REIT, an amount equal to (a) the Portfolio Property Net Operating Income of such Unencumbered Eligible Property for such fiscal quarter,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(b) the Annual Capital Expenditure Adjustment with respect to such Unencumbered Eligible Property for such fiscal quarter; </w:t>
      </w:r>
      <w:r>
        <w:rPr>
          <w:rFonts w:ascii="Arial" w:cs="Arial" w:eastAsia="Arial" w:hAnsi="Arial"/>
          <w:sz w:val="20"/>
          <w:szCs w:val="20"/>
          <w:u w:val="single" w:color="auto"/>
          <w:color w:val="auto"/>
        </w:rPr>
        <w:t>provided</w:t>
      </w:r>
      <w:r>
        <w:rPr>
          <w:rFonts w:ascii="Arial" w:cs="Arial" w:eastAsia="Arial" w:hAnsi="Arial"/>
          <w:sz w:val="20"/>
          <w:szCs w:val="20"/>
          <w:color w:val="auto"/>
        </w:rPr>
        <w:t>, that if an Unencumbered Eligible Property is owned, or ground leased under an Eligible Ground Lease, by a Controlled Joint Venture, the Unencumbered Property NOI of such Unencumbered Eligible Property shall, for such period, be the Loan Party Pro Rata Share of such Unencumbered Property NOI.</w:t>
      </w:r>
    </w:p>
    <w:p>
      <w:pPr>
        <w:spacing w:after="0" w:line="212" w:lineRule="exact"/>
        <w:rPr>
          <w:sz w:val="20"/>
          <w:szCs w:val="20"/>
          <w:color w:val="auto"/>
        </w:rPr>
      </w:pPr>
    </w:p>
    <w:p>
      <w:pPr>
        <w:ind w:left="60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 the United States of America.</w:t>
      </w:r>
    </w:p>
    <w:p>
      <w:pPr>
        <w:spacing w:after="0" w:line="245" w:lineRule="exact"/>
        <w:rPr>
          <w:sz w:val="20"/>
          <w:szCs w:val="20"/>
          <w:color w:val="auto"/>
        </w:rPr>
      </w:pPr>
    </w:p>
    <w:p>
      <w:pPr>
        <w:jc w:val="both"/>
        <w:ind w:left="1" w:firstLine="60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 Amount</w:t>
      </w:r>
      <w:r>
        <w:rPr>
          <w:rFonts w:ascii="Arial" w:cs="Arial" w:eastAsia="Arial" w:hAnsi="Arial"/>
          <w:sz w:val="18"/>
          <w:szCs w:val="18"/>
          <w:color w:val="auto"/>
        </w:rPr>
        <w:t>” means, as of any date, an amount equal to the greater of (a) the excess of (i) the aggregate amount of cash and Cash Equivalents of the Consolidated Group on such date that are not subject to any pledge, Lien or control agreement (excluding statutory Liens in favor of any depositary bank where such cash is maintained), minus (ii) the sum of (x) $15,000,000, plus</w:t>
      </w:r>
    </w:p>
    <w:p>
      <w:pPr>
        <w:spacing w:after="0" w:line="1" w:lineRule="exact"/>
        <w:rPr>
          <w:sz w:val="20"/>
          <w:szCs w:val="20"/>
          <w:color w:val="auto"/>
        </w:rPr>
      </w:pPr>
    </w:p>
    <w:p>
      <w:pPr>
        <w:jc w:val="both"/>
        <w:ind w:left="1" w:hanging="1"/>
        <w:spacing w:after="0" w:line="249" w:lineRule="auto"/>
        <w:tabs>
          <w:tab w:leader="none" w:pos="286" w:val="left"/>
        </w:tabs>
        <w:numPr>
          <w:ilvl w:val="0"/>
          <w:numId w:val="287"/>
        </w:numPr>
        <w:rPr>
          <w:rFonts w:ascii="Arial" w:cs="Arial" w:eastAsia="Arial" w:hAnsi="Arial"/>
          <w:sz w:val="20"/>
          <w:szCs w:val="20"/>
          <w:color w:val="auto"/>
        </w:rPr>
      </w:pPr>
      <w:r>
        <w:rPr>
          <w:rFonts w:ascii="Arial" w:cs="Arial" w:eastAsia="Arial" w:hAnsi="Arial"/>
          <w:sz w:val="20"/>
          <w:szCs w:val="20"/>
          <w:color w:val="auto"/>
        </w:rPr>
        <w:t>amounts included in the foregoing clause (i) that are held in the name of, or in the possession or control of a Person (other than any possession or control by such Person arising solely from such Person acting in its capacity as a depository or financial intermediary for, or on behalf of, a member of the Consolidated Group) that is not the REIT, the Borrower or any their respective Subsidiaries as deposits or security for contractual obligations plus (z) the “Total Revolving Credit Outstandings” (or similar defined term) under the Revolving Credit Agreement on such date and (b) $0.</w:t>
      </w:r>
    </w:p>
    <w:p>
      <w:pPr>
        <w:spacing w:after="0" w:line="192" w:lineRule="exact"/>
        <w:rPr>
          <w:sz w:val="20"/>
          <w:szCs w:val="20"/>
          <w:color w:val="auto"/>
        </w:rPr>
      </w:pPr>
    </w:p>
    <w:p>
      <w:pPr>
        <w:ind w:left="4961"/>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821"/>
          </w:cols>
          <w:pgMar w:left="839" w:top="789" w:right="239" w:bottom="1440" w:gutter="0" w:footer="0" w:header="0"/>
        </w:sectPr>
      </w:pPr>
    </w:p>
    <w:bookmarkStart w:id="271" w:name="page272"/>
    <w:bookmarkEnd w:id="271"/>
    <w:p>
      <w:pPr>
        <w:jc w:val="both"/>
        <w:ind w:left="600" w:firstLine="600"/>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Unsecured Indebtedness</w:t>
      </w:r>
      <w:r>
        <w:rPr>
          <w:rFonts w:ascii="Arial" w:cs="Arial" w:eastAsia="Arial" w:hAnsi="Arial"/>
          <w:sz w:val="20"/>
          <w:szCs w:val="20"/>
          <w:color w:val="auto"/>
        </w:rPr>
        <w:t xml:space="preserve">” means, with respect to any Person, all Indebtedness </w:t>
      </w:r>
      <w:r>
        <w:rPr>
          <w:rFonts w:ascii="Arial" w:cs="Arial" w:eastAsia="Arial" w:hAnsi="Arial"/>
          <w:sz w:val="20"/>
          <w:szCs w:val="20"/>
          <w:color w:val="FF0000"/>
          <w:strike w:val="1"/>
        </w:rPr>
        <w:t>of</w:t>
      </w:r>
      <w:r>
        <w:rPr>
          <w:rFonts w:ascii="Arial" w:cs="Arial" w:eastAsia="Arial" w:hAnsi="Arial"/>
          <w:sz w:val="20"/>
          <w:szCs w:val="20"/>
          <w:b w:val="1"/>
          <w:bCs w:val="1"/>
          <w:u w:val="single" w:color="auto"/>
          <w:color w:val="0000FF"/>
          <w:highlight w:val="lightGray"/>
        </w:rPr>
        <w:t>owed by</w:t>
      </w:r>
      <w:r>
        <w:rPr>
          <w:rFonts w:ascii="Arial" w:cs="Arial" w:eastAsia="Arial" w:hAnsi="Arial"/>
          <w:sz w:val="20"/>
          <w:szCs w:val="20"/>
          <w:color w:val="auto"/>
        </w:rPr>
        <w:t xml:space="preserve"> such Person that is not Secured Indebtedness</w:t>
      </w:r>
      <w:r>
        <w:rPr>
          <w:rFonts w:ascii="Arial" w:cs="Arial" w:eastAsia="Arial" w:hAnsi="Arial"/>
          <w:sz w:val="20"/>
          <w:szCs w:val="20"/>
          <w:b w:val="1"/>
          <w:bCs w:val="1"/>
          <w:u w:val="single" w:color="auto"/>
          <w:color w:val="0000FF"/>
          <w:highlight w:val="lightGray"/>
        </w:rPr>
        <w:t>; provided, however, that any Indebtedness that is secured only by a pledge of Equity Interests shall be deemed to</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highlight w:val="lightGray"/>
        </w:rPr>
        <w:t>be Unsecured Indebtedness</w:t>
      </w:r>
      <w:r>
        <w:rPr>
          <w:rFonts w:ascii="Arial" w:cs="Arial" w:eastAsia="Arial" w:hAnsi="Arial"/>
          <w:sz w:val="20"/>
          <w:szCs w:val="20"/>
          <w:color w:val="000000"/>
        </w:rPr>
        <w:t>.</w:t>
      </w:r>
    </w:p>
    <w:p>
      <w:pPr>
        <w:spacing w:after="0" w:line="199"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Unused Fee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2.09(a)</w:t>
      </w:r>
      <w:r>
        <w:rPr>
          <w:rFonts w:ascii="Arial" w:cs="Arial" w:eastAsia="Arial" w:hAnsi="Arial"/>
          <w:sz w:val="20"/>
          <w:szCs w:val="20"/>
          <w:color w:val="auto"/>
        </w:rPr>
        <w:t>.</w:t>
      </w:r>
    </w:p>
    <w:p>
      <w:pPr>
        <w:spacing w:after="0" w:line="245"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Bank</w:t>
      </w:r>
      <w:r>
        <w:rPr>
          <w:rFonts w:ascii="Arial" w:cs="Arial" w:eastAsia="Arial" w:hAnsi="Arial"/>
          <w:sz w:val="20"/>
          <w:szCs w:val="20"/>
          <w:color w:val="auto"/>
        </w:rPr>
        <w:t>” means U.S. Bank National Association.</w:t>
      </w:r>
    </w:p>
    <w:p>
      <w:pPr>
        <w:spacing w:after="0" w:line="245"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any Person that is a “United States Person” as defined in Section 7701(a)(30) of the Code.</w:t>
      </w:r>
    </w:p>
    <w:p>
      <w:pPr>
        <w:spacing w:after="0" w:line="245"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3.01(e)(ii)(B)(III)</w:t>
      </w:r>
      <w:r>
        <w:rPr>
          <w:rFonts w:ascii="Arial" w:cs="Arial" w:eastAsia="Arial" w:hAnsi="Arial"/>
          <w:sz w:val="20"/>
          <w:szCs w:val="20"/>
          <w:color w:val="auto"/>
        </w:rPr>
        <w:t>.</w:t>
      </w:r>
    </w:p>
    <w:p>
      <w:pPr>
        <w:spacing w:after="0" w:line="245" w:lineRule="exact"/>
        <w:rPr>
          <w:sz w:val="20"/>
          <w:szCs w:val="20"/>
          <w:color w:val="auto"/>
        </w:rPr>
      </w:pPr>
    </w:p>
    <w:p>
      <w:pPr>
        <w:jc w:val="both"/>
        <w:ind w:left="600" w:firstLine="600"/>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Wholly Owned Subsidiary</w:t>
      </w:r>
      <w:r>
        <w:rPr>
          <w:rFonts w:ascii="Arial" w:cs="Arial" w:eastAsia="Arial" w:hAnsi="Arial"/>
          <w:sz w:val="20"/>
          <w:szCs w:val="20"/>
          <w:color w:val="auto"/>
        </w:rPr>
        <w:t xml:space="preserve">” shall mean, as to any Person, (a) any corporation 100% of whose Equity Interests (other than directors’ qualifying shares) is at the time owned by such Person and/or one or more Wholly Owned Subsidiaries of such </w:t>
      </w:r>
      <w:r>
        <w:rPr>
          <w:rFonts w:ascii="Arial" w:cs="Arial" w:eastAsia="Arial" w:hAnsi="Arial"/>
          <w:sz w:val="20"/>
          <w:szCs w:val="20"/>
          <w:color w:val="FF0000"/>
          <w:strike w:val="1"/>
        </w:rPr>
        <w:t>person</w:t>
      </w:r>
      <w:r>
        <w:rPr>
          <w:rFonts w:ascii="Arial" w:cs="Arial" w:eastAsia="Arial" w:hAnsi="Arial"/>
          <w:sz w:val="20"/>
          <w:szCs w:val="20"/>
          <w:b w:val="1"/>
          <w:bCs w:val="1"/>
          <w:u w:val="single" w:color="auto"/>
          <w:color w:val="0000FF"/>
          <w:highlight w:val="lightGray"/>
        </w:rPr>
        <w:t>Person</w:t>
      </w:r>
      <w:r>
        <w:rPr>
          <w:rFonts w:ascii="Arial" w:cs="Arial" w:eastAsia="Arial" w:hAnsi="Arial"/>
          <w:sz w:val="20"/>
          <w:szCs w:val="20"/>
          <w:color w:val="FF0000"/>
        </w:rPr>
        <w:t xml:space="preserve"> </w:t>
      </w:r>
      <w:r>
        <w:rPr>
          <w:rFonts w:ascii="Arial" w:cs="Arial" w:eastAsia="Arial" w:hAnsi="Arial"/>
          <w:sz w:val="20"/>
          <w:szCs w:val="20"/>
          <w:color w:val="000000"/>
        </w:rPr>
        <w:t>and (b) any partnership, association, joint venture, limited liability company or other entity in which such Person and/or</w:t>
      </w:r>
      <w:r>
        <w:rPr>
          <w:rFonts w:ascii="Arial" w:cs="Arial" w:eastAsia="Arial" w:hAnsi="Arial"/>
          <w:sz w:val="20"/>
          <w:szCs w:val="20"/>
          <w:color w:val="FF0000"/>
        </w:rPr>
        <w:t xml:space="preserve"> </w:t>
      </w:r>
      <w:r>
        <w:rPr>
          <w:rFonts w:ascii="Arial" w:cs="Arial" w:eastAsia="Arial" w:hAnsi="Arial"/>
          <w:sz w:val="20"/>
          <w:szCs w:val="20"/>
          <w:color w:val="000000"/>
        </w:rPr>
        <w:t xml:space="preserve">one or more Wholly Owned Subsidiaries of such Person have a 100% equity interest at such time. </w:t>
      </w:r>
      <w:r>
        <w:rPr>
          <w:rFonts w:ascii="Arial" w:cs="Arial" w:eastAsia="Arial" w:hAnsi="Arial"/>
          <w:sz w:val="20"/>
          <w:szCs w:val="20"/>
          <w:b w:val="1"/>
          <w:bCs w:val="1"/>
          <w:u w:val="single" w:color="auto"/>
          <w:color w:val="0000FF"/>
          <w:highlight w:val="lightGray"/>
        </w:rPr>
        <w:t>For purposes hereof, so long as</w:t>
      </w:r>
      <w:r>
        <w:rPr>
          <w:rFonts w:ascii="Arial" w:cs="Arial" w:eastAsia="Arial" w:hAnsi="Arial"/>
          <w:sz w:val="20"/>
          <w:szCs w:val="20"/>
          <w:color w:val="000000"/>
        </w:rPr>
        <w:t xml:space="preserve"> </w:t>
      </w:r>
      <w:r>
        <w:rPr>
          <w:rFonts w:ascii="Arial" w:cs="Arial" w:eastAsia="Arial" w:hAnsi="Arial"/>
          <w:sz w:val="20"/>
          <w:szCs w:val="20"/>
          <w:b w:val="1"/>
          <w:bCs w:val="1"/>
          <w:u w:val="single" w:color="auto"/>
          <w:color w:val="0000FF"/>
          <w:highlight w:val="lightGray"/>
        </w:rPr>
        <w:t>the Borrower remains a Subsidiary of the REIT, the Borrower and its Wholly Owned Subsidiaries shall be deemed to be Wholly Owned Subsidiaries of the REIT.</w:t>
      </w:r>
    </w:p>
    <w:p>
      <w:pPr>
        <w:spacing w:after="0" w:line="212"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Agent</w:t>
      </w:r>
      <w:r>
        <w:rPr>
          <w:rFonts w:ascii="Arial" w:cs="Arial" w:eastAsia="Arial" w:hAnsi="Arial"/>
          <w:sz w:val="20"/>
          <w:szCs w:val="20"/>
          <w:color w:val="auto"/>
        </w:rPr>
        <w:t>” means any Loan Party and the Administrative Agent.</w:t>
      </w:r>
    </w:p>
    <w:p>
      <w:pPr>
        <w:spacing w:after="0" w:line="245" w:lineRule="exact"/>
        <w:rPr>
          <w:sz w:val="20"/>
          <w:szCs w:val="20"/>
          <w:color w:val="auto"/>
        </w:rPr>
      </w:pPr>
    </w:p>
    <w:p>
      <w:pPr>
        <w:jc w:val="both"/>
        <w:ind w:left="600" w:firstLine="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202" w:lineRule="exact"/>
        <w:rPr>
          <w:sz w:val="20"/>
          <w:szCs w:val="20"/>
          <w:color w:val="auto"/>
        </w:rPr>
      </w:pPr>
    </w:p>
    <w:p>
      <w:pPr>
        <w:ind w:firstLine="1199"/>
        <w:spacing w:after="0" w:line="272"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u w:val="single" w:color="auto"/>
          <w:color w:val="auto"/>
        </w:rPr>
        <w:t>Other Interpretive Provisions</w:t>
      </w:r>
      <w:r>
        <w:rPr>
          <w:rFonts w:ascii="Arial" w:cs="Arial" w:eastAsia="Arial" w:hAnsi="Arial"/>
          <w:sz w:val="20"/>
          <w:szCs w:val="20"/>
          <w:color w:val="auto"/>
        </w:rPr>
        <w:t>. With reference to this Agreement and each other Loan Document, unless otherwise specified herein or in such other Loan Document:</w:t>
      </w:r>
    </w:p>
    <w:p>
      <w:pPr>
        <w:spacing w:after="0" w:line="191" w:lineRule="exact"/>
        <w:rPr>
          <w:sz w:val="20"/>
          <w:szCs w:val="20"/>
          <w:color w:val="auto"/>
        </w:rPr>
      </w:pPr>
    </w:p>
    <w:p>
      <w:pPr>
        <w:ind w:left="1200" w:right="60" w:firstLine="598"/>
        <w:spacing w:after="0" w:line="263" w:lineRule="auto"/>
        <w:tabs>
          <w:tab w:leader="none" w:pos="2621" w:val="left"/>
        </w:tabs>
        <w:numPr>
          <w:ilvl w:val="0"/>
          <w:numId w:val="288"/>
        </w:numPr>
        <w:rPr>
          <w:rFonts w:ascii="Arial" w:cs="Arial" w:eastAsia="Arial" w:hAnsi="Arial"/>
          <w:sz w:val="19"/>
          <w:szCs w:val="19"/>
          <w:color w:val="auto"/>
        </w:rPr>
      </w:pPr>
      <w:r>
        <w:rPr>
          <w:rFonts w:ascii="Arial" w:cs="Arial" w:eastAsia="Arial" w:hAnsi="Arial"/>
          <w:sz w:val="19"/>
          <w:szCs w:val="19"/>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provisions consolidating, amending, replacing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89" w:right="239" w:bottom="1440" w:gutter="0" w:footer="0" w:header="0"/>
        </w:sectPr>
      </w:pPr>
    </w:p>
    <w:bookmarkStart w:id="272" w:name="page273"/>
    <w:bookmarkEnd w:id="272"/>
    <w:p>
      <w:pPr>
        <w:ind w:left="1" w:right="600"/>
        <w:spacing w:after="0" w:line="256" w:lineRule="auto"/>
        <w:rPr>
          <w:sz w:val="20"/>
          <w:szCs w:val="20"/>
          <w:color w:val="auto"/>
        </w:rPr>
      </w:pPr>
      <w:r>
        <w:rPr>
          <w:rFonts w:ascii="Arial" w:cs="Arial" w:eastAsia="Arial" w:hAnsi="Arial"/>
          <w:sz w:val="20"/>
          <w:szCs w:val="20"/>
          <w:color w:val="auto"/>
        </w:rPr>
        <w:t>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20"/>
          <w:szCs w:val="20"/>
          <w:u w:val="single" w:color="auto"/>
          <w:color w:val="auto"/>
        </w:rPr>
        <w:t>asset</w:t>
      </w:r>
      <w:r>
        <w:rPr>
          <w:rFonts w:ascii="Arial" w:cs="Arial" w:eastAsia="Arial" w:hAnsi="Arial"/>
          <w:sz w:val="20"/>
          <w:szCs w:val="20"/>
          <w:color w:val="auto"/>
        </w:rPr>
        <w:t>” and “</w:t>
      </w:r>
      <w:r>
        <w:rPr>
          <w:rFonts w:ascii="Arial" w:cs="Arial" w:eastAsia="Arial" w:hAnsi="Arial"/>
          <w:sz w:val="20"/>
          <w:szCs w:val="20"/>
          <w:u w:val="single" w:color="auto"/>
          <w:color w:val="auto"/>
        </w:rPr>
        <w:t>property</w:t>
      </w:r>
      <w:r>
        <w:rPr>
          <w:rFonts w:ascii="Arial" w:cs="Arial" w:eastAsia="Arial" w:hAnsi="Arial"/>
          <w:sz w:val="20"/>
          <w:szCs w:val="20"/>
          <w:color w:val="auto"/>
        </w:rPr>
        <w:t>” shall be construed to have the same meaning and effect and to refer to any and all tangible and intangible assets and properties, including cash, securities, accounts and contract rights.</w:t>
      </w:r>
    </w:p>
    <w:p>
      <w:pPr>
        <w:spacing w:after="0" w:line="205" w:lineRule="exact"/>
        <w:rPr>
          <w:sz w:val="20"/>
          <w:szCs w:val="20"/>
          <w:color w:val="auto"/>
        </w:rPr>
      </w:pPr>
    </w:p>
    <w:p>
      <w:pPr>
        <w:ind w:left="-599" w:right="260" w:firstLine="599"/>
        <w:spacing w:after="0" w:line="329" w:lineRule="auto"/>
        <w:tabs>
          <w:tab w:leader="none" w:pos="833"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599" w:right="220" w:firstLine="599"/>
        <w:spacing w:after="0" w:line="272" w:lineRule="auto"/>
        <w:tabs>
          <w:tab w:leader="none" w:pos="822" w:val="left"/>
        </w:tabs>
        <w:numPr>
          <w:ilvl w:val="0"/>
          <w:numId w:val="289"/>
        </w:numPr>
        <w:rPr>
          <w:rFonts w:ascii="Arial" w:cs="Arial" w:eastAsia="Arial" w:hAnsi="Arial"/>
          <w:sz w:val="20"/>
          <w:szCs w:val="20"/>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191" w:lineRule="exact"/>
        <w:rPr>
          <w:sz w:val="20"/>
          <w:szCs w:val="20"/>
          <w:color w:val="auto"/>
        </w:rPr>
      </w:pPr>
    </w:p>
    <w:p>
      <w:pPr>
        <w:ind w:left="1"/>
        <w:spacing w:after="0"/>
        <w:tabs>
          <w:tab w:leader="none" w:pos="581"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8"/>
          <w:szCs w:val="18"/>
          <w:u w:val="single" w:color="auto"/>
          <w:color w:val="auto"/>
        </w:rPr>
        <w:t>Accounting Terms</w:t>
      </w:r>
      <w:r>
        <w:rPr>
          <w:rFonts w:ascii="Arial" w:cs="Arial" w:eastAsia="Arial" w:hAnsi="Arial"/>
          <w:sz w:val="18"/>
          <w:szCs w:val="18"/>
          <w:color w:val="auto"/>
        </w:rPr>
        <w:t>.</w:t>
      </w:r>
    </w:p>
    <w:p>
      <w:pPr>
        <w:spacing w:after="0" w:line="245" w:lineRule="exact"/>
        <w:rPr>
          <w:sz w:val="20"/>
          <w:szCs w:val="20"/>
          <w:color w:val="auto"/>
        </w:rPr>
      </w:pPr>
    </w:p>
    <w:p>
      <w:pPr>
        <w:jc w:val="both"/>
        <w:ind w:left="1" w:hanging="1"/>
        <w:spacing w:after="0" w:line="266" w:lineRule="auto"/>
        <w:tabs>
          <w:tab w:leader="none" w:pos="447" w:val="left"/>
        </w:tabs>
        <w:numPr>
          <w:ilvl w:val="0"/>
          <w:numId w:val="290"/>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as otherwise specifically prescribed herein. Notwithstanding the foregoing, for purposes of determining compliance with any covenant (including the computation of any financial covenant) contained herein, Indebtedness </w:t>
      </w:r>
      <w:r>
        <w:rPr>
          <w:rFonts w:ascii="Arial" w:cs="Arial" w:eastAsia="Arial" w:hAnsi="Arial"/>
          <w:sz w:val="19"/>
          <w:szCs w:val="19"/>
          <w:color w:val="FF0000"/>
          <w:strike w:val="1"/>
        </w:rPr>
        <w:t>of</w:t>
      </w:r>
      <w:r>
        <w:rPr>
          <w:rFonts w:ascii="Arial" w:cs="Arial" w:eastAsia="Arial" w:hAnsi="Arial"/>
          <w:sz w:val="19"/>
          <w:szCs w:val="19"/>
          <w:b w:val="1"/>
          <w:bCs w:val="1"/>
          <w:u w:val="single" w:color="auto"/>
          <w:color w:val="0000FF"/>
          <w:highlight w:val="lightGray"/>
        </w:rPr>
        <w:t>owed by</w:t>
      </w:r>
      <w:r>
        <w:rPr>
          <w:rFonts w:ascii="Arial" w:cs="Arial" w:eastAsia="Arial" w:hAnsi="Arial"/>
          <w:sz w:val="19"/>
          <w:szCs w:val="19"/>
          <w:color w:val="auto"/>
        </w:rPr>
        <w:t xml:space="preserve"> the Consolidated Group shall be deemed to be carried at 100% of the outstanding principal amount thereof, and the effects of FASB ASC 825 and FASB ASC 470-20 on financial liabilities shall be disregarded.</w:t>
      </w:r>
    </w:p>
    <w:p>
      <w:pPr>
        <w:spacing w:after="0" w:line="198" w:lineRule="exact"/>
        <w:rPr>
          <w:rFonts w:ascii="Arial" w:cs="Arial" w:eastAsia="Arial" w:hAnsi="Arial"/>
          <w:sz w:val="19"/>
          <w:szCs w:val="19"/>
          <w:color w:val="auto"/>
        </w:rPr>
      </w:pPr>
    </w:p>
    <w:p>
      <w:pPr>
        <w:jc w:val="both"/>
        <w:ind w:left="1" w:hanging="1"/>
        <w:spacing w:after="0" w:line="280" w:lineRule="auto"/>
        <w:tabs>
          <w:tab w:leader="none" w:pos="434"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191" w:lineRule="exact"/>
        <w:rPr>
          <w:rFonts w:ascii="Arial" w:cs="Arial" w:eastAsia="Arial" w:hAnsi="Arial"/>
          <w:sz w:val="18"/>
          <w:szCs w:val="18"/>
          <w:color w:val="auto"/>
        </w:rPr>
      </w:pPr>
    </w:p>
    <w:p>
      <w:pPr>
        <w:jc w:val="both"/>
        <w:ind w:left="1" w:hanging="1"/>
        <w:spacing w:after="0" w:line="273" w:lineRule="auto"/>
        <w:tabs>
          <w:tab w:leader="none" w:pos="447" w:val="left"/>
        </w:tabs>
        <w:numPr>
          <w:ilvl w:val="0"/>
          <w:numId w:val="290"/>
        </w:numPr>
        <w:rPr>
          <w:rFonts w:ascii="Arial" w:cs="Arial" w:eastAsia="Arial" w:hAnsi="Arial"/>
          <w:sz w:val="19"/>
          <w:szCs w:val="19"/>
          <w:color w:val="auto"/>
        </w:rPr>
      </w:pPr>
      <w:r>
        <w:rPr>
          <w:rFonts w:ascii="Arial" w:cs="Arial" w:eastAsia="Arial" w:hAnsi="Arial"/>
          <w:sz w:val="19"/>
          <w:szCs w:val="19"/>
          <w:u w:val="single" w:color="auto"/>
          <w:color w:val="auto"/>
        </w:rPr>
        <w:t>Consolidation of Variable Interest Entities</w:t>
      </w:r>
      <w:r>
        <w:rPr>
          <w:rFonts w:ascii="Arial" w:cs="Arial" w:eastAsia="Arial" w:hAnsi="Arial"/>
          <w:sz w:val="19"/>
          <w:szCs w:val="19"/>
          <w:color w:val="auto"/>
        </w:rPr>
        <w:t>. All references herein to consolidated financial statements of the REIT and its Subsidiaries or the Consolidated Group or to the determination of any amount for the REIT and its Subsidiaries or the Consolidated Group on a consolidated basis or any similar reference shall, in each case, be deemed to include each variable interest entity that the REIT or the Consolidated Group, as applicable, is required to</w:t>
      </w:r>
    </w:p>
    <w:p>
      <w:pPr>
        <w:spacing w:after="0" w:line="170" w:lineRule="exact"/>
        <w:rPr>
          <w:sz w:val="20"/>
          <w:szCs w:val="20"/>
          <w:color w:val="auto"/>
        </w:rPr>
      </w:pPr>
    </w:p>
    <w:p>
      <w:pPr>
        <w:ind w:left="4361"/>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221"/>
          </w:cols>
          <w:pgMar w:left="1439" w:top="795" w:right="239" w:bottom="1440" w:gutter="0" w:footer="0" w:header="0"/>
        </w:sectPr>
      </w:pPr>
    </w:p>
    <w:bookmarkStart w:id="273" w:name="page274"/>
    <w:bookmarkEnd w:id="273"/>
    <w:p>
      <w:pPr>
        <w:ind w:left="1200"/>
        <w:spacing w:after="0"/>
        <w:rPr>
          <w:sz w:val="20"/>
          <w:szCs w:val="20"/>
          <w:color w:val="auto"/>
        </w:rPr>
      </w:pPr>
      <w:r>
        <w:rPr>
          <w:rFonts w:ascii="Arial" w:cs="Arial" w:eastAsia="Arial" w:hAnsi="Arial"/>
          <w:sz w:val="20"/>
          <w:szCs w:val="20"/>
          <w:color w:val="auto"/>
        </w:rPr>
        <w:t>consolidate pursuant to FASB ASC 810 as if such variable interest entity were a Subsidiary as defined herein.</w:t>
      </w:r>
    </w:p>
    <w:p>
      <w:pPr>
        <w:spacing w:after="0" w:line="245" w:lineRule="exact"/>
        <w:rPr>
          <w:sz w:val="20"/>
          <w:szCs w:val="20"/>
          <w:color w:val="auto"/>
        </w:rPr>
      </w:pPr>
    </w:p>
    <w:p>
      <w:pPr>
        <w:jc w:val="both"/>
        <w:ind w:firstLine="1199"/>
        <w:spacing w:after="0" w:line="256" w:lineRule="auto"/>
        <w:rPr>
          <w:sz w:val="20"/>
          <w:szCs w:val="20"/>
          <w:color w:val="auto"/>
        </w:rPr>
      </w:pPr>
      <w:r>
        <w:rPr>
          <w:rFonts w:ascii="Arial" w:cs="Arial" w:eastAsia="Arial" w:hAnsi="Arial"/>
          <w:sz w:val="20"/>
          <w:szCs w:val="20"/>
          <w:color w:val="auto"/>
        </w:rPr>
        <w:t xml:space="preserve">1.04. </w:t>
      </w:r>
      <w:r>
        <w:rPr>
          <w:rFonts w:ascii="Arial" w:cs="Arial" w:eastAsia="Arial" w:hAnsi="Arial"/>
          <w:sz w:val="20"/>
          <w:szCs w:val="20"/>
          <w:u w:val="single" w:color="auto"/>
          <w:color w:val="auto"/>
        </w:rPr>
        <w:t>Rounding</w:t>
      </w:r>
      <w:r>
        <w:rPr>
          <w:rFonts w:ascii="Arial" w:cs="Arial" w:eastAsia="Arial" w:hAnsi="Arial"/>
          <w:sz w:val="20"/>
          <w:szCs w:val="20"/>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205" w:lineRule="exact"/>
        <w:rPr>
          <w:sz w:val="20"/>
          <w:szCs w:val="20"/>
          <w:color w:val="auto"/>
        </w:rPr>
      </w:pPr>
    </w:p>
    <w:p>
      <w:pPr>
        <w:jc w:val="both"/>
        <w:ind w:firstLine="1199"/>
        <w:spacing w:after="0" w:line="256" w:lineRule="auto"/>
        <w:rPr>
          <w:sz w:val="20"/>
          <w:szCs w:val="20"/>
          <w:color w:val="auto"/>
        </w:rPr>
      </w:pPr>
      <w:r>
        <w:rPr>
          <w:rFonts w:ascii="Arial" w:cs="Arial" w:eastAsia="Arial" w:hAnsi="Arial"/>
          <w:sz w:val="20"/>
          <w:szCs w:val="20"/>
          <w:color w:val="auto"/>
        </w:rPr>
        <w:t xml:space="preserve">1.05. </w:t>
      </w:r>
      <w:r>
        <w:rPr>
          <w:rFonts w:ascii="Arial" w:cs="Arial" w:eastAsia="Arial" w:hAnsi="Arial"/>
          <w:sz w:val="20"/>
          <w:szCs w:val="20"/>
          <w:u w:val="single" w:color="auto"/>
          <w:color w:val="auto"/>
        </w:rPr>
        <w:t>Times of Day; Rates</w:t>
      </w:r>
      <w:r>
        <w:rPr>
          <w:rFonts w:ascii="Arial" w:cs="Arial" w:eastAsia="Arial" w:hAnsi="Arial"/>
          <w:sz w:val="20"/>
          <w:szCs w:val="20"/>
          <w:color w:val="auto"/>
        </w:rPr>
        <w:t>. Unless otherwise specified, all references herein to times of day shall be references to Eastern time (daylight or standard, as applicable). The Administrative Agent does not warrant, nor accept responsibility, nor shall the Administrative Agent have any liability with respect to the administration, submission or any other matter related to the rates in the definition of “Eurodollar Rate” or with respect to any comparable or successor rate thereto or to LIBOR.</w:t>
      </w:r>
    </w:p>
    <w:p>
      <w:pPr>
        <w:spacing w:after="0" w:line="205" w:lineRule="exact"/>
        <w:rPr>
          <w:sz w:val="20"/>
          <w:szCs w:val="20"/>
          <w:color w:val="auto"/>
        </w:rPr>
      </w:pPr>
    </w:p>
    <w:p>
      <w:pPr>
        <w:ind w:left="1200"/>
        <w:spacing w:after="0"/>
        <w:tabs>
          <w:tab w:leader="none" w:pos="172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45" w:lineRule="exact"/>
        <w:rPr>
          <w:sz w:val="20"/>
          <w:szCs w:val="20"/>
          <w:color w:val="auto"/>
        </w:rPr>
      </w:pPr>
    </w:p>
    <w:p>
      <w:pPr>
        <w:jc w:val="both"/>
        <w:ind w:firstLine="1199"/>
        <w:spacing w:after="0" w:line="280" w:lineRule="auto"/>
        <w:rPr>
          <w:sz w:val="20"/>
          <w:szCs w:val="20"/>
          <w:color w:val="auto"/>
        </w:rPr>
      </w:pPr>
      <w:r>
        <w:rPr>
          <w:rFonts w:ascii="Arial" w:cs="Arial" w:eastAsia="Arial" w:hAnsi="Arial"/>
          <w:sz w:val="19"/>
          <w:szCs w:val="19"/>
          <w:color w:val="auto"/>
        </w:rPr>
        <w:t xml:space="preserve">1.07. </w:t>
      </w:r>
      <w:r>
        <w:rPr>
          <w:rFonts w:ascii="Arial" w:cs="Arial" w:eastAsia="Arial" w:hAnsi="Arial"/>
          <w:sz w:val="19"/>
          <w:szCs w:val="19"/>
          <w:u w:val="single" w:color="auto"/>
          <w:color w:val="auto"/>
        </w:rPr>
        <w:t>GNMA Securities</w:t>
      </w:r>
      <w:r>
        <w:rPr>
          <w:rFonts w:ascii="Arial" w:cs="Arial" w:eastAsia="Arial" w:hAnsi="Arial"/>
          <w:sz w:val="19"/>
          <w:szCs w:val="19"/>
          <w:color w:val="auto"/>
        </w:rPr>
        <w:t>. For purposes of determining the value of Cash Equivalents as of any date, the value of GNMA Securities that are included as Cash Equivalents on such date shall be 95% of the marked-to-market value of such GNMA Securities determined in accordance with GAAP as of the last day of the then most recently ended fiscal quarter of the REIT.</w:t>
      </w:r>
    </w:p>
    <w:p>
      <w:pPr>
        <w:spacing w:after="0" w:line="185"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ARTICLE II</w:t>
      </w:r>
    </w:p>
    <w:p>
      <w:pPr>
        <w:spacing w:after="0" w:line="23"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THE COMMITMENTS AND CREDIT EXTENSIONS</w:t>
      </w:r>
    </w:p>
    <w:p>
      <w:pPr>
        <w:spacing w:after="0" w:line="229" w:lineRule="exact"/>
        <w:rPr>
          <w:sz w:val="20"/>
          <w:szCs w:val="20"/>
          <w:color w:val="auto"/>
        </w:rPr>
      </w:pPr>
    </w:p>
    <w:p>
      <w:pPr>
        <w:jc w:val="both"/>
        <w:ind w:left="600" w:firstLine="600"/>
        <w:spacing w:after="0" w:line="265" w:lineRule="auto"/>
        <w:rPr>
          <w:sz w:val="20"/>
          <w:szCs w:val="20"/>
          <w:color w:val="auto"/>
        </w:rPr>
      </w:pPr>
      <w:r>
        <w:rPr>
          <w:rFonts w:ascii="Arial" w:cs="Arial" w:eastAsia="Arial" w:hAnsi="Arial"/>
          <w:sz w:val="19"/>
          <w:szCs w:val="19"/>
          <w:color w:val="auto"/>
        </w:rPr>
        <w:t xml:space="preserve">2.01. </w:t>
      </w:r>
      <w:r>
        <w:rPr>
          <w:rFonts w:ascii="Arial" w:cs="Arial" w:eastAsia="Arial" w:hAnsi="Arial"/>
          <w:sz w:val="19"/>
          <w:szCs w:val="19"/>
          <w:u w:val="single" w:color="auto"/>
          <w:color w:val="auto"/>
        </w:rPr>
        <w:t>The Term Loans</w:t>
      </w:r>
      <w:r>
        <w:rPr>
          <w:rFonts w:ascii="Arial" w:cs="Arial" w:eastAsia="Arial" w:hAnsi="Arial"/>
          <w:sz w:val="19"/>
          <w:szCs w:val="19"/>
          <w:color w:val="auto"/>
        </w:rPr>
        <w:t>. Subject to the terms and conditions set forth herein, each Lender severally agrees to make term loans to the Borrower from time to time in Dollars (each such advance a “</w:t>
      </w:r>
      <w:r>
        <w:rPr>
          <w:rFonts w:ascii="Arial" w:cs="Arial" w:eastAsia="Arial" w:hAnsi="Arial"/>
          <w:sz w:val="19"/>
          <w:szCs w:val="19"/>
          <w:u w:val="single" w:color="auto"/>
          <w:color w:val="auto"/>
        </w:rPr>
        <w:t>Term Loan</w:t>
      </w:r>
      <w:r>
        <w:rPr>
          <w:rFonts w:ascii="Arial" w:cs="Arial" w:eastAsia="Arial" w:hAnsi="Arial"/>
          <w:sz w:val="19"/>
          <w:szCs w:val="19"/>
          <w:color w:val="auto"/>
        </w:rPr>
        <w:t>”) on any Business Day during the period commencing on the Closing Date and ending on the date that is six months after the Closing Date (such period, the “</w:t>
      </w:r>
      <w:r>
        <w:rPr>
          <w:rFonts w:ascii="Arial" w:cs="Arial" w:eastAsia="Arial" w:hAnsi="Arial"/>
          <w:sz w:val="19"/>
          <w:szCs w:val="19"/>
          <w:u w:val="single" w:color="auto"/>
          <w:color w:val="auto"/>
        </w:rPr>
        <w:t>Availability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xml:space="preserve">”) in an aggregate principal amount not to exceed the Commitments for all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Lender shall be required to make any Term Loan in excess of its Commitment, (ii) the Borrower may not request more than four (4) advances and (iii) each advance must be in an integral multiple $25,000,000. Once advanced, each Term Loan shall be aggregated with all prior Term Loans. Each such Borrowing shall consist of Term Loans made simultaneously by the Lenders in accordance with their respective Commitments. Amounts borrowed under this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and repaid or prepaid may not reborrowed. Term Loans may be Base Rate Loans or Eurodollar Rate Loans, as further provided herein.</w:t>
      </w:r>
    </w:p>
    <w:p>
      <w:pPr>
        <w:spacing w:after="0" w:line="202" w:lineRule="exact"/>
        <w:rPr>
          <w:sz w:val="20"/>
          <w:szCs w:val="20"/>
          <w:color w:val="auto"/>
        </w:rPr>
      </w:pPr>
    </w:p>
    <w:p>
      <w:pPr>
        <w:ind w:left="1200"/>
        <w:spacing w:after="0"/>
        <w:tabs>
          <w:tab w:leader="none" w:pos="182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8"/>
          <w:szCs w:val="18"/>
          <w:u w:val="single" w:color="auto"/>
          <w:color w:val="auto"/>
        </w:rPr>
        <w:t>Borrowings, Conversions and Continuations of Loans</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p>
    <w:p>
      <w:pPr>
        <w:spacing w:after="0" w:line="7" w:lineRule="exact"/>
        <w:rPr>
          <w:sz w:val="20"/>
          <w:szCs w:val="20"/>
          <w:color w:val="auto"/>
        </w:rPr>
      </w:pPr>
    </w:p>
    <w:p>
      <w:pPr>
        <w:jc w:val="both"/>
        <w:ind w:left="1200" w:firstLine="598"/>
        <w:spacing w:after="0" w:line="263" w:lineRule="auto"/>
        <w:tabs>
          <w:tab w:leader="none" w:pos="2245" w:val="left"/>
        </w:tabs>
        <w:numPr>
          <w:ilvl w:val="0"/>
          <w:numId w:val="291"/>
        </w:numPr>
        <w:rPr>
          <w:rFonts w:ascii="Arial" w:cs="Arial" w:eastAsia="Arial" w:hAnsi="Arial"/>
          <w:sz w:val="19"/>
          <w:szCs w:val="19"/>
          <w:color w:val="auto"/>
        </w:rPr>
      </w:pPr>
      <w:r>
        <w:rPr>
          <w:rFonts w:ascii="Arial" w:cs="Arial" w:eastAsia="Arial" w:hAnsi="Arial"/>
          <w:sz w:val="19"/>
          <w:szCs w:val="19"/>
          <w:color w:val="auto"/>
        </w:rPr>
        <w:t xml:space="preserve">Each Borrowing, each conversion of Term Loans from one Type to the other, and each continuation of Eurodollar Rate Loans shall be made upon the Borrower’s irrevocable notice to the Administrative Agent, which may be given by telephone. Each such notice must be received by the Administrative Agent not later than 11:00 a.m. (i) three Business Days prior to the requested date of any Borrowing of, conversion to or continuation of Eurodollar Rate Loans or of any conversion of Eurodollar Rate Loans to Base Rate Loans, and (ii) on the requested date of any Borrowing of Base Rate Loans. Each telephonic notice by the Borrower pursuant to this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must be confirmed promptly by delivery to the Administrative Agent of a written Loan Notice, appropriately completed and signed by a Responsible Officer of the Borrower. Each Borrowing of, conversion to or continuation 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95" w:right="239" w:bottom="1440" w:gutter="0" w:footer="0" w:header="0"/>
        </w:sectPr>
      </w:pPr>
    </w:p>
    <w:bookmarkStart w:id="274" w:name="page275"/>
    <w:bookmarkEnd w:id="274"/>
    <w:p>
      <w:pPr>
        <w:jc w:val="both"/>
        <w:ind w:left="1"/>
        <w:spacing w:after="0" w:line="263" w:lineRule="auto"/>
        <w:rPr>
          <w:sz w:val="20"/>
          <w:szCs w:val="20"/>
          <w:color w:val="auto"/>
        </w:rPr>
      </w:pPr>
      <w:r>
        <w:rPr>
          <w:rFonts w:ascii="Arial" w:cs="Arial" w:eastAsia="Arial" w:hAnsi="Arial"/>
          <w:sz w:val="19"/>
          <w:szCs w:val="19"/>
          <w:color w:val="auto"/>
        </w:rPr>
        <w:t>Eurodollar Rate Loans shall be in a principal amount of $3,000,000 or a whole multiple of $1,000,000 in excess thereof. Each Borrowing of or conversion to Base Rate Loans shall be in a principal amount of $300,000 or a whole multiple of $100,000 in excess thereof. Each Loan Notice (whether telephonic or written) shall specify (i) whether the Borrower is requesting a Borrowing, a conversion of Term Loans from one Type to the other, or a continuation of Eurodollar Rate Loans, (ii) the requested date of the Borrowing, conversion or continuation, as the case may be (which shall be a Business Day), (iii) the principal amount of Loans to be borrowed, converted or continued, (iv) the Type of Loans to be borrowed or to which existing Term Loans are to be converted, and (v) if applicable, the duration of the Interest Period with respect thereto. If the Borrower fails to specify a Type of Loan in a Loan Notice or if the Borrower fails to give a timely notice requesting a conversion or continuation, then the applicable Term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such Loan Notice, but fails to specify an Interest Period, it will be deemed to have specified an Interest Period of one month.</w:t>
      </w:r>
    </w:p>
    <w:p>
      <w:pPr>
        <w:spacing w:after="0" w:line="210" w:lineRule="exact"/>
        <w:rPr>
          <w:sz w:val="20"/>
          <w:szCs w:val="20"/>
          <w:color w:val="auto"/>
        </w:rPr>
      </w:pPr>
    </w:p>
    <w:p>
      <w:pPr>
        <w:jc w:val="both"/>
        <w:ind w:left="1" w:hanging="1"/>
        <w:spacing w:after="0" w:line="265" w:lineRule="auto"/>
        <w:tabs>
          <w:tab w:leader="none" w:pos="518" w:val="left"/>
        </w:tabs>
        <w:numPr>
          <w:ilvl w:val="0"/>
          <w:numId w:val="292"/>
        </w:numPr>
        <w:rPr>
          <w:rFonts w:ascii="Arial" w:cs="Arial" w:eastAsia="Arial" w:hAnsi="Arial"/>
          <w:sz w:val="19"/>
          <w:szCs w:val="19"/>
          <w:color w:val="auto"/>
        </w:rPr>
      </w:pPr>
      <w:r>
        <w:rPr>
          <w:rFonts w:ascii="Arial" w:cs="Arial" w:eastAsia="Arial" w:hAnsi="Arial"/>
          <w:sz w:val="19"/>
          <w:szCs w:val="19"/>
          <w:color w:val="auto"/>
        </w:rPr>
        <w:t xml:space="preserve">Following receipt of a Loan Notice, the Administrative Agent shall promptly notify each Lender of the amount of its Applicable Percentage of the applicable Term Loans, and if no timely notice of a conversion or continuation is provided by the Borrower, the Administrative Agent shall notify each Lender of the details of any automatic conversion to Base Rate Loans described in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In the case of a Borrowing, each Appropriate Lender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the Administrative Agent shall make all funds so received available to the Borrower in like funds as received by the Administrative Agent either by (i) crediting the account of the Borrower on the books of U.S. Bank with the amount of such funds or (ii) wire transfer of such funds, in each case in accordance with instructions provided to (and reasonably acceptable to) the Administrative Agent by the Borrower.</w:t>
      </w:r>
    </w:p>
    <w:p>
      <w:pPr>
        <w:spacing w:after="0" w:line="197" w:lineRule="exact"/>
        <w:rPr>
          <w:rFonts w:ascii="Arial" w:cs="Arial" w:eastAsia="Arial" w:hAnsi="Arial"/>
          <w:sz w:val="19"/>
          <w:szCs w:val="19"/>
          <w:color w:val="auto"/>
        </w:rPr>
      </w:pPr>
    </w:p>
    <w:p>
      <w:pPr>
        <w:jc w:val="both"/>
        <w:ind w:left="1" w:hanging="1"/>
        <w:spacing w:after="0" w:line="260" w:lineRule="auto"/>
        <w:tabs>
          <w:tab w:leader="none" w:pos="477" w:val="left"/>
        </w:tabs>
        <w:numPr>
          <w:ilvl w:val="0"/>
          <w:numId w:val="292"/>
        </w:numPr>
        <w:rPr>
          <w:rFonts w:ascii="Arial" w:cs="Arial" w:eastAsia="Arial" w:hAnsi="Arial"/>
          <w:sz w:val="20"/>
          <w:szCs w:val="20"/>
          <w:color w:val="auto"/>
        </w:rPr>
      </w:pPr>
      <w:r>
        <w:rPr>
          <w:rFonts w:ascii="Arial" w:cs="Arial" w:eastAsia="Arial" w:hAnsi="Arial"/>
          <w:sz w:val="20"/>
          <w:szCs w:val="20"/>
          <w:color w:val="auto"/>
        </w:rPr>
        <w:t>Except as otherwise provided herein, a Eurodollar Rate Loan may be continued or converted only on the last day of an Interest Period for such Eurodollar Rate Loan. During the existence of a Default, no Loans may be requested as, converted to or continued as Eurodollar Rate Loans without the consent of the Required Lenders.</w:t>
      </w:r>
    </w:p>
    <w:p>
      <w:pPr>
        <w:spacing w:after="0" w:line="201" w:lineRule="exact"/>
        <w:rPr>
          <w:rFonts w:ascii="Arial" w:cs="Arial" w:eastAsia="Arial" w:hAnsi="Arial"/>
          <w:sz w:val="20"/>
          <w:szCs w:val="20"/>
          <w:color w:val="auto"/>
        </w:rPr>
      </w:pPr>
    </w:p>
    <w:p>
      <w:pPr>
        <w:jc w:val="both"/>
        <w:ind w:left="1" w:hanging="1"/>
        <w:spacing w:after="0" w:line="273" w:lineRule="auto"/>
        <w:tabs>
          <w:tab w:leader="none" w:pos="833" w:val="left"/>
        </w:tabs>
        <w:numPr>
          <w:ilvl w:val="0"/>
          <w:numId w:val="292"/>
        </w:numPr>
        <w:rPr>
          <w:rFonts w:ascii="Arial" w:cs="Arial" w:eastAsia="Arial" w:hAnsi="Arial"/>
          <w:sz w:val="19"/>
          <w:szCs w:val="19"/>
          <w:color w:val="auto"/>
        </w:rPr>
      </w:pPr>
      <w:r>
        <w:rPr>
          <w:rFonts w:ascii="Arial" w:cs="Arial" w:eastAsia="Arial" w:hAnsi="Arial"/>
          <w:sz w:val="19"/>
          <w:szCs w:val="19"/>
          <w:color w:val="auto"/>
        </w:rPr>
        <w:t>The Administrative Agent shall promptly notify the Borrower and the Lenders of the interest rate applicable to any Interest Period for Eurodollar Rate Loans upon determination of such interest rate. At any time that Base Rate Loans are outstanding, the Administrative Agent shall notify the Borrower and the Lenders of any change in U.S. Bank’s prime rate used in determining the Base Rate promptly following the public announcement of such change.</w:t>
      </w:r>
    </w:p>
    <w:p>
      <w:pPr>
        <w:spacing w:after="0" w:line="192" w:lineRule="exact"/>
        <w:rPr>
          <w:rFonts w:ascii="Arial" w:cs="Arial" w:eastAsia="Arial" w:hAnsi="Arial"/>
          <w:sz w:val="19"/>
          <w:szCs w:val="19"/>
          <w:color w:val="auto"/>
        </w:rPr>
      </w:pPr>
    </w:p>
    <w:p>
      <w:pPr>
        <w:ind w:left="1" w:hanging="1"/>
        <w:spacing w:after="0" w:line="272" w:lineRule="auto"/>
        <w:tabs>
          <w:tab w:leader="none" w:pos="822" w:val="left"/>
        </w:tabs>
        <w:numPr>
          <w:ilvl w:val="0"/>
          <w:numId w:val="292"/>
        </w:numPr>
        <w:rPr>
          <w:rFonts w:ascii="Arial" w:cs="Arial" w:eastAsia="Arial" w:hAnsi="Arial"/>
          <w:sz w:val="20"/>
          <w:szCs w:val="20"/>
          <w:color w:val="auto"/>
        </w:rPr>
      </w:pPr>
      <w:r>
        <w:rPr>
          <w:rFonts w:ascii="Arial" w:cs="Arial" w:eastAsia="Arial" w:hAnsi="Arial"/>
          <w:sz w:val="20"/>
          <w:szCs w:val="20"/>
          <w:color w:val="auto"/>
        </w:rPr>
        <w:t>After giving effect to a Borrowing, all conversions of Term Loans from one Type to the other, and all continuations of Term Loans as the same Type, there shall not be more than five (5) Interest Periods in effect.</w:t>
      </w:r>
    </w:p>
    <w:p>
      <w:pPr>
        <w:spacing w:after="0" w:line="191" w:lineRule="exact"/>
        <w:rPr>
          <w:sz w:val="20"/>
          <w:szCs w:val="20"/>
          <w:color w:val="auto"/>
        </w:rPr>
      </w:pPr>
    </w:p>
    <w:p>
      <w:pPr>
        <w:ind w:left="1"/>
        <w:spacing w:after="0"/>
        <w:tabs>
          <w:tab w:leader="none" w:pos="581"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22" w:lineRule="exact"/>
        <w:rPr>
          <w:sz w:val="20"/>
          <w:szCs w:val="20"/>
          <w:color w:val="auto"/>
        </w:rPr>
      </w:pPr>
    </w:p>
    <w:p>
      <w:pPr>
        <w:ind w:left="4361"/>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221"/>
          </w:cols>
          <w:pgMar w:left="1439" w:top="795" w:right="239" w:bottom="1440" w:gutter="0" w:footer="0" w:header="0"/>
        </w:sectPr>
      </w:pPr>
    </w:p>
    <w:bookmarkStart w:id="275" w:name="page276"/>
    <w:bookmarkEnd w:id="275"/>
    <w:p>
      <w:pPr>
        <w:ind w:left="1"/>
        <w:spacing w:after="0"/>
        <w:tabs>
          <w:tab w:leader="none" w:pos="581" w:val="left"/>
        </w:tabs>
        <w:rPr>
          <w:sz w:val="20"/>
          <w:szCs w:val="20"/>
          <w:color w:val="auto"/>
        </w:rPr>
      </w:pPr>
      <w:r>
        <w:rPr>
          <w:rFonts w:ascii="Arial" w:cs="Arial" w:eastAsia="Arial" w:hAnsi="Arial"/>
          <w:sz w:val="20"/>
          <w:szCs w:val="20"/>
          <w:color w:val="auto"/>
        </w:rPr>
        <w:t>2.04.</w:t>
      </w:r>
      <w:r>
        <w:rPr>
          <w:sz w:val="20"/>
          <w:szCs w:val="20"/>
          <w:color w:val="auto"/>
        </w:rPr>
        <w:tab/>
      </w:r>
      <w:r>
        <w:rPr>
          <w:rFonts w:ascii="Arial" w:cs="Arial" w:eastAsia="Arial" w:hAnsi="Arial"/>
          <w:sz w:val="19"/>
          <w:szCs w:val="19"/>
          <w:u w:val="single" w:color="auto"/>
          <w:color w:val="auto"/>
        </w:rPr>
        <w:t>[Intentionally Omitted]</w:t>
      </w:r>
    </w:p>
    <w:p>
      <w:pPr>
        <w:spacing w:after="0" w:line="245" w:lineRule="exact"/>
        <w:rPr>
          <w:sz w:val="20"/>
          <w:szCs w:val="20"/>
          <w:color w:val="auto"/>
        </w:rPr>
      </w:pPr>
    </w:p>
    <w:p>
      <w:pPr>
        <w:ind w:left="1"/>
        <w:spacing w:after="0"/>
        <w:tabs>
          <w:tab w:leader="none" w:pos="581" w:val="left"/>
        </w:tabs>
        <w:rPr>
          <w:sz w:val="20"/>
          <w:szCs w:val="20"/>
          <w:color w:val="auto"/>
        </w:rPr>
      </w:pPr>
      <w:r>
        <w:rPr>
          <w:rFonts w:ascii="Arial" w:cs="Arial" w:eastAsia="Arial" w:hAnsi="Arial"/>
          <w:sz w:val="20"/>
          <w:szCs w:val="20"/>
          <w:color w:val="auto"/>
        </w:rPr>
        <w:t>2.05.</w:t>
      </w:r>
      <w:r>
        <w:rPr>
          <w:sz w:val="20"/>
          <w:szCs w:val="20"/>
          <w:color w:val="auto"/>
        </w:rPr>
        <w:tab/>
      </w:r>
      <w:r>
        <w:rPr>
          <w:rFonts w:ascii="Arial" w:cs="Arial" w:eastAsia="Arial" w:hAnsi="Arial"/>
          <w:sz w:val="17"/>
          <w:szCs w:val="17"/>
          <w:u w:val="single" w:color="auto"/>
          <w:color w:val="auto"/>
        </w:rPr>
        <w:t>Prepayments; Prepayment Premium</w:t>
      </w:r>
      <w:r>
        <w:rPr>
          <w:rFonts w:ascii="Arial" w:cs="Arial" w:eastAsia="Arial" w:hAnsi="Arial"/>
          <w:sz w:val="17"/>
          <w:szCs w:val="17"/>
          <w:color w:val="auto"/>
        </w:rPr>
        <w:t>.</w:t>
      </w:r>
    </w:p>
    <w:p>
      <w:pPr>
        <w:spacing w:after="0" w:line="245" w:lineRule="exact"/>
        <w:rPr>
          <w:sz w:val="20"/>
          <w:szCs w:val="20"/>
          <w:color w:val="auto"/>
        </w:rPr>
      </w:pPr>
    </w:p>
    <w:p>
      <w:pPr>
        <w:jc w:val="both"/>
        <w:ind w:left="1" w:hanging="1"/>
        <w:spacing w:after="0" w:line="278" w:lineRule="auto"/>
        <w:tabs>
          <w:tab w:leader="none" w:pos="422"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the Borrower may, upon notice to the Administrative Agent (which notice, in the case of a termination of the full amount of the Facility and prepayment of all Loans in connection therewith, may state that it is conditioned on the Borrower receiving proceeds of other financing, in which case such notice may be revoked by the Borrower (by providing notice to the Administrative Agent) if such financing is not received by the Borrower on or prior to the proposed termination date of the Facility and prepayment of all Loans in connection therewith), at any time or from time to time voluntarily prepay Term Loans in whole or in part without premium or penalty; provided that (A) such notice must be received by the Administrative Agent not later than 11:00 a.m. (1) three Business Days prior to any date of prepayment of Eurodollar Rate Loans and (2) on the date of prepayment of Base Rate Loans; (B) any prepayment of Eurodollar Rate Loans shall be in a principal amount of $3,000,000 or a whole multiple of $1,000,000 in excess thereof; and (C) any prepayment of Base Rate Loans shall be in a principal amount of $300,000 or a whole multiple of $100,000 in excess thereof or, in each case, if less, the entire principal amount thereof then outstanding. Each such notice shall specify the date and amount of such prepayment and the Type(s) of Loans to be prepaid and, if Eurodollar Rate Loans are to be prepaid, the Interest Period(s) of such Loans and each Facility to which such prepayment shall apply. The Administrative Agent will promptly notify each Lender of its receipt of each such notice, and of the amount of such Lender’s ratable portion of such prepayment (based on such Lender’s Applicable Percentage in respect of the Facility). If such notice is given by the Borrower, the Borrower shall make such prepayment and the payment amount specified in such notice shall be due and payable on the date specified therein. Any prepayment of a Eurodollar Rate Loan shall be accompanied by all accrued interest on the amount prepaid, together with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2.19</w:t>
      </w:r>
      <w:r>
        <w:rPr>
          <w:rFonts w:ascii="Arial" w:cs="Arial" w:eastAsia="Arial" w:hAnsi="Arial"/>
          <w:sz w:val="18"/>
          <w:szCs w:val="18"/>
          <w:color w:val="auto"/>
        </w:rPr>
        <w:t>, each such prepayment shall be paid to the Lenders in accordance with their respective Applicable Percentages in respect of the Facility.</w:t>
      </w:r>
    </w:p>
    <w:p>
      <w:pPr>
        <w:spacing w:after="0" w:line="190" w:lineRule="exact"/>
        <w:rPr>
          <w:rFonts w:ascii="Arial" w:cs="Arial" w:eastAsia="Arial" w:hAnsi="Arial"/>
          <w:sz w:val="18"/>
          <w:szCs w:val="18"/>
          <w:color w:val="auto"/>
        </w:rPr>
      </w:pPr>
    </w:p>
    <w:p>
      <w:pPr>
        <w:jc w:val="both"/>
        <w:ind w:left="1" w:hanging="1"/>
        <w:spacing w:after="0" w:line="251" w:lineRule="auto"/>
        <w:tabs>
          <w:tab w:leader="none" w:pos="496" w:val="left"/>
        </w:tabs>
        <w:numPr>
          <w:ilvl w:val="0"/>
          <w:numId w:val="293"/>
        </w:numPr>
        <w:rPr>
          <w:rFonts w:ascii="Arial" w:cs="Arial" w:eastAsia="Arial" w:hAnsi="Arial"/>
          <w:sz w:val="20"/>
          <w:szCs w:val="20"/>
          <w:color w:val="auto"/>
        </w:rPr>
      </w:pPr>
      <w:r>
        <w:rPr>
          <w:rFonts w:ascii="Arial" w:cs="Arial" w:eastAsia="Arial" w:hAnsi="Arial"/>
          <w:sz w:val="20"/>
          <w:szCs w:val="20"/>
          <w:u w:val="single" w:color="auto"/>
          <w:color w:val="auto"/>
        </w:rPr>
        <w:t>Prepayment Premium</w:t>
      </w:r>
      <w:r>
        <w:rPr>
          <w:rFonts w:ascii="Arial" w:cs="Arial" w:eastAsia="Arial" w:hAnsi="Arial"/>
          <w:sz w:val="20"/>
          <w:szCs w:val="20"/>
          <w:color w:val="auto"/>
        </w:rPr>
        <w:t>. Any payment (whether voluntary or otherwise) of the Term Loans which occurs on or prior to the second anniversary of the Closing Date shall be subject to, and the Borrower agrees to pay to the Administrative Agent for the ratable account of the Lenders, a prepayment premium (the “</w:t>
      </w:r>
      <w:r>
        <w:rPr>
          <w:rFonts w:ascii="Arial" w:cs="Arial" w:eastAsia="Arial" w:hAnsi="Arial"/>
          <w:sz w:val="20"/>
          <w:szCs w:val="20"/>
          <w:u w:val="single" w:color="auto"/>
          <w:color w:val="auto"/>
        </w:rPr>
        <w:t>Prepayment Premium</w:t>
      </w:r>
      <w:r>
        <w:rPr>
          <w:rFonts w:ascii="Arial" w:cs="Arial" w:eastAsia="Arial" w:hAnsi="Arial"/>
          <w:sz w:val="20"/>
          <w:szCs w:val="20"/>
          <w:color w:val="auto"/>
        </w:rPr>
        <w:t>”) equal to (x) if such prepayment occurs on or prior to the first anniversary of the Closing Date, 2.00% of the principal amount of the Term Loans so repaid, and (y) if such prepayment occurs after the first anniversary of the Closing Date but on or prior to the second anniversary of the Closing Date, 1.00% of the principal amount of the Term Loans so repaid. The Prepayment Premium shall be due and payable on the date of any applicable prepayment.</w:t>
      </w:r>
    </w:p>
    <w:p>
      <w:pPr>
        <w:spacing w:after="0" w:line="192" w:lineRule="exact"/>
        <w:rPr>
          <w:sz w:val="20"/>
          <w:szCs w:val="20"/>
          <w:color w:val="auto"/>
        </w:rPr>
      </w:pPr>
    </w:p>
    <w:p>
      <w:pPr>
        <w:ind w:left="4361"/>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221"/>
          </w:cols>
          <w:pgMar w:left="1439" w:top="795" w:right="239" w:bottom="1440" w:gutter="0" w:footer="0" w:header="0"/>
        </w:sectPr>
      </w:pPr>
    </w:p>
    <w:bookmarkStart w:id="276" w:name="page277"/>
    <w:bookmarkEnd w:id="276"/>
    <w:p>
      <w:pPr>
        <w:jc w:val="both"/>
        <w:ind w:firstLine="1199"/>
        <w:spacing w:after="0" w:line="253" w:lineRule="auto"/>
        <w:rPr>
          <w:sz w:val="20"/>
          <w:szCs w:val="20"/>
          <w:color w:val="auto"/>
        </w:rPr>
      </w:pPr>
      <w:r>
        <w:rPr>
          <w:rFonts w:ascii="Arial" w:cs="Arial" w:eastAsia="Arial" w:hAnsi="Arial"/>
          <w:sz w:val="20"/>
          <w:szCs w:val="20"/>
          <w:color w:val="auto"/>
        </w:rPr>
        <w:t xml:space="preserve">2.06. </w:t>
      </w:r>
      <w:r>
        <w:rPr>
          <w:rFonts w:ascii="Arial" w:cs="Arial" w:eastAsia="Arial" w:hAnsi="Arial"/>
          <w:sz w:val="20"/>
          <w:szCs w:val="20"/>
          <w:u w:val="single" w:color="auto"/>
          <w:color w:val="auto"/>
        </w:rPr>
        <w:t>Termination or Reduction of Commitments</w:t>
      </w:r>
      <w:r>
        <w:rPr>
          <w:rFonts w:ascii="Arial" w:cs="Arial" w:eastAsia="Arial" w:hAnsi="Arial"/>
          <w:sz w:val="20"/>
          <w:szCs w:val="20"/>
          <w:color w:val="auto"/>
        </w:rPr>
        <w:t>. Each Lender’s Commitment shall be (a) reduced to zero automatically and permanently on the last day of the Availability Period (after giving effect to any Term Loans to be advanced on such date), or, if earlier, concurrently with the funding of all of such Lender’s unadvanced Commitment (such date of termination, the “</w:t>
      </w:r>
      <w:r>
        <w:rPr>
          <w:rFonts w:ascii="Arial" w:cs="Arial" w:eastAsia="Arial" w:hAnsi="Arial"/>
          <w:sz w:val="20"/>
          <w:szCs w:val="20"/>
          <w:u w:val="single" w:color="auto"/>
          <w:color w:val="auto"/>
        </w:rPr>
        <w:t>Availability Termination Date</w:t>
      </w:r>
      <w:r>
        <w:rPr>
          <w:rFonts w:ascii="Arial" w:cs="Arial" w:eastAsia="Arial" w:hAnsi="Arial"/>
          <w:sz w:val="20"/>
          <w:szCs w:val="20"/>
          <w:color w:val="auto"/>
        </w:rPr>
        <w:t>”) and (b) reduced in an amount equal to such Lender’s Applicable Percentage of each Term Loan concurrently with the funding thereof by such Lender.</w:t>
      </w:r>
    </w:p>
    <w:p>
      <w:pPr>
        <w:spacing w:after="0" w:line="212" w:lineRule="exact"/>
        <w:rPr>
          <w:sz w:val="20"/>
          <w:szCs w:val="20"/>
          <w:color w:val="auto"/>
        </w:rPr>
      </w:pPr>
    </w:p>
    <w:p>
      <w:pPr>
        <w:jc w:val="both"/>
        <w:ind w:firstLine="1199"/>
        <w:spacing w:after="0" w:line="272" w:lineRule="auto"/>
        <w:rPr>
          <w:sz w:val="20"/>
          <w:szCs w:val="20"/>
          <w:color w:val="auto"/>
        </w:rPr>
      </w:pPr>
      <w:r>
        <w:rPr>
          <w:rFonts w:ascii="Arial" w:cs="Arial" w:eastAsia="Arial" w:hAnsi="Arial"/>
          <w:sz w:val="20"/>
          <w:szCs w:val="20"/>
          <w:color w:val="auto"/>
        </w:rPr>
        <w:t>2.07. Repayment of Loans. The Borrower shall repay to the Lenders on the Maturity Date the aggregate principal amount of Term Loans outstanding on such date.</w:t>
      </w:r>
    </w:p>
    <w:p>
      <w:pPr>
        <w:spacing w:after="0" w:line="191" w:lineRule="exact"/>
        <w:rPr>
          <w:sz w:val="20"/>
          <w:szCs w:val="20"/>
          <w:color w:val="auto"/>
        </w:rPr>
      </w:pPr>
    </w:p>
    <w:p>
      <w:pPr>
        <w:ind w:left="1200"/>
        <w:spacing w:after="0"/>
        <w:tabs>
          <w:tab w:leader="none" w:pos="1780" w:val="left"/>
        </w:tabs>
        <w:rPr>
          <w:sz w:val="20"/>
          <w:szCs w:val="20"/>
          <w:color w:val="auto"/>
        </w:rPr>
      </w:pPr>
      <w:r>
        <w:rPr>
          <w:rFonts w:ascii="Arial" w:cs="Arial" w:eastAsia="Arial" w:hAnsi="Arial"/>
          <w:sz w:val="20"/>
          <w:szCs w:val="20"/>
          <w:color w:val="auto"/>
        </w:rPr>
        <w:t>2.08.</w:t>
      </w:r>
      <w:r>
        <w:rPr>
          <w:sz w:val="20"/>
          <w:szCs w:val="20"/>
          <w:color w:val="auto"/>
        </w:rPr>
        <w:tab/>
      </w:r>
      <w:r>
        <w:rPr>
          <w:rFonts w:ascii="Arial" w:cs="Arial" w:eastAsia="Arial" w:hAnsi="Arial"/>
          <w:sz w:val="17"/>
          <w:szCs w:val="17"/>
          <w:u w:val="single" w:color="auto"/>
          <w:color w:val="auto"/>
        </w:rPr>
        <w:t>Interest</w:t>
      </w:r>
      <w:r>
        <w:rPr>
          <w:rFonts w:ascii="Arial" w:cs="Arial" w:eastAsia="Arial" w:hAnsi="Arial"/>
          <w:sz w:val="17"/>
          <w:szCs w:val="17"/>
          <w:color w:val="auto"/>
        </w:rPr>
        <w:t>.</w:t>
      </w:r>
    </w:p>
    <w:p>
      <w:pPr>
        <w:spacing w:after="0" w:line="245" w:lineRule="exact"/>
        <w:rPr>
          <w:sz w:val="20"/>
          <w:szCs w:val="20"/>
          <w:color w:val="auto"/>
        </w:rPr>
      </w:pPr>
    </w:p>
    <w:p>
      <w:pPr>
        <w:jc w:val="both"/>
        <w:ind w:left="1200" w:hanging="1"/>
        <w:spacing w:after="0" w:line="253" w:lineRule="auto"/>
        <w:tabs>
          <w:tab w:leader="none" w:pos="1638" w:val="left"/>
        </w:tabs>
        <w:numPr>
          <w:ilvl w:val="0"/>
          <w:numId w:val="294"/>
        </w:numPr>
        <w:rPr>
          <w:rFonts w:ascii="Arial" w:cs="Arial" w:eastAsia="Arial" w:hAnsi="Arial"/>
          <w:sz w:val="20"/>
          <w:szCs w:val="20"/>
          <w:color w:val="auto"/>
        </w:rPr>
      </w:pPr>
      <w:r>
        <w:rPr>
          <w:rFonts w:ascii="Arial" w:cs="Arial" w:eastAsia="Arial" w:hAnsi="Arial"/>
          <w:sz w:val="20"/>
          <w:szCs w:val="20"/>
          <w:color w:val="auto"/>
        </w:rPr>
        <w:t xml:space="preserve">Subject to the provisions of </w:t>
      </w:r>
      <w:r>
        <w:rPr>
          <w:rFonts w:ascii="Arial" w:cs="Arial" w:eastAsia="Arial" w:hAnsi="Arial"/>
          <w:sz w:val="20"/>
          <w:szCs w:val="20"/>
          <w:u w:val="single" w:color="auto"/>
          <w:color w:val="auto"/>
        </w:rPr>
        <w:t>Section 2.08(b)</w:t>
      </w:r>
      <w:r>
        <w:rPr>
          <w:rFonts w:ascii="Arial" w:cs="Arial" w:eastAsia="Arial" w:hAnsi="Arial"/>
          <w:sz w:val="20"/>
          <w:szCs w:val="20"/>
          <w:color w:val="auto"/>
        </w:rPr>
        <w:t xml:space="preserve">, (i) each Eurodollar Rate Loan shall bear interest on the outstanding principal amount thereof for each Interest Period at a rate per annum equal to the Eurodollar Rate for such Interest Period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 then applicable to Eurodollar Rate Loans and (ii) each Base Rate Loan shall bear interest on the outstanding principal amount thereof from the applicable borrowing date at a rate per annum equal to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 then applicable to Base Rate Loans.</w:t>
      </w:r>
    </w:p>
    <w:p>
      <w:pPr>
        <w:spacing w:after="0" w:line="211" w:lineRule="exact"/>
        <w:rPr>
          <w:rFonts w:ascii="Arial" w:cs="Arial" w:eastAsia="Arial" w:hAnsi="Arial"/>
          <w:sz w:val="20"/>
          <w:szCs w:val="20"/>
          <w:color w:val="auto"/>
        </w:rPr>
      </w:pPr>
    </w:p>
    <w:p>
      <w:pPr>
        <w:jc w:val="both"/>
        <w:ind w:left="1200" w:hanging="1"/>
        <w:spacing w:after="0" w:line="251" w:lineRule="auto"/>
        <w:tabs>
          <w:tab w:leader="none" w:pos="1773" w:val="left"/>
        </w:tabs>
        <w:numPr>
          <w:ilvl w:val="0"/>
          <w:numId w:val="294"/>
        </w:numPr>
        <w:rPr>
          <w:rFonts w:ascii="Arial" w:cs="Arial" w:eastAsia="Arial" w:hAnsi="Arial"/>
          <w:sz w:val="20"/>
          <w:szCs w:val="20"/>
          <w:color w:val="auto"/>
        </w:rPr>
      </w:pPr>
      <w:r>
        <w:rPr>
          <w:rFonts w:ascii="Arial" w:cs="Arial" w:eastAsia="Arial" w:hAnsi="Arial"/>
          <w:sz w:val="20"/>
          <w:szCs w:val="20"/>
          <w:color w:val="auto"/>
        </w:rPr>
        <w:t>(i) While any Specified Event of Default exists, or upon the request of the Required Lenders while any Financial Covenant Event of Default exists, the Borrower shall pay interest on the principal amount of all outstanding Obligations hereunder at a fluctuating interest rate per annum at all times equal to the Default Rate to the fullest extent permitted by applicable Laws.</w:t>
      </w:r>
    </w:p>
    <w:p>
      <w:pPr>
        <w:spacing w:after="0" w:line="3" w:lineRule="exact"/>
        <w:rPr>
          <w:rFonts w:ascii="Arial" w:cs="Arial" w:eastAsia="Arial" w:hAnsi="Arial"/>
          <w:sz w:val="20"/>
          <w:szCs w:val="20"/>
          <w:color w:val="auto"/>
        </w:rPr>
      </w:pPr>
    </w:p>
    <w:p>
      <w:pPr>
        <w:ind w:left="1200" w:firstLine="598"/>
        <w:spacing w:after="0" w:line="256" w:lineRule="auto"/>
        <w:tabs>
          <w:tab w:leader="none" w:pos="2105" w:val="left"/>
        </w:tabs>
        <w:numPr>
          <w:ilvl w:val="1"/>
          <w:numId w:val="294"/>
        </w:numPr>
        <w:rPr>
          <w:rFonts w:ascii="Arial" w:cs="Arial" w:eastAsia="Arial" w:hAnsi="Arial"/>
          <w:sz w:val="20"/>
          <w:szCs w:val="20"/>
          <w:color w:val="auto"/>
        </w:rPr>
      </w:pPr>
      <w:r>
        <w:rPr>
          <w:rFonts w:ascii="Arial" w:cs="Arial" w:eastAsia="Arial" w:hAnsi="Arial"/>
          <w:sz w:val="20"/>
          <w:szCs w:val="20"/>
          <w:color w:val="auto"/>
        </w:rPr>
        <w:t>Accrued and unpaid interest on past due amounts (including interest on past due interest) shall be due and payable upon demand.</w:t>
      </w:r>
    </w:p>
    <w:p>
      <w:pPr>
        <w:spacing w:after="0" w:line="205" w:lineRule="exact"/>
        <w:rPr>
          <w:rFonts w:ascii="Arial" w:cs="Arial" w:eastAsia="Arial" w:hAnsi="Arial"/>
          <w:sz w:val="20"/>
          <w:szCs w:val="20"/>
          <w:color w:val="auto"/>
        </w:rPr>
      </w:pPr>
    </w:p>
    <w:p>
      <w:pPr>
        <w:jc w:val="both"/>
        <w:ind w:left="1200" w:hanging="1"/>
        <w:spacing w:after="0" w:line="302" w:lineRule="auto"/>
        <w:tabs>
          <w:tab w:leader="none" w:pos="16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68" w:lineRule="exact"/>
        <w:rPr>
          <w:sz w:val="20"/>
          <w:szCs w:val="20"/>
          <w:color w:val="auto"/>
        </w:rPr>
      </w:pPr>
    </w:p>
    <w:p>
      <w:pPr>
        <w:ind w:left="1200"/>
        <w:spacing w:after="0"/>
        <w:tabs>
          <w:tab w:leader="none" w:pos="1780" w:val="left"/>
        </w:tabs>
        <w:rPr>
          <w:sz w:val="20"/>
          <w:szCs w:val="20"/>
          <w:color w:val="auto"/>
        </w:rPr>
      </w:pPr>
      <w:r>
        <w:rPr>
          <w:rFonts w:ascii="Arial" w:cs="Arial" w:eastAsia="Arial" w:hAnsi="Arial"/>
          <w:sz w:val="20"/>
          <w:szCs w:val="20"/>
          <w:color w:val="auto"/>
        </w:rPr>
        <w:t>2.09.</w:t>
      </w:r>
      <w:r>
        <w:rPr>
          <w:sz w:val="20"/>
          <w:szCs w:val="20"/>
          <w:color w:val="auto"/>
        </w:rPr>
        <w:tab/>
      </w:r>
      <w:r>
        <w:rPr>
          <w:rFonts w:ascii="Arial" w:cs="Arial" w:eastAsia="Arial" w:hAnsi="Arial"/>
          <w:sz w:val="16"/>
          <w:szCs w:val="16"/>
          <w:u w:val="single" w:color="auto"/>
          <w:color w:val="auto"/>
        </w:rPr>
        <w:t>Fees</w:t>
      </w:r>
      <w:r>
        <w:rPr>
          <w:rFonts w:ascii="Arial" w:cs="Arial" w:eastAsia="Arial" w:hAnsi="Arial"/>
          <w:sz w:val="16"/>
          <w:szCs w:val="16"/>
          <w:color w:val="auto"/>
        </w:rPr>
        <w:t>.</w:t>
      </w:r>
    </w:p>
    <w:p>
      <w:pPr>
        <w:spacing w:after="0" w:line="245" w:lineRule="exact"/>
        <w:rPr>
          <w:sz w:val="20"/>
          <w:szCs w:val="20"/>
          <w:color w:val="auto"/>
        </w:rPr>
      </w:pPr>
    </w:p>
    <w:p>
      <w:pPr>
        <w:ind w:left="1200" w:right="20" w:hanging="1"/>
        <w:spacing w:after="0" w:line="251" w:lineRule="auto"/>
        <w:tabs>
          <w:tab w:leader="none" w:pos="1621" w:val="left"/>
        </w:tabs>
        <w:numPr>
          <w:ilvl w:val="0"/>
          <w:numId w:val="295"/>
        </w:numPr>
        <w:rPr>
          <w:rFonts w:ascii="Arial" w:cs="Arial" w:eastAsia="Arial" w:hAnsi="Arial"/>
          <w:sz w:val="20"/>
          <w:szCs w:val="20"/>
          <w:color w:val="auto"/>
        </w:rPr>
      </w:pPr>
      <w:r>
        <w:rPr>
          <w:rFonts w:ascii="Arial" w:cs="Arial" w:eastAsia="Arial" w:hAnsi="Arial"/>
          <w:sz w:val="20"/>
          <w:szCs w:val="20"/>
          <w:u w:val="single" w:color="auto"/>
          <w:color w:val="auto"/>
        </w:rPr>
        <w:t>Unused Fee</w:t>
      </w:r>
      <w:r>
        <w:rPr>
          <w:rFonts w:ascii="Arial" w:cs="Arial" w:eastAsia="Arial" w:hAnsi="Arial"/>
          <w:sz w:val="20"/>
          <w:szCs w:val="20"/>
          <w:color w:val="auto"/>
        </w:rPr>
        <w:t>. The Borrower shall pay to the Administrative Agent for the account of each Lender in accordance with its Applicable Percentage, an unused line fee (the “</w:t>
      </w:r>
      <w:r>
        <w:rPr>
          <w:rFonts w:ascii="Arial" w:cs="Arial" w:eastAsia="Arial" w:hAnsi="Arial"/>
          <w:sz w:val="20"/>
          <w:szCs w:val="20"/>
          <w:u w:val="single" w:color="auto"/>
          <w:color w:val="auto"/>
        </w:rPr>
        <w:t>Unused Fee</w:t>
      </w:r>
      <w:r>
        <w:rPr>
          <w:rFonts w:ascii="Arial" w:cs="Arial" w:eastAsia="Arial" w:hAnsi="Arial"/>
          <w:sz w:val="20"/>
          <w:szCs w:val="20"/>
          <w:color w:val="auto"/>
        </w:rPr>
        <w:t xml:space="preserve">”) equal to 0.20% per annum times the average daily unused Commitments. The Unused Fee shall accrue at all times from the first day of the Availability Period until, but excluding, the Availability Termination Date, including at any time during which one or more of the conditions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is not met, and shall be due and payable quarterly in arrears on the last Business Day of each March, June, September and December, commencing with the first such date to occur after the Closing Date, and on the Availability Termination Date. The Unused Fee shall be calculated quarterly in arrears.</w:t>
      </w:r>
    </w:p>
    <w:p>
      <w:pPr>
        <w:spacing w:after="0" w:line="214" w:lineRule="exact"/>
        <w:rPr>
          <w:rFonts w:ascii="Arial" w:cs="Arial" w:eastAsia="Arial" w:hAnsi="Arial"/>
          <w:sz w:val="20"/>
          <w:szCs w:val="20"/>
          <w:color w:val="auto"/>
        </w:rPr>
      </w:pPr>
    </w:p>
    <w:p>
      <w:pPr>
        <w:ind w:left="1200" w:right="220" w:hanging="1"/>
        <w:spacing w:after="0" w:line="260" w:lineRule="auto"/>
        <w:tabs>
          <w:tab w:leader="none" w:pos="1633" w:val="left"/>
        </w:tabs>
        <w:numPr>
          <w:ilvl w:val="0"/>
          <w:numId w:val="295"/>
        </w:numPr>
        <w:rPr>
          <w:rFonts w:ascii="Arial" w:cs="Arial" w:eastAsia="Arial" w:hAnsi="Arial"/>
          <w:sz w:val="20"/>
          <w:szCs w:val="20"/>
          <w:color w:val="auto"/>
        </w:rPr>
      </w:pPr>
      <w:r>
        <w:rPr>
          <w:rFonts w:ascii="Arial" w:cs="Arial" w:eastAsia="Arial" w:hAnsi="Arial"/>
          <w:sz w:val="20"/>
          <w:szCs w:val="20"/>
          <w:u w:val="single" w:color="auto"/>
          <w:color w:val="auto"/>
        </w:rPr>
        <w:t>Other Fees</w:t>
      </w:r>
      <w:r>
        <w:rPr>
          <w:rFonts w:ascii="Arial" w:cs="Arial" w:eastAsia="Arial" w:hAnsi="Arial"/>
          <w:sz w:val="20"/>
          <w:szCs w:val="20"/>
          <w:color w:val="auto"/>
        </w:rPr>
        <w:t>. (i) The Borrower shall pay to the Arrangers and the Administrative Agent for their own respective accounts fees in the amounts and at the times specified in the Fee Letter. Such fees shall be fully earned when paid and shall not be refundable for any reason whatsoever.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032" w:right="239" w:bottom="1440" w:gutter="0" w:footer="0" w:header="0"/>
        </w:sectPr>
      </w:pPr>
    </w:p>
    <w:bookmarkStart w:id="277" w:name="page278"/>
    <w:bookmarkEnd w:id="277"/>
    <w:p>
      <w:pPr>
        <w:ind w:left="600" w:right="60" w:hanging="1"/>
        <w:spacing w:after="0" w:line="329" w:lineRule="auto"/>
        <w:tabs>
          <w:tab w:leader="none" w:pos="109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Borrower shall pay to the Lenders such fees as shall have been separately agreed upon in writing in the amounts and at the times so specified. Such fees shall be fully earned when paid and shall not be refundable for any reason whatsoever.</w:t>
      </w:r>
    </w:p>
    <w:p>
      <w:pPr>
        <w:spacing w:after="0" w:line="144"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8"/>
          <w:szCs w:val="18"/>
          <w:u w:val="single" w:color="auto"/>
          <w:color w:val="auto"/>
        </w:rPr>
        <w:t>Computation of Interest and Fees; Retroactive Adjustments of Applicable Rate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 w:lineRule="exact"/>
        <w:rPr>
          <w:sz w:val="20"/>
          <w:szCs w:val="20"/>
          <w:color w:val="auto"/>
        </w:rPr>
      </w:pPr>
    </w:p>
    <w:p>
      <w:pPr>
        <w:jc w:val="both"/>
        <w:ind w:firstLine="599"/>
        <w:spacing w:after="0" w:line="248" w:lineRule="auto"/>
        <w:tabs>
          <w:tab w:leader="none" w:pos="1055" w:val="left"/>
        </w:tabs>
        <w:numPr>
          <w:ilvl w:val="0"/>
          <w:numId w:val="297"/>
        </w:numPr>
        <w:rPr>
          <w:rFonts w:ascii="Arial" w:cs="Arial" w:eastAsia="Arial" w:hAnsi="Arial"/>
          <w:sz w:val="20"/>
          <w:szCs w:val="20"/>
          <w:color w:val="auto"/>
        </w:rPr>
      </w:pPr>
      <w:r>
        <w:rPr>
          <w:rFonts w:ascii="Arial" w:cs="Arial" w:eastAsia="Arial" w:hAnsi="Arial"/>
          <w:sz w:val="20"/>
          <w:szCs w:val="20"/>
          <w:color w:val="auto"/>
        </w:rPr>
        <w:t xml:space="preserve">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(which may result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Loan that is repaid on the same day on which it is made shall, subject to </w:t>
      </w:r>
      <w:r>
        <w:rPr>
          <w:rFonts w:ascii="Arial" w:cs="Arial" w:eastAsia="Arial" w:hAnsi="Arial"/>
          <w:sz w:val="20"/>
          <w:szCs w:val="20"/>
          <w:u w:val="single" w:color="auto"/>
          <w:color w:val="auto"/>
        </w:rPr>
        <w:t>Section 2.12(a)</w:t>
      </w:r>
      <w:r>
        <w:rPr>
          <w:rFonts w:ascii="Arial" w:cs="Arial" w:eastAsia="Arial" w:hAnsi="Arial"/>
          <w:sz w:val="20"/>
          <w:szCs w:val="20"/>
          <w:color w:val="auto"/>
        </w:rPr>
        <w:t>, bear interest for one day. Each determination by the Administrative Agent of an interest rate or fee hereunder shall be conclusive and binding for all purposes, absent manifest error.</w:t>
      </w:r>
    </w:p>
    <w:p>
      <w:pPr>
        <w:spacing w:after="0" w:line="218" w:lineRule="exact"/>
        <w:rPr>
          <w:rFonts w:ascii="Arial" w:cs="Arial" w:eastAsia="Arial" w:hAnsi="Arial"/>
          <w:sz w:val="20"/>
          <w:szCs w:val="20"/>
          <w:color w:val="auto"/>
        </w:rPr>
      </w:pPr>
    </w:p>
    <w:p>
      <w:pPr>
        <w:jc w:val="both"/>
        <w:ind w:firstLine="599"/>
        <w:spacing w:after="0" w:line="278" w:lineRule="auto"/>
        <w:tabs>
          <w:tab w:leader="none" w:pos="107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If, as a result of any restatement of or other adjustment to the financial statements of the Consolidated Group or for any other reason, the Borrower or the Lenders determine that (i) the Consolidated Total Leverage Ratio as calculated by the REIT as of any applicable date was inaccurate and (ii) a proper calculation of the Consolidated Total Leverage Ratio would have resulted in higher pricing for such period, the Borrower shall immediately and retroactively be obligated to pay to the Administrative Agent for the account of the applicable Lenders promptly on demand by the Administrative Agent (or, after the occurrence of an actual or deemed entry of an order for relief with respect to the Borrower under the Bankruptcy Code of the United States, automatically and without further action by the Administrative Agent or any Lender), an amount equal to the excess of the amount of interest and fees that should have been paid for such period over the amount of interest and fees actually paid for such period. This paragraph shall not limit the rights of the Administrative Agent or any Lender, as the case may be, under </w:t>
      </w:r>
      <w:r>
        <w:rPr>
          <w:rFonts w:ascii="Arial" w:cs="Arial" w:eastAsia="Arial" w:hAnsi="Arial"/>
          <w:sz w:val="18"/>
          <w:szCs w:val="18"/>
          <w:u w:val="single" w:color="auto"/>
          <w:color w:val="auto"/>
        </w:rPr>
        <w:t>Section 2.08(b)</w:t>
      </w:r>
      <w:r>
        <w:rPr>
          <w:rFonts w:ascii="Arial" w:cs="Arial" w:eastAsia="Arial" w:hAnsi="Arial"/>
          <w:sz w:val="18"/>
          <w:szCs w:val="18"/>
          <w:color w:val="auto"/>
        </w:rPr>
        <w:t xml:space="preserve"> or under </w:t>
      </w:r>
      <w:r>
        <w:rPr>
          <w:rFonts w:ascii="Arial" w:cs="Arial" w:eastAsia="Arial" w:hAnsi="Arial"/>
          <w:sz w:val="18"/>
          <w:szCs w:val="18"/>
          <w:u w:val="single" w:color="auto"/>
          <w:color w:val="auto"/>
        </w:rPr>
        <w:t>Article VIII</w:t>
      </w:r>
      <w:r>
        <w:rPr>
          <w:rFonts w:ascii="Arial" w:cs="Arial" w:eastAsia="Arial" w:hAnsi="Arial"/>
          <w:sz w:val="18"/>
          <w:szCs w:val="18"/>
          <w:color w:val="auto"/>
        </w:rPr>
        <w:t>. The Borrower’s obligations under this paragraph shall survive for a period of nine (9) months following the termination of the Facility and the repayment of all other Obligations hereunder (the last day of such nine-month period being referred to herein as the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after the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Termination Date it is discovered that there was an inaccuracy in the calculation of the Consolidated Total Leverage Ratio for a period ending prior to the termination of the Facility and repayment in full of the Obligations, and such inaccuracy (x) resulted from the gross negligence, willful misconduct or fraud of the REIT and (y) gives rise to obligations under this </w:t>
      </w:r>
      <w:r>
        <w:rPr>
          <w:rFonts w:ascii="Arial" w:cs="Arial" w:eastAsia="Arial" w:hAnsi="Arial"/>
          <w:sz w:val="18"/>
          <w:szCs w:val="18"/>
          <w:u w:val="single" w:color="auto"/>
          <w:color w:val="auto"/>
        </w:rPr>
        <w:t>Section 2.10(b</w:t>
      </w:r>
      <w:r>
        <w:rPr>
          <w:rFonts w:ascii="Arial" w:cs="Arial" w:eastAsia="Arial" w:hAnsi="Arial"/>
          <w:sz w:val="18"/>
          <w:szCs w:val="18"/>
          <w:color w:val="auto"/>
        </w:rPr>
        <w:t>), then such obligations of the Borrower under this paragraph shall nevertheless survive the Section 2.10(b) Termination Date and shall be due and payable by the Borrower on the date of discovery of such inaccuracy.</w:t>
      </w:r>
    </w:p>
    <w:p>
      <w:pPr>
        <w:spacing w:after="0" w:line="198"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8"/>
          <w:szCs w:val="18"/>
          <w:u w:val="single" w:color="auto"/>
          <w:color w:val="auto"/>
        </w:rPr>
        <w:t>Evidence of Debt</w:t>
      </w:r>
      <w:r>
        <w:rPr>
          <w:rFonts w:ascii="Arial" w:cs="Arial" w:eastAsia="Arial" w:hAnsi="Arial"/>
          <w:sz w:val="18"/>
          <w:szCs w:val="18"/>
          <w:color w:val="auto"/>
        </w:rPr>
        <w:t>.</w:t>
      </w:r>
    </w:p>
    <w:p>
      <w:pPr>
        <w:spacing w:after="0" w:line="245" w:lineRule="exact"/>
        <w:rPr>
          <w:sz w:val="20"/>
          <w:szCs w:val="20"/>
          <w:color w:val="auto"/>
        </w:rPr>
      </w:pPr>
    </w:p>
    <w:p>
      <w:pPr>
        <w:jc w:val="both"/>
        <w:ind w:left="600" w:firstLine="598"/>
        <w:spacing w:after="0" w:line="252" w:lineRule="auto"/>
        <w:tabs>
          <w:tab w:leader="none" w:pos="1999" w:val="left"/>
        </w:tabs>
        <w:numPr>
          <w:ilvl w:val="0"/>
          <w:numId w:val="298"/>
        </w:numPr>
        <w:rPr>
          <w:rFonts w:ascii="Arial" w:cs="Arial" w:eastAsia="Arial" w:hAnsi="Arial"/>
          <w:sz w:val="20"/>
          <w:szCs w:val="20"/>
          <w:color w:val="auto"/>
        </w:rPr>
      </w:pPr>
      <w:r>
        <w:rPr>
          <w:rFonts w:ascii="Arial" w:cs="Arial" w:eastAsia="Arial" w:hAnsi="Arial"/>
          <w:sz w:val="20"/>
          <w:szCs w:val="20"/>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w:t>
      </w:r>
    </w:p>
    <w:p>
      <w:pPr>
        <w:spacing w:after="0" w:line="19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820"/>
          </w:cols>
          <w:pgMar w:left="840" w:top="795" w:right="239" w:bottom="1440" w:gutter="0" w:footer="0" w:header="0"/>
        </w:sectPr>
      </w:pPr>
    </w:p>
    <w:bookmarkStart w:id="278" w:name="page279"/>
    <w:bookmarkEnd w:id="278"/>
    <w:p>
      <w:pPr>
        <w:jc w:val="both"/>
        <w:ind w:left="1"/>
        <w:spacing w:after="0" w:line="268" w:lineRule="auto"/>
        <w:rPr>
          <w:sz w:val="20"/>
          <w:szCs w:val="20"/>
          <w:color w:val="auto"/>
        </w:rPr>
      </w:pPr>
      <w:r>
        <w:rPr>
          <w:rFonts w:ascii="Arial" w:cs="Arial" w:eastAsia="Arial" w:hAnsi="Arial"/>
          <w:sz w:val="19"/>
          <w:szCs w:val="19"/>
          <w:color w:val="auto"/>
        </w:rPr>
        <w:t>event of any conflict between the accounts and records maintained by any Lender and the accounts and records of the Administrative Agent in respect of such matters, the accounts and records of the Administrative Agent shall control in the absence of manifest error. Upon the written request of any Lender made through the Administrative Agent, the Borrower shall execute and deliver to such Lender (through the Administrative Agent) a Term Note, which shall evidence such Lender’s Loans in addition to such accounts or records. Each Lender may attach schedules to its Term Note and endorse thereon the date, Type (if applicable), amount and maturity of its Loans and payments with respect thereto.</w:t>
      </w:r>
    </w:p>
    <w:p>
      <w:pPr>
        <w:spacing w:after="0" w:line="197" w:lineRule="exact"/>
        <w:rPr>
          <w:sz w:val="20"/>
          <w:szCs w:val="20"/>
          <w:color w:val="auto"/>
        </w:rPr>
      </w:pPr>
    </w:p>
    <w:p>
      <w:pPr>
        <w:ind w:left="1"/>
        <w:spacing w:after="0"/>
        <w:tabs>
          <w:tab w:leader="none" w:pos="581"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8"/>
          <w:szCs w:val="18"/>
          <w:u w:val="single" w:color="auto"/>
          <w:color w:val="auto"/>
        </w:rPr>
        <w:t>Payments Generally; Administrative Agent’s Clawback</w:t>
      </w:r>
      <w:r>
        <w:rPr>
          <w:rFonts w:ascii="Arial" w:cs="Arial" w:eastAsia="Arial" w:hAnsi="Arial"/>
          <w:sz w:val="18"/>
          <w:szCs w:val="18"/>
          <w:color w:val="auto"/>
        </w:rPr>
        <w:t>.</w:t>
      </w:r>
    </w:p>
    <w:p>
      <w:pPr>
        <w:spacing w:after="0" w:line="245" w:lineRule="exact"/>
        <w:rPr>
          <w:sz w:val="20"/>
          <w:szCs w:val="20"/>
          <w:color w:val="auto"/>
        </w:rPr>
      </w:pPr>
    </w:p>
    <w:p>
      <w:pPr>
        <w:jc w:val="both"/>
        <w:ind w:left="1" w:hanging="1"/>
        <w:spacing w:after="0" w:line="265" w:lineRule="auto"/>
        <w:tabs>
          <w:tab w:leader="none" w:pos="422" w:val="left"/>
        </w:tabs>
        <w:numPr>
          <w:ilvl w:val="0"/>
          <w:numId w:val="299"/>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w:t>
      </w:r>
      <w:r>
        <w:rPr>
          <w:rFonts w:ascii="Arial" w:cs="Arial" w:eastAsia="Arial" w:hAnsi="Arial"/>
          <w:sz w:val="19"/>
          <w:szCs w:val="19"/>
          <w:color w:val="FF0000"/>
          <w:strike w:val="1"/>
        </w:rPr>
        <w:t>on</w:t>
      </w:r>
      <w:r>
        <w:rPr>
          <w:rFonts w:ascii="Arial" w:cs="Arial" w:eastAsia="Arial" w:hAnsi="Arial"/>
          <w:sz w:val="19"/>
          <w:szCs w:val="19"/>
          <w:b w:val="1"/>
          <w:bCs w:val="1"/>
          <w:color w:val="0000FF"/>
        </w:rPr>
        <w:t>in</w:t>
      </w:r>
      <w:r>
        <w:rPr>
          <w:rFonts w:ascii="Arial" w:cs="Arial" w:eastAsia="Arial" w:hAnsi="Arial"/>
          <w:sz w:val="19"/>
          <w:szCs w:val="19"/>
          <w:color w:val="auto"/>
        </w:rPr>
        <w:t xml:space="preserve"> computing interest or fees, as the case may be.</w:t>
      </w:r>
    </w:p>
    <w:p>
      <w:pPr>
        <w:spacing w:after="0" w:line="197" w:lineRule="exact"/>
        <w:rPr>
          <w:rFonts w:ascii="Arial" w:cs="Arial" w:eastAsia="Arial" w:hAnsi="Arial"/>
          <w:sz w:val="19"/>
          <w:szCs w:val="19"/>
          <w:color w:val="auto"/>
        </w:rPr>
      </w:pPr>
    </w:p>
    <w:p>
      <w:pPr>
        <w:jc w:val="both"/>
        <w:ind w:left="1" w:hanging="1"/>
        <w:spacing w:after="0" w:line="278" w:lineRule="auto"/>
        <w:tabs>
          <w:tab w:leader="none" w:pos="534"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Funding by Lenders; Presumption by Administrative Agent</w:t>
      </w:r>
      <w:r>
        <w:rPr>
          <w:rFonts w:ascii="Arial" w:cs="Arial" w:eastAsia="Arial" w:hAnsi="Arial"/>
          <w:sz w:val="18"/>
          <w:szCs w:val="18"/>
          <w:color w:val="auto"/>
        </w:rPr>
        <w:t xml:space="preserve">. Unless the Administrative Agent shall have received notice from a Lender prior to the proposed date of any Borrowing of Eurodollar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(or, in the case of a Borrowing of Base Rate Loans, that such Lender has made such share available in accordance with and at the time required by </w:t>
      </w:r>
      <w:r>
        <w:rPr>
          <w:rFonts w:ascii="Arial" w:cs="Arial" w:eastAsia="Arial" w:hAnsi="Arial"/>
          <w:sz w:val="18"/>
          <w:szCs w:val="18"/>
          <w:u w:val="single" w:color="auto"/>
          <w:color w:val="auto"/>
        </w:rPr>
        <w:t>Section 2.02</w:t>
      </w:r>
      <w:r>
        <w:rPr>
          <w:rFonts w:ascii="Arial" w:cs="Arial" w:eastAsia="Arial" w:hAnsi="Arial"/>
          <w:sz w:val="18"/>
          <w:szCs w:val="18"/>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w:t>
      </w:r>
    </w:p>
    <w:p>
      <w:pPr>
        <w:spacing w:after="0" w:line="171" w:lineRule="exact"/>
        <w:rPr>
          <w:sz w:val="20"/>
          <w:szCs w:val="20"/>
          <w:color w:val="auto"/>
        </w:rPr>
      </w:pPr>
    </w:p>
    <w:p>
      <w:pPr>
        <w:ind w:left="4361"/>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221"/>
          </w:cols>
          <w:pgMar w:left="1439" w:top="795" w:right="239" w:bottom="1440" w:gutter="0" w:footer="0" w:header="0"/>
        </w:sectPr>
      </w:pPr>
    </w:p>
    <w:bookmarkStart w:id="279" w:name="page280"/>
    <w:bookmarkEnd w:id="279"/>
    <w:p>
      <w:pPr>
        <w:ind w:left="1"/>
        <w:spacing w:after="0" w:line="272" w:lineRule="auto"/>
        <w:rPr>
          <w:sz w:val="20"/>
          <w:szCs w:val="20"/>
          <w:color w:val="auto"/>
        </w:rPr>
      </w:pPr>
      <w:r>
        <w:rPr>
          <w:rFonts w:ascii="Arial" w:cs="Arial" w:eastAsia="Arial" w:hAnsi="Arial"/>
          <w:sz w:val="20"/>
          <w:szCs w:val="20"/>
          <w:color w:val="auto"/>
        </w:rPr>
        <w:t>Borrowing. Any payment by the Borrower shall be without prejudice to any claim the Borrower may have against a Lender that shall have failed to make such payment to the Administrative Agent.</w:t>
      </w:r>
    </w:p>
    <w:p>
      <w:pPr>
        <w:spacing w:after="0" w:line="191" w:lineRule="exact"/>
        <w:rPr>
          <w:sz w:val="20"/>
          <w:szCs w:val="20"/>
          <w:color w:val="auto"/>
        </w:rPr>
      </w:pPr>
    </w:p>
    <w:p>
      <w:pPr>
        <w:jc w:val="both"/>
        <w:ind w:left="1" w:firstLine="598"/>
        <w:spacing w:after="0" w:line="281" w:lineRule="auto"/>
        <w:tabs>
          <w:tab w:leader="none" w:pos="945"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Payments by Borrower; Presumptions by Administrative Agent</w:t>
      </w:r>
      <w:r>
        <w:rPr>
          <w:rFonts w:ascii="Arial" w:cs="Arial" w:eastAsia="Arial" w:hAnsi="Arial"/>
          <w:sz w:val="18"/>
          <w:szCs w:val="18"/>
          <w:color w:val="auto"/>
        </w:rPr>
        <w:t>. Unless the Administrative Agent shall have received notice from the Borrower prior to the time at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Appropriate Lenders the amount due. In such event, if the Borrower has not in fact made such payment, then each of the Appropriate Lenders severally agrees to repay to the Administrative Agent forthwith on demand the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92" w:lineRule="exact"/>
        <w:rPr>
          <w:sz w:val="20"/>
          <w:szCs w:val="20"/>
          <w:color w:val="auto"/>
        </w:rPr>
      </w:pPr>
    </w:p>
    <w:p>
      <w:pPr>
        <w:ind w:left="1"/>
        <w:spacing w:after="0"/>
        <w:rPr>
          <w:sz w:val="20"/>
          <w:szCs w:val="20"/>
          <w:color w:val="auto"/>
        </w:rPr>
      </w:pPr>
      <w:r>
        <w:rPr>
          <w:rFonts w:ascii="Arial" w:cs="Arial" w:eastAsia="Arial" w:hAnsi="Arial"/>
          <w:sz w:val="18"/>
          <w:szCs w:val="18"/>
          <w:color w:val="auto"/>
        </w:rPr>
        <w:t>A notice of the Administrative Agent to any Lender or the Borrower with respect to any amount owing under this subsection</w:t>
      </w:r>
    </w:p>
    <w:p>
      <w:pPr>
        <w:spacing w:after="0" w:line="46" w:lineRule="exact"/>
        <w:rPr>
          <w:sz w:val="20"/>
          <w:szCs w:val="20"/>
          <w:color w:val="auto"/>
        </w:rPr>
      </w:pPr>
    </w:p>
    <w:p>
      <w:pPr>
        <w:ind w:left="281" w:hanging="281"/>
        <w:spacing w:after="0"/>
        <w:tabs>
          <w:tab w:leader="none" w:pos="281" w:val="left"/>
        </w:tabs>
        <w:numPr>
          <w:ilvl w:val="0"/>
          <w:numId w:val="301"/>
        </w:numPr>
        <w:rPr>
          <w:rFonts w:ascii="Arial" w:cs="Arial" w:eastAsia="Arial" w:hAnsi="Arial"/>
          <w:sz w:val="20"/>
          <w:szCs w:val="20"/>
          <w:color w:val="auto"/>
        </w:rPr>
      </w:pPr>
      <w:r>
        <w:rPr>
          <w:rFonts w:ascii="Arial" w:cs="Arial" w:eastAsia="Arial" w:hAnsi="Arial"/>
          <w:sz w:val="20"/>
          <w:szCs w:val="20"/>
          <w:color w:val="auto"/>
        </w:rPr>
        <w:t>shall be conclusive, absent manifest error.</w:t>
      </w:r>
    </w:p>
    <w:p>
      <w:pPr>
        <w:spacing w:after="0" w:line="228" w:lineRule="exact"/>
        <w:rPr>
          <w:rFonts w:ascii="Arial" w:cs="Arial" w:eastAsia="Arial" w:hAnsi="Arial"/>
          <w:sz w:val="20"/>
          <w:szCs w:val="20"/>
          <w:color w:val="auto"/>
        </w:rPr>
      </w:pPr>
    </w:p>
    <w:p>
      <w:pPr>
        <w:jc w:val="both"/>
        <w:ind w:left="1" w:hanging="1"/>
        <w:spacing w:after="0" w:line="253" w:lineRule="auto"/>
        <w:tabs>
          <w:tab w:leader="none" w:pos="435" w:val="left"/>
        </w:tabs>
        <w:numPr>
          <w:ilvl w:val="0"/>
          <w:numId w:val="301"/>
        </w:numPr>
        <w:rPr>
          <w:rFonts w:ascii="Arial" w:cs="Arial" w:eastAsia="Arial" w:hAnsi="Arial"/>
          <w:sz w:val="20"/>
          <w:szCs w:val="20"/>
          <w:color w:val="auto"/>
        </w:rPr>
      </w:pPr>
      <w:r>
        <w:rPr>
          <w:rFonts w:ascii="Arial" w:cs="Arial" w:eastAsia="Arial" w:hAnsi="Arial"/>
          <w:sz w:val="20"/>
          <w:szCs w:val="20"/>
          <w:u w:val="single" w:color="auto"/>
          <w:color w:val="auto"/>
        </w:rPr>
        <w:t>Failure to Satisfy Conditions Precedent</w:t>
      </w:r>
      <w:r>
        <w:rPr>
          <w:rFonts w:ascii="Arial" w:cs="Arial" w:eastAsia="Arial" w:hAnsi="Arial"/>
          <w:sz w:val="20"/>
          <w:szCs w:val="20"/>
          <w:color w:val="auto"/>
        </w:rPr>
        <w:t xml:space="preserve">. If any Lender makes available to the Administrative Agent funds for any Loan to be made by such Lender as provided in the foregoing provisions of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and such funds are not made available to the Borrower by the Administrative Agent because the conditions to the applicable Credit Extension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211" w:lineRule="exact"/>
        <w:rPr>
          <w:rFonts w:ascii="Arial" w:cs="Arial" w:eastAsia="Arial" w:hAnsi="Arial"/>
          <w:sz w:val="20"/>
          <w:szCs w:val="20"/>
          <w:color w:val="auto"/>
        </w:rPr>
      </w:pPr>
    </w:p>
    <w:p>
      <w:pPr>
        <w:jc w:val="both"/>
        <w:ind w:left="1" w:hanging="1"/>
        <w:spacing w:after="0" w:line="270" w:lineRule="auto"/>
        <w:tabs>
          <w:tab w:leader="none" w:pos="496" w:val="left"/>
        </w:tabs>
        <w:numPr>
          <w:ilvl w:val="0"/>
          <w:numId w:val="301"/>
        </w:numPr>
        <w:rPr>
          <w:rFonts w:ascii="Arial" w:cs="Arial" w:eastAsia="Arial" w:hAnsi="Arial"/>
          <w:sz w:val="19"/>
          <w:szCs w:val="19"/>
          <w:color w:val="auto"/>
        </w:rPr>
      </w:pPr>
      <w:r>
        <w:rPr>
          <w:rFonts w:ascii="Arial" w:cs="Arial" w:eastAsia="Arial" w:hAnsi="Arial"/>
          <w:sz w:val="19"/>
          <w:szCs w:val="19"/>
          <w:u w:val="single" w:color="auto"/>
          <w:color w:val="auto"/>
        </w:rPr>
        <w:t>Obligations of Lenders Several</w:t>
      </w:r>
      <w:r>
        <w:rPr>
          <w:rFonts w:ascii="Arial" w:cs="Arial" w:eastAsia="Arial" w:hAnsi="Arial"/>
          <w:sz w:val="19"/>
          <w:szCs w:val="19"/>
          <w:color w:val="auto"/>
        </w:rPr>
        <w:t xml:space="preserve">. The obligations of the Lenders hereunder to make Term Loans and to make payments pursuant to </w:t>
      </w:r>
      <w:r>
        <w:rPr>
          <w:rFonts w:ascii="Arial" w:cs="Arial" w:eastAsia="Arial" w:hAnsi="Arial"/>
          <w:sz w:val="19"/>
          <w:szCs w:val="19"/>
          <w:u w:val="single" w:color="auto"/>
          <w:color w:val="auto"/>
        </w:rPr>
        <w:t>Section 10.04(c)</w:t>
      </w:r>
      <w:r>
        <w:rPr>
          <w:rFonts w:ascii="Arial" w:cs="Arial" w:eastAsia="Arial" w:hAnsi="Arial"/>
          <w:sz w:val="19"/>
          <w:szCs w:val="19"/>
          <w:color w:val="auto"/>
        </w:rPr>
        <w:t xml:space="preserve"> are several and not joint. The failure of any Lender to make any Loan, to fund any such participation or to make any payment under </w:t>
      </w:r>
      <w:r>
        <w:rPr>
          <w:rFonts w:ascii="Arial" w:cs="Arial" w:eastAsia="Arial" w:hAnsi="Arial"/>
          <w:sz w:val="19"/>
          <w:szCs w:val="19"/>
          <w:u w:val="single" w:color="auto"/>
          <w:color w:val="auto"/>
        </w:rPr>
        <w:t>Section 10.04(c)</w:t>
      </w:r>
      <w:r>
        <w:rPr>
          <w:rFonts w:ascii="Arial" w:cs="Arial" w:eastAsia="Arial" w:hAnsi="Arial"/>
          <w:sz w:val="19"/>
          <w:szCs w:val="19"/>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9"/>
          <w:szCs w:val="19"/>
          <w:u w:val="single" w:color="auto"/>
          <w:color w:val="auto"/>
        </w:rPr>
        <w:t>Section 10.04(c)</w:t>
      </w:r>
      <w:r>
        <w:rPr>
          <w:rFonts w:ascii="Arial" w:cs="Arial" w:eastAsia="Arial" w:hAnsi="Arial"/>
          <w:sz w:val="19"/>
          <w:szCs w:val="19"/>
          <w:color w:val="auto"/>
        </w:rPr>
        <w:t>.</w:t>
      </w:r>
    </w:p>
    <w:p>
      <w:pPr>
        <w:spacing w:after="0" w:line="194" w:lineRule="exact"/>
        <w:rPr>
          <w:rFonts w:ascii="Arial" w:cs="Arial" w:eastAsia="Arial" w:hAnsi="Arial"/>
          <w:sz w:val="19"/>
          <w:szCs w:val="19"/>
          <w:color w:val="auto"/>
        </w:rPr>
      </w:pPr>
    </w:p>
    <w:p>
      <w:pPr>
        <w:jc w:val="both"/>
        <w:ind w:left="1" w:hanging="1"/>
        <w:spacing w:after="0" w:line="260" w:lineRule="auto"/>
        <w:tabs>
          <w:tab w:leader="none" w:pos="422" w:val="left"/>
        </w:tabs>
        <w:numPr>
          <w:ilvl w:val="0"/>
          <w:numId w:val="301"/>
        </w:numPr>
        <w:rPr>
          <w:rFonts w:ascii="Arial" w:cs="Arial" w:eastAsia="Arial" w:hAnsi="Arial"/>
          <w:sz w:val="20"/>
          <w:szCs w:val="20"/>
          <w:color w:val="auto"/>
        </w:rPr>
      </w:pPr>
      <w:r>
        <w:rPr>
          <w:rFonts w:ascii="Arial" w:cs="Arial" w:eastAsia="Arial" w:hAnsi="Arial"/>
          <w:sz w:val="20"/>
          <w:szCs w:val="20"/>
          <w:u w:val="single" w:color="auto"/>
          <w:color w:val="auto"/>
        </w:rPr>
        <w:t>Funding Source</w:t>
      </w:r>
      <w:r>
        <w:rPr>
          <w:rFonts w:ascii="Arial" w:cs="Arial" w:eastAsia="Arial" w:hAnsi="Arial"/>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201" w:lineRule="exact"/>
        <w:rPr>
          <w:rFonts w:ascii="Arial" w:cs="Arial" w:eastAsia="Arial" w:hAnsi="Arial"/>
          <w:sz w:val="20"/>
          <w:szCs w:val="20"/>
          <w:color w:val="auto"/>
        </w:rPr>
      </w:pPr>
    </w:p>
    <w:p>
      <w:pPr>
        <w:jc w:val="both"/>
        <w:ind w:left="1" w:hanging="1"/>
        <w:spacing w:after="0" w:line="270" w:lineRule="auto"/>
        <w:tabs>
          <w:tab w:leader="none" w:pos="413" w:val="left"/>
        </w:tabs>
        <w:numPr>
          <w:ilvl w:val="0"/>
          <w:numId w:val="301"/>
        </w:numPr>
        <w:rPr>
          <w:rFonts w:ascii="Arial" w:cs="Arial" w:eastAsia="Arial" w:hAnsi="Arial"/>
          <w:sz w:val="19"/>
          <w:szCs w:val="19"/>
          <w:color w:val="auto"/>
        </w:rPr>
      </w:pPr>
      <w:r>
        <w:rPr>
          <w:rFonts w:ascii="Arial" w:cs="Arial" w:eastAsia="Arial" w:hAnsi="Arial"/>
          <w:sz w:val="19"/>
          <w:szCs w:val="19"/>
          <w:u w:val="single" w:color="auto"/>
          <w:color w:val="auto"/>
        </w:rPr>
        <w:t>Insufficient Funds</w:t>
      </w:r>
      <w:r>
        <w:rPr>
          <w:rFonts w:ascii="Arial" w:cs="Arial" w:eastAsia="Arial" w:hAnsi="Arial"/>
          <w:sz w:val="19"/>
          <w:szCs w:val="19"/>
          <w:color w:val="auto"/>
        </w:rPr>
        <w:t xml:space="preserve">. If at any time insufficient funds are received by and available to the Administrative Agent to pay fully all amounts of principal, interest and fees then due hereunder, such funds shall be applied (i)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19"/>
          <w:szCs w:val="19"/>
          <w:u w:val="single" w:color="auto"/>
          <w:color w:val="auto"/>
        </w:rPr>
        <w:t>second</w:t>
      </w:r>
      <w:r>
        <w:rPr>
          <w:rFonts w:ascii="Arial" w:cs="Arial" w:eastAsia="Arial" w:hAnsi="Arial"/>
          <w:sz w:val="19"/>
          <w:szCs w:val="19"/>
          <w:color w:val="auto"/>
        </w:rPr>
        <w:t>, toward payment of principal then due hereunder, ratably among the parties entitled thereto in accordance with the amounts of principal then due to such parties.</w:t>
      </w:r>
    </w:p>
    <w:p>
      <w:pPr>
        <w:spacing w:after="0" w:line="172" w:lineRule="exact"/>
        <w:rPr>
          <w:sz w:val="20"/>
          <w:szCs w:val="20"/>
          <w:color w:val="auto"/>
        </w:rPr>
      </w:pPr>
    </w:p>
    <w:p>
      <w:pPr>
        <w:ind w:left="4361"/>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221"/>
          </w:cols>
          <w:pgMar w:left="1439" w:top="795" w:right="239" w:bottom="1440" w:gutter="0" w:footer="0" w:header="0"/>
        </w:sectPr>
      </w:pPr>
    </w:p>
    <w:bookmarkStart w:id="280" w:name="page281"/>
    <w:bookmarkEnd w:id="280"/>
    <w:p>
      <w:pPr>
        <w:jc w:val="both"/>
        <w:ind w:firstLine="1199"/>
        <w:spacing w:after="0" w:line="281"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Sharing of Payments by Lenders</w:t>
      </w:r>
      <w:r>
        <w:rPr>
          <w:rFonts w:ascii="Arial" w:cs="Arial" w:eastAsia="Arial" w:hAnsi="Arial"/>
          <w:sz w:val="18"/>
          <w:szCs w:val="18"/>
          <w:color w:val="auto"/>
        </w:rPr>
        <w:t>. If any Lender shall, by exercising any right of setoff or counterclaim or otherwise, obtain payment in respect of (a) Obligations due and payable to such Lender hereunder and under the other Loan Documents at such time in excess of its ratable share (according to the proportion of (i) the amount of such Obligations due and payable to such Lender at such time to</w:t>
      </w:r>
    </w:p>
    <w:p>
      <w:pPr>
        <w:spacing w:after="0" w:line="1" w:lineRule="exact"/>
        <w:rPr>
          <w:sz w:val="20"/>
          <w:szCs w:val="20"/>
          <w:color w:val="auto"/>
        </w:rPr>
      </w:pPr>
    </w:p>
    <w:p>
      <w:pPr>
        <w:jc w:val="both"/>
        <w:spacing w:after="0" w:line="262" w:lineRule="auto"/>
        <w:tabs>
          <w:tab w:leader="none" w:pos="305" w:val="left"/>
        </w:tabs>
        <w:numPr>
          <w:ilvl w:val="0"/>
          <w:numId w:val="302"/>
        </w:numPr>
        <w:rPr>
          <w:rFonts w:ascii="Arial" w:cs="Arial" w:eastAsia="Arial" w:hAnsi="Arial"/>
          <w:sz w:val="19"/>
          <w:szCs w:val="19"/>
          <w:color w:val="auto"/>
        </w:rPr>
      </w:pPr>
      <w:r>
        <w:rPr>
          <w:rFonts w:ascii="Arial" w:cs="Arial" w:eastAsia="Arial" w:hAnsi="Arial"/>
          <w:sz w:val="19"/>
          <w:szCs w:val="19"/>
          <w:color w:val="auto"/>
        </w:rPr>
        <w:t xml:space="preserve">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owing (but not due and payable) to all Lenders hereunder and under the other Loan Documents at such time) of payment on account of the Obligations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208" w:lineRule="exact"/>
        <w:rPr>
          <w:rFonts w:ascii="Arial" w:cs="Arial" w:eastAsia="Arial" w:hAnsi="Arial"/>
          <w:sz w:val="19"/>
          <w:szCs w:val="19"/>
          <w:color w:val="auto"/>
        </w:rPr>
      </w:pPr>
    </w:p>
    <w:p>
      <w:pPr>
        <w:ind w:left="1200" w:firstLine="598"/>
        <w:spacing w:after="0" w:line="329" w:lineRule="auto"/>
        <w:tabs>
          <w:tab w:leader="none" w:pos="2587" w:val="left"/>
        </w:tabs>
        <w:numPr>
          <w:ilvl w:val="1"/>
          <w:numId w:val="302"/>
        </w:numPr>
        <w:rPr>
          <w:rFonts w:ascii="Arial" w:cs="Arial" w:eastAsia="Arial" w:hAnsi="Arial"/>
          <w:sz w:val="18"/>
          <w:szCs w:val="18"/>
          <w:color w:val="auto"/>
        </w:rPr>
      </w:pPr>
      <w:r>
        <w:rPr>
          <w:rFonts w:ascii="Arial" w:cs="Arial" w:eastAsia="Arial" w:hAnsi="Arial"/>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44" w:lineRule="exact"/>
        <w:rPr>
          <w:rFonts w:ascii="Arial" w:cs="Arial" w:eastAsia="Arial" w:hAnsi="Arial"/>
          <w:sz w:val="18"/>
          <w:szCs w:val="18"/>
          <w:color w:val="auto"/>
        </w:rPr>
      </w:pPr>
    </w:p>
    <w:p>
      <w:pPr>
        <w:jc w:val="both"/>
        <w:ind w:left="600" w:firstLine="1198"/>
        <w:spacing w:after="0" w:line="253" w:lineRule="auto"/>
        <w:tabs>
          <w:tab w:leader="none" w:pos="2643" w:val="left"/>
        </w:tabs>
        <w:numPr>
          <w:ilvl w:val="1"/>
          <w:numId w:val="302"/>
        </w:numPr>
        <w:rPr>
          <w:rFonts w:ascii="Arial" w:cs="Arial" w:eastAsia="Arial" w:hAnsi="Arial"/>
          <w:sz w:val="20"/>
          <w:szCs w:val="20"/>
          <w:color w:val="auto"/>
        </w:rPr>
      </w:pPr>
      <w:r>
        <w:rPr>
          <w:rFonts w:ascii="Arial" w:cs="Arial" w:eastAsia="Arial" w:hAnsi="Arial"/>
          <w:sz w:val="20"/>
          <w:szCs w:val="20"/>
          <w:color w:val="auto"/>
        </w:rPr>
        <w:t xml:space="preserve">the provisions of this Section shall not be construed to apply to (x) any payment made by or on behalf of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Loans </w:t>
      </w:r>
      <w:r>
        <w:rPr>
          <w:rFonts w:ascii="Arial" w:cs="Arial" w:eastAsia="Arial" w:hAnsi="Arial"/>
          <w:sz w:val="20"/>
          <w:szCs w:val="20"/>
          <w:color w:val="FF0000"/>
          <w:strike w:val="1"/>
        </w:rPr>
        <w:t>or</w:t>
      </w:r>
      <w:r>
        <w:rPr>
          <w:rFonts w:ascii="Arial" w:cs="Arial" w:eastAsia="Arial" w:hAnsi="Arial"/>
          <w:sz w:val="20"/>
          <w:szCs w:val="20"/>
          <w:color w:val="auto"/>
        </w:rPr>
        <w:t xml:space="preserve"> to any assignee or participant, other than an assignment to the REIT, the Borrower or any Affiliate thereof (as to which the provisions of this Section shall apply).</w:t>
      </w:r>
    </w:p>
    <w:p>
      <w:pPr>
        <w:spacing w:after="0" w:line="212" w:lineRule="exact"/>
        <w:rPr>
          <w:sz w:val="20"/>
          <w:szCs w:val="20"/>
          <w:color w:val="auto"/>
        </w:rPr>
      </w:pPr>
    </w:p>
    <w:p>
      <w:pPr>
        <w:jc w:val="both"/>
        <w:ind w:left="600" w:firstLine="600"/>
        <w:spacing w:after="0" w:line="302" w:lineRule="auto"/>
        <w:rPr>
          <w:sz w:val="20"/>
          <w:szCs w:val="20"/>
          <w:color w:val="auto"/>
        </w:rPr>
      </w:pPr>
      <w:r>
        <w:rPr>
          <w:rFonts w:ascii="Arial" w:cs="Arial" w:eastAsia="Arial" w:hAnsi="Arial"/>
          <w:sz w:val="18"/>
          <w:szCs w:val="18"/>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68" w:lineRule="exact"/>
        <w:rPr>
          <w:sz w:val="20"/>
          <w:szCs w:val="20"/>
          <w:color w:val="auto"/>
        </w:rPr>
      </w:pPr>
    </w:p>
    <w:p>
      <w:pPr>
        <w:ind w:left="1200"/>
        <w:spacing w:after="0"/>
        <w:tabs>
          <w:tab w:leader="none" w:pos="178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45" w:lineRule="exact"/>
        <w:rPr>
          <w:sz w:val="20"/>
          <w:szCs w:val="20"/>
          <w:color w:val="auto"/>
        </w:rPr>
      </w:pPr>
    </w:p>
    <w:p>
      <w:pPr>
        <w:ind w:left="1200"/>
        <w:spacing w:after="0"/>
        <w:tabs>
          <w:tab w:leader="none" w:pos="178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45" w:lineRule="exact"/>
        <w:rPr>
          <w:sz w:val="20"/>
          <w:szCs w:val="20"/>
          <w:color w:val="auto"/>
        </w:rPr>
      </w:pPr>
    </w:p>
    <w:p>
      <w:pPr>
        <w:ind w:left="1200"/>
        <w:spacing w:after="0"/>
        <w:tabs>
          <w:tab w:leader="none" w:pos="178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45" w:lineRule="exact"/>
        <w:rPr>
          <w:sz w:val="20"/>
          <w:szCs w:val="20"/>
          <w:color w:val="auto"/>
        </w:rPr>
      </w:pPr>
    </w:p>
    <w:p>
      <w:pPr>
        <w:ind w:left="1200"/>
        <w:spacing w:after="0"/>
        <w:tabs>
          <w:tab w:leader="none" w:pos="1780" w:val="left"/>
        </w:tabs>
        <w:rPr>
          <w:sz w:val="20"/>
          <w:szCs w:val="20"/>
          <w:color w:val="auto"/>
        </w:rPr>
      </w:pPr>
      <w:r>
        <w:rPr>
          <w:rFonts w:ascii="Arial" w:cs="Arial" w:eastAsia="Arial" w:hAnsi="Arial"/>
          <w:sz w:val="20"/>
          <w:szCs w:val="20"/>
          <w:color w:val="auto"/>
        </w:rPr>
        <w:t>2.17.</w:t>
      </w:r>
      <w:r>
        <w:rPr>
          <w:sz w:val="20"/>
          <w:szCs w:val="20"/>
          <w:color w:val="auto"/>
        </w:rPr>
        <w:tab/>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45" w:lineRule="exact"/>
        <w:rPr>
          <w:sz w:val="20"/>
          <w:szCs w:val="20"/>
          <w:color w:val="auto"/>
        </w:rPr>
      </w:pPr>
    </w:p>
    <w:p>
      <w:pPr>
        <w:jc w:val="both"/>
        <w:ind w:left="600" w:firstLine="599"/>
        <w:spacing w:after="0" w:line="273" w:lineRule="auto"/>
        <w:tabs>
          <w:tab w:leader="none" w:pos="1696" w:val="left"/>
        </w:tabs>
        <w:numPr>
          <w:ilvl w:val="0"/>
          <w:numId w:val="303"/>
        </w:numPr>
        <w:rPr>
          <w:rFonts w:ascii="Arial" w:cs="Arial" w:eastAsia="Arial" w:hAnsi="Arial"/>
          <w:sz w:val="19"/>
          <w:szCs w:val="19"/>
          <w:color w:val="auto"/>
        </w:rPr>
      </w:pPr>
      <w:r>
        <w:rPr>
          <w:rFonts w:ascii="Arial" w:cs="Arial" w:eastAsia="Arial" w:hAnsi="Arial"/>
          <w:sz w:val="19"/>
          <w:szCs w:val="19"/>
          <w:u w:val="single" w:color="auto"/>
          <w:color w:val="auto"/>
        </w:rPr>
        <w:t>Request for Increase</w:t>
      </w:r>
      <w:r>
        <w:rPr>
          <w:rFonts w:ascii="Arial" w:cs="Arial" w:eastAsia="Arial" w:hAnsi="Arial"/>
          <w:sz w:val="19"/>
          <w:szCs w:val="19"/>
          <w:color w:val="auto"/>
        </w:rPr>
        <w:t xml:space="preserve">. Provided there exists no Default, upon written notice to the Administrative Agent, the Borrower may from time to time request an increase in the Facility by an amount (in the aggregate for all such requests) not exceeding </w:t>
      </w:r>
      <w:r>
        <w:rPr>
          <w:rFonts w:ascii="Arial" w:cs="Arial" w:eastAsia="Arial" w:hAnsi="Arial"/>
          <w:sz w:val="19"/>
          <w:szCs w:val="19"/>
          <w:b w:val="1"/>
          <w:bCs w:val="1"/>
          <w:u w:val="single" w:color="auto"/>
          <w:color w:val="0000FF"/>
          <w:highlight w:val="lightGray"/>
        </w:rPr>
        <w:t>(x) for</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highlight w:val="lightGray"/>
        </w:rPr>
        <w:t>the period prior to January 9, 2018,</w:t>
      </w:r>
      <w:r>
        <w:rPr>
          <w:rFonts w:ascii="Arial" w:cs="Arial" w:eastAsia="Arial" w:hAnsi="Arial"/>
          <w:sz w:val="19"/>
          <w:szCs w:val="19"/>
          <w:b w:val="1"/>
          <w:bCs w:val="1"/>
          <w:color w:val="0000FF"/>
          <w:highlight w:val="lightGray"/>
        </w:rPr>
        <w:t xml:space="preserve"> </w:t>
      </w:r>
      <w:r>
        <w:rPr>
          <w:rFonts w:ascii="Arial" w:cs="Arial" w:eastAsia="Arial" w:hAnsi="Arial"/>
          <w:sz w:val="19"/>
          <w:szCs w:val="19"/>
          <w:color w:val="000000"/>
        </w:rPr>
        <w:t>$50,000,000</w:t>
      </w:r>
      <w:r>
        <w:rPr>
          <w:rFonts w:ascii="Arial" w:cs="Arial" w:eastAsia="Arial" w:hAnsi="Arial"/>
          <w:sz w:val="19"/>
          <w:szCs w:val="19"/>
          <w:b w:val="1"/>
          <w:bCs w:val="1"/>
          <w:color w:val="0000FF"/>
          <w:highlight w:val="lightGray"/>
        </w:rPr>
        <w:t xml:space="preserve"> </w:t>
      </w:r>
      <w:r>
        <w:rPr>
          <w:rFonts w:ascii="Arial" w:cs="Arial" w:eastAsia="Arial" w:hAnsi="Arial"/>
          <w:sz w:val="19"/>
          <w:szCs w:val="19"/>
          <w:b w:val="1"/>
          <w:bCs w:val="1"/>
          <w:u w:val="single" w:color="auto"/>
          <w:color w:val="0000FF"/>
          <w:highlight w:val="lightGray"/>
        </w:rPr>
        <w:t>and (y) for the period from and after January 9, 2018, $150,000,000</w:t>
      </w:r>
      <w:r>
        <w:rPr>
          <w:rFonts w:ascii="Arial" w:cs="Arial" w:eastAsia="Arial" w:hAnsi="Arial"/>
          <w:sz w:val="19"/>
          <w:szCs w:val="19"/>
          <w:color w:val="000000"/>
        </w:rPr>
        <w:t>;</w:t>
      </w:r>
      <w:r>
        <w:rPr>
          <w:rFonts w:ascii="Arial" w:cs="Arial" w:eastAsia="Arial" w:hAnsi="Arial"/>
          <w:sz w:val="19"/>
          <w:szCs w:val="19"/>
          <w:b w:val="1"/>
          <w:bCs w:val="1"/>
          <w:color w:val="0000FF"/>
          <w:highlight w:val="lightGray"/>
        </w:rPr>
        <w:t xml:space="preserve"> </w:t>
      </w:r>
      <w:r>
        <w:rPr>
          <w:rFonts w:ascii="Arial" w:cs="Arial" w:eastAsia="Arial" w:hAnsi="Arial"/>
          <w:sz w:val="19"/>
          <w:szCs w:val="19"/>
          <w:u w:val="single" w:color="auto"/>
          <w:color w:val="000000"/>
        </w:rPr>
        <w:t>provided</w:t>
      </w:r>
      <w:r>
        <w:rPr>
          <w:rFonts w:ascii="Arial" w:cs="Arial" w:eastAsia="Arial" w:hAnsi="Arial"/>
          <w:sz w:val="19"/>
          <w:szCs w:val="19"/>
          <w:b w:val="1"/>
          <w:bCs w:val="1"/>
          <w:color w:val="0000FF"/>
          <w:highlight w:val="lightGray"/>
        </w:rPr>
        <w:t xml:space="preserve"> </w:t>
      </w:r>
      <w:r>
        <w:rPr>
          <w:rFonts w:ascii="Arial" w:cs="Arial" w:eastAsia="Arial" w:hAnsi="Arial"/>
          <w:sz w:val="19"/>
          <w:szCs w:val="19"/>
          <w:color w:val="000000"/>
        </w:rPr>
        <w:t>that (i) any such request for an increase shall be in a minimum amount of $25,000,000 (or such lesser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032" w:right="239" w:bottom="1440" w:gutter="0" w:footer="0" w:header="0"/>
        </w:sectPr>
      </w:pPr>
    </w:p>
    <w:bookmarkStart w:id="281" w:name="page282"/>
    <w:bookmarkEnd w:id="281"/>
    <w:p>
      <w:pPr>
        <w:jc w:val="both"/>
        <w:ind w:left="1"/>
        <w:spacing w:after="0" w:line="279" w:lineRule="auto"/>
        <w:rPr>
          <w:sz w:val="20"/>
          <w:szCs w:val="20"/>
          <w:color w:val="auto"/>
        </w:rPr>
      </w:pPr>
      <w:r>
        <w:rPr>
          <w:rFonts w:ascii="Arial" w:cs="Arial" w:eastAsia="Arial" w:hAnsi="Arial"/>
          <w:sz w:val="18"/>
          <w:szCs w:val="18"/>
          <w:color w:val="auto"/>
        </w:rPr>
        <w:t xml:space="preserve">amount as the Borrower and the Administrative Agent may agree), and (ii) the Borrower may make a maximum of two such requests </w:t>
      </w:r>
      <w:r>
        <w:rPr>
          <w:rFonts w:ascii="Arial" w:cs="Arial" w:eastAsia="Arial" w:hAnsi="Arial"/>
          <w:sz w:val="18"/>
          <w:szCs w:val="18"/>
          <w:b w:val="1"/>
          <w:bCs w:val="1"/>
          <w:u w:val="single" w:color="auto"/>
          <w:color w:val="0000FF"/>
          <w:highlight w:val="lightGray"/>
        </w:rPr>
        <w:t>from and after January 9, 2018</w:t>
      </w:r>
      <w:r>
        <w:rPr>
          <w:rFonts w:ascii="Arial" w:cs="Arial" w:eastAsia="Arial" w:hAnsi="Arial"/>
          <w:sz w:val="18"/>
          <w:szCs w:val="18"/>
          <w:color w:val="000000"/>
        </w:rPr>
        <w:t>. At the time of sending such notice, the Borrower shall specify the identity of each Lender and each</w:t>
      </w:r>
      <w:r>
        <w:rPr>
          <w:rFonts w:ascii="Arial" w:cs="Arial" w:eastAsia="Arial" w:hAnsi="Arial"/>
          <w:sz w:val="18"/>
          <w:szCs w:val="18"/>
          <w:b w:val="1"/>
          <w:bCs w:val="1"/>
          <w:color w:val="0000FF"/>
          <w:highlight w:val="lightGray"/>
        </w:rPr>
        <w:t xml:space="preserve"> </w:t>
      </w:r>
      <w:r>
        <w:rPr>
          <w:rFonts w:ascii="Arial" w:cs="Arial" w:eastAsia="Arial" w:hAnsi="Arial"/>
          <w:sz w:val="18"/>
          <w:szCs w:val="18"/>
          <w:color w:val="000000"/>
        </w:rPr>
        <w:t xml:space="preserve">Eligible Assignee to whom the Borrower proposes any portion of such increase in the Facility be allocated;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xml:space="preserve">, that (i) any existing Lender approached to provide all or a portion of such increase in the Facility may elect or decline, in its sole discretion, to provide all or a portion of such increase in the Facility offered to it (and any Lender that has failed to respond to any such request shall be deemed to have declined to participate in such increase in the Facility), (ii) no Lender or Eligible Assignee providing such increase shall be an Ineligible Institution, (iii) each Lender and Eligible Assignee providing such increase shall be subject to the consent of the Administrative Agent (not to be unreasonably withheld) to the extent an assignment of Term Loans to such Person would require consent of the Administrative Agent under </w:t>
      </w:r>
      <w:r>
        <w:rPr>
          <w:rFonts w:ascii="Arial" w:cs="Arial" w:eastAsia="Arial" w:hAnsi="Arial"/>
          <w:sz w:val="18"/>
          <w:szCs w:val="18"/>
          <w:u w:val="single" w:color="auto"/>
          <w:color w:val="000000"/>
        </w:rPr>
        <w:t>Section 10.06</w:t>
      </w:r>
      <w:r>
        <w:rPr>
          <w:rFonts w:ascii="Arial" w:cs="Arial" w:eastAsia="Arial" w:hAnsi="Arial"/>
          <w:sz w:val="18"/>
          <w:szCs w:val="18"/>
          <w:color w:val="000000"/>
        </w:rPr>
        <w:t xml:space="preserve"> and (iv) any Eligible Assignee providing any portion of such increase in the Facility that is not an existing Lender (such Eligible Assignee, a “</w:t>
      </w:r>
      <w:r>
        <w:rPr>
          <w:rFonts w:ascii="Arial" w:cs="Arial" w:eastAsia="Arial" w:hAnsi="Arial"/>
          <w:sz w:val="18"/>
          <w:szCs w:val="18"/>
          <w:u w:val="single" w:color="auto"/>
          <w:color w:val="000000"/>
        </w:rPr>
        <w:t>New Lender</w:t>
      </w:r>
      <w:r>
        <w:rPr>
          <w:rFonts w:ascii="Arial" w:cs="Arial" w:eastAsia="Arial" w:hAnsi="Arial"/>
          <w:sz w:val="18"/>
          <w:szCs w:val="18"/>
          <w:color w:val="000000"/>
        </w:rPr>
        <w:t>”) shall become a Lender pursuant to a joinder agreement in form and substance reasonably satisfactory to the Administrative Agent and its counsel (a “</w:t>
      </w:r>
      <w:r>
        <w:rPr>
          <w:rFonts w:ascii="Arial" w:cs="Arial" w:eastAsia="Arial" w:hAnsi="Arial"/>
          <w:sz w:val="18"/>
          <w:szCs w:val="18"/>
          <w:u w:val="single" w:color="auto"/>
          <w:color w:val="000000"/>
        </w:rPr>
        <w:t>Joinder Agreement</w:t>
      </w:r>
      <w:r>
        <w:rPr>
          <w:rFonts w:ascii="Arial" w:cs="Arial" w:eastAsia="Arial" w:hAnsi="Arial"/>
          <w:sz w:val="18"/>
          <w:szCs w:val="18"/>
          <w:color w:val="000000"/>
        </w:rPr>
        <w:t xml:space="preserve">”). Any increase in the Facility pursuant to this </w:t>
      </w:r>
      <w:r>
        <w:rPr>
          <w:rFonts w:ascii="Arial" w:cs="Arial" w:eastAsia="Arial" w:hAnsi="Arial"/>
          <w:sz w:val="18"/>
          <w:szCs w:val="18"/>
          <w:u w:val="single" w:color="auto"/>
          <w:color w:val="000000"/>
        </w:rPr>
        <w:t>Section 2.17</w:t>
      </w:r>
      <w:r>
        <w:rPr>
          <w:rFonts w:ascii="Arial" w:cs="Arial" w:eastAsia="Arial" w:hAnsi="Arial"/>
          <w:sz w:val="18"/>
          <w:szCs w:val="18"/>
          <w:color w:val="000000"/>
        </w:rPr>
        <w:t xml:space="preserve"> shall be in the form of one or more additional term loans made to the Borrower (any such term loan being referred to herein as an “</w:t>
      </w:r>
      <w:r>
        <w:rPr>
          <w:rFonts w:ascii="Arial" w:cs="Arial" w:eastAsia="Arial" w:hAnsi="Arial"/>
          <w:sz w:val="18"/>
          <w:szCs w:val="18"/>
          <w:u w:val="single" w:color="auto"/>
          <w:color w:val="000000"/>
        </w:rPr>
        <w:t>Incremental Term Loan</w:t>
      </w:r>
      <w:r>
        <w:rPr>
          <w:rFonts w:ascii="Arial" w:cs="Arial" w:eastAsia="Arial" w:hAnsi="Arial"/>
          <w:sz w:val="18"/>
          <w:szCs w:val="18"/>
          <w:color w:val="000000"/>
        </w:rPr>
        <w:t>”).</w:t>
      </w:r>
    </w:p>
    <w:p>
      <w:pPr>
        <w:spacing w:after="0" w:line="194" w:lineRule="exact"/>
        <w:rPr>
          <w:sz w:val="20"/>
          <w:szCs w:val="20"/>
          <w:color w:val="auto"/>
        </w:rPr>
      </w:pPr>
    </w:p>
    <w:p>
      <w:pPr>
        <w:jc w:val="both"/>
        <w:ind w:left="1" w:firstLine="599"/>
        <w:spacing w:after="0" w:line="256" w:lineRule="auto"/>
        <w:tabs>
          <w:tab w:leader="none" w:pos="1058" w:val="left"/>
        </w:tabs>
        <w:numPr>
          <w:ilvl w:val="1"/>
          <w:numId w:val="304"/>
        </w:numPr>
        <w:rPr>
          <w:rFonts w:ascii="Arial" w:cs="Arial" w:eastAsia="Arial" w:hAnsi="Arial"/>
          <w:sz w:val="20"/>
          <w:szCs w:val="20"/>
          <w:color w:val="auto"/>
        </w:rPr>
      </w:pPr>
      <w:r>
        <w:rPr>
          <w:rFonts w:ascii="Arial" w:cs="Arial" w:eastAsia="Arial" w:hAnsi="Arial"/>
          <w:sz w:val="20"/>
          <w:szCs w:val="20"/>
          <w:u w:val="single" w:color="auto"/>
          <w:color w:val="auto"/>
        </w:rPr>
        <w:t>Effective Date and Allocations</w:t>
      </w:r>
      <w:r>
        <w:rPr>
          <w:rFonts w:ascii="Arial" w:cs="Arial" w:eastAsia="Arial" w:hAnsi="Arial"/>
          <w:sz w:val="20"/>
          <w:szCs w:val="20"/>
          <w:color w:val="auto"/>
        </w:rPr>
        <w:t>. If the Facility is increased in accordance with this Section, the Administrative Agent and the Borrower shall determine the effective date (the “</w:t>
      </w:r>
      <w:r>
        <w:rPr>
          <w:rFonts w:ascii="Arial" w:cs="Arial" w:eastAsia="Arial" w:hAnsi="Arial"/>
          <w:sz w:val="20"/>
          <w:szCs w:val="20"/>
          <w:u w:val="single" w:color="auto"/>
          <w:color w:val="auto"/>
        </w:rPr>
        <w:t>Increase Effective Date</w:t>
      </w:r>
      <w:r>
        <w:rPr>
          <w:rFonts w:ascii="Arial" w:cs="Arial" w:eastAsia="Arial" w:hAnsi="Arial"/>
          <w:sz w:val="20"/>
          <w:szCs w:val="20"/>
          <w:color w:val="auto"/>
        </w:rPr>
        <w:t>”) and the final allocation of such increase. The Administrative Agent shall promptly notify the Borrower and the Lenders of the final allocation of such increase and the Increase Effective Date.</w:t>
      </w:r>
    </w:p>
    <w:p>
      <w:pPr>
        <w:spacing w:after="0" w:line="205" w:lineRule="exact"/>
        <w:rPr>
          <w:rFonts w:ascii="Arial" w:cs="Arial" w:eastAsia="Arial" w:hAnsi="Arial"/>
          <w:sz w:val="20"/>
          <w:szCs w:val="20"/>
          <w:color w:val="auto"/>
        </w:rPr>
      </w:pPr>
    </w:p>
    <w:p>
      <w:pPr>
        <w:jc w:val="both"/>
        <w:ind w:left="1" w:firstLine="599"/>
        <w:spacing w:after="0" w:line="279" w:lineRule="auto"/>
        <w:tabs>
          <w:tab w:leader="none" w:pos="1084" w:val="left"/>
        </w:tabs>
        <w:numPr>
          <w:ilvl w:val="1"/>
          <w:numId w:val="304"/>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 of Increase</w:t>
      </w:r>
      <w:r>
        <w:rPr>
          <w:rFonts w:ascii="Arial" w:cs="Arial" w:eastAsia="Arial" w:hAnsi="Arial"/>
          <w:sz w:val="18"/>
          <w:szCs w:val="18"/>
          <w:color w:val="auto"/>
        </w:rPr>
        <w:t xml:space="preserve">. As conditions precedent to such increase, (i) the Borrower shall deliver to the Administrative Agent a certificate of each Loan Party dated as of the Increase Effective Date (in sufficient copies for each Lender) signed by a Responsible Officer of such Loan Party (x) </w:t>
      </w:r>
      <w:r>
        <w:rPr>
          <w:rFonts w:ascii="Arial" w:cs="Arial" w:eastAsia="Arial" w:hAnsi="Arial"/>
          <w:sz w:val="18"/>
          <w:szCs w:val="18"/>
          <w:b w:val="1"/>
          <w:bCs w:val="1"/>
          <w:u w:val="single" w:color="auto"/>
          <w:color w:val="0000FF"/>
          <w:highlight w:val="lightGray"/>
        </w:rPr>
        <w:t>(1)</w:t>
      </w:r>
      <w:r>
        <w:rPr>
          <w:rFonts w:ascii="Arial" w:cs="Arial" w:eastAsia="Arial" w:hAnsi="Arial"/>
          <w:sz w:val="18"/>
          <w:szCs w:val="18"/>
          <w:color w:val="auto"/>
        </w:rPr>
        <w:t xml:space="preserve"> certifying and attaching the resolutions adopted by such Loan Party approving or consenting to such increase </w:t>
      </w:r>
      <w:r>
        <w:rPr>
          <w:rFonts w:ascii="Arial" w:cs="Arial" w:eastAsia="Arial" w:hAnsi="Arial"/>
          <w:sz w:val="18"/>
          <w:szCs w:val="18"/>
          <w:b w:val="1"/>
          <w:bCs w:val="1"/>
          <w:u w:val="single" w:color="auto"/>
          <w:color w:val="0000FF"/>
          <w:highlight w:val="lightGray"/>
        </w:rPr>
        <w:t>or (2) certifying that, as of such Increase Effective Date, the resolutions delivered to the</w:t>
      </w:r>
    </w:p>
    <w:p>
      <w:pPr>
        <w:spacing w:after="0" w:line="2" w:lineRule="exact"/>
        <w:rPr>
          <w:rFonts w:ascii="Arial" w:cs="Arial" w:eastAsia="Arial" w:hAnsi="Arial"/>
          <w:sz w:val="18"/>
          <w:szCs w:val="18"/>
          <w:color w:val="auto"/>
        </w:rPr>
      </w:pPr>
    </w:p>
    <w:p>
      <w:pPr>
        <w:jc w:val="both"/>
        <w:ind w:left="1"/>
        <w:spacing w:after="0" w:line="275" w:lineRule="auto"/>
        <w:rPr>
          <w:rFonts w:ascii="Arial" w:cs="Arial" w:eastAsia="Arial" w:hAnsi="Arial"/>
          <w:sz w:val="18"/>
          <w:szCs w:val="18"/>
          <w:color w:val="auto"/>
        </w:rPr>
      </w:pPr>
      <w:r>
        <w:rPr>
          <w:rFonts w:ascii="Arial" w:cs="Arial" w:eastAsia="Arial" w:hAnsi="Arial"/>
          <w:sz w:val="18"/>
          <w:szCs w:val="18"/>
          <w:b w:val="1"/>
          <w:bCs w:val="1"/>
          <w:u w:val="single" w:color="auto"/>
          <w:color w:val="0000FF"/>
          <w:highlight w:val="lightGray"/>
        </w:rPr>
        <w:t>Administrative Agent on the Third Amendment Effective Date included approval to increase the maximum aggregate principal amount of all commitments and outstanding loans under this Agreement to an amount at least equal to $300,000,000 and remain in full force and effect and have not been modified, rescinded or superseded since the date of adoption</w:t>
      </w:r>
      <w:r>
        <w:rPr>
          <w:rFonts w:ascii="Arial" w:cs="Arial" w:eastAsia="Arial" w:hAnsi="Arial"/>
          <w:sz w:val="18"/>
          <w:szCs w:val="18"/>
          <w:color w:val="000000"/>
        </w:rPr>
        <w:t>, and (y) in</w:t>
      </w:r>
      <w:r>
        <w:rPr>
          <w:rFonts w:ascii="Arial" w:cs="Arial" w:eastAsia="Arial" w:hAnsi="Arial"/>
          <w:sz w:val="18"/>
          <w:szCs w:val="18"/>
          <w:b w:val="1"/>
          <w:bCs w:val="1"/>
          <w:color w:val="0000FF"/>
          <w:highlight w:val="lightGray"/>
        </w:rPr>
        <w:t xml:space="preserve"> </w:t>
      </w:r>
      <w:r>
        <w:rPr>
          <w:rFonts w:ascii="Arial" w:cs="Arial" w:eastAsia="Arial" w:hAnsi="Arial"/>
          <w:sz w:val="18"/>
          <w:szCs w:val="18"/>
          <w:color w:val="000000"/>
        </w:rPr>
        <w:t xml:space="preserve">the case of the Borrower, certifying that, before and after giving effect to such increase, (A) the representations and warranties contained in </w:t>
      </w:r>
      <w:r>
        <w:rPr>
          <w:rFonts w:ascii="Arial" w:cs="Arial" w:eastAsia="Arial" w:hAnsi="Arial"/>
          <w:sz w:val="18"/>
          <w:szCs w:val="18"/>
          <w:u w:val="single" w:color="auto"/>
          <w:color w:val="000000"/>
        </w:rPr>
        <w:t>Article V</w:t>
      </w:r>
      <w:r>
        <w:rPr>
          <w:rFonts w:ascii="Arial" w:cs="Arial" w:eastAsia="Arial" w:hAnsi="Arial"/>
          <w:sz w:val="18"/>
          <w:szCs w:val="18"/>
          <w:color w:val="000000"/>
        </w:rPr>
        <w:t xml:space="preserve"> and the other Loan Documents are true and correct in all material respects on and as of the Increase Effective Date, except to the extent that (1) such representations and warranties specifically refer to an earlier date, in which case they are true and correct in all material respects as of such earlier date, (2) any representation or warranty that is already by its terms qualified as to “materiality”, “Material Adverse Effect” or similar language shall be true and correct in all respects as of such date after giving effect to such qualification and (3) </w:t>
      </w:r>
      <w:r>
        <w:rPr>
          <w:rFonts w:ascii="Arial" w:cs="Arial" w:eastAsia="Arial" w:hAnsi="Arial"/>
          <w:sz w:val="18"/>
          <w:szCs w:val="18"/>
          <w:color w:val="FF0000"/>
          <w:strike w:val="1"/>
        </w:rPr>
        <w:t>that</w:t>
      </w:r>
      <w:r>
        <w:rPr>
          <w:rFonts w:ascii="Arial" w:cs="Arial" w:eastAsia="Arial" w:hAnsi="Arial"/>
          <w:sz w:val="18"/>
          <w:szCs w:val="18"/>
          <w:color w:val="000000"/>
        </w:rPr>
        <w:t xml:space="preserve"> for purposes of this </w:t>
      </w:r>
      <w:r>
        <w:rPr>
          <w:rFonts w:ascii="Arial" w:cs="Arial" w:eastAsia="Arial" w:hAnsi="Arial"/>
          <w:sz w:val="18"/>
          <w:szCs w:val="18"/>
          <w:u w:val="single" w:color="auto"/>
          <w:color w:val="000000"/>
        </w:rPr>
        <w:t>Section 2.17</w:t>
      </w:r>
      <w:r>
        <w:rPr>
          <w:rFonts w:ascii="Arial" w:cs="Arial" w:eastAsia="Arial" w:hAnsi="Arial"/>
          <w:sz w:val="18"/>
          <w:szCs w:val="18"/>
          <w:color w:val="000000"/>
        </w:rPr>
        <w:t>, the representations and warranties contained in subsections (a) and</w:t>
      </w:r>
    </w:p>
    <w:p>
      <w:pPr>
        <w:spacing w:after="0" w:line="1" w:lineRule="exact"/>
        <w:rPr>
          <w:rFonts w:ascii="Arial" w:cs="Arial" w:eastAsia="Arial" w:hAnsi="Arial"/>
          <w:sz w:val="18"/>
          <w:szCs w:val="18"/>
          <w:color w:val="auto"/>
        </w:rPr>
      </w:pPr>
    </w:p>
    <w:p>
      <w:pPr>
        <w:jc w:val="both"/>
        <w:ind w:left="1" w:hanging="1"/>
        <w:spacing w:after="0" w:line="282" w:lineRule="auto"/>
        <w:tabs>
          <w:tab w:leader="none" w:pos="296" w:val="left"/>
        </w:tabs>
        <w:numPr>
          <w:ilvl w:val="0"/>
          <w:numId w:val="305"/>
        </w:numPr>
        <w:rPr>
          <w:rFonts w:ascii="Arial" w:cs="Arial" w:eastAsia="Arial" w:hAnsi="Arial"/>
          <w:sz w:val="18"/>
          <w:szCs w:val="18"/>
          <w:color w:val="auto"/>
        </w:rPr>
      </w:pPr>
      <w:r>
        <w:rPr>
          <w:rFonts w:ascii="Arial" w:cs="Arial" w:eastAsia="Arial" w:hAnsi="Arial"/>
          <w:sz w:val="18"/>
          <w:szCs w:val="18"/>
          <w:color w:val="auto"/>
        </w:rPr>
        <w:t xml:space="preserve">of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shall be deemed to refer to the most recent statements furnished pursuant to clauses (a) and (b), respectively,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(B) no Default exists, (ii) the Administrative Agent shall have received (x) a Joinder Agreement for each New Lender, if any, participating in such increase in the Facility, which Joinder Agreement shall be duly executed by the Borrower and such New Lender and acknowledged and consented to (if required) in writing by the Administrative Agent, (y) written confirmation from each existing Lender, if any, participating in such increase of the amount of the Incremental Term Loan that it has committed to make and (z) all fees agreed to by the Borrower and the Administrative Agent with respect to such Incremental</w:t>
      </w:r>
    </w:p>
    <w:p>
      <w:pPr>
        <w:spacing w:after="0" w:line="163" w:lineRule="exact"/>
        <w:rPr>
          <w:sz w:val="20"/>
          <w:szCs w:val="20"/>
          <w:color w:val="auto"/>
        </w:rPr>
      </w:pPr>
    </w:p>
    <w:p>
      <w:pPr>
        <w:ind w:left="4961"/>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821"/>
          </w:cols>
          <w:pgMar w:left="839" w:top="795" w:right="239" w:bottom="1440" w:gutter="0" w:footer="0" w:header="0"/>
        </w:sectPr>
      </w:pPr>
    </w:p>
    <w:bookmarkStart w:id="282" w:name="page283"/>
    <w:bookmarkEnd w:id="282"/>
    <w:p>
      <w:pPr>
        <w:jc w:val="both"/>
        <w:ind w:left="1"/>
        <w:spacing w:after="0" w:line="253" w:lineRule="auto"/>
        <w:rPr>
          <w:sz w:val="20"/>
          <w:szCs w:val="20"/>
          <w:color w:val="auto"/>
        </w:rPr>
      </w:pPr>
      <w:r>
        <w:rPr>
          <w:rFonts w:ascii="Arial" w:cs="Arial" w:eastAsia="Arial" w:hAnsi="Arial"/>
          <w:sz w:val="20"/>
          <w:szCs w:val="20"/>
          <w:color w:val="auto"/>
        </w:rPr>
        <w:t xml:space="preserve">Term Loan and required to be paid on or before the Increase Effective Date, (iii) the Administrative Agent shall have received a written notice setting forth the Type of Incremental Term Loans being requested not later than 11:00 a.m. three Business Days prior to the Increase Effective Date (if the Incremental Term Loans requested are Eurodollar Rate Loans), </w:t>
      </w:r>
      <w:r>
        <w:rPr>
          <w:rFonts w:ascii="Arial" w:cs="Arial" w:eastAsia="Arial" w:hAnsi="Arial"/>
          <w:sz w:val="20"/>
          <w:szCs w:val="20"/>
          <w:color w:val="FF0000"/>
          <w:strike w:val="1"/>
        </w:rPr>
        <w:t>and (iv)</w:t>
      </w:r>
      <w:r>
        <w:rPr>
          <w:rFonts w:ascii="Arial" w:cs="Arial" w:eastAsia="Arial" w:hAnsi="Arial"/>
          <w:sz w:val="20"/>
          <w:szCs w:val="20"/>
          <w:b w:val="1"/>
          <w:bCs w:val="1"/>
          <w:u w:val="single" w:color="auto"/>
          <w:color w:val="0000FF"/>
          <w:highlight w:val="lightGray"/>
        </w:rPr>
        <w:t>or</w:t>
      </w:r>
      <w:r>
        <w:rPr>
          <w:rFonts w:ascii="Arial" w:cs="Arial" w:eastAsia="Arial" w:hAnsi="Arial"/>
          <w:sz w:val="20"/>
          <w:szCs w:val="20"/>
          <w:color w:val="auto"/>
        </w:rPr>
        <w:t xml:space="preserve"> on the Increase Effective Date (if the Incremental Term Loans requested are Base Rate Loans) </w:t>
      </w:r>
      <w:r>
        <w:rPr>
          <w:rFonts w:ascii="Arial" w:cs="Arial" w:eastAsia="Arial" w:hAnsi="Arial"/>
          <w:sz w:val="20"/>
          <w:szCs w:val="20"/>
          <w:b w:val="1"/>
          <w:bCs w:val="1"/>
          <w:u w:val="single" w:color="auto"/>
          <w:color w:val="0000FF"/>
          <w:highlight w:val="lightGray"/>
        </w:rPr>
        <w:t>and (iv)</w:t>
      </w:r>
      <w:r>
        <w:rPr>
          <w:rFonts w:ascii="Arial" w:cs="Arial" w:eastAsia="Arial" w:hAnsi="Arial"/>
          <w:sz w:val="20"/>
          <w:szCs w:val="20"/>
          <w:color w:val="auto"/>
        </w:rPr>
        <w:t xml:space="preserve"> all of the conditions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shall be satisfied with respect to the funding of such Incremental Term Loans.</w:t>
      </w:r>
    </w:p>
    <w:p>
      <w:pPr>
        <w:spacing w:after="0" w:line="212" w:lineRule="exact"/>
        <w:rPr>
          <w:sz w:val="20"/>
          <w:szCs w:val="20"/>
          <w:color w:val="auto"/>
        </w:rPr>
      </w:pPr>
    </w:p>
    <w:p>
      <w:pPr>
        <w:jc w:val="both"/>
        <w:ind w:left="1" w:hanging="1"/>
        <w:spacing w:after="0" w:line="253" w:lineRule="auto"/>
        <w:tabs>
          <w:tab w:leader="none" w:pos="433" w:val="left"/>
        </w:tabs>
        <w:numPr>
          <w:ilvl w:val="0"/>
          <w:numId w:val="306"/>
        </w:numPr>
        <w:rPr>
          <w:rFonts w:ascii="Arial" w:cs="Arial" w:eastAsia="Arial" w:hAnsi="Arial"/>
          <w:sz w:val="20"/>
          <w:szCs w:val="20"/>
          <w:color w:val="auto"/>
        </w:rPr>
      </w:pPr>
      <w:r>
        <w:rPr>
          <w:rFonts w:ascii="Arial" w:cs="Arial" w:eastAsia="Arial" w:hAnsi="Arial"/>
          <w:sz w:val="20"/>
          <w:szCs w:val="20"/>
          <w:u w:val="single" w:color="auto"/>
          <w:color w:val="auto"/>
        </w:rPr>
        <w:t>Funding of Incremental Term Loans</w:t>
      </w:r>
      <w:r>
        <w:rPr>
          <w:rFonts w:ascii="Arial" w:cs="Arial" w:eastAsia="Arial" w:hAnsi="Arial"/>
          <w:sz w:val="20"/>
          <w:szCs w:val="20"/>
          <w:color w:val="auto"/>
        </w:rPr>
        <w:t>. On the Increase Effective Date, each existing Lender participating in such increase and each New Lender shall, subject to the satisfaction of the foregoing terms and conditions, make its Incremental Term Loan to the Borrower. All terms and provisions of the Incremental Term Loans shall be identical to the Term Loans and, unless otherwise expressly provided herein or in the other Loan Documents, all references herein and in the other Loan Documents to “Term Loans” and “Loans” shall include the Incremental Term Loans.</w:t>
      </w:r>
    </w:p>
    <w:p>
      <w:pPr>
        <w:spacing w:after="0" w:line="211" w:lineRule="exact"/>
        <w:rPr>
          <w:rFonts w:ascii="Arial" w:cs="Arial" w:eastAsia="Arial" w:hAnsi="Arial"/>
          <w:sz w:val="20"/>
          <w:szCs w:val="20"/>
          <w:color w:val="auto"/>
        </w:rPr>
      </w:pPr>
    </w:p>
    <w:p>
      <w:pPr>
        <w:ind w:left="421" w:hanging="421"/>
        <w:spacing w:after="0"/>
        <w:tabs>
          <w:tab w:leader="none" w:pos="421" w:val="left"/>
        </w:tabs>
        <w:numPr>
          <w:ilvl w:val="0"/>
          <w:numId w:val="306"/>
        </w:numPr>
        <w:rPr>
          <w:rFonts w:ascii="Arial" w:cs="Arial" w:eastAsia="Arial" w:hAnsi="Arial"/>
          <w:sz w:val="20"/>
          <w:szCs w:val="20"/>
          <w:color w:val="auto"/>
        </w:rPr>
      </w:pPr>
      <w:r>
        <w:rPr>
          <w:rFonts w:ascii="Arial" w:cs="Arial" w:eastAsia="Arial" w:hAnsi="Arial"/>
          <w:sz w:val="20"/>
          <w:szCs w:val="20"/>
          <w:u w:val="single" w:color="auto"/>
          <w:color w:val="auto"/>
        </w:rPr>
        <w:t>Conflicting Provisions</w:t>
      </w:r>
      <w:r>
        <w:rPr>
          <w:rFonts w:ascii="Arial" w:cs="Arial" w:eastAsia="Arial" w:hAnsi="Arial"/>
          <w:sz w:val="20"/>
          <w:szCs w:val="20"/>
          <w:color w:val="auto"/>
        </w:rPr>
        <w:t xml:space="preserve">. This Section shall supersede any provisions in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10.01</w:t>
      </w:r>
      <w:r>
        <w:rPr>
          <w:rFonts w:ascii="Arial" w:cs="Arial" w:eastAsia="Arial" w:hAnsi="Arial"/>
          <w:sz w:val="20"/>
          <w:szCs w:val="20"/>
          <w:color w:val="auto"/>
        </w:rPr>
        <w:t xml:space="preserve"> to the contrary.</w:t>
      </w:r>
    </w:p>
    <w:p>
      <w:pPr>
        <w:spacing w:after="0" w:line="245" w:lineRule="exact"/>
        <w:rPr>
          <w:sz w:val="20"/>
          <w:szCs w:val="20"/>
          <w:color w:val="auto"/>
        </w:rPr>
      </w:pPr>
    </w:p>
    <w:p>
      <w:pPr>
        <w:ind w:left="601"/>
        <w:spacing w:after="0"/>
        <w:tabs>
          <w:tab w:leader="none" w:pos="1180" w:val="left"/>
        </w:tabs>
        <w:rPr>
          <w:sz w:val="20"/>
          <w:szCs w:val="20"/>
          <w:color w:val="auto"/>
        </w:rPr>
      </w:pPr>
      <w:r>
        <w:rPr>
          <w:rFonts w:ascii="Arial" w:cs="Arial" w:eastAsia="Arial" w:hAnsi="Arial"/>
          <w:sz w:val="20"/>
          <w:szCs w:val="20"/>
          <w:color w:val="auto"/>
        </w:rPr>
        <w:t>2.18.</w:t>
      </w:r>
      <w:r>
        <w:rPr>
          <w:sz w:val="20"/>
          <w:szCs w:val="20"/>
          <w:color w:val="auto"/>
        </w:rPr>
        <w:tab/>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45" w:lineRule="exact"/>
        <w:rPr>
          <w:sz w:val="20"/>
          <w:szCs w:val="20"/>
          <w:color w:val="auto"/>
        </w:rPr>
      </w:pPr>
    </w:p>
    <w:p>
      <w:pPr>
        <w:ind w:left="601"/>
        <w:spacing w:after="0"/>
        <w:tabs>
          <w:tab w:leader="none" w:pos="1180" w:val="left"/>
        </w:tabs>
        <w:rPr>
          <w:sz w:val="20"/>
          <w:szCs w:val="20"/>
          <w:color w:val="auto"/>
        </w:rPr>
      </w:pPr>
      <w:r>
        <w:rPr>
          <w:rFonts w:ascii="Arial" w:cs="Arial" w:eastAsia="Arial" w:hAnsi="Arial"/>
          <w:sz w:val="20"/>
          <w:szCs w:val="20"/>
          <w:color w:val="auto"/>
        </w:rPr>
        <w:t>2.19.</w:t>
      </w:r>
      <w:r>
        <w:rPr>
          <w:sz w:val="20"/>
          <w:szCs w:val="20"/>
          <w:color w:val="auto"/>
        </w:rPr>
        <w:tab/>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245" w:lineRule="exact"/>
        <w:rPr>
          <w:sz w:val="20"/>
          <w:szCs w:val="20"/>
          <w:color w:val="auto"/>
        </w:rPr>
      </w:pPr>
    </w:p>
    <w:p>
      <w:pPr>
        <w:ind w:left="601" w:hanging="1"/>
        <w:spacing w:after="0" w:line="329" w:lineRule="auto"/>
        <w:tabs>
          <w:tab w:leader="none" w:pos="1047"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44" w:lineRule="exact"/>
        <w:rPr>
          <w:rFonts w:ascii="Arial" w:cs="Arial" w:eastAsia="Arial" w:hAnsi="Arial"/>
          <w:sz w:val="18"/>
          <w:szCs w:val="18"/>
          <w:color w:val="auto"/>
        </w:rPr>
      </w:pPr>
    </w:p>
    <w:p>
      <w:pPr>
        <w:ind w:left="1" w:firstLine="1198"/>
        <w:spacing w:after="0" w:line="329" w:lineRule="auto"/>
        <w:tabs>
          <w:tab w:leader="none" w:pos="1988" w:val="left"/>
        </w:tabs>
        <w:numPr>
          <w:ilvl w:val="1"/>
          <w:numId w:val="307"/>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That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in the definition of “Required Lenders.”</w:t>
      </w:r>
    </w:p>
    <w:p>
      <w:pPr>
        <w:spacing w:after="0" w:line="144" w:lineRule="exact"/>
        <w:rPr>
          <w:rFonts w:ascii="Arial" w:cs="Arial" w:eastAsia="Arial" w:hAnsi="Arial"/>
          <w:sz w:val="18"/>
          <w:szCs w:val="18"/>
          <w:color w:val="auto"/>
        </w:rPr>
      </w:pPr>
    </w:p>
    <w:p>
      <w:pPr>
        <w:jc w:val="both"/>
        <w:ind w:left="1" w:firstLine="1198"/>
        <w:spacing w:after="0" w:line="279" w:lineRule="auto"/>
        <w:tabs>
          <w:tab w:leader="none" w:pos="2043" w:val="left"/>
        </w:tabs>
        <w:numPr>
          <w:ilvl w:val="1"/>
          <w:numId w:val="307"/>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 or received by the Administrative Agent from a Defaulting Lender pursuant to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shall be applied at such time or times as may be determined by the Administrative Agent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i w:val="1"/>
          <w:iCs w:val="1"/>
          <w:color w:val="auto"/>
        </w:rPr>
        <w:t>second</w:t>
      </w:r>
      <w:r>
        <w:rPr>
          <w:rFonts w:ascii="Arial" w:cs="Arial" w:eastAsia="Arial" w:hAnsi="Arial"/>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8"/>
          <w:szCs w:val="18"/>
          <w:i w:val="1"/>
          <w:iCs w:val="1"/>
          <w:color w:val="auto"/>
        </w:rPr>
        <w:t>third</w:t>
      </w:r>
      <w:r>
        <w:rPr>
          <w:rFonts w:ascii="Arial" w:cs="Arial" w:eastAsia="Arial" w:hAnsi="Arial"/>
          <w:sz w:val="18"/>
          <w:szCs w:val="18"/>
          <w:color w:val="auto"/>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Arial" w:cs="Arial" w:eastAsia="Arial" w:hAnsi="Arial"/>
          <w:sz w:val="18"/>
          <w:szCs w:val="18"/>
          <w:i w:val="1"/>
          <w:iCs w:val="1"/>
          <w:color w:val="auto"/>
        </w:rPr>
        <w:t>fourth</w:t>
      </w:r>
      <w:r>
        <w:rPr>
          <w:rFonts w:ascii="Arial" w:cs="Arial" w:eastAsia="Arial" w:hAnsi="Arial"/>
          <w:sz w:val="18"/>
          <w:szCs w:val="18"/>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8"/>
          <w:szCs w:val="18"/>
          <w:i w:val="1"/>
          <w:iCs w:val="1"/>
          <w:color w:val="auto"/>
        </w:rPr>
        <w:t>fifth</w:t>
      </w:r>
      <w:r>
        <w:rPr>
          <w:rFonts w:ascii="Arial" w:cs="Arial" w:eastAsia="Arial" w:hAnsi="Arial"/>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8"/>
          <w:szCs w:val="18"/>
          <w:i w:val="1"/>
          <w:iCs w:val="1"/>
          <w:color w:val="auto"/>
        </w:rPr>
        <w:t>sixth</w:t>
      </w:r>
      <w:r>
        <w:rPr>
          <w:rFonts w:ascii="Arial" w:cs="Arial" w:eastAsia="Arial" w:hAnsi="Arial"/>
          <w:sz w:val="18"/>
          <w:szCs w:val="18"/>
          <w:color w:val="auto"/>
        </w:rPr>
        <w:t>, to such Defaulting Lender or as otherwise directed by a court of competent jurisdiction; provided that if such payment is a payment of the principal amount of any Loans in respect of which such Defaulting Lender has not fully funded its appropriate share, such payment</w:t>
      </w:r>
    </w:p>
    <w:p>
      <w:pPr>
        <w:spacing w:after="0" w:line="165" w:lineRule="exact"/>
        <w:rPr>
          <w:sz w:val="20"/>
          <w:szCs w:val="20"/>
          <w:color w:val="auto"/>
        </w:rPr>
      </w:pPr>
    </w:p>
    <w:p>
      <w:pPr>
        <w:ind w:left="4961"/>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821"/>
          </w:cols>
          <w:pgMar w:left="839" w:top="795" w:right="239" w:bottom="1440" w:gutter="0" w:footer="0" w:header="0"/>
        </w:sectPr>
      </w:pPr>
    </w:p>
    <w:bookmarkStart w:id="283" w:name="page284"/>
    <w:bookmarkEnd w:id="283"/>
    <w:p>
      <w:pPr>
        <w:jc w:val="both"/>
        <w:ind w:left="600"/>
        <w:spacing w:after="0" w:line="270" w:lineRule="auto"/>
        <w:rPr>
          <w:sz w:val="20"/>
          <w:szCs w:val="20"/>
          <w:color w:val="auto"/>
        </w:rPr>
      </w:pPr>
      <w:r>
        <w:rPr>
          <w:rFonts w:ascii="Arial" w:cs="Arial" w:eastAsia="Arial" w:hAnsi="Arial"/>
          <w:sz w:val="19"/>
          <w:szCs w:val="19"/>
          <w:color w:val="auto"/>
        </w:rPr>
        <w:t xml:space="preserve">shall be applied solely to pay the Loans of all Non-Defaulting Lenders on a pro rata basis prior to being applied to the payment of any Loans of such Defaulting Lender until such time as all Loans </w:t>
      </w:r>
      <w:r>
        <w:rPr>
          <w:rFonts w:ascii="Arial" w:cs="Arial" w:eastAsia="Arial" w:hAnsi="Arial"/>
          <w:sz w:val="19"/>
          <w:szCs w:val="19"/>
          <w:color w:val="FF0000"/>
          <w:strike w:val="1"/>
        </w:rPr>
        <w:t>and funded</w:t>
      </w:r>
      <w:r>
        <w:rPr>
          <w:rFonts w:ascii="Arial" w:cs="Arial" w:eastAsia="Arial" w:hAnsi="Arial"/>
          <w:sz w:val="19"/>
          <w:szCs w:val="19"/>
          <w:b w:val="1"/>
          <w:bCs w:val="1"/>
          <w:u w:val="single" w:color="auto"/>
          <w:color w:val="0000FF"/>
          <w:highlight w:val="lightGray"/>
        </w:rPr>
        <w:t>are held</w:t>
      </w:r>
      <w:r>
        <w:rPr>
          <w:rFonts w:ascii="Arial" w:cs="Arial" w:eastAsia="Arial" w:hAnsi="Arial"/>
          <w:sz w:val="19"/>
          <w:szCs w:val="19"/>
          <w:color w:val="auto"/>
        </w:rPr>
        <w:t xml:space="preserve"> by the Appropriate Lenders pro rata in accordance with the applicable Commitments hereunder. Any payments, prepayments or other amounts paid or payable to a Defaulting Lender that are applied (or held) to pay amounts owed by a Defaulting Lender pursuant to this </w:t>
      </w:r>
      <w:r>
        <w:rPr>
          <w:rFonts w:ascii="Arial" w:cs="Arial" w:eastAsia="Arial" w:hAnsi="Arial"/>
          <w:sz w:val="19"/>
          <w:szCs w:val="19"/>
          <w:u w:val="single" w:color="auto"/>
          <w:color w:val="auto"/>
        </w:rPr>
        <w:t>Section 2.19(a)(ii)</w:t>
      </w:r>
      <w:r>
        <w:rPr>
          <w:rFonts w:ascii="Arial" w:cs="Arial" w:eastAsia="Arial" w:hAnsi="Arial"/>
          <w:sz w:val="19"/>
          <w:szCs w:val="19"/>
          <w:color w:val="auto"/>
        </w:rPr>
        <w:t xml:space="preserve"> shall be deemed paid to and redirected by such Defaulting Lender, and each Lender irrevocably consents hereto.</w:t>
      </w:r>
    </w:p>
    <w:p>
      <w:pPr>
        <w:spacing w:after="0" w:line="195" w:lineRule="exact"/>
        <w:rPr>
          <w:sz w:val="20"/>
          <w:szCs w:val="20"/>
          <w:color w:val="auto"/>
        </w:rPr>
      </w:pPr>
    </w:p>
    <w:p>
      <w:pPr>
        <w:ind w:left="2700" w:hanging="902"/>
        <w:spacing w:after="0"/>
        <w:tabs>
          <w:tab w:leader="none" w:pos="2700" w:val="left"/>
        </w:tabs>
        <w:numPr>
          <w:ilvl w:val="1"/>
          <w:numId w:val="308"/>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w:t>
      </w:r>
    </w:p>
    <w:p>
      <w:pPr>
        <w:spacing w:after="0" w:line="244" w:lineRule="exact"/>
        <w:rPr>
          <w:rFonts w:ascii="Arial" w:cs="Arial" w:eastAsia="Arial" w:hAnsi="Arial"/>
          <w:sz w:val="20"/>
          <w:szCs w:val="20"/>
          <w:color w:val="auto"/>
        </w:rPr>
      </w:pPr>
    </w:p>
    <w:p>
      <w:pPr>
        <w:jc w:val="both"/>
        <w:ind w:left="1800" w:firstLine="598"/>
        <w:spacing w:after="0" w:line="280" w:lineRule="auto"/>
        <w:tabs>
          <w:tab w:leader="none" w:pos="3276" w:val="left"/>
        </w:tabs>
        <w:numPr>
          <w:ilvl w:val="2"/>
          <w:numId w:val="308"/>
        </w:numPr>
        <w:rPr>
          <w:rFonts w:ascii="Arial" w:cs="Arial" w:eastAsia="Arial" w:hAnsi="Arial"/>
          <w:sz w:val="19"/>
          <w:szCs w:val="19"/>
          <w:color w:val="auto"/>
        </w:rPr>
      </w:pPr>
      <w:r>
        <w:rPr>
          <w:rFonts w:ascii="Arial" w:cs="Arial" w:eastAsia="Arial" w:hAnsi="Arial"/>
          <w:sz w:val="19"/>
          <w:szCs w:val="19"/>
          <w:color w:val="auto"/>
        </w:rPr>
        <w:t xml:space="preserve">No Lender that is a Defaulting Lender shall be entitled to receive any fee payable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2.09(a)</w:t>
      </w:r>
      <w:r>
        <w:rPr>
          <w:rFonts w:ascii="Arial" w:cs="Arial" w:eastAsia="Arial" w:hAnsi="Arial"/>
          <w:sz w:val="19"/>
          <w:szCs w:val="19"/>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184" w:lineRule="exact"/>
        <w:rPr>
          <w:rFonts w:ascii="Arial" w:cs="Arial" w:eastAsia="Arial" w:hAnsi="Arial"/>
          <w:sz w:val="19"/>
          <w:szCs w:val="19"/>
          <w:color w:val="auto"/>
        </w:rPr>
      </w:pPr>
    </w:p>
    <w:p>
      <w:pPr>
        <w:ind w:left="1800" w:firstLine="598"/>
        <w:spacing w:after="0" w:line="329" w:lineRule="auto"/>
        <w:tabs>
          <w:tab w:leader="none" w:pos="3265" w:val="left"/>
        </w:tabs>
        <w:numPr>
          <w:ilvl w:val="2"/>
          <w:numId w:val="308"/>
        </w:numPr>
        <w:rPr>
          <w:rFonts w:ascii="Arial" w:cs="Arial" w:eastAsia="Arial" w:hAnsi="Arial"/>
          <w:sz w:val="18"/>
          <w:szCs w:val="18"/>
          <w:color w:val="auto"/>
        </w:rPr>
      </w:pPr>
      <w:r>
        <w:rPr>
          <w:rFonts w:ascii="Arial" w:cs="Arial" w:eastAsia="Arial" w:hAnsi="Arial"/>
          <w:sz w:val="18"/>
          <w:szCs w:val="18"/>
          <w:color w:val="auto"/>
        </w:rPr>
        <w:t xml:space="preserve">With respect to any fee payable under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not required to be paid to any Defaulting Lender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the Borrower shall not be required to pay the remaining amount of any such fee.</w:t>
      </w:r>
    </w:p>
    <w:p>
      <w:pPr>
        <w:spacing w:after="0" w:line="144" w:lineRule="exact"/>
        <w:rPr>
          <w:rFonts w:ascii="Arial" w:cs="Arial" w:eastAsia="Arial" w:hAnsi="Arial"/>
          <w:sz w:val="18"/>
          <w:szCs w:val="18"/>
          <w:color w:val="auto"/>
        </w:rPr>
      </w:pPr>
    </w:p>
    <w:p>
      <w:pPr>
        <w:jc w:val="both"/>
        <w:spacing w:after="0" w:line="251" w:lineRule="auto"/>
        <w:tabs>
          <w:tab w:leader="none" w:pos="433" w:val="left"/>
        </w:tabs>
        <w:numPr>
          <w:ilvl w:val="0"/>
          <w:numId w:val="309"/>
        </w:numPr>
        <w:rPr>
          <w:rFonts w:ascii="Arial" w:cs="Arial" w:eastAsia="Arial" w:hAnsi="Arial"/>
          <w:sz w:val="20"/>
          <w:szCs w:val="20"/>
          <w:color w:val="auto"/>
        </w:rPr>
      </w:pPr>
      <w:r>
        <w:rPr>
          <w:rFonts w:ascii="Arial" w:cs="Arial" w:eastAsia="Arial" w:hAnsi="Arial"/>
          <w:sz w:val="20"/>
          <w:szCs w:val="20"/>
          <w:u w:val="single" w:color="auto"/>
          <w:color w:val="auto"/>
        </w:rPr>
        <w:t>Defaulting Lender Cure</w:t>
      </w:r>
      <w:r>
        <w:rPr>
          <w:rFonts w:ascii="Arial" w:cs="Arial" w:eastAsia="Arial" w:hAnsi="Arial"/>
          <w:sz w:val="20"/>
          <w:szCs w:val="20"/>
          <w:color w:val="auto"/>
        </w:rPr>
        <w:t xml:space="preserve">. If the Borrower and the Administrative Agent agree in writing in their sole discretion that a Lender is no longer a Defaulting Lender, the Administrative Agent will so notify the parties hereto, whereupon as of the effective date specified in such notice and subject to any conditions set forth therein, such Lender shall no longer be a Defaulting Lender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15" w:lineRule="exact"/>
        <w:rPr>
          <w:sz w:val="20"/>
          <w:szCs w:val="20"/>
          <w:color w:val="auto"/>
        </w:rPr>
      </w:pPr>
    </w:p>
    <w:p>
      <w:pPr>
        <w:jc w:val="center"/>
        <w:ind w:left="600"/>
        <w:spacing w:after="0"/>
        <w:rPr>
          <w:sz w:val="20"/>
          <w:szCs w:val="20"/>
          <w:color w:val="auto"/>
        </w:rPr>
      </w:pPr>
      <w:r>
        <w:rPr>
          <w:rFonts w:ascii="Arial" w:cs="Arial" w:eastAsia="Arial" w:hAnsi="Arial"/>
          <w:sz w:val="20"/>
          <w:szCs w:val="20"/>
          <w:color w:val="auto"/>
        </w:rPr>
        <w:t>ARTICLE III</w:t>
      </w:r>
    </w:p>
    <w:p>
      <w:pPr>
        <w:spacing w:after="0" w:line="23" w:lineRule="exact"/>
        <w:rPr>
          <w:sz w:val="20"/>
          <w:szCs w:val="20"/>
          <w:color w:val="auto"/>
        </w:rPr>
      </w:pPr>
    </w:p>
    <w:p>
      <w:pPr>
        <w:jc w:val="center"/>
        <w:ind w:left="600"/>
        <w:spacing w:after="0"/>
        <w:rPr>
          <w:sz w:val="20"/>
          <w:szCs w:val="20"/>
          <w:color w:val="auto"/>
        </w:rPr>
      </w:pPr>
      <w:r>
        <w:rPr>
          <w:rFonts w:ascii="Arial" w:cs="Arial" w:eastAsia="Arial" w:hAnsi="Arial"/>
          <w:sz w:val="20"/>
          <w:szCs w:val="20"/>
          <w:color w:val="auto"/>
        </w:rPr>
        <w:t>TAXES, YIELD PROTECTION AND ILLEGALITY</w:t>
      </w:r>
    </w:p>
    <w:p>
      <w:pPr>
        <w:spacing w:after="0" w:line="229" w:lineRule="exact"/>
        <w:rPr>
          <w:sz w:val="20"/>
          <w:szCs w:val="20"/>
          <w:color w:val="auto"/>
        </w:rPr>
      </w:pPr>
    </w:p>
    <w:p>
      <w:pPr>
        <w:ind w:left="1200"/>
        <w:spacing w:after="0"/>
        <w:tabs>
          <w:tab w:leader="none" w:pos="1780" w:val="left"/>
        </w:tabs>
        <w:rPr>
          <w:sz w:val="20"/>
          <w:szCs w:val="20"/>
          <w:color w:val="auto"/>
        </w:rPr>
      </w:pPr>
      <w:r>
        <w:rPr>
          <w:rFonts w:ascii="Arial" w:cs="Arial" w:eastAsia="Arial" w:hAnsi="Arial"/>
          <w:sz w:val="20"/>
          <w:szCs w:val="20"/>
          <w:color w:val="auto"/>
        </w:rPr>
        <w:t>3.01.</w:t>
      </w:r>
      <w:r>
        <w:rPr>
          <w:sz w:val="20"/>
          <w:szCs w:val="20"/>
          <w:color w:val="auto"/>
        </w:rPr>
        <w:tab/>
      </w:r>
      <w:r>
        <w:rPr>
          <w:rFonts w:ascii="Arial" w:cs="Arial" w:eastAsia="Arial" w:hAnsi="Arial"/>
          <w:sz w:val="16"/>
          <w:szCs w:val="16"/>
          <w:u w:val="single" w:color="auto"/>
          <w:color w:val="auto"/>
        </w:rPr>
        <w:t>Taxes</w:t>
      </w:r>
    </w:p>
    <w:p>
      <w:pPr>
        <w:spacing w:after="0" w:line="245" w:lineRule="exact"/>
        <w:rPr>
          <w:sz w:val="20"/>
          <w:szCs w:val="20"/>
          <w:color w:val="auto"/>
        </w:rPr>
      </w:pPr>
    </w:p>
    <w:p>
      <w:pPr>
        <w:jc w:val="both"/>
        <w:ind w:left="600" w:firstLine="599"/>
        <w:spacing w:after="0" w:line="268" w:lineRule="auto"/>
        <w:tabs>
          <w:tab w:leader="none" w:pos="2021" w:val="left"/>
        </w:tabs>
        <w:numPr>
          <w:ilvl w:val="0"/>
          <w:numId w:val="310"/>
        </w:numPr>
        <w:rPr>
          <w:rFonts w:ascii="Arial" w:cs="Arial" w:eastAsia="Arial" w:hAnsi="Arial"/>
          <w:sz w:val="19"/>
          <w:szCs w:val="19"/>
          <w:color w:val="auto"/>
        </w:rPr>
      </w:pPr>
      <w:r>
        <w:rPr>
          <w:rFonts w:ascii="Arial" w:cs="Arial" w:eastAsia="Arial" w:hAnsi="Arial"/>
          <w:sz w:val="19"/>
          <w:szCs w:val="19"/>
          <w:u w:val="single" w:color="auto"/>
          <w:color w:val="auto"/>
        </w:rPr>
        <w:t>Payments Free of Taxes; Obligation to Withhold; Payments on Account of Taxes</w:t>
      </w:r>
      <w:r>
        <w:rPr>
          <w:rFonts w:ascii="Arial" w:cs="Arial" w:eastAsia="Arial" w:hAnsi="Arial"/>
          <w:sz w:val="19"/>
          <w:szCs w:val="19"/>
          <w:color w:val="auto"/>
        </w:rPr>
        <w:t xml:space="preserve">. (i) Any and all payments by or on account of any obligation of any Loan Party hereunder or under any Loan Document shall be made without deduction or withholding for any Taxes, except as required by applicable Laws. If any applicable Laws (as determined in the good faith discretion of the Withholding Agent) require the deduction or withholding of any Tax from any such payment by the Withholding Agent, then such Withholding Agent shall be entitled to make such deduction or withholding in accordance with applicable law and upon the basis of the information and documentation to be delivered pursuant to </w:t>
      </w:r>
      <w:r>
        <w:rPr>
          <w:rFonts w:ascii="Arial" w:cs="Arial" w:eastAsia="Arial" w:hAnsi="Arial"/>
          <w:sz w:val="19"/>
          <w:szCs w:val="19"/>
          <w:u w:val="single" w:color="auto"/>
          <w:color w:val="auto"/>
        </w:rPr>
        <w:t>subsection (e)</w:t>
      </w:r>
      <w:r>
        <w:rPr>
          <w:rFonts w:ascii="Arial" w:cs="Arial" w:eastAsia="Arial" w:hAnsi="Arial"/>
          <w:sz w:val="19"/>
          <w:szCs w:val="19"/>
          <w:color w:val="auto"/>
        </w:rPr>
        <w:t xml:space="preserve"> below.</w:t>
      </w:r>
    </w:p>
    <w:p>
      <w:pPr>
        <w:spacing w:after="0" w:line="197" w:lineRule="exact"/>
        <w:rPr>
          <w:rFonts w:ascii="Arial" w:cs="Arial" w:eastAsia="Arial" w:hAnsi="Arial"/>
          <w:sz w:val="19"/>
          <w:szCs w:val="19"/>
          <w:color w:val="auto"/>
        </w:rPr>
      </w:pPr>
    </w:p>
    <w:p>
      <w:pPr>
        <w:jc w:val="both"/>
        <w:ind w:left="1800" w:hanging="2"/>
        <w:spacing w:after="0" w:line="288" w:lineRule="auto"/>
        <w:tabs>
          <w:tab w:leader="none" w:pos="2644" w:val="left"/>
        </w:tabs>
        <w:numPr>
          <w:ilvl w:val="1"/>
          <w:numId w:val="310"/>
        </w:numPr>
        <w:rPr>
          <w:rFonts w:ascii="Arial" w:cs="Arial" w:eastAsia="Arial" w:hAnsi="Arial"/>
          <w:sz w:val="18"/>
          <w:szCs w:val="18"/>
          <w:color w:val="auto"/>
        </w:rPr>
      </w:pPr>
      <w:r>
        <w:rPr>
          <w:rFonts w:ascii="Arial" w:cs="Arial" w:eastAsia="Arial" w:hAnsi="Arial"/>
          <w:sz w:val="18"/>
          <w:szCs w:val="18"/>
          <w:color w:val="auto"/>
        </w:rPr>
        <w:t xml:space="preserve">If any Withholding Agent shall be required by any applicable Laws to withhold or deduct any Taxes from any payment, then (A) such Withholding Agent, as required by such Laws, shall withhold or make such deductions as are determined by it to be required in accordance with applicable Law and based upon the information and documentation it has received pursuant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below, (B) such Withholding Agent, to the extent required by such Laws, shall timely pay the full amount withheld or deducted to the relevant Governmental Authority in accordance with such Laws,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95" w:right="239" w:bottom="1440" w:gutter="0" w:footer="0" w:header="0"/>
        </w:sectPr>
      </w:pPr>
    </w:p>
    <w:bookmarkStart w:id="284" w:name="page285"/>
    <w:bookmarkEnd w:id="284"/>
    <w:p>
      <w:pPr>
        <w:jc w:val="both"/>
        <w:ind w:left="601"/>
        <w:spacing w:after="0" w:line="293" w:lineRule="auto"/>
        <w:rPr>
          <w:sz w:val="20"/>
          <w:szCs w:val="20"/>
          <w:color w:val="auto"/>
        </w:rPr>
      </w:pPr>
      <w:r>
        <w:rPr>
          <w:rFonts w:ascii="Arial" w:cs="Arial" w:eastAsia="Arial" w:hAnsi="Arial"/>
          <w:sz w:val="18"/>
          <w:szCs w:val="18"/>
          <w:color w:val="auto"/>
        </w:rPr>
        <w:t xml:space="preserve">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applicable Recipient receives an amount equal to the sum it would have received had no such withholding or deduction been made.</w:t>
      </w:r>
    </w:p>
    <w:p>
      <w:pPr>
        <w:spacing w:after="0" w:line="176" w:lineRule="exact"/>
        <w:rPr>
          <w:sz w:val="20"/>
          <w:szCs w:val="20"/>
          <w:color w:val="auto"/>
        </w:rPr>
      </w:pPr>
    </w:p>
    <w:p>
      <w:pPr>
        <w:jc w:val="both"/>
        <w:ind w:left="-599" w:firstLine="599"/>
        <w:spacing w:after="0" w:line="260" w:lineRule="auto"/>
        <w:tabs>
          <w:tab w:leader="none" w:pos="833" w:val="left"/>
        </w:tabs>
        <w:numPr>
          <w:ilvl w:val="0"/>
          <w:numId w:val="311"/>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Loan Parties</w:t>
      </w:r>
      <w:r>
        <w:rPr>
          <w:rFonts w:ascii="Arial" w:cs="Arial" w:eastAsia="Arial" w:hAnsi="Arial"/>
          <w:sz w:val="20"/>
          <w:szCs w:val="20"/>
          <w:color w:val="auto"/>
        </w:rPr>
        <w:t xml:space="preserve">. Without limiting the provisions of </w:t>
      </w:r>
      <w:r>
        <w:rPr>
          <w:rFonts w:ascii="Arial" w:cs="Arial" w:eastAsia="Arial" w:hAnsi="Arial"/>
          <w:sz w:val="20"/>
          <w:szCs w:val="20"/>
          <w:u w:val="single" w:color="auto"/>
          <w:color w:val="auto"/>
        </w:rPr>
        <w:t>subsection (a)</w:t>
      </w:r>
      <w:r>
        <w:rPr>
          <w:rFonts w:ascii="Arial" w:cs="Arial" w:eastAsia="Arial" w:hAnsi="Arial"/>
          <w:sz w:val="20"/>
          <w:szCs w:val="20"/>
          <w:color w:val="auto"/>
        </w:rPr>
        <w:t xml:space="preserve"> above, the relevant Loan Party shall timely pay to the relevant Governmental Authority in accordance with applicable law, or at the option of the Administrative Agent timely reimburse it for the payment of, any Other Taxes.</w:t>
      </w:r>
    </w:p>
    <w:p>
      <w:pPr>
        <w:spacing w:after="0" w:line="201" w:lineRule="exact"/>
        <w:rPr>
          <w:rFonts w:ascii="Arial" w:cs="Arial" w:eastAsia="Arial" w:hAnsi="Arial"/>
          <w:sz w:val="20"/>
          <w:szCs w:val="20"/>
          <w:color w:val="auto"/>
        </w:rPr>
      </w:pPr>
    </w:p>
    <w:p>
      <w:pPr>
        <w:jc w:val="both"/>
        <w:ind w:left="-599" w:firstLine="599"/>
        <w:spacing w:after="0" w:line="265" w:lineRule="auto"/>
        <w:tabs>
          <w:tab w:leader="none" w:pos="822" w:val="left"/>
        </w:tabs>
        <w:numPr>
          <w:ilvl w:val="0"/>
          <w:numId w:val="311"/>
        </w:numPr>
        <w:rPr>
          <w:rFonts w:ascii="Arial" w:cs="Arial" w:eastAsia="Arial" w:hAnsi="Arial"/>
          <w:sz w:val="19"/>
          <w:szCs w:val="19"/>
          <w:color w:val="auto"/>
        </w:rPr>
      </w:pPr>
      <w:r>
        <w:rPr>
          <w:rFonts w:ascii="Arial" w:cs="Arial" w:eastAsia="Arial" w:hAnsi="Arial"/>
          <w:sz w:val="19"/>
          <w:szCs w:val="19"/>
          <w:u w:val="single" w:color="auto"/>
          <w:color w:val="auto"/>
        </w:rPr>
        <w:t>Tax Indemnifications</w:t>
      </w:r>
      <w:r>
        <w:rPr>
          <w:rFonts w:ascii="Arial" w:cs="Arial" w:eastAsia="Arial" w:hAnsi="Arial"/>
          <w:sz w:val="19"/>
          <w:szCs w:val="19"/>
          <w:color w:val="auto"/>
        </w:rPr>
        <w:t xml:space="preserve">. (i) The Borrower shall, and does hereby, indemnify each Recipient, and shall make payment in respect thereof within 10 days after demand therefor, for the full amount of any Indemnified Taxes (including Indemnified Taxes imposed or asserted on or attributable to amounts payable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The Borrower shall, and does hereby, indemnify the Administrative Agent, and shall make payment in respect thereof within 10 days after demand therefor, for any amount which a Lender for any reason fails to pay indefeasibly to the Administrative Agent as required pursuant to </w:t>
      </w:r>
      <w:r>
        <w:rPr>
          <w:rFonts w:ascii="Arial" w:cs="Arial" w:eastAsia="Arial" w:hAnsi="Arial"/>
          <w:sz w:val="19"/>
          <w:szCs w:val="19"/>
          <w:u w:val="single" w:color="auto"/>
          <w:color w:val="auto"/>
        </w:rPr>
        <w:t>Section 3.01(c)(ii)</w:t>
      </w:r>
      <w:r>
        <w:rPr>
          <w:rFonts w:ascii="Arial" w:cs="Arial" w:eastAsia="Arial" w:hAnsi="Arial"/>
          <w:sz w:val="19"/>
          <w:szCs w:val="19"/>
          <w:color w:val="auto"/>
        </w:rPr>
        <w:t xml:space="preserve"> below.</w:t>
      </w:r>
    </w:p>
    <w:p>
      <w:pPr>
        <w:spacing w:after="0" w:line="197" w:lineRule="exact"/>
        <w:rPr>
          <w:rFonts w:ascii="Arial" w:cs="Arial" w:eastAsia="Arial" w:hAnsi="Arial"/>
          <w:sz w:val="19"/>
          <w:szCs w:val="19"/>
          <w:color w:val="auto"/>
        </w:rPr>
      </w:pPr>
    </w:p>
    <w:p>
      <w:pPr>
        <w:jc w:val="both"/>
        <w:ind w:left="-599" w:firstLine="1198"/>
        <w:spacing w:after="0" w:line="264" w:lineRule="auto"/>
        <w:tabs>
          <w:tab w:leader="none" w:pos="1444" w:val="left"/>
        </w:tabs>
        <w:numPr>
          <w:ilvl w:val="1"/>
          <w:numId w:val="311"/>
        </w:numPr>
        <w:rPr>
          <w:rFonts w:ascii="Arial" w:cs="Arial" w:eastAsia="Arial" w:hAnsi="Arial"/>
          <w:sz w:val="19"/>
          <w:szCs w:val="19"/>
          <w:color w:val="auto"/>
        </w:rPr>
      </w:pPr>
      <w:r>
        <w:rPr>
          <w:rFonts w:ascii="Arial" w:cs="Arial" w:eastAsia="Arial" w:hAnsi="Arial"/>
          <w:sz w:val="19"/>
          <w:szCs w:val="19"/>
          <w:color w:val="auto"/>
        </w:rPr>
        <w:t xml:space="preserve">Each Lender shall, and does hereby, severally indemnify, and shall make payment in respect thereof within 10 days after demand therefor, (x) the Administrative Agent against any Indemnified Taxes attributable to such Lender (but only to the extent that the Borrower has not already indemnified the Administrative Agent for such Indemnified Taxes and without limiting the obligation of the Borrower to do so), (y) the Administrative Agent and the Borrower, as applicable, against any Taxes attributable to such Lender’s failure to comply with the provisions of </w:t>
      </w:r>
      <w:r>
        <w:rPr>
          <w:rFonts w:ascii="Arial" w:cs="Arial" w:eastAsia="Arial" w:hAnsi="Arial"/>
          <w:sz w:val="19"/>
          <w:szCs w:val="19"/>
          <w:u w:val="single" w:color="auto"/>
          <w:color w:val="auto"/>
        </w:rPr>
        <w:t>Section 10.06(d)</w:t>
      </w:r>
      <w:r>
        <w:rPr>
          <w:rFonts w:ascii="Arial" w:cs="Arial" w:eastAsia="Arial" w:hAnsi="Arial"/>
          <w:sz w:val="19"/>
          <w:szCs w:val="19"/>
          <w:color w:val="auto"/>
        </w:rPr>
        <w:t xml:space="preserve"> relating to the maintenance of a Participant Register and (z) the Administrative Agent and the Borrower, as applicable, against any Excluded Taxes attributable to such Lender that are payable or paid by the Administrative Agent or the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w:t>
      </w:r>
      <w:r>
        <w:rPr>
          <w:rFonts w:ascii="Arial" w:cs="Arial" w:eastAsia="Arial" w:hAnsi="Arial"/>
          <w:sz w:val="19"/>
          <w:szCs w:val="19"/>
          <w:u w:val="single" w:color="auto"/>
          <w:color w:val="auto"/>
        </w:rPr>
        <w:t>clause (ii)</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jc w:val="both"/>
        <w:ind w:left="-599" w:firstLine="599"/>
        <w:spacing w:after="0" w:line="252" w:lineRule="auto"/>
        <w:tabs>
          <w:tab w:leader="none" w:pos="833" w:val="left"/>
        </w:tabs>
        <w:numPr>
          <w:ilvl w:val="0"/>
          <w:numId w:val="311"/>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xml:space="preserve">. Upon request by the Borrower or the Administrative Agent, as the case may be, after any payment of Taxes by the Borrower or by the Administrative Agent to a Governmental Authority as provided in this </w:t>
      </w:r>
      <w:r>
        <w:rPr>
          <w:rFonts w:ascii="Arial" w:cs="Arial" w:eastAsia="Arial" w:hAnsi="Arial"/>
          <w:sz w:val="20"/>
          <w:szCs w:val="20"/>
          <w:u w:val="single" w:color="auto"/>
          <w:color w:val="auto"/>
        </w:rPr>
        <w:t>Section 3.01</w:t>
      </w:r>
      <w:r>
        <w:rPr>
          <w:rFonts w:ascii="Arial" w:cs="Arial" w:eastAsia="Arial" w:hAnsi="Arial"/>
          <w:sz w:val="20"/>
          <w:szCs w:val="20"/>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90" w:lineRule="exact"/>
        <w:rPr>
          <w:sz w:val="20"/>
          <w:szCs w:val="20"/>
          <w:color w:val="auto"/>
        </w:rPr>
      </w:pPr>
    </w:p>
    <w:p>
      <w:pPr>
        <w:ind w:left="4361"/>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221"/>
          </w:cols>
          <w:pgMar w:left="1439" w:top="795" w:right="239" w:bottom="1440" w:gutter="0" w:footer="0" w:header="0"/>
        </w:sectPr>
      </w:pPr>
    </w:p>
    <w:bookmarkStart w:id="285" w:name="page286"/>
    <w:bookmarkEnd w:id="285"/>
    <w:p>
      <w:pPr>
        <w:ind w:left="821" w:hanging="821"/>
        <w:spacing w:after="0"/>
        <w:tabs>
          <w:tab w:leader="none" w:pos="821" w:val="left"/>
        </w:tabs>
        <w:numPr>
          <w:ilvl w:val="0"/>
          <w:numId w:val="312"/>
        </w:numPr>
        <w:rPr>
          <w:rFonts w:ascii="Arial" w:cs="Arial" w:eastAsia="Arial" w:hAnsi="Arial"/>
          <w:sz w:val="20"/>
          <w:szCs w:val="20"/>
          <w:color w:val="auto"/>
        </w:rPr>
      </w:pPr>
      <w:r>
        <w:rPr>
          <w:rFonts w:ascii="Arial" w:cs="Arial" w:eastAsia="Arial" w:hAnsi="Arial"/>
          <w:sz w:val="20"/>
          <w:szCs w:val="20"/>
          <w:u w:val="single" w:color="auto"/>
          <w:color w:val="auto"/>
        </w:rPr>
        <w:t>Status of Lenders; Tax Documentation.</w:t>
      </w:r>
    </w:p>
    <w:p>
      <w:pPr>
        <w:spacing w:after="0" w:line="244" w:lineRule="exact"/>
        <w:rPr>
          <w:rFonts w:ascii="Arial" w:cs="Arial" w:eastAsia="Arial" w:hAnsi="Arial"/>
          <w:sz w:val="20"/>
          <w:szCs w:val="20"/>
          <w:color w:val="auto"/>
        </w:rPr>
      </w:pPr>
    </w:p>
    <w:p>
      <w:pPr>
        <w:jc w:val="both"/>
        <w:ind w:left="-599" w:firstLine="1198"/>
        <w:spacing w:after="0" w:line="280" w:lineRule="auto"/>
        <w:tabs>
          <w:tab w:leader="none" w:pos="1388" w:val="left"/>
        </w:tabs>
        <w:numPr>
          <w:ilvl w:val="1"/>
          <w:numId w:val="312"/>
        </w:numPr>
        <w:rPr>
          <w:rFonts w:ascii="Arial" w:cs="Arial" w:eastAsia="Arial" w:hAnsi="Arial"/>
          <w:sz w:val="18"/>
          <w:szCs w:val="18"/>
          <w:color w:val="auto"/>
        </w:rPr>
      </w:pPr>
      <w:r>
        <w:rPr>
          <w:rFonts w:ascii="Arial" w:cs="Arial" w:eastAsia="Arial" w:hAnsi="Arial"/>
          <w:sz w:val="18"/>
          <w:szCs w:val="18"/>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8"/>
          <w:szCs w:val="18"/>
          <w:u w:val="single" w:color="auto"/>
          <w:color w:val="auto"/>
        </w:rPr>
        <w:t>Section 3.01(e)(ii)(A)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(ii)(D)</w:t>
      </w:r>
      <w:r>
        <w:rPr>
          <w:rFonts w:ascii="Arial" w:cs="Arial" w:eastAsia="Arial" w:hAnsi="Arial"/>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1" w:lineRule="exact"/>
        <w:rPr>
          <w:rFonts w:ascii="Arial" w:cs="Arial" w:eastAsia="Arial" w:hAnsi="Arial"/>
          <w:sz w:val="18"/>
          <w:szCs w:val="18"/>
          <w:color w:val="auto"/>
        </w:rPr>
      </w:pPr>
    </w:p>
    <w:p>
      <w:pPr>
        <w:ind w:left="1441" w:hanging="842"/>
        <w:spacing w:after="0"/>
        <w:tabs>
          <w:tab w:leader="none" w:pos="1441" w:val="left"/>
        </w:tabs>
        <w:numPr>
          <w:ilvl w:val="1"/>
          <w:numId w:val="312"/>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the Borrower is a U.S. Person,</w:t>
      </w:r>
    </w:p>
    <w:p>
      <w:pPr>
        <w:spacing w:after="0" w:line="245" w:lineRule="exact"/>
        <w:rPr>
          <w:sz w:val="20"/>
          <w:szCs w:val="20"/>
          <w:color w:val="auto"/>
        </w:rPr>
      </w:pPr>
    </w:p>
    <w:p>
      <w:pPr>
        <w:jc w:val="both"/>
        <w:ind w:left="1" w:firstLine="598"/>
        <w:spacing w:after="0" w:line="253" w:lineRule="auto"/>
        <w:tabs>
          <w:tab w:leader="none" w:pos="1477" w:val="left"/>
        </w:tabs>
        <w:numPr>
          <w:ilvl w:val="0"/>
          <w:numId w:val="313"/>
        </w:numPr>
        <w:rPr>
          <w:rFonts w:ascii="Arial" w:cs="Arial" w:eastAsia="Arial" w:hAnsi="Arial"/>
          <w:sz w:val="20"/>
          <w:szCs w:val="20"/>
          <w:color w:val="auto"/>
        </w:rPr>
      </w:pPr>
      <w:r>
        <w:rPr>
          <w:rFonts w:ascii="Arial" w:cs="Arial" w:eastAsia="Arial" w:hAnsi="Arial"/>
          <w:sz w:val="20"/>
          <w:szCs w:val="20"/>
          <w:color w:val="auto"/>
        </w:rPr>
        <w:t xml:space="preserve">the Administrative Agent and any Lender that is a U.S. Person shall deliver to the Borrower and the Administrative Agent on or prior to the date on which the Administrative Agent or such Lender becomes the Administrative Agent or a Lender under this Agreement (and from time to time thereafter upon the reasonable request of the Borrower or the Administrative Agent), executed </w:t>
      </w:r>
      <w:r>
        <w:rPr>
          <w:rFonts w:ascii="Arial" w:cs="Arial" w:eastAsia="Arial" w:hAnsi="Arial"/>
          <w:sz w:val="20"/>
          <w:szCs w:val="20"/>
          <w:color w:val="FF0000"/>
          <w:strike w:val="1"/>
        </w:rPr>
        <w:t>originals</w:t>
      </w:r>
      <w:r>
        <w:rPr>
          <w:rFonts w:ascii="Arial" w:cs="Arial" w:eastAsia="Arial" w:hAnsi="Arial"/>
          <w:sz w:val="20"/>
          <w:szCs w:val="20"/>
          <w:b w:val="1"/>
          <w:bCs w:val="1"/>
          <w:u w:val="single" w:color="auto"/>
          <w:color w:val="0000FF"/>
          <w:highlight w:val="lightGray"/>
        </w:rPr>
        <w:t>copies</w:t>
      </w:r>
      <w:r>
        <w:rPr>
          <w:rFonts w:ascii="Arial" w:cs="Arial" w:eastAsia="Arial" w:hAnsi="Arial"/>
          <w:sz w:val="20"/>
          <w:szCs w:val="20"/>
          <w:color w:val="auto"/>
        </w:rPr>
        <w:t xml:space="preserve"> of IRS Form W-9 certifying that such Lender is exempt from U.S. federal backup withholding tax;</w:t>
      </w:r>
    </w:p>
    <w:p>
      <w:pPr>
        <w:spacing w:after="0" w:line="211" w:lineRule="exact"/>
        <w:rPr>
          <w:rFonts w:ascii="Arial" w:cs="Arial" w:eastAsia="Arial" w:hAnsi="Arial"/>
          <w:sz w:val="20"/>
          <w:szCs w:val="20"/>
          <w:color w:val="auto"/>
        </w:rPr>
      </w:pPr>
    </w:p>
    <w:p>
      <w:pPr>
        <w:jc w:val="both"/>
        <w:ind w:left="1" w:firstLine="598"/>
        <w:spacing w:after="0" w:line="256" w:lineRule="auto"/>
        <w:tabs>
          <w:tab w:leader="none" w:pos="1466" w:val="left"/>
        </w:tabs>
        <w:numPr>
          <w:ilvl w:val="0"/>
          <w:numId w:val="313"/>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205" w:lineRule="exact"/>
        <w:rPr>
          <w:rFonts w:ascii="Arial" w:cs="Arial" w:eastAsia="Arial" w:hAnsi="Arial"/>
          <w:sz w:val="20"/>
          <w:szCs w:val="20"/>
          <w:color w:val="auto"/>
        </w:rPr>
      </w:pPr>
    </w:p>
    <w:p>
      <w:pPr>
        <w:jc w:val="both"/>
        <w:ind w:left="1201" w:firstLine="597"/>
        <w:spacing w:after="0" w:line="267" w:lineRule="auto"/>
        <w:tabs>
          <w:tab w:leader="none" w:pos="2600" w:val="left"/>
        </w:tabs>
        <w:numPr>
          <w:ilvl w:val="1"/>
          <w:numId w:val="313"/>
        </w:numPr>
        <w:rPr>
          <w:rFonts w:ascii="Arial" w:cs="Arial" w:eastAsia="Arial" w:hAnsi="Arial"/>
          <w:sz w:val="19"/>
          <w:szCs w:val="19"/>
          <w:color w:val="auto"/>
        </w:rPr>
      </w:pPr>
      <w:r>
        <w:rPr>
          <w:rFonts w:ascii="Arial" w:cs="Arial" w:eastAsia="Arial" w:hAnsi="Arial"/>
          <w:sz w:val="19"/>
          <w:szCs w:val="19"/>
          <w:color w:val="auto"/>
        </w:rPr>
        <w:t xml:space="preserve">in the case of a Foreign Lender claiming the benefits of an income tax treaty to which the United States is a party (x) with respect to payments of interest under any Loan Document, executed </w:t>
      </w:r>
      <w:r>
        <w:rPr>
          <w:rFonts w:ascii="Arial" w:cs="Arial" w:eastAsia="Arial" w:hAnsi="Arial"/>
          <w:sz w:val="19"/>
          <w:szCs w:val="19"/>
          <w:color w:val="FF0000"/>
          <w:strike w:val="1"/>
        </w:rPr>
        <w:t>originals</w:t>
      </w:r>
      <w:r>
        <w:rPr>
          <w:rFonts w:ascii="Arial" w:cs="Arial" w:eastAsia="Arial" w:hAnsi="Arial"/>
          <w:sz w:val="19"/>
          <w:szCs w:val="19"/>
          <w:b w:val="1"/>
          <w:bCs w:val="1"/>
          <w:u w:val="single" w:color="auto"/>
          <w:color w:val="0000FF"/>
          <w:highlight w:val="lightGray"/>
        </w:rPr>
        <w:t>copies</w:t>
      </w:r>
      <w:r>
        <w:rPr>
          <w:rFonts w:ascii="Arial" w:cs="Arial" w:eastAsia="Arial" w:hAnsi="Arial"/>
          <w:sz w:val="19"/>
          <w:szCs w:val="19"/>
          <w:color w:val="FF0000"/>
        </w:rPr>
        <w:t xml:space="preserve"> </w:t>
      </w:r>
      <w:r>
        <w:rPr>
          <w:rFonts w:ascii="Arial" w:cs="Arial" w:eastAsia="Arial" w:hAnsi="Arial"/>
          <w:sz w:val="19"/>
          <w:szCs w:val="19"/>
          <w:color w:val="000000"/>
        </w:rPr>
        <w:t>of IRS Form W-8</w:t>
      </w:r>
      <w:r>
        <w:rPr>
          <w:rFonts w:ascii="Arial" w:cs="Arial" w:eastAsia="Arial" w:hAnsi="Arial"/>
          <w:sz w:val="19"/>
          <w:szCs w:val="19"/>
          <w:color w:val="FF0000"/>
          <w:strike w:val="1"/>
        </w:rPr>
        <w:t>BEN</w:t>
      </w:r>
      <w:r>
        <w:rPr>
          <w:rFonts w:ascii="Arial" w:cs="Arial" w:eastAsia="Arial" w:hAnsi="Arial"/>
          <w:sz w:val="19"/>
          <w:szCs w:val="19"/>
          <w:b w:val="1"/>
          <w:bCs w:val="1"/>
          <w:u w:val="single" w:color="auto"/>
          <w:color w:val="0000FF"/>
          <w:highlight w:val="lightGray"/>
        </w:rPr>
        <w:t>BENE (</w:t>
      </w:r>
      <w:r>
        <w:rPr>
          <w:rFonts w:ascii="Arial" w:cs="Arial" w:eastAsia="Arial" w:hAnsi="Arial"/>
          <w:sz w:val="19"/>
          <w:szCs w:val="19"/>
          <w:color w:val="000000"/>
        </w:rPr>
        <w:t>or</w:t>
      </w:r>
      <w:r>
        <w:rPr>
          <w:rFonts w:ascii="Arial" w:cs="Arial" w:eastAsia="Arial" w:hAnsi="Arial"/>
          <w:sz w:val="19"/>
          <w:szCs w:val="19"/>
          <w:color w:val="FF0000"/>
        </w:rPr>
        <w:t xml:space="preserve"> </w:t>
      </w:r>
      <w:r>
        <w:rPr>
          <w:rFonts w:ascii="Arial" w:cs="Arial" w:eastAsia="Arial" w:hAnsi="Arial"/>
          <w:sz w:val="19"/>
          <w:szCs w:val="19"/>
          <w:color w:val="FF0000"/>
          <w:strike w:val="1"/>
        </w:rPr>
        <w:t>IRS Form</w:t>
      </w:r>
      <w:r>
        <w:rPr>
          <w:rFonts w:ascii="Arial" w:cs="Arial" w:eastAsia="Arial" w:hAnsi="Arial"/>
          <w:sz w:val="19"/>
          <w:szCs w:val="19"/>
          <w:color w:val="FF0000"/>
        </w:rPr>
        <w:t xml:space="preserve"> </w:t>
      </w:r>
      <w:r>
        <w:rPr>
          <w:rFonts w:ascii="Arial" w:cs="Arial" w:eastAsia="Arial" w:hAnsi="Arial"/>
          <w:sz w:val="19"/>
          <w:szCs w:val="19"/>
          <w:color w:val="000000"/>
        </w:rPr>
        <w:t>W-8</w:t>
      </w:r>
      <w:r>
        <w:rPr>
          <w:rFonts w:ascii="Arial" w:cs="Arial" w:eastAsia="Arial" w:hAnsi="Arial"/>
          <w:sz w:val="19"/>
          <w:szCs w:val="19"/>
          <w:color w:val="FF0000"/>
          <w:strike w:val="1"/>
        </w:rPr>
        <w:t>BEN-E</w:t>
      </w:r>
      <w:r>
        <w:rPr>
          <w:rFonts w:ascii="Arial" w:cs="Arial" w:eastAsia="Arial" w:hAnsi="Arial"/>
          <w:sz w:val="19"/>
          <w:szCs w:val="19"/>
          <w:b w:val="1"/>
          <w:bCs w:val="1"/>
          <w:u w:val="single" w:color="auto"/>
          <w:color w:val="0000FF"/>
          <w:highlight w:val="lightGray"/>
        </w:rPr>
        <w:t>BEN</w:t>
      </w:r>
      <w:r>
        <w:rPr>
          <w:rFonts w:ascii="Arial" w:cs="Arial" w:eastAsia="Arial" w:hAnsi="Arial"/>
          <w:sz w:val="19"/>
          <w:szCs w:val="19"/>
          <w:color w:val="000000"/>
        </w:rPr>
        <w:t>, as applicable</w:t>
      </w:r>
      <w:r>
        <w:rPr>
          <w:rFonts w:ascii="Arial" w:cs="Arial" w:eastAsia="Arial" w:hAnsi="Arial"/>
          <w:sz w:val="19"/>
          <w:szCs w:val="19"/>
          <w:b w:val="1"/>
          <w:bCs w:val="1"/>
          <w:u w:val="single" w:color="auto"/>
          <w:color w:val="0000FF"/>
          <w:highlight w:val="lightGray"/>
        </w:rPr>
        <w:t>)</w:t>
      </w:r>
      <w:r>
        <w:rPr>
          <w:rFonts w:ascii="Arial" w:cs="Arial" w:eastAsia="Arial" w:hAnsi="Arial"/>
          <w:sz w:val="19"/>
          <w:szCs w:val="19"/>
          <w:color w:val="000000"/>
        </w:rPr>
        <w:t>, establishing an</w:t>
      </w:r>
      <w:r>
        <w:rPr>
          <w:rFonts w:ascii="Arial" w:cs="Arial" w:eastAsia="Arial" w:hAnsi="Arial"/>
          <w:sz w:val="19"/>
          <w:szCs w:val="19"/>
          <w:color w:val="FF0000"/>
        </w:rPr>
        <w:t xml:space="preserve"> </w:t>
      </w:r>
      <w:r>
        <w:rPr>
          <w:rFonts w:ascii="Arial" w:cs="Arial" w:eastAsia="Arial" w:hAnsi="Arial"/>
          <w:sz w:val="19"/>
          <w:szCs w:val="19"/>
          <w:color w:val="000000"/>
        </w:rPr>
        <w:t>exemption from, or reduction of, U.S. federal withholding Tax pursuant to the “interest” article of such tax treaty and (y) with respect to any other applicable payments under any Loan Document, IRS Form W-8</w:t>
      </w:r>
      <w:r>
        <w:rPr>
          <w:rFonts w:ascii="Arial" w:cs="Arial" w:eastAsia="Arial" w:hAnsi="Arial"/>
          <w:sz w:val="19"/>
          <w:szCs w:val="19"/>
          <w:color w:val="FF0000"/>
          <w:strike w:val="1"/>
        </w:rPr>
        <w:t>BEN</w:t>
      </w:r>
      <w:r>
        <w:rPr>
          <w:rFonts w:ascii="Arial" w:cs="Arial" w:eastAsia="Arial" w:hAnsi="Arial"/>
          <w:sz w:val="19"/>
          <w:szCs w:val="19"/>
          <w:b w:val="1"/>
          <w:bCs w:val="1"/>
          <w:u w:val="single" w:color="auto"/>
          <w:color w:val="0000FF"/>
          <w:highlight w:val="lightGray"/>
        </w:rPr>
        <w:t>BENE (</w:t>
      </w:r>
      <w:r>
        <w:rPr>
          <w:rFonts w:ascii="Arial" w:cs="Arial" w:eastAsia="Arial" w:hAnsi="Arial"/>
          <w:sz w:val="19"/>
          <w:szCs w:val="19"/>
          <w:color w:val="000000"/>
        </w:rPr>
        <w:t xml:space="preserve">or </w:t>
      </w:r>
      <w:r>
        <w:rPr>
          <w:rFonts w:ascii="Arial" w:cs="Arial" w:eastAsia="Arial" w:hAnsi="Arial"/>
          <w:sz w:val="19"/>
          <w:szCs w:val="19"/>
          <w:color w:val="FF0000"/>
          <w:strike w:val="1"/>
        </w:rPr>
        <w:t>IRS Form</w:t>
      </w:r>
      <w:r>
        <w:rPr>
          <w:rFonts w:ascii="Arial" w:cs="Arial" w:eastAsia="Arial" w:hAnsi="Arial"/>
          <w:sz w:val="19"/>
          <w:szCs w:val="19"/>
          <w:color w:val="FF0000"/>
        </w:rPr>
        <w:t xml:space="preserve"> </w:t>
      </w:r>
      <w:r>
        <w:rPr>
          <w:rFonts w:ascii="Arial" w:cs="Arial" w:eastAsia="Arial" w:hAnsi="Arial"/>
          <w:sz w:val="19"/>
          <w:szCs w:val="19"/>
          <w:color w:val="000000"/>
        </w:rPr>
        <w:t>W-8</w:t>
      </w:r>
      <w:r>
        <w:rPr>
          <w:rFonts w:ascii="Arial" w:cs="Arial" w:eastAsia="Arial" w:hAnsi="Arial"/>
          <w:sz w:val="19"/>
          <w:szCs w:val="19"/>
          <w:color w:val="FF0000"/>
          <w:strike w:val="1"/>
        </w:rPr>
        <w:t>BEN-E</w:t>
      </w:r>
      <w:r>
        <w:rPr>
          <w:rFonts w:ascii="Arial" w:cs="Arial" w:eastAsia="Arial" w:hAnsi="Arial"/>
          <w:sz w:val="19"/>
          <w:szCs w:val="19"/>
          <w:b w:val="1"/>
          <w:bCs w:val="1"/>
          <w:u w:val="single" w:color="auto"/>
          <w:color w:val="0000FF"/>
          <w:highlight w:val="lightGray"/>
        </w:rPr>
        <w:t>BEN</w:t>
      </w:r>
      <w:r>
        <w:rPr>
          <w:rFonts w:ascii="Arial" w:cs="Arial" w:eastAsia="Arial" w:hAnsi="Arial"/>
          <w:sz w:val="19"/>
          <w:szCs w:val="19"/>
          <w:color w:val="000000"/>
        </w:rPr>
        <w:t>, as applicable</w:t>
      </w:r>
      <w:r>
        <w:rPr>
          <w:rFonts w:ascii="Arial" w:cs="Arial" w:eastAsia="Arial" w:hAnsi="Arial"/>
          <w:sz w:val="19"/>
          <w:szCs w:val="19"/>
          <w:b w:val="1"/>
          <w:bCs w:val="1"/>
          <w:u w:val="single" w:color="auto"/>
          <w:color w:val="0000FF"/>
          <w:highlight w:val="lightGray"/>
        </w:rPr>
        <w:t>)</w:t>
      </w:r>
      <w:r>
        <w:rPr>
          <w:rFonts w:ascii="Arial" w:cs="Arial" w:eastAsia="Arial" w:hAnsi="Arial"/>
          <w:sz w:val="19"/>
          <w:szCs w:val="19"/>
          <w:color w:val="000000"/>
        </w:rPr>
        <w:t>, establishing an exemption from, or reduction of, U.S. federal</w:t>
      </w:r>
      <w:r>
        <w:rPr>
          <w:rFonts w:ascii="Arial" w:cs="Arial" w:eastAsia="Arial" w:hAnsi="Arial"/>
          <w:sz w:val="19"/>
          <w:szCs w:val="19"/>
          <w:color w:val="FF0000"/>
        </w:rPr>
        <w:t xml:space="preserve"> </w:t>
      </w:r>
      <w:r>
        <w:rPr>
          <w:rFonts w:ascii="Arial" w:cs="Arial" w:eastAsia="Arial" w:hAnsi="Arial"/>
          <w:sz w:val="19"/>
          <w:szCs w:val="19"/>
          <w:color w:val="000000"/>
        </w:rPr>
        <w:t>withholding Tax pursuant to the “business profits” or “other income” article of such tax treaty;</w:t>
      </w:r>
    </w:p>
    <w:p>
      <w:pPr>
        <w:spacing w:after="0" w:line="191" w:lineRule="exact"/>
        <w:rPr>
          <w:sz w:val="20"/>
          <w:szCs w:val="20"/>
          <w:color w:val="auto"/>
        </w:rPr>
      </w:pPr>
    </w:p>
    <w:p>
      <w:pPr>
        <w:ind w:left="2661" w:hanging="863"/>
        <w:spacing w:after="0"/>
        <w:tabs>
          <w:tab w:leader="none" w:pos="2661" w:val="left"/>
        </w:tabs>
        <w:numPr>
          <w:ilvl w:val="0"/>
          <w:numId w:val="314"/>
        </w:numPr>
        <w:rPr>
          <w:rFonts w:ascii="Arial" w:cs="Arial" w:eastAsia="Arial" w:hAnsi="Arial"/>
          <w:sz w:val="20"/>
          <w:szCs w:val="20"/>
          <w:color w:val="auto"/>
        </w:rPr>
      </w:pPr>
      <w:r>
        <w:rPr>
          <w:rFonts w:ascii="Arial" w:cs="Arial" w:eastAsia="Arial" w:hAnsi="Arial"/>
          <w:sz w:val="20"/>
          <w:szCs w:val="20"/>
          <w:color w:val="auto"/>
        </w:rPr>
        <w:t xml:space="preserve">executed </w:t>
      </w:r>
      <w:r>
        <w:rPr>
          <w:rFonts w:ascii="Arial" w:cs="Arial" w:eastAsia="Arial" w:hAnsi="Arial"/>
          <w:sz w:val="20"/>
          <w:szCs w:val="20"/>
          <w:color w:val="FF0000"/>
          <w:strike w:val="1"/>
        </w:rPr>
        <w:t>originals</w:t>
      </w:r>
      <w:r>
        <w:rPr>
          <w:rFonts w:ascii="Arial" w:cs="Arial" w:eastAsia="Arial" w:hAnsi="Arial"/>
          <w:sz w:val="20"/>
          <w:szCs w:val="20"/>
          <w:b w:val="1"/>
          <w:bCs w:val="1"/>
          <w:u w:val="single" w:color="auto"/>
          <w:color w:val="0000FF"/>
        </w:rPr>
        <w:t>copies</w:t>
      </w:r>
      <w:r>
        <w:rPr>
          <w:rFonts w:ascii="Arial" w:cs="Arial" w:eastAsia="Arial" w:hAnsi="Arial"/>
          <w:sz w:val="20"/>
          <w:szCs w:val="20"/>
          <w:color w:val="auto"/>
        </w:rPr>
        <w:t xml:space="preserve"> of IRS Form W-8ECI;</w:t>
      </w:r>
    </w:p>
    <w:p>
      <w:pPr>
        <w:spacing w:after="0" w:line="251" w:lineRule="exact"/>
        <w:rPr>
          <w:sz w:val="20"/>
          <w:szCs w:val="20"/>
          <w:color w:val="auto"/>
        </w:rPr>
      </w:pPr>
    </w:p>
    <w:p>
      <w:pPr>
        <w:ind w:left="1201" w:firstLine="597"/>
        <w:spacing w:after="0" w:line="272" w:lineRule="auto"/>
        <w:tabs>
          <w:tab w:leader="none" w:pos="2733" w:val="left"/>
        </w:tabs>
        <w:numPr>
          <w:ilvl w:val="0"/>
          <w:numId w:val="315"/>
        </w:numPr>
        <w:rPr>
          <w:rFonts w:ascii="Arial" w:cs="Arial" w:eastAsia="Arial" w:hAnsi="Arial"/>
          <w:sz w:val="20"/>
          <w:szCs w:val="20"/>
          <w:color w:val="auto"/>
        </w:rPr>
      </w:pPr>
      <w:r>
        <w:rPr>
          <w:rFonts w:ascii="Arial" w:cs="Arial" w:eastAsia="Arial" w:hAnsi="Arial"/>
          <w:sz w:val="20"/>
          <w:szCs w:val="20"/>
          <w:color w:val="auto"/>
        </w:rPr>
        <w:t>in the case of a Foreign Lender claiming the benefits of the exemption for portfolio interest under Section 881(c) of the Code, (x) a</w:t>
      </w:r>
    </w:p>
    <w:p>
      <w:pPr>
        <w:spacing w:after="0" w:line="168" w:lineRule="exact"/>
        <w:rPr>
          <w:sz w:val="20"/>
          <w:szCs w:val="20"/>
          <w:color w:val="auto"/>
        </w:rPr>
      </w:pPr>
    </w:p>
    <w:p>
      <w:pPr>
        <w:ind w:left="4361"/>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221"/>
          </w:cols>
          <w:pgMar w:left="1439" w:top="795" w:right="239" w:bottom="1440" w:gutter="0" w:footer="0" w:header="0"/>
        </w:sectPr>
      </w:pPr>
    </w:p>
    <w:bookmarkStart w:id="286" w:name="page287"/>
    <w:bookmarkEnd w:id="286"/>
    <w:p>
      <w:pPr>
        <w:jc w:val="both"/>
        <w:ind w:left="1201"/>
        <w:spacing w:after="0" w:line="281" w:lineRule="auto"/>
        <w:rPr>
          <w:sz w:val="20"/>
          <w:szCs w:val="20"/>
          <w:color w:val="auto"/>
        </w:rPr>
      </w:pPr>
      <w:r>
        <w:rPr>
          <w:rFonts w:ascii="Arial" w:cs="Arial" w:eastAsia="Arial" w:hAnsi="Arial"/>
          <w:sz w:val="18"/>
          <w:szCs w:val="18"/>
          <w:color w:val="auto"/>
        </w:rPr>
        <w:t xml:space="preserve">certificate substantially in the form of </w:t>
      </w:r>
      <w:r>
        <w:rPr>
          <w:rFonts w:ascii="Arial" w:cs="Arial" w:eastAsia="Arial" w:hAnsi="Arial"/>
          <w:sz w:val="18"/>
          <w:szCs w:val="18"/>
          <w:u w:val="single" w:color="auto"/>
          <w:color w:val="auto"/>
        </w:rPr>
        <w:t>Exhibit H-1</w:t>
      </w:r>
      <w:r>
        <w:rPr>
          <w:rFonts w:ascii="Arial" w:cs="Arial" w:eastAsia="Arial" w:hAnsi="Arial"/>
          <w:sz w:val="18"/>
          <w:szCs w:val="18"/>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w:t>
      </w:r>
    </w:p>
    <w:p>
      <w:pPr>
        <w:spacing w:after="0" w:line="1" w:lineRule="exact"/>
        <w:rPr>
          <w:sz w:val="20"/>
          <w:szCs w:val="20"/>
          <w:color w:val="auto"/>
        </w:rPr>
      </w:pPr>
    </w:p>
    <w:p>
      <w:pPr>
        <w:ind w:left="1201"/>
        <w:spacing w:after="0"/>
        <w:rPr>
          <w:sz w:val="20"/>
          <w:szCs w:val="20"/>
          <w:color w:val="auto"/>
        </w:rPr>
      </w:pPr>
      <w:r>
        <w:rPr>
          <w:rFonts w:ascii="Arial" w:cs="Arial" w:eastAsia="Arial" w:hAnsi="Arial"/>
          <w:sz w:val="19"/>
          <w:szCs w:val="19"/>
          <w:color w:val="auto"/>
        </w:rPr>
        <w:t>(3)(C) of the Code (a “</w:t>
      </w:r>
      <w:r>
        <w:rPr>
          <w:rFonts w:ascii="Arial" w:cs="Arial" w:eastAsia="Arial" w:hAnsi="Arial"/>
          <w:sz w:val="19"/>
          <w:szCs w:val="19"/>
          <w:u w:val="single" w:color="auto"/>
          <w:color w:val="auto"/>
        </w:rPr>
        <w:t>U.S. Tax Compliance Certificate</w:t>
      </w:r>
      <w:r>
        <w:rPr>
          <w:rFonts w:ascii="Arial" w:cs="Arial" w:eastAsia="Arial" w:hAnsi="Arial"/>
          <w:sz w:val="19"/>
          <w:szCs w:val="19"/>
          <w:color w:val="auto"/>
        </w:rPr>
        <w:t xml:space="preserve">”) and (y) executed </w:t>
      </w:r>
      <w:r>
        <w:rPr>
          <w:rFonts w:ascii="Arial" w:cs="Arial" w:eastAsia="Arial" w:hAnsi="Arial"/>
          <w:sz w:val="19"/>
          <w:szCs w:val="19"/>
          <w:color w:val="FF0000"/>
          <w:strike w:val="1"/>
        </w:rPr>
        <w:t>originals</w:t>
      </w:r>
      <w:r>
        <w:rPr>
          <w:rFonts w:ascii="Arial" w:cs="Arial" w:eastAsia="Arial" w:hAnsi="Arial"/>
          <w:sz w:val="19"/>
          <w:szCs w:val="19"/>
          <w:b w:val="1"/>
          <w:bCs w:val="1"/>
          <w:u w:val="single" w:color="auto"/>
          <w:color w:val="0000FF"/>
          <w:highlight w:val="lightGray"/>
        </w:rPr>
        <w:t>copies</w:t>
      </w:r>
      <w:r>
        <w:rPr>
          <w:rFonts w:ascii="Arial" w:cs="Arial" w:eastAsia="Arial" w:hAnsi="Arial"/>
          <w:sz w:val="19"/>
          <w:szCs w:val="19"/>
          <w:color w:val="auto"/>
        </w:rPr>
        <w:t xml:space="preserve"> of IRS Form W-</w:t>
      </w:r>
    </w:p>
    <w:p>
      <w:pPr>
        <w:spacing w:after="0" w:line="19" w:lineRule="exact"/>
        <w:rPr>
          <w:sz w:val="20"/>
          <w:szCs w:val="20"/>
          <w:color w:val="auto"/>
        </w:rPr>
      </w:pPr>
    </w:p>
    <w:p>
      <w:pPr>
        <w:ind w:left="1201"/>
        <w:spacing w:after="0"/>
        <w:rPr>
          <w:sz w:val="20"/>
          <w:szCs w:val="20"/>
          <w:color w:val="auto"/>
        </w:rPr>
      </w:pPr>
      <w:r>
        <w:rPr>
          <w:rFonts w:ascii="Arial" w:cs="Arial" w:eastAsia="Arial" w:hAnsi="Arial"/>
          <w:sz w:val="20"/>
          <w:szCs w:val="20"/>
          <w:color w:val="auto"/>
        </w:rPr>
        <w:t>8</w:t>
      </w:r>
      <w:r>
        <w:rPr>
          <w:rFonts w:ascii="Arial" w:cs="Arial" w:eastAsia="Arial" w:hAnsi="Arial"/>
          <w:sz w:val="20"/>
          <w:szCs w:val="20"/>
          <w:color w:val="FF0000"/>
          <w:strike w:val="1"/>
        </w:rPr>
        <w:t>BEN</w:t>
      </w:r>
      <w:r>
        <w:rPr>
          <w:rFonts w:ascii="Arial" w:cs="Arial" w:eastAsia="Arial" w:hAnsi="Arial"/>
          <w:sz w:val="20"/>
          <w:szCs w:val="20"/>
          <w:b w:val="1"/>
          <w:bCs w:val="1"/>
          <w:u w:val="single" w:color="auto"/>
          <w:color w:val="0000FF"/>
          <w:highlight w:val="lightGray"/>
        </w:rPr>
        <w:t>BENE (</w:t>
      </w:r>
      <w:r>
        <w:rPr>
          <w:rFonts w:ascii="Arial" w:cs="Arial" w:eastAsia="Arial" w:hAnsi="Arial"/>
          <w:sz w:val="20"/>
          <w:szCs w:val="20"/>
          <w:color w:val="auto"/>
        </w:rPr>
        <w:t xml:space="preserve">or </w:t>
      </w:r>
      <w:r>
        <w:rPr>
          <w:rFonts w:ascii="Arial" w:cs="Arial" w:eastAsia="Arial" w:hAnsi="Arial"/>
          <w:sz w:val="20"/>
          <w:szCs w:val="20"/>
          <w:color w:val="FF0000"/>
          <w:strike w:val="1"/>
        </w:rPr>
        <w:t>IRS Form</w:t>
      </w:r>
      <w:r>
        <w:rPr>
          <w:rFonts w:ascii="Arial" w:cs="Arial" w:eastAsia="Arial" w:hAnsi="Arial"/>
          <w:sz w:val="20"/>
          <w:szCs w:val="20"/>
          <w:color w:val="auto"/>
        </w:rPr>
        <w:t xml:space="preserve"> W-8</w:t>
      </w:r>
      <w:r>
        <w:rPr>
          <w:rFonts w:ascii="Arial" w:cs="Arial" w:eastAsia="Arial" w:hAnsi="Arial"/>
          <w:sz w:val="20"/>
          <w:szCs w:val="20"/>
          <w:color w:val="FF0000"/>
          <w:strike w:val="1"/>
        </w:rPr>
        <w:t>BEN-E</w:t>
      </w:r>
      <w:r>
        <w:rPr>
          <w:rFonts w:ascii="Arial" w:cs="Arial" w:eastAsia="Arial" w:hAnsi="Arial"/>
          <w:sz w:val="20"/>
          <w:szCs w:val="20"/>
          <w:b w:val="1"/>
          <w:bCs w:val="1"/>
          <w:u w:val="single" w:color="auto"/>
          <w:color w:val="0000FF"/>
          <w:highlight w:val="lightGray"/>
        </w:rPr>
        <w:t>BEN</w:t>
      </w:r>
      <w:r>
        <w:rPr>
          <w:rFonts w:ascii="Arial" w:cs="Arial" w:eastAsia="Arial" w:hAnsi="Arial"/>
          <w:sz w:val="20"/>
          <w:szCs w:val="20"/>
          <w:color w:val="auto"/>
        </w:rPr>
        <w:t>, as applicable</w:t>
      </w:r>
      <w:r>
        <w:rPr>
          <w:rFonts w:ascii="Arial" w:cs="Arial" w:eastAsia="Arial" w:hAnsi="Arial"/>
          <w:sz w:val="20"/>
          <w:szCs w:val="20"/>
          <w:b w:val="1"/>
          <w:bCs w:val="1"/>
          <w:u w:val="single" w:color="auto"/>
          <w:color w:val="0000FF"/>
          <w:highlight w:val="lightGray"/>
        </w:rPr>
        <w:t>)</w:t>
      </w:r>
      <w:r>
        <w:rPr>
          <w:rFonts w:ascii="Arial" w:cs="Arial" w:eastAsia="Arial" w:hAnsi="Arial"/>
          <w:sz w:val="20"/>
          <w:szCs w:val="20"/>
          <w:color w:val="auto"/>
        </w:rPr>
        <w:t>; or</w:t>
      </w:r>
    </w:p>
    <w:p>
      <w:pPr>
        <w:spacing w:after="0" w:line="223" w:lineRule="exact"/>
        <w:rPr>
          <w:sz w:val="20"/>
          <w:szCs w:val="20"/>
          <w:color w:val="auto"/>
        </w:rPr>
      </w:pPr>
    </w:p>
    <w:p>
      <w:pPr>
        <w:jc w:val="both"/>
        <w:ind w:left="1201" w:firstLine="599"/>
        <w:spacing w:after="0" w:line="276" w:lineRule="auto"/>
        <w:rPr>
          <w:sz w:val="20"/>
          <w:szCs w:val="20"/>
          <w:color w:val="auto"/>
        </w:rPr>
      </w:pPr>
      <w:r>
        <w:rPr>
          <w:rFonts w:ascii="Arial" w:cs="Arial" w:eastAsia="Arial" w:hAnsi="Arial"/>
          <w:sz w:val="18"/>
          <w:szCs w:val="18"/>
          <w:color w:val="auto"/>
        </w:rPr>
        <w:t xml:space="preserve">(IV) to the extent a Foreign Lender is not the beneficial owner, executed </w:t>
      </w:r>
      <w:r>
        <w:rPr>
          <w:rFonts w:ascii="Arial" w:cs="Arial" w:eastAsia="Arial" w:hAnsi="Arial"/>
          <w:sz w:val="18"/>
          <w:szCs w:val="18"/>
          <w:color w:val="FF0000"/>
          <w:strike w:val="1"/>
        </w:rPr>
        <w:t>originals</w:t>
      </w:r>
      <w:r>
        <w:rPr>
          <w:rFonts w:ascii="Arial" w:cs="Arial" w:eastAsia="Arial" w:hAnsi="Arial"/>
          <w:sz w:val="18"/>
          <w:szCs w:val="18"/>
          <w:b w:val="1"/>
          <w:bCs w:val="1"/>
          <w:u w:val="single" w:color="auto"/>
          <w:color w:val="0000FF"/>
          <w:highlight w:val="lightGray"/>
        </w:rPr>
        <w:t>copies</w:t>
      </w:r>
      <w:r>
        <w:rPr>
          <w:rFonts w:ascii="Arial" w:cs="Arial" w:eastAsia="Arial" w:hAnsi="Arial"/>
          <w:sz w:val="18"/>
          <w:szCs w:val="18"/>
          <w:color w:val="auto"/>
        </w:rPr>
        <w:t xml:space="preserve"> of IRS Form W-8IMY, accompanied by IRS Form W-8ECI, IRS Form W</w:t>
      </w:r>
      <w:r>
        <w:rPr>
          <w:rFonts w:ascii="Arial" w:cs="Arial" w:eastAsia="Arial" w:hAnsi="Arial"/>
          <w:sz w:val="18"/>
          <w:szCs w:val="18"/>
          <w:u w:val="single" w:color="auto"/>
          <w:color w:val="auto"/>
          <w:highlight w:val="lightGray"/>
        </w:rPr>
        <w:t>-8</w:t>
      </w:r>
      <w:r>
        <w:rPr>
          <w:rFonts w:ascii="Arial" w:cs="Arial" w:eastAsia="Arial" w:hAnsi="Arial"/>
          <w:sz w:val="18"/>
          <w:szCs w:val="18"/>
          <w:u w:val="single" w:color="auto"/>
          <w:color w:val="FF0000"/>
          <w:highlight w:val="lightGray"/>
          <w:strike w:val="1"/>
        </w:rPr>
        <w:t>BEN, IRS Form</w:t>
      </w:r>
      <w:r>
        <w:rPr>
          <w:rFonts w:ascii="Arial" w:cs="Arial" w:eastAsia="Arial" w:hAnsi="Arial"/>
          <w:sz w:val="18"/>
          <w:szCs w:val="18"/>
          <w:b w:val="1"/>
          <w:bCs w:val="1"/>
          <w:u w:val="single" w:color="auto"/>
          <w:color w:val="0000FF"/>
          <w:highlight w:val="lightGray"/>
        </w:rPr>
        <w:t>BENE (or</w:t>
      </w:r>
      <w:r>
        <w:rPr>
          <w:sz w:val="1"/>
          <w:szCs w:val="1"/>
          <w:color w:val="auto"/>
        </w:rPr>
        <w:drawing>
          <wp:inline distT="0" distB="0" distL="0" distR="0">
            <wp:extent cx="63500" cy="13462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500" cy="134620"/>
                    </a:xfrm>
                    <a:prstGeom prst="rect">
                      <a:avLst/>
                    </a:prstGeom>
                    <a:noFill/>
                    <a:ln>
                      <a:noFill/>
                    </a:ln>
                  </pic:spPr>
                </pic:pic>
              </a:graphicData>
            </a:graphic>
          </wp:inline>
        </w:drawing>
      </w:r>
      <w:r>
        <w:rPr>
          <w:rFonts w:ascii="Arial" w:cs="Arial" w:eastAsia="Arial" w:hAnsi="Arial"/>
          <w:sz w:val="18"/>
          <w:szCs w:val="18"/>
          <w:u w:val="single" w:color="auto"/>
          <w:color w:val="auto"/>
          <w:highlight w:val="lightGray"/>
        </w:rPr>
        <w:t>W-8</w:t>
      </w:r>
      <w:r>
        <w:rPr>
          <w:rFonts w:ascii="Arial" w:cs="Arial" w:eastAsia="Arial" w:hAnsi="Arial"/>
          <w:sz w:val="18"/>
          <w:szCs w:val="18"/>
          <w:u w:val="single" w:color="auto"/>
          <w:color w:val="FF0000"/>
          <w:highlight w:val="lightGray"/>
          <w:strike w:val="1"/>
        </w:rPr>
        <w:t>BEN-E</w:t>
      </w:r>
      <w:r>
        <w:rPr>
          <w:rFonts w:ascii="Arial" w:cs="Arial" w:eastAsia="Arial" w:hAnsi="Arial"/>
          <w:sz w:val="18"/>
          <w:szCs w:val="18"/>
          <w:b w:val="1"/>
          <w:bCs w:val="1"/>
          <w:u w:val="single" w:color="auto"/>
          <w:color w:val="0000FF"/>
          <w:highlight w:val="lightGray"/>
        </w:rPr>
        <w:t>BEN, as applicable)</w:t>
      </w:r>
      <w:r>
        <w:rPr>
          <w:rFonts w:ascii="Arial" w:cs="Arial" w:eastAsia="Arial" w:hAnsi="Arial"/>
          <w:sz w:val="18"/>
          <w:szCs w:val="18"/>
          <w:u w:val="single" w:color="auto"/>
          <w:color w:val="000000"/>
        </w:rPr>
        <w:t>, a U.S. Tax Compliance Certificate substantially in the form of</w:t>
      </w:r>
      <w:r>
        <w:rPr>
          <w:rFonts w:ascii="Arial" w:cs="Arial" w:eastAsia="Arial" w:hAnsi="Arial"/>
          <w:sz w:val="18"/>
          <w:szCs w:val="18"/>
          <w:u w:val="single" w:color="auto"/>
          <w:color w:val="FF0000"/>
          <w:highlight w:val="lightGray"/>
        </w:rPr>
        <w:t xml:space="preserve"> </w:t>
      </w:r>
      <w:r>
        <w:rPr>
          <w:rFonts w:ascii="Arial" w:cs="Arial" w:eastAsia="Arial" w:hAnsi="Arial"/>
          <w:sz w:val="18"/>
          <w:szCs w:val="18"/>
          <w:u w:val="single" w:color="auto"/>
          <w:color w:val="000000"/>
        </w:rPr>
        <w:t>Exhibit H-2</w:t>
      </w:r>
      <w:r>
        <w:rPr>
          <w:rFonts w:ascii="Arial" w:cs="Arial" w:eastAsia="Arial" w:hAnsi="Arial"/>
          <w:sz w:val="18"/>
          <w:szCs w:val="18"/>
          <w:u w:val="single" w:color="auto"/>
          <w:color w:val="FF0000"/>
          <w:highlight w:val="lightGray"/>
        </w:rPr>
        <w:t xml:space="preserve"> </w:t>
      </w:r>
      <w:r>
        <w:rPr>
          <w:rFonts w:ascii="Arial" w:cs="Arial" w:eastAsia="Arial" w:hAnsi="Arial"/>
          <w:sz w:val="18"/>
          <w:szCs w:val="18"/>
          <w:u w:val="single" w:color="auto"/>
          <w:color w:val="000000"/>
        </w:rPr>
        <w:t>or</w:t>
      </w:r>
      <w:r>
        <w:rPr>
          <w:rFonts w:ascii="Arial" w:cs="Arial" w:eastAsia="Arial" w:hAnsi="Arial"/>
          <w:sz w:val="18"/>
          <w:szCs w:val="18"/>
          <w:u w:val="single" w:color="auto"/>
          <w:color w:val="FF0000"/>
          <w:highlight w:val="lightGray"/>
        </w:rPr>
        <w:t xml:space="preserve"> </w:t>
      </w:r>
      <w:r>
        <w:rPr>
          <w:rFonts w:ascii="Arial" w:cs="Arial" w:eastAsia="Arial" w:hAnsi="Arial"/>
          <w:sz w:val="18"/>
          <w:szCs w:val="18"/>
          <w:u w:val="single" w:color="auto"/>
          <w:color w:val="000000"/>
        </w:rPr>
        <w:t>Exhibit H-3,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H-4 on behalf of each such direct and indirect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5917565</wp:posOffset>
            </wp:positionH>
            <wp:positionV relativeFrom="paragraph">
              <wp:posOffset>-799465</wp:posOffset>
            </wp:positionV>
            <wp:extent cx="6286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865" cy="7620"/>
                    </a:xfrm>
                    <a:prstGeom prst="rect">
                      <a:avLst/>
                    </a:prstGeom>
                    <a:noFill/>
                  </pic:spPr>
                </pic:pic>
              </a:graphicData>
            </a:graphic>
          </wp:anchor>
        </w:drawing>
      </w:r>
    </w:p>
    <w:p>
      <w:pPr>
        <w:spacing w:after="0" w:line="175" w:lineRule="exact"/>
        <w:rPr>
          <w:sz w:val="20"/>
          <w:szCs w:val="20"/>
          <w:color w:val="auto"/>
        </w:rPr>
      </w:pPr>
    </w:p>
    <w:p>
      <w:pPr>
        <w:jc w:val="both"/>
        <w:ind w:left="1" w:firstLine="598"/>
        <w:spacing w:after="0" w:line="251" w:lineRule="auto"/>
        <w:tabs>
          <w:tab w:leader="none" w:pos="1466" w:val="left"/>
        </w:tabs>
        <w:numPr>
          <w:ilvl w:val="1"/>
          <w:numId w:val="316"/>
        </w:numPr>
        <w:rPr>
          <w:rFonts w:ascii="Arial" w:cs="Arial" w:eastAsia="Arial" w:hAnsi="Arial"/>
          <w:sz w:val="20"/>
          <w:szCs w:val="20"/>
          <w:color w:val="auto"/>
        </w:rPr>
      </w:pPr>
      <w:r>
        <w:rPr>
          <w:rFonts w:ascii="Arial" w:cs="Arial" w:eastAsia="Arial" w:hAnsi="Arial"/>
          <w:sz w:val="20"/>
          <w:szCs w:val="20"/>
          <w:color w:val="auto"/>
        </w:rPr>
        <w:t xml:space="preserve">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w:t>
      </w:r>
      <w:r>
        <w:rPr>
          <w:rFonts w:ascii="Arial" w:cs="Arial" w:eastAsia="Arial" w:hAnsi="Arial"/>
          <w:sz w:val="20"/>
          <w:szCs w:val="20"/>
          <w:color w:val="FF0000"/>
          <w:strike w:val="1"/>
        </w:rPr>
        <w:t>originals</w:t>
      </w:r>
      <w:r>
        <w:rPr>
          <w:rFonts w:ascii="Arial" w:cs="Arial" w:eastAsia="Arial" w:hAnsi="Arial"/>
          <w:sz w:val="20"/>
          <w:szCs w:val="20"/>
          <w:b w:val="1"/>
          <w:bCs w:val="1"/>
          <w:u w:val="single" w:color="auto"/>
          <w:color w:val="0000FF"/>
          <w:highlight w:val="lightGray"/>
        </w:rPr>
        <w:t>copies</w:t>
      </w:r>
      <w:r>
        <w:rPr>
          <w:rFonts w:ascii="Arial" w:cs="Arial" w:eastAsia="Arial" w:hAnsi="Arial"/>
          <w:sz w:val="20"/>
          <w:szCs w:val="20"/>
          <w:color w:val="auto"/>
        </w:rPr>
        <w:t xml:space="preserve">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214" w:lineRule="exact"/>
        <w:rPr>
          <w:rFonts w:ascii="Arial" w:cs="Arial" w:eastAsia="Arial" w:hAnsi="Arial"/>
          <w:sz w:val="20"/>
          <w:szCs w:val="20"/>
          <w:color w:val="auto"/>
        </w:rPr>
      </w:pPr>
    </w:p>
    <w:p>
      <w:pPr>
        <w:jc w:val="both"/>
        <w:ind w:left="1" w:firstLine="598"/>
        <w:spacing w:after="0" w:line="278" w:lineRule="auto"/>
        <w:tabs>
          <w:tab w:leader="none" w:pos="1477" w:val="left"/>
        </w:tabs>
        <w:numPr>
          <w:ilvl w:val="1"/>
          <w:numId w:val="316"/>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w:t>
      </w:r>
    </w:p>
    <w:p>
      <w:pPr>
        <w:spacing w:after="0" w:line="3" w:lineRule="exact"/>
        <w:rPr>
          <w:rFonts w:ascii="Arial" w:cs="Arial" w:eastAsia="Arial" w:hAnsi="Arial"/>
          <w:sz w:val="18"/>
          <w:szCs w:val="18"/>
          <w:color w:val="auto"/>
        </w:rPr>
      </w:pPr>
    </w:p>
    <w:p>
      <w:pPr>
        <w:jc w:val="both"/>
        <w:ind w:left="1" w:hanging="1"/>
        <w:spacing w:after="0" w:line="249" w:lineRule="auto"/>
        <w:tabs>
          <w:tab w:leader="none" w:pos="248" w:val="left"/>
        </w:tabs>
        <w:numPr>
          <w:ilvl w:val="0"/>
          <w:numId w:val="317"/>
        </w:numPr>
        <w:rPr>
          <w:rFonts w:ascii="Arial" w:cs="Arial" w:eastAsia="Arial" w:hAnsi="Arial"/>
          <w:sz w:val="20"/>
          <w:szCs w:val="20"/>
          <w:color w:val="auto"/>
        </w:rPr>
      </w:pPr>
      <w:r>
        <w:rPr>
          <w:rFonts w:ascii="Arial" w:cs="Arial" w:eastAsia="Arial" w:hAnsi="Arial"/>
          <w:sz w:val="20"/>
          <w:szCs w:val="20"/>
          <w:color w:val="auto"/>
        </w:rPr>
        <w:t>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215" w:lineRule="exact"/>
        <w:rPr>
          <w:sz w:val="20"/>
          <w:szCs w:val="20"/>
          <w:color w:val="auto"/>
        </w:rPr>
      </w:pPr>
    </w:p>
    <w:p>
      <w:pPr>
        <w:jc w:val="both"/>
        <w:ind w:left="-599" w:firstLine="1198"/>
        <w:spacing w:after="0" w:line="260" w:lineRule="auto"/>
        <w:tabs>
          <w:tab w:leader="none" w:pos="1499" w:val="left"/>
        </w:tabs>
        <w:numPr>
          <w:ilvl w:val="0"/>
          <w:numId w:val="318"/>
        </w:numPr>
        <w:rPr>
          <w:rFonts w:ascii="Arial" w:cs="Arial" w:eastAsia="Arial" w:hAnsi="Arial"/>
          <w:sz w:val="20"/>
          <w:szCs w:val="20"/>
          <w:color w:val="auto"/>
        </w:rPr>
      </w:pPr>
      <w:r>
        <w:rPr>
          <w:rFonts w:ascii="Arial" w:cs="Arial" w:eastAsia="Arial" w:hAnsi="Arial"/>
          <w:sz w:val="20"/>
          <w:szCs w:val="20"/>
          <w:color w:val="auto"/>
        </w:rPr>
        <w:t xml:space="preserve">Each Lender agrees that if any form or certification it previously delivered pursuant to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200" w:lineRule="exact"/>
        <w:rPr>
          <w:sz w:val="20"/>
          <w:szCs w:val="20"/>
          <w:color w:val="auto"/>
        </w:rPr>
      </w:pPr>
    </w:p>
    <w:p>
      <w:pPr>
        <w:spacing w:after="0" w:line="217" w:lineRule="exact"/>
        <w:rPr>
          <w:sz w:val="20"/>
          <w:szCs w:val="20"/>
          <w:color w:val="auto"/>
        </w:rPr>
      </w:pPr>
    </w:p>
    <w:p>
      <w:pPr>
        <w:ind w:left="4361"/>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221"/>
          </w:cols>
          <w:pgMar w:left="1439" w:top="795" w:right="239" w:bottom="1440" w:gutter="0" w:footer="0" w:header="0"/>
        </w:sectPr>
      </w:pPr>
    </w:p>
    <w:bookmarkStart w:id="287" w:name="page288"/>
    <w:bookmarkEnd w:id="287"/>
    <w:p>
      <w:pPr>
        <w:jc w:val="both"/>
        <w:ind w:left="600" w:firstLine="599"/>
        <w:spacing w:after="0" w:line="278" w:lineRule="auto"/>
        <w:tabs>
          <w:tab w:leader="none" w:pos="1999"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 received a refund of any Taxes as to which it has been indemnified by the Borrower or with respect to which the Borrower has paid additional amounts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it shall pay to the Borrower an amount equal to such refund (but only to the extent of indemnity payments made, or additional amounts paid, by the Borrower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upon the request of the Recipient, agrees to repay the amount paid over to the Borrower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Borrower pursuant to this subsection the payment of which would place the Recipient in a less favorable net after-Tax position than such Recipient would have been in if Tax subject to indemnification and giving rise to such refund had not been deducted, withheld or otherwise imposed and the indemnification payments or additional amounts with respect to such </w:t>
      </w:r>
      <w:r>
        <w:rPr>
          <w:rFonts w:ascii="Arial" w:cs="Arial" w:eastAsia="Arial" w:hAnsi="Arial"/>
          <w:sz w:val="18"/>
          <w:szCs w:val="18"/>
          <w:color w:val="FF0000"/>
          <w:strike w:val="1"/>
        </w:rPr>
        <w:t>tax</w:t>
      </w:r>
      <w:r>
        <w:rPr>
          <w:rFonts w:ascii="Arial" w:cs="Arial" w:eastAsia="Arial" w:hAnsi="Arial"/>
          <w:sz w:val="18"/>
          <w:szCs w:val="18"/>
          <w:b w:val="1"/>
          <w:bCs w:val="1"/>
          <w:u w:val="single" w:color="auto"/>
          <w:color w:val="0000FF"/>
          <w:highlight w:val="lightGray"/>
        </w:rPr>
        <w:t>Tax</w:t>
      </w:r>
      <w:r>
        <w:rPr>
          <w:rFonts w:ascii="Arial" w:cs="Arial" w:eastAsia="Arial" w:hAnsi="Arial"/>
          <w:sz w:val="18"/>
          <w:szCs w:val="18"/>
          <w:color w:val="auto"/>
        </w:rPr>
        <w:t xml:space="preserve"> had never been paid. This subsection shall not be construed to require any Recipient to make available its tax returns (or any other information relating to its taxes that it deems confidential) to the Borrower or any other Person.</w:t>
      </w:r>
    </w:p>
    <w:p>
      <w:pPr>
        <w:spacing w:after="0" w:line="198" w:lineRule="exact"/>
        <w:rPr>
          <w:rFonts w:ascii="Arial" w:cs="Arial" w:eastAsia="Arial" w:hAnsi="Arial"/>
          <w:sz w:val="18"/>
          <w:szCs w:val="18"/>
          <w:color w:val="auto"/>
        </w:rPr>
      </w:pPr>
    </w:p>
    <w:p>
      <w:pPr>
        <w:jc w:val="both"/>
        <w:ind w:left="600" w:firstLine="599"/>
        <w:spacing w:after="0" w:line="260" w:lineRule="auto"/>
        <w:tabs>
          <w:tab w:leader="none" w:pos="2032" w:val="left"/>
        </w:tabs>
        <w:numPr>
          <w:ilvl w:val="0"/>
          <w:numId w:val="319"/>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spacing w:after="0" w:line="202" w:lineRule="exact"/>
        <w:rPr>
          <w:sz w:val="20"/>
          <w:szCs w:val="20"/>
          <w:color w:val="auto"/>
        </w:rPr>
      </w:pPr>
    </w:p>
    <w:p>
      <w:pPr>
        <w:jc w:val="both"/>
        <w:ind w:firstLine="1199"/>
        <w:spacing w:after="0" w:line="263" w:lineRule="auto"/>
        <w:rPr>
          <w:sz w:val="20"/>
          <w:szCs w:val="20"/>
          <w:color w:val="auto"/>
        </w:rPr>
      </w:pPr>
      <w:r>
        <w:rPr>
          <w:rFonts w:ascii="Arial" w:cs="Arial" w:eastAsia="Arial" w:hAnsi="Arial"/>
          <w:sz w:val="19"/>
          <w:szCs w:val="19"/>
          <w:color w:val="auto"/>
        </w:rPr>
        <w:t xml:space="preserve">3.02. </w:t>
      </w:r>
      <w:r>
        <w:rPr>
          <w:rFonts w:ascii="Arial" w:cs="Arial" w:eastAsia="Arial" w:hAnsi="Arial"/>
          <w:sz w:val="19"/>
          <w:szCs w:val="19"/>
          <w:u w:val="single" w:color="auto"/>
          <w:color w:val="auto"/>
        </w:rPr>
        <w:t>Illegality</w:t>
      </w:r>
      <w:r>
        <w:rPr>
          <w:rFonts w:ascii="Arial" w:cs="Arial" w:eastAsia="Arial" w:hAnsi="Arial"/>
          <w:sz w:val="19"/>
          <w:szCs w:val="19"/>
          <w:color w:val="auto"/>
        </w:rPr>
        <w:t>. If any Lender determines that any Law has made it unlawful, or that any Governmental Authority has asserted that it is unlawful, for any Lender or its applicable Lending Office to make, maintain or fund Loans whose interest is determined by reference to the Eurodollar Rate,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make or continue Eurodollar Rate Loans or to convert Base Rate Loans to Eurodollar Rate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95" w:right="239" w:bottom="1440" w:gutter="0" w:footer="0" w:header="0"/>
        </w:sectPr>
      </w:pPr>
    </w:p>
    <w:bookmarkStart w:id="288" w:name="page289"/>
    <w:bookmarkEnd w:id="288"/>
    <w:p>
      <w:pPr>
        <w:jc w:val="both"/>
        <w:spacing w:after="0" w:line="302" w:lineRule="auto"/>
        <w:rPr>
          <w:sz w:val="20"/>
          <w:szCs w:val="20"/>
          <w:color w:val="auto"/>
        </w:rPr>
      </w:pPr>
      <w:r>
        <w:rPr>
          <w:rFonts w:ascii="Arial" w:cs="Arial" w:eastAsia="Arial" w:hAnsi="Arial"/>
          <w:sz w:val="18"/>
          <w:szCs w:val="18"/>
          <w:color w:val="auto"/>
        </w:rPr>
        <w:t>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p>
    <w:p>
      <w:pPr>
        <w:spacing w:after="0" w:line="168" w:lineRule="exact"/>
        <w:rPr>
          <w:sz w:val="20"/>
          <w:szCs w:val="20"/>
          <w:color w:val="auto"/>
        </w:rPr>
      </w:pPr>
    </w:p>
    <w:p>
      <w:pPr>
        <w:ind w:left="1200"/>
        <w:spacing w:after="0"/>
        <w:tabs>
          <w:tab w:leader="none" w:pos="1780" w:val="left"/>
        </w:tabs>
        <w:rPr>
          <w:sz w:val="20"/>
          <w:szCs w:val="20"/>
          <w:color w:val="auto"/>
        </w:rPr>
      </w:pPr>
      <w:r>
        <w:rPr>
          <w:rFonts w:ascii="Arial" w:cs="Arial" w:eastAsia="Arial" w:hAnsi="Arial"/>
          <w:sz w:val="20"/>
          <w:szCs w:val="20"/>
          <w:color w:val="auto"/>
        </w:rPr>
        <w:t>3.03.</w:t>
      </w:r>
      <w:r>
        <w:rPr>
          <w:sz w:val="20"/>
          <w:szCs w:val="20"/>
          <w:color w:val="auto"/>
        </w:rPr>
        <w:tab/>
      </w:r>
      <w:r>
        <w:rPr>
          <w:rFonts w:ascii="Arial" w:cs="Arial" w:eastAsia="Arial" w:hAnsi="Arial"/>
          <w:sz w:val="18"/>
          <w:szCs w:val="18"/>
          <w:u w:val="single" w:color="auto"/>
          <w:color w:val="auto"/>
        </w:rPr>
        <w:t>Inability to Determine Rates</w:t>
      </w:r>
      <w:r>
        <w:rPr>
          <w:rFonts w:ascii="Arial" w:cs="Arial" w:eastAsia="Arial" w:hAnsi="Arial"/>
          <w:sz w:val="18"/>
          <w:szCs w:val="18"/>
          <w:color w:val="auto"/>
        </w:rPr>
        <w:t>.</w:t>
      </w:r>
    </w:p>
    <w:p>
      <w:pPr>
        <w:spacing w:after="0" w:line="239" w:lineRule="exact"/>
        <w:rPr>
          <w:sz w:val="20"/>
          <w:szCs w:val="20"/>
          <w:color w:val="auto"/>
        </w:rPr>
      </w:pPr>
    </w:p>
    <w:p>
      <w:pPr>
        <w:jc w:val="both"/>
        <w:ind w:left="600" w:firstLine="599"/>
        <w:spacing w:after="0" w:line="279" w:lineRule="auto"/>
        <w:tabs>
          <w:tab w:leader="none" w:pos="2021"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If in connection with any request for a Eurodollar Rate Loan or a conversion to or continuation thereof, (</w:t>
      </w:r>
      <w:r>
        <w:rPr>
          <w:rFonts w:ascii="Arial" w:cs="Arial" w:eastAsia="Arial" w:hAnsi="Arial"/>
          <w:sz w:val="18"/>
          <w:szCs w:val="18"/>
          <w:color w:val="FF0000"/>
          <w:strike w:val="1"/>
        </w:rPr>
        <w:t>a</w:t>
      </w:r>
      <w:r>
        <w:rPr>
          <w:rFonts w:ascii="Arial" w:cs="Arial" w:eastAsia="Arial" w:hAnsi="Arial"/>
          <w:sz w:val="18"/>
          <w:szCs w:val="18"/>
          <w:b w:val="1"/>
          <w:bCs w:val="1"/>
          <w:u w:val="single" w:color="auto"/>
          <w:color w:val="0000FF"/>
          <w:highlight w:val="lightGray"/>
        </w:rPr>
        <w:t>i</w:t>
      </w:r>
      <w:r>
        <w:rPr>
          <w:rFonts w:ascii="Arial" w:cs="Arial" w:eastAsia="Arial" w:hAnsi="Arial"/>
          <w:sz w:val="18"/>
          <w:szCs w:val="18"/>
          <w:color w:val="auto"/>
        </w:rPr>
        <w:t>) the Administrative Agent determines that (</w:t>
      </w:r>
      <w:r>
        <w:rPr>
          <w:rFonts w:ascii="Arial" w:cs="Arial" w:eastAsia="Arial" w:hAnsi="Arial"/>
          <w:sz w:val="18"/>
          <w:szCs w:val="18"/>
          <w:color w:val="FF0000"/>
          <w:strike w:val="1"/>
        </w:rPr>
        <w:t>i</w:t>
      </w:r>
      <w:r>
        <w:rPr>
          <w:rFonts w:ascii="Arial" w:cs="Arial" w:eastAsia="Arial" w:hAnsi="Arial"/>
          <w:sz w:val="18"/>
          <w:szCs w:val="18"/>
          <w:b w:val="1"/>
          <w:bCs w:val="1"/>
          <w:u w:val="single" w:color="auto"/>
          <w:color w:val="0000FF"/>
          <w:highlight w:val="lightGray"/>
        </w:rPr>
        <w:t>x</w:t>
      </w:r>
      <w:r>
        <w:rPr>
          <w:rFonts w:ascii="Arial" w:cs="Arial" w:eastAsia="Arial" w:hAnsi="Arial"/>
          <w:sz w:val="18"/>
          <w:szCs w:val="18"/>
          <w:color w:val="auto"/>
        </w:rPr>
        <w:t>) Dollar deposits are not being offered to banks in the applicable offshore interbank market for such currency for the applicable amount and Interest Period of such Eurodollar Rate Loan or (</w:t>
      </w:r>
      <w:r>
        <w:rPr>
          <w:rFonts w:ascii="Arial" w:cs="Arial" w:eastAsia="Arial" w:hAnsi="Arial"/>
          <w:sz w:val="18"/>
          <w:szCs w:val="18"/>
          <w:color w:val="FF0000"/>
          <w:strike w:val="1"/>
        </w:rPr>
        <w:t>ii</w:t>
      </w:r>
      <w:r>
        <w:rPr>
          <w:rFonts w:ascii="Arial" w:cs="Arial" w:eastAsia="Arial" w:hAnsi="Arial"/>
          <w:sz w:val="18"/>
          <w:szCs w:val="18"/>
          <w:b w:val="1"/>
          <w:bCs w:val="1"/>
          <w:u w:val="single" w:color="auto"/>
          <w:color w:val="0000FF"/>
          <w:highlight w:val="lightGray"/>
        </w:rPr>
        <w:t>y</w:t>
      </w:r>
      <w:r>
        <w:rPr>
          <w:rFonts w:ascii="Arial" w:cs="Arial" w:eastAsia="Arial" w:hAnsi="Arial"/>
          <w:sz w:val="18"/>
          <w:szCs w:val="18"/>
          <w:color w:val="auto"/>
        </w:rPr>
        <w:t>) adequate and reasonable means do not exist for determining the Eurodollar Rate for any requested Interest Period with respect to a proposed Eurodollar Rate Loan or in connection with an existing or proposed Base Rate Loan (in each case with respect to clause (a)(i)</w:t>
      </w:r>
      <w:r>
        <w:rPr>
          <w:rFonts w:ascii="Arial" w:cs="Arial" w:eastAsia="Arial" w:hAnsi="Arial"/>
          <w:sz w:val="18"/>
          <w:szCs w:val="18"/>
          <w:b w:val="1"/>
          <w:bCs w:val="1"/>
          <w:u w:val="single" w:color="auto"/>
          <w:color w:val="0000FF"/>
          <w:highlight w:val="lightGray"/>
        </w:rPr>
        <w:t>(x)</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Impacted Loans</w:t>
      </w:r>
      <w:r>
        <w:rPr>
          <w:rFonts w:ascii="Arial" w:cs="Arial" w:eastAsia="Arial" w:hAnsi="Arial"/>
          <w:sz w:val="18"/>
          <w:szCs w:val="18"/>
          <w:color w:val="auto"/>
        </w:rPr>
        <w:t>”) or (</w:t>
      </w:r>
      <w:r>
        <w:rPr>
          <w:rFonts w:ascii="Arial" w:cs="Arial" w:eastAsia="Arial" w:hAnsi="Arial"/>
          <w:sz w:val="18"/>
          <w:szCs w:val="18"/>
          <w:color w:val="FF0000"/>
          <w:strike w:val="1"/>
        </w:rPr>
        <w:t>b</w:t>
      </w:r>
      <w:r>
        <w:rPr>
          <w:rFonts w:ascii="Arial" w:cs="Arial" w:eastAsia="Arial" w:hAnsi="Arial"/>
          <w:sz w:val="18"/>
          <w:szCs w:val="18"/>
          <w:b w:val="1"/>
          <w:bCs w:val="1"/>
          <w:u w:val="single" w:color="auto"/>
          <w:color w:val="0000FF"/>
          <w:highlight w:val="lightGray"/>
        </w:rPr>
        <w:t>ii</w:t>
      </w:r>
      <w:r>
        <w:rPr>
          <w:rFonts w:ascii="Arial" w:cs="Arial" w:eastAsia="Arial" w:hAnsi="Arial"/>
          <w:sz w:val="18"/>
          <w:szCs w:val="18"/>
          <w:color w:val="auto"/>
        </w:rPr>
        <w:t>) the Administrative Agent or the Required Lenders determine that for any reason the Eurodollar Rate for any requested Interest Period with respect to a proposed Eurodollar Rate Loan does not adequately and fairly reflect the cost to such Lenders of funding such Eurodollar Rate Loan, the Administrative Agent will promptly so notify the Borrower and each Lender. Thereafter, (</w:t>
      </w:r>
      <w:r>
        <w:rPr>
          <w:rFonts w:ascii="Arial" w:cs="Arial" w:eastAsia="Arial" w:hAnsi="Arial"/>
          <w:sz w:val="18"/>
          <w:szCs w:val="18"/>
          <w:color w:val="FF0000"/>
          <w:strike w:val="1"/>
        </w:rPr>
        <w:t>x</w:t>
      </w:r>
      <w:r>
        <w:rPr>
          <w:rFonts w:ascii="Arial" w:cs="Arial" w:eastAsia="Arial" w:hAnsi="Arial"/>
          <w:sz w:val="18"/>
          <w:szCs w:val="18"/>
          <w:b w:val="1"/>
          <w:bCs w:val="1"/>
          <w:u w:val="single" w:color="auto"/>
          <w:color w:val="0000FF"/>
          <w:highlight w:val="lightGray"/>
        </w:rPr>
        <w:t>A</w:t>
      </w:r>
      <w:r>
        <w:rPr>
          <w:rFonts w:ascii="Arial" w:cs="Arial" w:eastAsia="Arial" w:hAnsi="Arial"/>
          <w:sz w:val="18"/>
          <w:szCs w:val="18"/>
          <w:color w:val="auto"/>
        </w:rPr>
        <w:t>) the obligation of the Lenders to make or maintain Eurodollar Rate Loans shall be suspended, (to the extent of the affected Eurodollar Rate Loans or Interest Periods), and (</w:t>
      </w:r>
      <w:r>
        <w:rPr>
          <w:rFonts w:ascii="Arial" w:cs="Arial" w:eastAsia="Arial" w:hAnsi="Arial"/>
          <w:sz w:val="18"/>
          <w:szCs w:val="18"/>
          <w:color w:val="FF0000"/>
          <w:strike w:val="1"/>
        </w:rPr>
        <w:t>y</w:t>
      </w:r>
      <w:r>
        <w:rPr>
          <w:rFonts w:ascii="Arial" w:cs="Arial" w:eastAsia="Arial" w:hAnsi="Arial"/>
          <w:sz w:val="18"/>
          <w:szCs w:val="18"/>
          <w:b w:val="1"/>
          <w:bCs w:val="1"/>
          <w:u w:val="single" w:color="auto"/>
          <w:color w:val="0000FF"/>
          <w:highlight w:val="lightGray"/>
        </w:rPr>
        <w:t>B</w:t>
      </w:r>
      <w:r>
        <w:rPr>
          <w:rFonts w:ascii="Arial" w:cs="Arial" w:eastAsia="Arial" w:hAnsi="Arial"/>
          <w:sz w:val="18"/>
          <w:szCs w:val="18"/>
          <w:color w:val="auto"/>
        </w:rPr>
        <w:t>)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187" w:lineRule="exact"/>
        <w:rPr>
          <w:rFonts w:ascii="Arial" w:cs="Arial" w:eastAsia="Arial" w:hAnsi="Arial"/>
          <w:sz w:val="18"/>
          <w:szCs w:val="18"/>
          <w:color w:val="auto"/>
        </w:rPr>
      </w:pPr>
    </w:p>
    <w:p>
      <w:pPr>
        <w:jc w:val="both"/>
        <w:ind w:left="600" w:firstLine="599"/>
        <w:spacing w:after="0" w:line="281" w:lineRule="auto"/>
        <w:tabs>
          <w:tab w:leader="none" w:pos="203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Notwithstanding the foregoing, if the Administrative Agent has made the determination described in clause (a)(i)</w:t>
      </w:r>
      <w:r>
        <w:rPr>
          <w:rFonts w:ascii="Arial" w:cs="Arial" w:eastAsia="Arial" w:hAnsi="Arial"/>
          <w:sz w:val="18"/>
          <w:szCs w:val="18"/>
          <w:b w:val="1"/>
          <w:bCs w:val="1"/>
          <w:u w:val="single" w:color="auto"/>
          <w:color w:val="0000FF"/>
          <w:highlight w:val="lightGray"/>
        </w:rPr>
        <w:t>(x)</w:t>
      </w:r>
      <w:r>
        <w:rPr>
          <w:rFonts w:ascii="Arial" w:cs="Arial" w:eastAsia="Arial" w:hAnsi="Arial"/>
          <w:sz w:val="18"/>
          <w:szCs w:val="18"/>
          <w:color w:val="auto"/>
        </w:rPr>
        <w:t xml:space="preserve"> of the first sentence of this section, the Administrative Agent, in consultation with the Borrower and the affected Lenders, may establish an alternative interest rate for the Impacted Loans, in which case, such alternative rate of interest shall apply with respect to the Impacted Loans until (1) the Administrative Agent revokes the notice delivered with respect to the Impacted Loans under clause</w:t>
      </w:r>
    </w:p>
    <w:p>
      <w:pPr>
        <w:spacing w:after="0" w:line="1" w:lineRule="exact"/>
        <w:rPr>
          <w:rFonts w:ascii="Arial" w:cs="Arial" w:eastAsia="Arial" w:hAnsi="Arial"/>
          <w:sz w:val="18"/>
          <w:szCs w:val="18"/>
          <w:color w:val="auto"/>
        </w:rPr>
      </w:pPr>
    </w:p>
    <w:p>
      <w:pPr>
        <w:jc w:val="both"/>
        <w:ind w:left="600"/>
        <w:spacing w:after="0" w:line="249" w:lineRule="auto"/>
        <w:rPr>
          <w:rFonts w:ascii="Arial" w:cs="Arial" w:eastAsia="Arial" w:hAnsi="Arial"/>
          <w:sz w:val="18"/>
          <w:szCs w:val="18"/>
          <w:color w:val="auto"/>
        </w:rPr>
      </w:pPr>
      <w:r>
        <w:rPr>
          <w:rFonts w:ascii="Arial" w:cs="Arial" w:eastAsia="Arial" w:hAnsi="Arial"/>
          <w:sz w:val="20"/>
          <w:szCs w:val="20"/>
          <w:color w:val="auto"/>
        </w:rPr>
        <w:t>(a)</w:t>
      </w:r>
      <w:r>
        <w:rPr>
          <w:rFonts w:ascii="Arial" w:cs="Arial" w:eastAsia="Arial" w:hAnsi="Arial"/>
          <w:sz w:val="20"/>
          <w:szCs w:val="20"/>
          <w:b w:val="1"/>
          <w:bCs w:val="1"/>
          <w:u w:val="single" w:color="auto"/>
          <w:color w:val="0000FF"/>
          <w:highlight w:val="lightGray"/>
        </w:rPr>
        <w:t>(i)</w:t>
      </w:r>
      <w:r>
        <w:rPr>
          <w:rFonts w:ascii="Arial" w:cs="Arial" w:eastAsia="Arial" w:hAnsi="Arial"/>
          <w:sz w:val="20"/>
          <w:szCs w:val="20"/>
          <w:color w:val="auto"/>
        </w:rPr>
        <w:t xml:space="preserve"> of the first sentence of this section, (2) the Administrative Agent determines, or the affected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206" w:lineRule="exact"/>
        <w:rPr>
          <w:rFonts w:ascii="Arial" w:cs="Arial" w:eastAsia="Arial" w:hAnsi="Arial"/>
          <w:sz w:val="18"/>
          <w:szCs w:val="18"/>
          <w:color w:val="auto"/>
        </w:rPr>
      </w:pPr>
    </w:p>
    <w:p>
      <w:pPr>
        <w:jc w:val="both"/>
        <w:ind w:left="600" w:firstLine="599"/>
        <w:spacing w:after="0" w:line="272" w:lineRule="auto"/>
        <w:tabs>
          <w:tab w:leader="none" w:pos="2021" w:val="left"/>
        </w:tabs>
        <w:numPr>
          <w:ilvl w:val="0"/>
          <w:numId w:val="320"/>
        </w:numPr>
        <w:rPr>
          <w:rFonts w:ascii="Arial" w:cs="Arial" w:eastAsia="Arial" w:hAnsi="Arial"/>
          <w:sz w:val="19"/>
          <w:szCs w:val="19"/>
          <w:color w:val="auto"/>
        </w:rPr>
      </w:pPr>
      <w:r>
        <w:rPr>
          <w:rFonts w:ascii="Arial" w:cs="Arial" w:eastAsia="Arial" w:hAnsi="Arial"/>
          <w:sz w:val="19"/>
          <w:szCs w:val="19"/>
          <w:b w:val="1"/>
          <w:bCs w:val="1"/>
          <w:u w:val="single" w:color="auto"/>
          <w:color w:val="0000FF"/>
          <w:highlight w:val="lightGray"/>
        </w:rPr>
        <w:t>Notwithstanding the foregoing, in the event the Administrative Agent determines (which determination shall be conclusive absent manifest error) that (i) the circumstances set forth in Section 3.03(a)(i)(y) or Section 3.03(b) have arisen and such circumstances are unlikely to be temporary, (ii) ICE Benchmark Administration (or any Person that takes over the administration of such rate) discontinues its administration and publication of interest settlement rates for deposits in Dollars, or (iii) the supervisor for the administrator of the interest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95" w:right="239" w:bottom="1440" w:gutter="0" w:footer="0" w:header="0"/>
        </w:sectPr>
      </w:pPr>
    </w:p>
    <w:bookmarkStart w:id="289" w:name="page290"/>
    <w:bookmarkEnd w:id="289"/>
    <w:p>
      <w:pPr>
        <w:jc w:val="both"/>
        <w:spacing w:after="0" w:line="279" w:lineRule="auto"/>
        <w:rPr>
          <w:sz w:val="20"/>
          <w:szCs w:val="20"/>
          <w:color w:val="auto"/>
        </w:rPr>
      </w:pPr>
      <w:r>
        <w:rPr>
          <w:rFonts w:ascii="Arial" w:cs="Arial" w:eastAsia="Arial" w:hAnsi="Arial"/>
          <w:sz w:val="18"/>
          <w:szCs w:val="18"/>
          <w:b w:val="1"/>
          <w:bCs w:val="1"/>
          <w:u w:val="single" w:color="auto"/>
          <w:color w:val="0000FF"/>
          <w:highlight w:val="lightGray"/>
        </w:rPr>
        <w:t>settlement rate described in clause (ii) of this Section 3.03(c) or a Governmental Authority having jurisdiction over the Administrative Agent has made a public statement identifying a specific date after which such interest settlement rate shall no longer be used for determining interest rates for loans, then the Administrative Agent and the Borrower shall seek to jointly agree upon an alternate rate of interest to the Eurodollar Rate that gives due consideration to the then prevailing market convention for determining a rate of interest for syndicated loans in the United States at such time, and the Administrative Agent and the Borrower shall enter into an amendment to this Agreement to reflect such alternate rate of interest and such other related changes to this Agreement as may be applicable. Notwithstanding anything to the contrary in Section 10.01,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Required Lenders stating that such Required Lenders object to such amendment. Until an alternate rate of interest shall be determined in accordance with this Section 3.03(c), (x) any request pursuant to Section 2.02 that requests the conversion of any Borrowing to, or continuation of any Borrowing as, a Eurodollar Rate Loan shall be ineffective and any such Borrowing shall be continued as or converted to, as the case may be, a Base Rate Loan, and (y) if any request pursuant to Section 2.02 requests a Eurodollar Rate Loan, such Borrowing shall be made as a Base Rate Loan. If the alternate rate of interest determined pursuant to this Section 3.03(c) shall be less than zero, such rate shall be deemed to be zero for the purposes of this Agreement.</w:t>
      </w:r>
    </w:p>
    <w:p>
      <w:pPr>
        <w:spacing w:after="0" w:line="190"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3.04.</w:t>
      </w:r>
      <w:r>
        <w:rPr>
          <w:sz w:val="20"/>
          <w:szCs w:val="20"/>
          <w:color w:val="auto"/>
        </w:rPr>
        <w:tab/>
      </w:r>
      <w:r>
        <w:rPr>
          <w:rFonts w:ascii="Arial" w:cs="Arial" w:eastAsia="Arial" w:hAnsi="Arial"/>
          <w:sz w:val="17"/>
          <w:szCs w:val="17"/>
          <w:u w:val="single" w:color="auto"/>
          <w:color w:val="auto"/>
        </w:rPr>
        <w:t>Increased Costs; Reserves on Eurodollar Rate Loans</w:t>
      </w:r>
      <w:r>
        <w:rPr>
          <w:rFonts w:ascii="Arial" w:cs="Arial" w:eastAsia="Arial" w:hAnsi="Arial"/>
          <w:sz w:val="17"/>
          <w:szCs w:val="17"/>
          <w:color w:val="auto"/>
        </w:rPr>
        <w:t>.</w:t>
      </w:r>
    </w:p>
    <w:p>
      <w:pPr>
        <w:spacing w:after="0" w:line="245" w:lineRule="exact"/>
        <w:rPr>
          <w:sz w:val="20"/>
          <w:szCs w:val="20"/>
          <w:color w:val="auto"/>
        </w:rPr>
      </w:pPr>
    </w:p>
    <w:p>
      <w:pPr>
        <w:ind w:left="2020" w:hanging="822"/>
        <w:spacing w:after="0"/>
        <w:tabs>
          <w:tab w:leader="none" w:pos="2020" w:val="left"/>
        </w:tabs>
        <w:numPr>
          <w:ilvl w:val="0"/>
          <w:numId w:val="321"/>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45" w:lineRule="exact"/>
        <w:rPr>
          <w:sz w:val="20"/>
          <w:szCs w:val="20"/>
          <w:color w:val="auto"/>
        </w:rPr>
      </w:pPr>
    </w:p>
    <w:p>
      <w:pPr>
        <w:jc w:val="both"/>
        <w:ind w:firstLine="1198"/>
        <w:spacing w:after="0" w:line="302" w:lineRule="auto"/>
        <w:tabs>
          <w:tab w:leader="none" w:pos="1987"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xml:space="preserve">impose, modify or deem applicable any reserve, special deposit, liquidity or similar requirement (including any compulsory loan requirement, insurance charge or other similar assessment) against assets of, deposits with or for the account of, or credit extended or participated in by, any Lender or Recipient (except any reserve requirement contemplated by </w:t>
      </w:r>
      <w:r>
        <w:rPr>
          <w:rFonts w:ascii="Arial" w:cs="Arial" w:eastAsia="Arial" w:hAnsi="Arial"/>
          <w:sz w:val="18"/>
          <w:szCs w:val="18"/>
          <w:u w:val="single" w:color="auto"/>
          <w:color w:val="auto"/>
        </w:rPr>
        <w:t>Section 3.04(e)</w:t>
      </w:r>
      <w:r>
        <w:rPr>
          <w:rFonts w:ascii="Arial" w:cs="Arial" w:eastAsia="Arial" w:hAnsi="Arial"/>
          <w:sz w:val="18"/>
          <w:szCs w:val="18"/>
          <w:color w:val="auto"/>
        </w:rPr>
        <w:t>);</w:t>
      </w:r>
    </w:p>
    <w:p>
      <w:pPr>
        <w:spacing w:after="0" w:line="167" w:lineRule="exact"/>
        <w:rPr>
          <w:rFonts w:ascii="Arial" w:cs="Arial" w:eastAsia="Arial" w:hAnsi="Arial"/>
          <w:sz w:val="18"/>
          <w:szCs w:val="18"/>
          <w:color w:val="auto"/>
        </w:rPr>
      </w:pPr>
    </w:p>
    <w:p>
      <w:pPr>
        <w:jc w:val="both"/>
        <w:ind w:firstLine="1198"/>
        <w:spacing w:after="0" w:line="260" w:lineRule="auto"/>
        <w:tabs>
          <w:tab w:leader="none" w:pos="2043" w:val="left"/>
        </w:tabs>
        <w:numPr>
          <w:ilvl w:val="0"/>
          <w:numId w:val="322"/>
        </w:numPr>
        <w:rPr>
          <w:rFonts w:ascii="Arial" w:cs="Arial" w:eastAsia="Arial" w:hAnsi="Arial"/>
          <w:sz w:val="20"/>
          <w:szCs w:val="20"/>
          <w:color w:val="auto"/>
        </w:rPr>
      </w:pPr>
      <w:r>
        <w:rPr>
          <w:rFonts w:ascii="Arial" w:cs="Arial" w:eastAsia="Arial" w:hAnsi="Arial"/>
          <w:sz w:val="20"/>
          <w:szCs w:val="20"/>
          <w:color w:val="auto"/>
        </w:rPr>
        <w:t>subject any Recipient to any Taxes (other than (A) Indemnified Taxes, (B) Taxes described in clauses (b) through (d) of the definition of Excluded Taxes and (C) Connection Income Taxes) on its loans, loan principal, commitments, or other obligations, or its deposits, reserves, other liabilities or capital attributable thereto; or</w:t>
      </w:r>
    </w:p>
    <w:p>
      <w:pPr>
        <w:spacing w:after="0" w:line="201" w:lineRule="exact"/>
        <w:rPr>
          <w:rFonts w:ascii="Arial" w:cs="Arial" w:eastAsia="Arial" w:hAnsi="Arial"/>
          <w:sz w:val="20"/>
          <w:szCs w:val="20"/>
          <w:color w:val="auto"/>
        </w:rPr>
      </w:pPr>
    </w:p>
    <w:p>
      <w:pPr>
        <w:ind w:firstLine="1198"/>
        <w:spacing w:after="0" w:line="255" w:lineRule="auto"/>
        <w:tabs>
          <w:tab w:leader="none" w:pos="2098" w:val="left"/>
        </w:tabs>
        <w:numPr>
          <w:ilvl w:val="0"/>
          <w:numId w:val="322"/>
        </w:numPr>
        <w:rPr>
          <w:rFonts w:ascii="Arial" w:cs="Arial" w:eastAsia="Arial" w:hAnsi="Arial"/>
          <w:sz w:val="20"/>
          <w:szCs w:val="20"/>
          <w:color w:val="auto"/>
        </w:rPr>
      </w:pPr>
      <w:r>
        <w:rPr>
          <w:rFonts w:ascii="Arial" w:cs="Arial" w:eastAsia="Arial" w:hAnsi="Arial"/>
          <w:sz w:val="20"/>
          <w:szCs w:val="20"/>
          <w:color w:val="auto"/>
        </w:rPr>
        <w:t>impose on any Lender or the London interbank market any other condition, cost or expense affecting this Agreement or Eurodollar Rate Loans made by such Lender;</w:t>
      </w:r>
    </w:p>
    <w:p>
      <w:pPr>
        <w:spacing w:after="0" w:line="1" w:lineRule="exact"/>
        <w:rPr>
          <w:rFonts w:ascii="Arial" w:cs="Arial" w:eastAsia="Arial" w:hAnsi="Arial"/>
          <w:sz w:val="20"/>
          <w:szCs w:val="20"/>
          <w:color w:val="auto"/>
        </w:rPr>
      </w:pPr>
    </w:p>
    <w:p>
      <w:pPr>
        <w:jc w:val="both"/>
        <w:spacing w:after="0" w:line="282" w:lineRule="auto"/>
        <w:rPr>
          <w:rFonts w:ascii="Arial" w:cs="Arial" w:eastAsia="Arial" w:hAnsi="Arial"/>
          <w:sz w:val="20"/>
          <w:szCs w:val="20"/>
          <w:color w:val="auto"/>
        </w:rPr>
      </w:pPr>
      <w:r>
        <w:rPr>
          <w:rFonts w:ascii="Arial" w:cs="Arial" w:eastAsia="Arial" w:hAnsi="Arial"/>
          <w:sz w:val="18"/>
          <w:szCs w:val="18"/>
          <w:color w:val="auto"/>
        </w:rPr>
        <w:t>and the result of any of the foregoing shall be to increase the cost to such Lender or Recipient of making, converting to, continuing or maintaining any Loan the interest on which is determined by reference to the Eurodollar Rate (or, in the case of clauses (i) and (ii) above, any Loan), or of maintaining its obligation to make any such Loan, or to increase the cost to such Lender or Recipient or to reduce the amount of any sum received or receivable by such Lender or Recipient hereunder (whether of principal, interest or any other amount) then, upon request of such Lender or Recipient, the Borrower will pay to such Lender or Recipient such additional amount or amounts as will compensate such Lender or Recipient for such additional costs incurred or reduction suffered.</w:t>
      </w:r>
    </w:p>
    <w:p>
      <w:pPr>
        <w:spacing w:after="0" w:line="186" w:lineRule="exact"/>
        <w:rPr>
          <w:sz w:val="20"/>
          <w:szCs w:val="20"/>
          <w:color w:val="auto"/>
        </w:rPr>
      </w:pPr>
    </w:p>
    <w:p>
      <w:pPr>
        <w:ind w:left="600" w:firstLine="598"/>
        <w:spacing w:after="0" w:line="272" w:lineRule="auto"/>
        <w:tabs>
          <w:tab w:leader="none" w:pos="2032" w:val="left"/>
        </w:tabs>
        <w:numPr>
          <w:ilvl w:val="0"/>
          <w:numId w:val="323"/>
        </w:numPr>
        <w:rPr>
          <w:rFonts w:ascii="Arial" w:cs="Arial" w:eastAsia="Arial" w:hAnsi="Arial"/>
          <w:sz w:val="20"/>
          <w:szCs w:val="20"/>
          <w:color w:val="auto"/>
        </w:rPr>
      </w:pPr>
      <w:r>
        <w:rPr>
          <w:rFonts w:ascii="Arial" w:cs="Arial" w:eastAsia="Arial" w:hAnsi="Arial"/>
          <w:sz w:val="20"/>
          <w:szCs w:val="20"/>
          <w:u w:val="single" w:color="auto"/>
          <w:color w:val="auto"/>
        </w:rPr>
        <w:t>Capital Requirements</w:t>
      </w:r>
      <w:r>
        <w:rPr>
          <w:rFonts w:ascii="Arial" w:cs="Arial" w:eastAsia="Arial" w:hAnsi="Arial"/>
          <w:sz w:val="20"/>
          <w:szCs w:val="20"/>
          <w:color w:val="auto"/>
        </w:rPr>
        <w:t>. If any Lender determines that any Change in Law affecting such Lender or any Lending Office of such Lender or such Lender’s holding</w:t>
      </w:r>
    </w:p>
    <w:p>
      <w:pPr>
        <w:spacing w:after="0" w:line="16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820"/>
          </w:cols>
          <w:pgMar w:left="840" w:top="789" w:right="239" w:bottom="1440" w:gutter="0" w:footer="0" w:header="0"/>
        </w:sectPr>
      </w:pPr>
    </w:p>
    <w:bookmarkStart w:id="290" w:name="page291"/>
    <w:bookmarkEnd w:id="290"/>
    <w:p>
      <w:pPr>
        <w:jc w:val="both"/>
        <w:ind w:left="1200"/>
        <w:spacing w:after="0" w:line="251" w:lineRule="auto"/>
        <w:rPr>
          <w:sz w:val="20"/>
          <w:szCs w:val="20"/>
          <w:color w:val="auto"/>
        </w:rPr>
      </w:pPr>
      <w:r>
        <w:rPr>
          <w:rFonts w:ascii="Arial" w:cs="Arial" w:eastAsia="Arial" w:hAnsi="Arial"/>
          <w:sz w:val="20"/>
          <w:szCs w:val="20"/>
          <w:color w:val="auto"/>
        </w:rPr>
        <w:t xml:space="preserve">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w:t>
      </w:r>
      <w:r>
        <w:rPr>
          <w:rFonts w:ascii="Arial" w:cs="Arial" w:eastAsia="Arial" w:hAnsi="Arial"/>
          <w:sz w:val="20"/>
          <w:szCs w:val="20"/>
          <w:b w:val="1"/>
          <w:bCs w:val="1"/>
          <w:u w:val="single" w:color="auto"/>
          <w:color w:val="0000FF"/>
          <w:highlight w:val="lightGray"/>
        </w:rPr>
        <w:t>and liquidity</w:t>
      </w:r>
      <w:r>
        <w:rPr>
          <w:rFonts w:ascii="Arial" w:cs="Arial" w:eastAsia="Arial" w:hAnsi="Arial"/>
          <w:sz w:val="20"/>
          <w:szCs w:val="20"/>
          <w:color w:val="auto"/>
        </w:rPr>
        <w:t>), then from time to time the Borrower will pay to such Lender such additional amount or amounts as will compensate such Lender or such Lender’s holding company for any such reduction suffered.</w:t>
      </w:r>
    </w:p>
    <w:p>
      <w:pPr>
        <w:spacing w:after="0" w:line="215" w:lineRule="exact"/>
        <w:rPr>
          <w:sz w:val="20"/>
          <w:szCs w:val="20"/>
          <w:color w:val="auto"/>
        </w:rPr>
      </w:pPr>
    </w:p>
    <w:p>
      <w:pPr>
        <w:jc w:val="both"/>
        <w:ind w:left="600" w:firstLine="599"/>
        <w:spacing w:after="0" w:line="256" w:lineRule="auto"/>
        <w:tabs>
          <w:tab w:leader="none" w:pos="2021" w:val="left"/>
        </w:tabs>
        <w:numPr>
          <w:ilvl w:val="0"/>
          <w:numId w:val="324"/>
        </w:numPr>
        <w:rPr>
          <w:rFonts w:ascii="Arial" w:cs="Arial" w:eastAsia="Arial" w:hAnsi="Arial"/>
          <w:sz w:val="20"/>
          <w:szCs w:val="20"/>
          <w:color w:val="auto"/>
        </w:rPr>
      </w:pPr>
      <w:r>
        <w:rPr>
          <w:rFonts w:ascii="Arial" w:cs="Arial" w:eastAsia="Arial" w:hAnsi="Arial"/>
          <w:sz w:val="20"/>
          <w:szCs w:val="20"/>
          <w:u w:val="single" w:color="auto"/>
          <w:color w:val="auto"/>
        </w:rPr>
        <w:t>Certificates for Reimbursement</w:t>
      </w:r>
      <w:r>
        <w:rPr>
          <w:rFonts w:ascii="Arial" w:cs="Arial" w:eastAsia="Arial" w:hAnsi="Arial"/>
          <w:sz w:val="20"/>
          <w:szCs w:val="20"/>
          <w:color w:val="auto"/>
        </w:rPr>
        <w:t>. A certificate of a Lender setting forth the amount or amounts necessary to compensate such Lender or its holding company as specified in subsection (a) or (b) of this Section and delivered to the Borrower shall be conclusive absent manifest error. The Borrower shall pay such Lender the amount shown as due on any such certificate within 10 days after receipt thereof.</w:t>
      </w:r>
    </w:p>
    <w:p>
      <w:pPr>
        <w:spacing w:after="0" w:line="205" w:lineRule="exact"/>
        <w:rPr>
          <w:rFonts w:ascii="Arial" w:cs="Arial" w:eastAsia="Arial" w:hAnsi="Arial"/>
          <w:sz w:val="20"/>
          <w:szCs w:val="20"/>
          <w:color w:val="auto"/>
        </w:rPr>
      </w:pPr>
    </w:p>
    <w:p>
      <w:pPr>
        <w:jc w:val="both"/>
        <w:ind w:left="600" w:firstLine="599"/>
        <w:spacing w:after="0" w:line="267" w:lineRule="auto"/>
        <w:tabs>
          <w:tab w:leader="none" w:pos="2032" w:val="left"/>
        </w:tabs>
        <w:numPr>
          <w:ilvl w:val="0"/>
          <w:numId w:val="324"/>
        </w:numPr>
        <w:rPr>
          <w:rFonts w:ascii="Arial" w:cs="Arial" w:eastAsia="Arial" w:hAnsi="Arial"/>
          <w:sz w:val="19"/>
          <w:szCs w:val="19"/>
          <w:color w:val="auto"/>
        </w:rPr>
      </w:pPr>
      <w:r>
        <w:rPr>
          <w:rFonts w:ascii="Arial" w:cs="Arial" w:eastAsia="Arial" w:hAnsi="Arial"/>
          <w:sz w:val="19"/>
          <w:szCs w:val="19"/>
          <w:u w:val="single" w:color="auto"/>
          <w:color w:val="auto"/>
        </w:rPr>
        <w:t>Delay in Requests</w:t>
      </w:r>
      <w:r>
        <w:rPr>
          <w:rFonts w:ascii="Arial" w:cs="Arial" w:eastAsia="Arial" w:hAnsi="Arial"/>
          <w:sz w:val="19"/>
          <w:szCs w:val="19"/>
          <w:color w:val="auto"/>
        </w:rPr>
        <w:t xml:space="preserve">. Failure or delay on the part of any Lender to demand compensation pursuant to the foregoing provisions of this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shall not constitute a waiver of such Lender’s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required to compensate a Lender pursuant to the foregoing provisions of this Section for any increased costs incurred or reductions suffered more than nine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96" w:lineRule="exact"/>
        <w:rPr>
          <w:rFonts w:ascii="Arial" w:cs="Arial" w:eastAsia="Arial" w:hAnsi="Arial"/>
          <w:sz w:val="19"/>
          <w:szCs w:val="19"/>
          <w:color w:val="auto"/>
        </w:rPr>
      </w:pPr>
    </w:p>
    <w:p>
      <w:pPr>
        <w:jc w:val="both"/>
        <w:ind w:left="600" w:firstLine="599"/>
        <w:spacing w:after="0" w:line="266" w:lineRule="auto"/>
        <w:tabs>
          <w:tab w:leader="none" w:pos="2021" w:val="left"/>
        </w:tabs>
        <w:numPr>
          <w:ilvl w:val="0"/>
          <w:numId w:val="324"/>
        </w:numPr>
        <w:rPr>
          <w:rFonts w:ascii="Arial" w:cs="Arial" w:eastAsia="Arial" w:hAnsi="Arial"/>
          <w:sz w:val="19"/>
          <w:szCs w:val="19"/>
          <w:color w:val="auto"/>
        </w:rPr>
      </w:pPr>
      <w:r>
        <w:rPr>
          <w:rFonts w:ascii="Arial" w:cs="Arial" w:eastAsia="Arial" w:hAnsi="Arial"/>
          <w:sz w:val="19"/>
          <w:szCs w:val="19"/>
          <w:u w:val="single" w:color="auto"/>
          <w:color w:val="auto"/>
        </w:rPr>
        <w:t>Reserves on Eurodollar Rate Loans</w:t>
      </w:r>
      <w:r>
        <w:rPr>
          <w:rFonts w:ascii="Arial" w:cs="Arial" w:eastAsia="Arial" w:hAnsi="Arial"/>
          <w:sz w:val="19"/>
          <w:szCs w:val="19"/>
          <w:color w:val="auto"/>
        </w:rPr>
        <w:t xml:space="preserve">. The Borrower shall pay to each Lender, as long as such Lender shall be required to maintain reserves with respect to liabilities or assets consisting of or including Eurocurrency funds or deposits (currently known as “Eurocurrency liabilities”), additional interest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the Borrower shall have received at least 10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199" w:lineRule="exact"/>
        <w:rPr>
          <w:sz w:val="20"/>
          <w:szCs w:val="20"/>
          <w:color w:val="auto"/>
        </w:rPr>
      </w:pPr>
    </w:p>
    <w:p>
      <w:pPr>
        <w:jc w:val="both"/>
        <w:ind w:firstLine="1199"/>
        <w:spacing w:after="0" w:line="260" w:lineRule="auto"/>
        <w:rPr>
          <w:sz w:val="20"/>
          <w:szCs w:val="20"/>
          <w:color w:val="auto"/>
        </w:rPr>
      </w:pPr>
      <w:r>
        <w:rPr>
          <w:rFonts w:ascii="Arial" w:cs="Arial" w:eastAsia="Arial" w:hAnsi="Arial"/>
          <w:sz w:val="20"/>
          <w:szCs w:val="20"/>
          <w:color w:val="auto"/>
        </w:rPr>
        <w:t xml:space="preserve">3.05. </w:t>
      </w:r>
      <w:r>
        <w:rPr>
          <w:rFonts w:ascii="Arial" w:cs="Arial" w:eastAsia="Arial" w:hAnsi="Arial"/>
          <w:sz w:val="20"/>
          <w:szCs w:val="20"/>
          <w:u w:val="single" w:color="auto"/>
          <w:color w:val="auto"/>
        </w:rPr>
        <w:t>Compensation for Losses</w:t>
      </w:r>
      <w:r>
        <w:rPr>
          <w:rFonts w:ascii="Arial" w:cs="Arial" w:eastAsia="Arial" w:hAnsi="Arial"/>
          <w:sz w:val="20"/>
          <w:szCs w:val="20"/>
          <w:color w:val="auto"/>
        </w:rPr>
        <w:t>. Upon demand of any Lender (with a copy to the Administrative Agent) from time to time, the Borrower shall promptly compensate such Lender for and hold such Lender harmless from any loss, cost or expense incurred by it as a result of:</w:t>
      </w:r>
    </w:p>
    <w:p>
      <w:pPr>
        <w:spacing w:after="0" w:line="202" w:lineRule="exact"/>
        <w:rPr>
          <w:sz w:val="20"/>
          <w:szCs w:val="20"/>
          <w:color w:val="auto"/>
        </w:rPr>
      </w:pPr>
    </w:p>
    <w:p>
      <w:pPr>
        <w:ind w:left="600" w:right="180" w:firstLine="599"/>
        <w:spacing w:after="0" w:line="363" w:lineRule="auto"/>
        <w:tabs>
          <w:tab w:leader="none" w:pos="202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20" w:lineRule="exact"/>
        <w:rPr>
          <w:rFonts w:ascii="Arial" w:cs="Arial" w:eastAsia="Arial" w:hAnsi="Arial"/>
          <w:sz w:val="17"/>
          <w:szCs w:val="17"/>
          <w:color w:val="auto"/>
        </w:rPr>
      </w:pPr>
    </w:p>
    <w:p>
      <w:pPr>
        <w:ind w:left="600" w:right="280" w:firstLine="599"/>
        <w:spacing w:after="0" w:line="299" w:lineRule="auto"/>
        <w:tabs>
          <w:tab w:leader="none" w:pos="2032" w:val="left"/>
        </w:tabs>
        <w:numPr>
          <w:ilvl w:val="0"/>
          <w:numId w:val="325"/>
        </w:numPr>
        <w:rPr>
          <w:rFonts w:ascii="Arial" w:cs="Arial" w:eastAsia="Arial" w:hAnsi="Arial"/>
          <w:sz w:val="19"/>
          <w:szCs w:val="19"/>
          <w:color w:val="auto"/>
        </w:rPr>
      </w:pPr>
      <w:r>
        <w:rPr>
          <w:rFonts w:ascii="Arial" w:cs="Arial" w:eastAsia="Arial" w:hAnsi="Arial"/>
          <w:sz w:val="19"/>
          <w:szCs w:val="19"/>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795" w:right="239" w:bottom="1440" w:gutter="0" w:footer="0" w:header="0"/>
        </w:sectPr>
      </w:pPr>
    </w:p>
    <w:bookmarkStart w:id="291" w:name="page292"/>
    <w:bookmarkEnd w:id="291"/>
    <w:p>
      <w:pPr>
        <w:ind w:firstLine="599"/>
        <w:spacing w:after="0" w:line="255" w:lineRule="auto"/>
        <w:tabs>
          <w:tab w:leader="none" w:pos="1421" w:val="left"/>
        </w:tabs>
        <w:numPr>
          <w:ilvl w:val="0"/>
          <w:numId w:val="326"/>
        </w:numPr>
        <w:rPr>
          <w:rFonts w:ascii="Arial" w:cs="Arial" w:eastAsia="Arial" w:hAnsi="Arial"/>
          <w:sz w:val="20"/>
          <w:szCs w:val="20"/>
          <w:color w:val="auto"/>
        </w:rPr>
      </w:pPr>
      <w:r>
        <w:rPr>
          <w:rFonts w:ascii="Arial" w:cs="Arial" w:eastAsia="Arial" w:hAnsi="Arial"/>
          <w:sz w:val="20"/>
          <w:szCs w:val="20"/>
          <w:color w:val="auto"/>
        </w:rPr>
        <w:t xml:space="preserve">any assignment of a Eurodollar Rate Loan on a day other than the last day of the Interest Period therefor as a result of a request by the Borrower pursuant to </w:t>
      </w:r>
      <w:r>
        <w:rPr>
          <w:rFonts w:ascii="Arial" w:cs="Arial" w:eastAsia="Arial" w:hAnsi="Arial"/>
          <w:sz w:val="20"/>
          <w:szCs w:val="20"/>
          <w:u w:val="single" w:color="auto"/>
          <w:color w:val="auto"/>
        </w:rPr>
        <w:t>Section 10.13</w:t>
      </w:r>
      <w:r>
        <w:rPr>
          <w:rFonts w:ascii="Arial" w:cs="Arial" w:eastAsia="Arial" w:hAnsi="Arial"/>
          <w:sz w:val="20"/>
          <w:szCs w:val="20"/>
          <w:color w:val="auto"/>
        </w:rPr>
        <w:t>;</w:t>
      </w:r>
    </w:p>
    <w:p>
      <w:pPr>
        <w:spacing w:after="0" w:line="1" w:lineRule="exact"/>
        <w:rPr>
          <w:rFonts w:ascii="Arial" w:cs="Arial" w:eastAsia="Arial" w:hAnsi="Arial"/>
          <w:sz w:val="20"/>
          <w:szCs w:val="20"/>
          <w:color w:val="auto"/>
        </w:rPr>
      </w:pPr>
    </w:p>
    <w:p>
      <w:pPr>
        <w:jc w:val="both"/>
        <w:spacing w:after="0" w:line="275" w:lineRule="auto"/>
        <w:rPr>
          <w:rFonts w:ascii="Arial" w:cs="Arial" w:eastAsia="Arial" w:hAnsi="Arial"/>
          <w:sz w:val="20"/>
          <w:szCs w:val="20"/>
          <w:color w:val="auto"/>
        </w:rPr>
      </w:pPr>
      <w:r>
        <w:rPr>
          <w:rFonts w:ascii="Arial" w:cs="Arial" w:eastAsia="Arial" w:hAnsi="Arial"/>
          <w:sz w:val="18"/>
          <w:szCs w:val="18"/>
          <w:color w:val="auto"/>
        </w:rPr>
        <w:t>including any loss or expense arising from the liquidation or reemployment of funds obtained by it to maintain such Loan or from fees payable to terminate the deposits from which such funds were obtained (but excluding any lost profit or loss of margin or Applicable Rate). The Borrower shall also pay any customary administrative fees charged by such Lender in connection with the foregoing.</w:t>
      </w:r>
    </w:p>
    <w:p>
      <w:pPr>
        <w:jc w:val="both"/>
        <w:spacing w:after="0" w:line="250" w:lineRule="auto"/>
        <w:rPr>
          <w:rFonts w:ascii="Arial" w:cs="Arial" w:eastAsia="Arial" w:hAnsi="Arial"/>
          <w:sz w:val="20"/>
          <w:szCs w:val="20"/>
          <w:color w:val="auto"/>
        </w:rPr>
      </w:pPr>
      <w:r>
        <w:rPr>
          <w:rFonts w:ascii="Arial" w:cs="Arial" w:eastAsia="Arial" w:hAnsi="Arial"/>
          <w:sz w:val="20"/>
          <w:szCs w:val="20"/>
          <w:color w:val="auto"/>
        </w:rPr>
        <w:t xml:space="preserve">For purposes of calculating amounts payable by the Borrower to the Lenders under this </w:t>
      </w:r>
      <w:r>
        <w:rPr>
          <w:rFonts w:ascii="Arial" w:cs="Arial" w:eastAsia="Arial" w:hAnsi="Arial"/>
          <w:sz w:val="20"/>
          <w:szCs w:val="20"/>
          <w:u w:val="single" w:color="auto"/>
          <w:color w:val="auto"/>
        </w:rPr>
        <w:t>Section 3.05</w:t>
      </w:r>
      <w:r>
        <w:rPr>
          <w:rFonts w:ascii="Arial" w:cs="Arial" w:eastAsia="Arial" w:hAnsi="Arial"/>
          <w:sz w:val="20"/>
          <w:szCs w:val="20"/>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212"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3.06.</w:t>
      </w:r>
      <w:r>
        <w:rPr>
          <w:sz w:val="20"/>
          <w:szCs w:val="20"/>
          <w:color w:val="auto"/>
        </w:rPr>
        <w:tab/>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81" w:lineRule="auto"/>
        <w:tabs>
          <w:tab w:leader="none" w:pos="1421"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Designation of a Different Lending Office</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requires the Borrower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if any Lender gives a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then at the request of the Borrower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as the case may be, in the future, or eliminate the need for the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as applicable, and (ii) in each case,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91" w:lineRule="exact"/>
        <w:rPr>
          <w:rFonts w:ascii="Arial" w:cs="Arial" w:eastAsia="Arial" w:hAnsi="Arial"/>
          <w:sz w:val="18"/>
          <w:szCs w:val="18"/>
          <w:color w:val="auto"/>
        </w:rPr>
      </w:pPr>
    </w:p>
    <w:p>
      <w:pPr>
        <w:jc w:val="both"/>
        <w:ind w:firstLine="599"/>
        <w:spacing w:after="0" w:line="273" w:lineRule="auto"/>
        <w:tabs>
          <w:tab w:leader="none" w:pos="1432" w:val="left"/>
        </w:tabs>
        <w:numPr>
          <w:ilvl w:val="0"/>
          <w:numId w:val="327"/>
        </w:numPr>
        <w:rPr>
          <w:rFonts w:ascii="Arial" w:cs="Arial" w:eastAsia="Arial" w:hAnsi="Arial"/>
          <w:sz w:val="19"/>
          <w:szCs w:val="19"/>
          <w:color w:val="auto"/>
        </w:rPr>
      </w:pPr>
      <w:r>
        <w:rPr>
          <w:rFonts w:ascii="Arial" w:cs="Arial" w:eastAsia="Arial" w:hAnsi="Arial"/>
          <w:sz w:val="19"/>
          <w:szCs w:val="19"/>
          <w:u w:val="single" w:color="auto"/>
          <w:color w:val="auto"/>
        </w:rPr>
        <w:t>Replacement of Lenders</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and in each case, such Lender has declined or is unable to designate a different lending office in accordance with </w:t>
      </w:r>
      <w:r>
        <w:rPr>
          <w:rFonts w:ascii="Arial" w:cs="Arial" w:eastAsia="Arial" w:hAnsi="Arial"/>
          <w:sz w:val="19"/>
          <w:szCs w:val="19"/>
          <w:u w:val="single" w:color="auto"/>
          <w:color w:val="auto"/>
        </w:rPr>
        <w:t>Section 3.06(a)</w:t>
      </w:r>
      <w:r>
        <w:rPr>
          <w:rFonts w:ascii="Arial" w:cs="Arial" w:eastAsia="Arial" w:hAnsi="Arial"/>
          <w:sz w:val="19"/>
          <w:szCs w:val="19"/>
          <w:color w:val="auto"/>
        </w:rPr>
        <w:t xml:space="preserve">, the Borrower may replace such Lender in accordance with </w:t>
      </w:r>
      <w:r>
        <w:rPr>
          <w:rFonts w:ascii="Arial" w:cs="Arial" w:eastAsia="Arial" w:hAnsi="Arial"/>
          <w:sz w:val="19"/>
          <w:szCs w:val="19"/>
          <w:u w:val="single" w:color="auto"/>
          <w:color w:val="auto"/>
        </w:rPr>
        <w:t>Section 10.13</w:t>
      </w:r>
      <w:r>
        <w:rPr>
          <w:rFonts w:ascii="Arial" w:cs="Arial" w:eastAsia="Arial" w:hAnsi="Arial"/>
          <w:sz w:val="19"/>
          <w:szCs w:val="19"/>
          <w:color w:val="auto"/>
        </w:rPr>
        <w:t>.</w:t>
      </w:r>
    </w:p>
    <w:p>
      <w:pPr>
        <w:spacing w:after="0" w:line="192" w:lineRule="exact"/>
        <w:rPr>
          <w:sz w:val="20"/>
          <w:szCs w:val="20"/>
          <w:color w:val="auto"/>
        </w:rPr>
      </w:pPr>
    </w:p>
    <w:p>
      <w:pPr>
        <w:ind w:firstLine="600"/>
        <w:spacing w:after="0" w:line="272" w:lineRule="auto"/>
        <w:rPr>
          <w:sz w:val="20"/>
          <w:szCs w:val="20"/>
          <w:color w:val="auto"/>
        </w:rPr>
      </w:pPr>
      <w:r>
        <w:rPr>
          <w:rFonts w:ascii="Arial" w:cs="Arial" w:eastAsia="Arial" w:hAnsi="Arial"/>
          <w:sz w:val="20"/>
          <w:szCs w:val="20"/>
          <w:color w:val="auto"/>
        </w:rPr>
        <w:t xml:space="preserve">3.07. </w:t>
      </w: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All of the Borrower’s obligations under this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shall survive termination of the Commitments, repayment of all other Obligations hereunder, and resignation of the Administrative Agent.</w:t>
      </w:r>
    </w:p>
    <w:p>
      <w:pPr>
        <w:spacing w:after="0" w:line="191"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ARTICLE IV</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CONDITIONS PRECEDENT TO CREDIT EXTENSIONS</w:t>
      </w:r>
    </w:p>
    <w:p>
      <w:pPr>
        <w:spacing w:after="0" w:line="229" w:lineRule="exact"/>
        <w:rPr>
          <w:sz w:val="20"/>
          <w:szCs w:val="20"/>
          <w:color w:val="auto"/>
        </w:rPr>
      </w:pPr>
    </w:p>
    <w:p>
      <w:pPr>
        <w:ind w:firstLine="600"/>
        <w:spacing w:after="0" w:line="272" w:lineRule="auto"/>
        <w:rPr>
          <w:sz w:val="20"/>
          <w:szCs w:val="20"/>
          <w:color w:val="auto"/>
        </w:rPr>
      </w:pPr>
      <w:r>
        <w:rPr>
          <w:rFonts w:ascii="Arial" w:cs="Arial" w:eastAsia="Arial" w:hAnsi="Arial"/>
          <w:sz w:val="20"/>
          <w:szCs w:val="20"/>
          <w:color w:val="auto"/>
        </w:rPr>
        <w:t xml:space="preserve">4.01. </w:t>
      </w:r>
      <w:r>
        <w:rPr>
          <w:rFonts w:ascii="Arial" w:cs="Arial" w:eastAsia="Arial" w:hAnsi="Arial"/>
          <w:sz w:val="20"/>
          <w:szCs w:val="20"/>
          <w:u w:val="single" w:color="auto"/>
          <w:color w:val="auto"/>
        </w:rPr>
        <w:t>Conditions of Effectiveness</w:t>
      </w:r>
      <w:r>
        <w:rPr>
          <w:rFonts w:ascii="Arial" w:cs="Arial" w:eastAsia="Arial" w:hAnsi="Arial"/>
          <w:sz w:val="20"/>
          <w:szCs w:val="20"/>
          <w:color w:val="auto"/>
        </w:rPr>
        <w:t>. This Agreement shall become effective on and as of the first date (the “</w:t>
      </w:r>
      <w:r>
        <w:rPr>
          <w:rFonts w:ascii="Arial" w:cs="Arial" w:eastAsia="Arial" w:hAnsi="Arial"/>
          <w:sz w:val="20"/>
          <w:szCs w:val="20"/>
          <w:u w:val="single" w:color="auto"/>
          <w:color w:val="auto"/>
        </w:rPr>
        <w:t>Closing Date</w:t>
      </w:r>
      <w:r>
        <w:rPr>
          <w:rFonts w:ascii="Arial" w:cs="Arial" w:eastAsia="Arial" w:hAnsi="Arial"/>
          <w:sz w:val="20"/>
          <w:szCs w:val="20"/>
          <w:color w:val="auto"/>
        </w:rPr>
        <w:t>”) on which all of the following conditions precedent shall have been satisfied:</w:t>
      </w:r>
    </w:p>
    <w:p>
      <w:pPr>
        <w:spacing w:after="0" w:line="191" w:lineRule="exact"/>
        <w:rPr>
          <w:sz w:val="20"/>
          <w:szCs w:val="20"/>
          <w:color w:val="auto"/>
        </w:rPr>
      </w:pPr>
    </w:p>
    <w:p>
      <w:pPr>
        <w:jc w:val="both"/>
        <w:ind w:left="600" w:firstLine="598"/>
        <w:spacing w:after="0" w:line="302" w:lineRule="auto"/>
        <w:tabs>
          <w:tab w:leader="none" w:pos="2021"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Administrative Agent’s receipt of the following, each of which shall be original, or e-mail (in a .pdf format) or telecopies (followed promptly by originals) unless otherwise specified, each properly executed by a Responsible Officer of the signing Loan Party, each dated the Closing Date (or, in the case of certificates of governmental officials, a</w:t>
      </w:r>
    </w:p>
    <w:p>
      <w:pPr>
        <w:spacing w:after="0" w:line="14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820"/>
          </w:cols>
          <w:pgMar w:left="840" w:top="795" w:right="239" w:bottom="1440" w:gutter="0" w:footer="0" w:header="0"/>
        </w:sectPr>
      </w:pPr>
    </w:p>
    <w:bookmarkStart w:id="292" w:name="page293"/>
    <w:bookmarkEnd w:id="292"/>
    <w:p>
      <w:pPr>
        <w:ind w:left="601"/>
        <w:spacing w:after="0"/>
        <w:rPr>
          <w:sz w:val="20"/>
          <w:szCs w:val="20"/>
          <w:color w:val="auto"/>
        </w:rPr>
      </w:pPr>
      <w:r>
        <w:rPr>
          <w:rFonts w:ascii="Arial" w:cs="Arial" w:eastAsia="Arial" w:hAnsi="Arial"/>
          <w:sz w:val="18"/>
          <w:szCs w:val="18"/>
          <w:color w:val="auto"/>
        </w:rPr>
        <w:t>recent date before the Closing Date) and each in form and substance satisfactory to the Administrative Agent and each of the</w:t>
      </w:r>
    </w:p>
    <w:p>
      <w:pPr>
        <w:spacing w:after="0" w:line="46" w:lineRule="exact"/>
        <w:rPr>
          <w:sz w:val="20"/>
          <w:szCs w:val="20"/>
          <w:color w:val="auto"/>
        </w:rPr>
      </w:pPr>
    </w:p>
    <w:p>
      <w:pPr>
        <w:ind w:left="601"/>
        <w:spacing w:after="0"/>
        <w:rPr>
          <w:sz w:val="20"/>
          <w:szCs w:val="20"/>
          <w:color w:val="auto"/>
        </w:rPr>
      </w:pPr>
      <w:r>
        <w:rPr>
          <w:rFonts w:ascii="Arial" w:cs="Arial" w:eastAsia="Arial" w:hAnsi="Arial"/>
          <w:sz w:val="20"/>
          <w:szCs w:val="20"/>
          <w:color w:val="auto"/>
        </w:rPr>
        <w:t>Lenders:</w:t>
      </w:r>
    </w:p>
    <w:p>
      <w:pPr>
        <w:spacing w:after="0" w:line="229" w:lineRule="exact"/>
        <w:rPr>
          <w:sz w:val="20"/>
          <w:szCs w:val="20"/>
          <w:color w:val="auto"/>
        </w:rPr>
      </w:pPr>
    </w:p>
    <w:p>
      <w:pPr>
        <w:ind w:left="1981" w:hanging="782"/>
        <w:spacing w:after="0"/>
        <w:tabs>
          <w:tab w:leader="none" w:pos="1981" w:val="left"/>
        </w:tabs>
        <w:numPr>
          <w:ilvl w:val="0"/>
          <w:numId w:val="329"/>
        </w:numPr>
        <w:rPr>
          <w:rFonts w:ascii="Arial" w:cs="Arial" w:eastAsia="Arial" w:hAnsi="Arial"/>
          <w:sz w:val="20"/>
          <w:szCs w:val="20"/>
          <w:color w:val="auto"/>
        </w:rPr>
      </w:pPr>
      <w:r>
        <w:rPr>
          <w:rFonts w:ascii="Arial" w:cs="Arial" w:eastAsia="Arial" w:hAnsi="Arial"/>
          <w:sz w:val="20"/>
          <w:szCs w:val="20"/>
          <w:color w:val="auto"/>
        </w:rPr>
        <w:t>executed counterparts of this Agreement and the Guaranty;</w:t>
      </w:r>
    </w:p>
    <w:p>
      <w:pPr>
        <w:spacing w:after="0" w:line="244" w:lineRule="exact"/>
        <w:rPr>
          <w:rFonts w:ascii="Arial" w:cs="Arial" w:eastAsia="Arial" w:hAnsi="Arial"/>
          <w:sz w:val="20"/>
          <w:szCs w:val="20"/>
          <w:color w:val="auto"/>
        </w:rPr>
      </w:pPr>
    </w:p>
    <w:p>
      <w:pPr>
        <w:ind w:left="2041" w:hanging="842"/>
        <w:spacing w:after="0"/>
        <w:tabs>
          <w:tab w:leader="none" w:pos="2041"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 Term Note executed by the Borrower in favor of each Lender requesting a Term Note prior to the Closing</w:t>
      </w:r>
    </w:p>
    <w:p>
      <w:pPr>
        <w:spacing w:after="0" w:line="46" w:lineRule="exact"/>
        <w:rPr>
          <w:sz w:val="20"/>
          <w:szCs w:val="20"/>
          <w:color w:val="auto"/>
        </w:rPr>
      </w:pPr>
    </w:p>
    <w:p>
      <w:pPr>
        <w:ind w:left="1"/>
        <w:spacing w:after="0"/>
        <w:rPr>
          <w:sz w:val="20"/>
          <w:szCs w:val="20"/>
          <w:color w:val="auto"/>
        </w:rPr>
      </w:pPr>
      <w:r>
        <w:rPr>
          <w:rFonts w:ascii="Arial" w:cs="Arial" w:eastAsia="Arial" w:hAnsi="Arial"/>
          <w:sz w:val="20"/>
          <w:szCs w:val="20"/>
          <w:color w:val="auto"/>
        </w:rPr>
        <w:t>Date;</w:t>
      </w:r>
    </w:p>
    <w:p>
      <w:pPr>
        <w:spacing w:after="0" w:line="229" w:lineRule="exact"/>
        <w:rPr>
          <w:sz w:val="20"/>
          <w:szCs w:val="20"/>
          <w:color w:val="auto"/>
        </w:rPr>
      </w:pPr>
    </w:p>
    <w:p>
      <w:pPr>
        <w:jc w:val="both"/>
        <w:ind w:left="1" w:firstLine="1198"/>
        <w:spacing w:after="0" w:line="256" w:lineRule="auto"/>
        <w:tabs>
          <w:tab w:leader="none" w:pos="2099" w:val="left"/>
        </w:tabs>
        <w:numPr>
          <w:ilvl w:val="1"/>
          <w:numId w:val="330"/>
        </w:numPr>
        <w:rPr>
          <w:rFonts w:ascii="Arial" w:cs="Arial" w:eastAsia="Arial" w:hAnsi="Arial"/>
          <w:sz w:val="20"/>
          <w:szCs w:val="20"/>
          <w:color w:val="auto"/>
        </w:rPr>
      </w:pPr>
      <w:r>
        <w:rPr>
          <w:rFonts w:ascii="Arial" w:cs="Arial" w:eastAsia="Arial" w:hAnsi="Arial"/>
          <w:sz w:val="20"/>
          <w:szCs w:val="20"/>
          <w:color w:val="auto"/>
        </w:rPr>
        <w:t>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w:t>
      </w:r>
    </w:p>
    <w:p>
      <w:pPr>
        <w:spacing w:after="0" w:line="205" w:lineRule="exact"/>
        <w:rPr>
          <w:rFonts w:ascii="Arial" w:cs="Arial" w:eastAsia="Arial" w:hAnsi="Arial"/>
          <w:sz w:val="20"/>
          <w:szCs w:val="20"/>
          <w:color w:val="auto"/>
        </w:rPr>
      </w:pPr>
    </w:p>
    <w:p>
      <w:pPr>
        <w:jc w:val="both"/>
        <w:ind w:left="1" w:firstLine="1198"/>
        <w:spacing w:after="0" w:line="273" w:lineRule="auto"/>
        <w:tabs>
          <w:tab w:leader="none" w:pos="2088" w:val="left"/>
        </w:tabs>
        <w:numPr>
          <w:ilvl w:val="1"/>
          <w:numId w:val="330"/>
        </w:numPr>
        <w:rPr>
          <w:rFonts w:ascii="Arial" w:cs="Arial" w:eastAsia="Arial" w:hAnsi="Arial"/>
          <w:sz w:val="19"/>
          <w:szCs w:val="19"/>
          <w:color w:val="auto"/>
        </w:rPr>
      </w:pPr>
      <w:r>
        <w:rPr>
          <w:rFonts w:ascii="Arial" w:cs="Arial" w:eastAsia="Arial" w:hAnsi="Arial"/>
          <w:sz w:val="19"/>
          <w:szCs w:val="19"/>
          <w:color w:val="auto"/>
        </w:rPr>
        <w:t>such documents and certifications as the Administrative Agent may reasonably require to evidence that each Loan Party is duly organized or formed, and each Loan Party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192" w:lineRule="exact"/>
        <w:rPr>
          <w:rFonts w:ascii="Arial" w:cs="Arial" w:eastAsia="Arial" w:hAnsi="Arial"/>
          <w:sz w:val="19"/>
          <w:szCs w:val="19"/>
          <w:color w:val="auto"/>
        </w:rPr>
      </w:pPr>
    </w:p>
    <w:p>
      <w:pPr>
        <w:jc w:val="both"/>
        <w:ind w:left="1" w:firstLine="1198"/>
        <w:spacing w:after="0" w:line="260" w:lineRule="auto"/>
        <w:tabs>
          <w:tab w:leader="none" w:pos="2032" w:val="left"/>
        </w:tabs>
        <w:numPr>
          <w:ilvl w:val="1"/>
          <w:numId w:val="330"/>
        </w:numPr>
        <w:rPr>
          <w:rFonts w:ascii="Arial" w:cs="Arial" w:eastAsia="Arial" w:hAnsi="Arial"/>
          <w:sz w:val="20"/>
          <w:szCs w:val="20"/>
          <w:color w:val="auto"/>
        </w:rPr>
      </w:pPr>
      <w:r>
        <w:rPr>
          <w:rFonts w:ascii="Arial" w:cs="Arial" w:eastAsia="Arial" w:hAnsi="Arial"/>
          <w:sz w:val="20"/>
          <w:szCs w:val="20"/>
          <w:color w:val="auto"/>
        </w:rPr>
        <w:t>a favorable opinion of Latham &amp; Watkins LLP, counsel to the Loan Parties, addressed to the Administrative Agent and each Lender, as to such matters concerning the Loan Parties and the Loan Documents as the Administrative Agent may reasonably request;</w:t>
      </w:r>
    </w:p>
    <w:p>
      <w:pPr>
        <w:spacing w:after="0" w:line="201" w:lineRule="exact"/>
        <w:rPr>
          <w:rFonts w:ascii="Arial" w:cs="Arial" w:eastAsia="Arial" w:hAnsi="Arial"/>
          <w:sz w:val="20"/>
          <w:szCs w:val="20"/>
          <w:color w:val="auto"/>
        </w:rPr>
      </w:pPr>
    </w:p>
    <w:p>
      <w:pPr>
        <w:ind w:left="1" w:firstLine="1198"/>
        <w:spacing w:after="0" w:line="329" w:lineRule="auto"/>
        <w:tabs>
          <w:tab w:leader="none" w:pos="2088" w:val="left"/>
        </w:tabs>
        <w:numPr>
          <w:ilvl w:val="1"/>
          <w:numId w:val="330"/>
        </w:numPr>
        <w:rPr>
          <w:rFonts w:ascii="Arial" w:cs="Arial" w:eastAsia="Arial" w:hAnsi="Arial"/>
          <w:sz w:val="18"/>
          <w:szCs w:val="18"/>
          <w:color w:val="auto"/>
        </w:rPr>
      </w:pPr>
      <w:r>
        <w:rPr>
          <w:rFonts w:ascii="Arial" w:cs="Arial" w:eastAsia="Arial" w:hAnsi="Arial"/>
          <w:sz w:val="18"/>
          <w:szCs w:val="18"/>
          <w:color w:val="auto"/>
        </w:rPr>
        <w:t>a favorable opinion of in-house counsel to the Loan Parties, addressed to the Administrative Agent and each Lender, as to such matters concerning the Loan Parties and the Loan Documents as the Administrative Agent may reasonably request;</w:t>
      </w:r>
    </w:p>
    <w:p>
      <w:pPr>
        <w:spacing w:after="0" w:line="144" w:lineRule="exact"/>
        <w:rPr>
          <w:rFonts w:ascii="Arial" w:cs="Arial" w:eastAsia="Arial" w:hAnsi="Arial"/>
          <w:sz w:val="18"/>
          <w:szCs w:val="18"/>
          <w:color w:val="auto"/>
        </w:rPr>
      </w:pPr>
    </w:p>
    <w:p>
      <w:pPr>
        <w:jc w:val="both"/>
        <w:ind w:left="1" w:firstLine="1198"/>
        <w:spacing w:after="0" w:line="260" w:lineRule="auto"/>
        <w:tabs>
          <w:tab w:leader="none" w:pos="2143" w:val="left"/>
        </w:tabs>
        <w:numPr>
          <w:ilvl w:val="1"/>
          <w:numId w:val="330"/>
        </w:numPr>
        <w:rPr>
          <w:rFonts w:ascii="Arial" w:cs="Arial" w:eastAsia="Arial" w:hAnsi="Arial"/>
          <w:sz w:val="20"/>
          <w:szCs w:val="20"/>
          <w:color w:val="auto"/>
        </w:rPr>
      </w:pPr>
      <w:r>
        <w:rPr>
          <w:rFonts w:ascii="Arial" w:cs="Arial" w:eastAsia="Arial" w:hAnsi="Arial"/>
          <w:sz w:val="20"/>
          <w:szCs w:val="20"/>
          <w:color w:val="auto"/>
        </w:rPr>
        <w:t>a favorable opinion of Venable LLP, local counsel to the Loan Parties in Maryland, addressed to the Administrative Agent and each Lender, as to such matters concerning the Loan Parties and the Loan Documents as the Administrative Agent may reasonably request;</w:t>
      </w:r>
    </w:p>
    <w:p>
      <w:pPr>
        <w:spacing w:after="0" w:line="201" w:lineRule="exact"/>
        <w:rPr>
          <w:rFonts w:ascii="Arial" w:cs="Arial" w:eastAsia="Arial" w:hAnsi="Arial"/>
          <w:sz w:val="20"/>
          <w:szCs w:val="20"/>
          <w:color w:val="auto"/>
        </w:rPr>
      </w:pPr>
    </w:p>
    <w:p>
      <w:pPr>
        <w:jc w:val="both"/>
        <w:ind w:left="1" w:firstLine="1198"/>
        <w:spacing w:after="0" w:line="281" w:lineRule="auto"/>
        <w:tabs>
          <w:tab w:leader="none" w:pos="2199" w:val="left"/>
        </w:tabs>
        <w:numPr>
          <w:ilvl w:val="1"/>
          <w:numId w:val="330"/>
        </w:numPr>
        <w:rPr>
          <w:rFonts w:ascii="Arial" w:cs="Arial" w:eastAsia="Arial" w:hAnsi="Arial"/>
          <w:sz w:val="18"/>
          <w:szCs w:val="18"/>
          <w:color w:val="auto"/>
        </w:rPr>
      </w:pPr>
      <w:r>
        <w:rPr>
          <w:rFonts w:ascii="Arial" w:cs="Arial" w:eastAsia="Arial" w:hAnsi="Arial"/>
          <w:sz w:val="18"/>
          <w:szCs w:val="18"/>
          <w:color w:val="auto"/>
        </w:rPr>
        <w:t>a certificate of a Responsible Officer of each Loan Party either (A) attaching copies of all consents, licenses and approvals required in connection with the execution, delivery and performance by such Loan Party and the validity against such Loan Party of the Loan Documents to which it is a party, and such consents, licenses and approvals shall be in full force and effect, or</w:t>
      </w:r>
    </w:p>
    <w:p>
      <w:pPr>
        <w:ind w:left="321" w:hanging="321"/>
        <w:spacing w:after="0"/>
        <w:tabs>
          <w:tab w:leader="none" w:pos="321" w:val="left"/>
        </w:tabs>
        <w:numPr>
          <w:ilvl w:val="0"/>
          <w:numId w:val="331"/>
        </w:numPr>
        <w:rPr>
          <w:rFonts w:ascii="Arial" w:cs="Arial" w:eastAsia="Arial" w:hAnsi="Arial"/>
          <w:sz w:val="20"/>
          <w:szCs w:val="20"/>
          <w:color w:val="auto"/>
        </w:rPr>
      </w:pPr>
      <w:r>
        <w:rPr>
          <w:rFonts w:ascii="Arial" w:cs="Arial" w:eastAsia="Arial" w:hAnsi="Arial"/>
          <w:sz w:val="20"/>
          <w:szCs w:val="20"/>
          <w:color w:val="auto"/>
        </w:rPr>
        <w:t>stating that no such consents, licenses or approvals are so required;</w:t>
      </w:r>
    </w:p>
    <w:p>
      <w:pPr>
        <w:spacing w:after="0" w:line="228" w:lineRule="exact"/>
        <w:rPr>
          <w:rFonts w:ascii="Arial" w:cs="Arial" w:eastAsia="Arial" w:hAnsi="Arial"/>
          <w:sz w:val="20"/>
          <w:szCs w:val="20"/>
          <w:color w:val="auto"/>
        </w:rPr>
      </w:pPr>
    </w:p>
    <w:p>
      <w:pPr>
        <w:jc w:val="both"/>
        <w:ind w:left="1" w:firstLine="1198"/>
        <w:spacing w:after="0" w:line="288" w:lineRule="auto"/>
        <w:tabs>
          <w:tab w:leader="none" w:pos="2088" w:val="left"/>
        </w:tabs>
        <w:numPr>
          <w:ilvl w:val="1"/>
          <w:numId w:val="331"/>
        </w:numPr>
        <w:rPr>
          <w:rFonts w:ascii="Arial" w:cs="Arial" w:eastAsia="Arial" w:hAnsi="Arial"/>
          <w:sz w:val="18"/>
          <w:szCs w:val="18"/>
          <w:color w:val="auto"/>
        </w:rPr>
      </w:pPr>
      <w:r>
        <w:rPr>
          <w:rFonts w:ascii="Arial" w:cs="Arial" w:eastAsia="Arial" w:hAnsi="Arial"/>
          <w:sz w:val="18"/>
          <w:szCs w:val="18"/>
          <w:color w:val="auto"/>
        </w:rPr>
        <w:t xml:space="preserve">a certificate signed by a Responsible Officer of the Borrower certifying that (1) the conditions specified in this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have been satisfied (other than those conditions contingent upon the satisfaction of the Administrative Agent and/or the Lenders with respect to certain items received by them under this </w:t>
      </w:r>
      <w:r>
        <w:rPr>
          <w:rFonts w:ascii="Arial" w:cs="Arial" w:eastAsia="Arial" w:hAnsi="Arial"/>
          <w:sz w:val="18"/>
          <w:szCs w:val="18"/>
          <w:u w:val="single" w:color="auto"/>
          <w:color w:val="auto"/>
        </w:rPr>
        <w:t>Section 4.01</w:t>
      </w:r>
      <w:r>
        <w:rPr>
          <w:rFonts w:ascii="Arial" w:cs="Arial" w:eastAsia="Arial" w:hAnsi="Arial"/>
          <w:sz w:val="18"/>
          <w:szCs w:val="18"/>
          <w:color w:val="auto"/>
        </w:rPr>
        <w:t>) and (2) no action, suit, investigation or proceeding is pending or, to the knowledge of any Loan Party, threatened in any court or before any arbitrator or Governmental Authority related to the credit facility being provided under this Agreement or that could reasonably be expected to have a Material Adverse Effect;</w:t>
      </w:r>
    </w:p>
    <w:p>
      <w:pPr>
        <w:spacing w:after="0" w:line="181" w:lineRule="exact"/>
        <w:rPr>
          <w:rFonts w:ascii="Arial" w:cs="Arial" w:eastAsia="Arial" w:hAnsi="Arial"/>
          <w:sz w:val="18"/>
          <w:szCs w:val="18"/>
          <w:color w:val="auto"/>
        </w:rPr>
      </w:pPr>
    </w:p>
    <w:p>
      <w:pPr>
        <w:ind w:left="1" w:firstLine="1198"/>
        <w:spacing w:after="0" w:line="272" w:lineRule="auto"/>
        <w:tabs>
          <w:tab w:leader="none" w:pos="2032" w:val="left"/>
        </w:tabs>
        <w:numPr>
          <w:ilvl w:val="1"/>
          <w:numId w:val="331"/>
        </w:numPr>
        <w:rPr>
          <w:rFonts w:ascii="Arial" w:cs="Arial" w:eastAsia="Arial" w:hAnsi="Arial"/>
          <w:sz w:val="20"/>
          <w:szCs w:val="20"/>
          <w:color w:val="auto"/>
        </w:rPr>
      </w:pPr>
      <w:r>
        <w:rPr>
          <w:rFonts w:ascii="Arial" w:cs="Arial" w:eastAsia="Arial" w:hAnsi="Arial"/>
          <w:sz w:val="20"/>
          <w:szCs w:val="20"/>
          <w:color w:val="auto"/>
        </w:rPr>
        <w:t>a Solvency Certificate from the Loan Parties certifying that, after giving effect to the transactions to occur on the Closing Date (including, without limitation, any Credit Extension</w:t>
      </w:r>
    </w:p>
    <w:p>
      <w:pPr>
        <w:spacing w:after="0" w:line="168" w:lineRule="exact"/>
        <w:rPr>
          <w:sz w:val="20"/>
          <w:szCs w:val="20"/>
          <w:color w:val="auto"/>
        </w:rPr>
      </w:pPr>
    </w:p>
    <w:p>
      <w:pPr>
        <w:ind w:left="4961"/>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821"/>
          </w:cols>
          <w:pgMar w:left="839" w:top="795" w:right="239" w:bottom="1440" w:gutter="0" w:footer="0" w:header="0"/>
        </w:sectPr>
      </w:pPr>
    </w:p>
    <w:bookmarkStart w:id="293" w:name="page294"/>
    <w:bookmarkEnd w:id="293"/>
    <w:p>
      <w:pPr>
        <w:ind w:left="600"/>
        <w:spacing w:after="0"/>
        <w:rPr>
          <w:sz w:val="20"/>
          <w:szCs w:val="20"/>
          <w:color w:val="auto"/>
        </w:rPr>
      </w:pPr>
      <w:r>
        <w:rPr>
          <w:rFonts w:ascii="Arial" w:cs="Arial" w:eastAsia="Arial" w:hAnsi="Arial"/>
          <w:sz w:val="20"/>
          <w:szCs w:val="20"/>
          <w:color w:val="auto"/>
        </w:rPr>
        <w:t>to occur on the Closing Date), the REIT and its Consolidated Subsidiaries, on a consolidated basis, are Solvent;</w:t>
      </w:r>
    </w:p>
    <w:p>
      <w:pPr>
        <w:spacing w:after="0" w:line="245" w:lineRule="exact"/>
        <w:rPr>
          <w:sz w:val="20"/>
          <w:szCs w:val="20"/>
          <w:color w:val="auto"/>
        </w:rPr>
      </w:pPr>
    </w:p>
    <w:p>
      <w:pPr>
        <w:jc w:val="both"/>
        <w:ind w:left="600" w:firstLine="1198"/>
        <w:spacing w:after="0" w:line="256" w:lineRule="auto"/>
        <w:tabs>
          <w:tab w:leader="none" w:pos="2687" w:val="left"/>
        </w:tabs>
        <w:numPr>
          <w:ilvl w:val="1"/>
          <w:numId w:val="332"/>
        </w:numPr>
        <w:rPr>
          <w:rFonts w:ascii="Arial" w:cs="Arial" w:eastAsia="Arial" w:hAnsi="Arial"/>
          <w:sz w:val="20"/>
          <w:szCs w:val="20"/>
          <w:color w:val="auto"/>
        </w:rPr>
      </w:pPr>
      <w:r>
        <w:rPr>
          <w:rFonts w:ascii="Arial" w:cs="Arial" w:eastAsia="Arial" w:hAnsi="Arial"/>
          <w:sz w:val="20"/>
          <w:szCs w:val="20"/>
          <w:color w:val="auto"/>
        </w:rPr>
        <w:t>a duly completed Compliance Certificate as of the Closing Date (giving pro forma effect to the transactions to occur on the Closing Date, including, without limitation, all Credit Extensions to occur on the Effective Date), signed by a Responsible Officer of Borrower (such certificate being referred to herein as the “</w:t>
      </w:r>
      <w:r>
        <w:rPr>
          <w:rFonts w:ascii="Arial" w:cs="Arial" w:eastAsia="Arial" w:hAnsi="Arial"/>
          <w:sz w:val="20"/>
          <w:szCs w:val="20"/>
          <w:u w:val="single" w:color="auto"/>
          <w:color w:val="auto"/>
        </w:rPr>
        <w:t>Pro Forma Closing Date Compliance Certificate</w:t>
      </w:r>
      <w:r>
        <w:rPr>
          <w:rFonts w:ascii="Arial" w:cs="Arial" w:eastAsia="Arial" w:hAnsi="Arial"/>
          <w:sz w:val="20"/>
          <w:szCs w:val="20"/>
          <w:color w:val="auto"/>
        </w:rPr>
        <w:t>”); and</w:t>
      </w:r>
    </w:p>
    <w:p>
      <w:pPr>
        <w:spacing w:after="0" w:line="205" w:lineRule="exact"/>
        <w:rPr>
          <w:rFonts w:ascii="Arial" w:cs="Arial" w:eastAsia="Arial" w:hAnsi="Arial"/>
          <w:sz w:val="20"/>
          <w:szCs w:val="20"/>
          <w:color w:val="auto"/>
        </w:rPr>
      </w:pPr>
    </w:p>
    <w:p>
      <w:pPr>
        <w:ind w:left="600" w:firstLine="1198"/>
        <w:spacing w:after="0" w:line="272" w:lineRule="auto"/>
        <w:tabs>
          <w:tab w:leader="none" w:pos="2743" w:val="left"/>
        </w:tabs>
        <w:numPr>
          <w:ilvl w:val="1"/>
          <w:numId w:val="332"/>
        </w:numPr>
        <w:rPr>
          <w:rFonts w:ascii="Arial" w:cs="Arial" w:eastAsia="Arial" w:hAnsi="Arial"/>
          <w:sz w:val="20"/>
          <w:szCs w:val="20"/>
          <w:color w:val="auto"/>
        </w:rPr>
      </w:pPr>
      <w:r>
        <w:rPr>
          <w:rFonts w:ascii="Arial" w:cs="Arial" w:eastAsia="Arial" w:hAnsi="Arial"/>
          <w:sz w:val="20"/>
          <w:szCs w:val="20"/>
          <w:color w:val="auto"/>
        </w:rPr>
        <w:t>such other assurances, certificates, documents, consents or opinions as the Administrative Agent or any Arranger reasonably may require.</w:t>
      </w:r>
    </w:p>
    <w:p>
      <w:pPr>
        <w:spacing w:after="0" w:line="190" w:lineRule="exact"/>
        <w:rPr>
          <w:rFonts w:ascii="Arial" w:cs="Arial" w:eastAsia="Arial" w:hAnsi="Arial"/>
          <w:sz w:val="20"/>
          <w:szCs w:val="20"/>
          <w:color w:val="auto"/>
        </w:rPr>
      </w:pPr>
    </w:p>
    <w:p>
      <w:pPr>
        <w:ind w:left="600" w:right="360" w:firstLine="599"/>
        <w:spacing w:after="0" w:line="299" w:lineRule="auto"/>
        <w:tabs>
          <w:tab w:leader="none" w:pos="2032" w:val="left"/>
        </w:tabs>
        <w:numPr>
          <w:ilvl w:val="0"/>
          <w:numId w:val="333"/>
        </w:numPr>
        <w:rPr>
          <w:rFonts w:ascii="Arial" w:cs="Arial" w:eastAsia="Arial" w:hAnsi="Arial"/>
          <w:sz w:val="19"/>
          <w:szCs w:val="19"/>
          <w:color w:val="auto"/>
        </w:rPr>
      </w:pPr>
      <w:r>
        <w:rPr>
          <w:rFonts w:ascii="Arial" w:cs="Arial" w:eastAsia="Arial" w:hAnsi="Arial"/>
          <w:sz w:val="19"/>
          <w:szCs w:val="19"/>
          <w:color w:val="auto"/>
        </w:rPr>
        <w:t>(i) All fees required to be paid to the Administrative Agent and the Arrangers on or before the Closing Date shall have been paid and (ii) all fees required to be paid to the Lenders on or before the Closing Date shall have been paid.</w:t>
      </w:r>
    </w:p>
    <w:p>
      <w:pPr>
        <w:spacing w:after="0" w:line="167" w:lineRule="exact"/>
        <w:rPr>
          <w:rFonts w:ascii="Arial" w:cs="Arial" w:eastAsia="Arial" w:hAnsi="Arial"/>
          <w:sz w:val="19"/>
          <w:szCs w:val="19"/>
          <w:color w:val="auto"/>
        </w:rPr>
      </w:pPr>
    </w:p>
    <w:p>
      <w:pPr>
        <w:ind w:left="600" w:right="140" w:firstLine="599"/>
        <w:spacing w:after="0" w:line="329" w:lineRule="auto"/>
        <w:tabs>
          <w:tab w:leader="none" w:pos="2021"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All due diligence with respect to the REIT, the Borrower and their respective Subsidiaries, in scope and determination satisfactory to the Administrative Agent, Arrangers and the Lenders in their sole discretion, shall have been completed.</w:t>
      </w:r>
    </w:p>
    <w:p>
      <w:pPr>
        <w:spacing w:after="0" w:line="144" w:lineRule="exact"/>
        <w:rPr>
          <w:rFonts w:ascii="Arial" w:cs="Arial" w:eastAsia="Arial" w:hAnsi="Arial"/>
          <w:sz w:val="18"/>
          <w:szCs w:val="18"/>
          <w:color w:val="auto"/>
        </w:rPr>
      </w:pPr>
    </w:p>
    <w:p>
      <w:pPr>
        <w:ind w:left="600" w:right="220" w:firstLine="599"/>
        <w:spacing w:after="0" w:line="272" w:lineRule="auto"/>
        <w:tabs>
          <w:tab w:leader="none" w:pos="2032" w:val="left"/>
        </w:tabs>
        <w:numPr>
          <w:ilvl w:val="0"/>
          <w:numId w:val="333"/>
        </w:numPr>
        <w:rPr>
          <w:rFonts w:ascii="Arial" w:cs="Arial" w:eastAsia="Arial" w:hAnsi="Arial"/>
          <w:sz w:val="20"/>
          <w:szCs w:val="20"/>
          <w:color w:val="auto"/>
        </w:rPr>
      </w:pPr>
      <w:r>
        <w:rPr>
          <w:rFonts w:ascii="Arial" w:cs="Arial" w:eastAsia="Arial" w:hAnsi="Arial"/>
          <w:sz w:val="20"/>
          <w:szCs w:val="20"/>
          <w:color w:val="auto"/>
        </w:rPr>
        <w:t>There shall not have occurred since December 31, 2015 any event or condition that has had or could reasonably be expected, either individually or in the aggregate, to have a Material Adverse Effect.</w:t>
      </w:r>
    </w:p>
    <w:p>
      <w:pPr>
        <w:spacing w:after="0" w:line="190" w:lineRule="exact"/>
        <w:rPr>
          <w:rFonts w:ascii="Arial" w:cs="Arial" w:eastAsia="Arial" w:hAnsi="Arial"/>
          <w:sz w:val="20"/>
          <w:szCs w:val="20"/>
          <w:color w:val="auto"/>
        </w:rPr>
      </w:pPr>
    </w:p>
    <w:p>
      <w:pPr>
        <w:jc w:val="both"/>
        <w:ind w:left="600" w:firstLine="599"/>
        <w:spacing w:after="0" w:line="267" w:lineRule="auto"/>
        <w:tabs>
          <w:tab w:leader="none" w:pos="2021" w:val="left"/>
        </w:tabs>
        <w:numPr>
          <w:ilvl w:val="0"/>
          <w:numId w:val="333"/>
        </w:numPr>
        <w:rPr>
          <w:rFonts w:ascii="Arial" w:cs="Arial" w:eastAsia="Arial" w:hAnsi="Arial"/>
          <w:sz w:val="19"/>
          <w:szCs w:val="19"/>
          <w:color w:val="auto"/>
        </w:rPr>
      </w:pPr>
      <w:r>
        <w:rPr>
          <w:rFonts w:ascii="Arial" w:cs="Arial" w:eastAsia="Arial" w:hAnsi="Arial"/>
          <w:sz w:val="19"/>
          <w:szCs w:val="19"/>
          <w:color w:val="auto"/>
        </w:rPr>
        <w:t>Unless waived by the Administrative Agent, the Borrower shall have paid all reasonable and documented fees, charges and disbursements of counsel to the Administrative Agent (directly to such counsel if requested by the Administrative Agent) (limited to the fees and expenses of one primary counsel, one specialty counsel in each specialty and one local counsel in each local jurisdiction) to the extent invoiced prior to or on the first Business Day prior to the Closing Date, plus such additional amounts of such fees, charges and disbursements as shall constitute its reasonable estimate of such fees, charges and disbursements incurred or to be incurred by it through the closing proceedings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estimate shall not thereafter preclude a final settling of accounts between the Borrower and the Administrative Agent).</w:t>
      </w:r>
    </w:p>
    <w:p>
      <w:pPr>
        <w:spacing w:after="0" w:line="197" w:lineRule="exact"/>
        <w:rPr>
          <w:sz w:val="20"/>
          <w:szCs w:val="20"/>
          <w:color w:val="auto"/>
        </w:rPr>
      </w:pPr>
    </w:p>
    <w:p>
      <w:pPr>
        <w:jc w:val="both"/>
        <w:ind w:left="600"/>
        <w:spacing w:after="0" w:line="253" w:lineRule="auto"/>
        <w:rPr>
          <w:sz w:val="20"/>
          <w:szCs w:val="20"/>
          <w:color w:val="auto"/>
        </w:rPr>
      </w:pPr>
      <w:r>
        <w:rPr>
          <w:rFonts w:ascii="Arial" w:cs="Arial" w:eastAsia="Arial" w:hAnsi="Arial"/>
          <w:sz w:val="20"/>
          <w:szCs w:val="20"/>
          <w:color w:val="auto"/>
        </w:rPr>
        <w:t xml:space="preserve">Without limiting the generality of the provisions of the last paragraph of </w:t>
      </w:r>
      <w:r>
        <w:rPr>
          <w:rFonts w:ascii="Arial" w:cs="Arial" w:eastAsia="Arial" w:hAnsi="Arial"/>
          <w:sz w:val="20"/>
          <w:szCs w:val="20"/>
          <w:u w:val="single" w:color="auto"/>
          <w:color w:val="auto"/>
        </w:rPr>
        <w:t>Section 9.03</w:t>
      </w:r>
      <w:r>
        <w:rPr>
          <w:rFonts w:ascii="Arial" w:cs="Arial" w:eastAsia="Arial" w:hAnsi="Arial"/>
          <w:sz w:val="20"/>
          <w:szCs w:val="20"/>
          <w:color w:val="auto"/>
        </w:rPr>
        <w:t xml:space="preserve">, for purposes of determining compliance with the conditions specified in this </w:t>
      </w:r>
      <w:r>
        <w:rPr>
          <w:rFonts w:ascii="Arial" w:cs="Arial" w:eastAsia="Arial" w:hAnsi="Arial"/>
          <w:sz w:val="20"/>
          <w:szCs w:val="20"/>
          <w:u w:val="single" w:color="auto"/>
          <w:color w:val="auto"/>
        </w:rPr>
        <w:t>Section 4.01</w:t>
      </w:r>
      <w:r>
        <w:rPr>
          <w:rFonts w:ascii="Arial" w:cs="Arial" w:eastAsia="Arial" w:hAnsi="Arial"/>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written notice from such Lender prior to the proposed Closing Date specifying its objection thereto</w:t>
      </w:r>
      <w:r>
        <w:rPr>
          <w:rFonts w:ascii="Arial" w:cs="Arial" w:eastAsia="Arial" w:hAnsi="Arial"/>
          <w:sz w:val="20"/>
          <w:szCs w:val="20"/>
          <w:b w:val="1"/>
          <w:bCs w:val="1"/>
          <w:color w:val="auto"/>
        </w:rPr>
        <w:t>.</w:t>
      </w:r>
    </w:p>
    <w:p>
      <w:pPr>
        <w:spacing w:after="0" w:line="212" w:lineRule="exact"/>
        <w:rPr>
          <w:sz w:val="20"/>
          <w:szCs w:val="20"/>
          <w:color w:val="auto"/>
        </w:rPr>
      </w:pPr>
    </w:p>
    <w:p>
      <w:pPr>
        <w:jc w:val="both"/>
        <w:ind w:firstLine="1199"/>
        <w:spacing w:after="0" w:line="260" w:lineRule="auto"/>
        <w:rPr>
          <w:sz w:val="20"/>
          <w:szCs w:val="20"/>
          <w:color w:val="auto"/>
        </w:rPr>
      </w:pPr>
      <w:r>
        <w:rPr>
          <w:rFonts w:ascii="Arial" w:cs="Arial" w:eastAsia="Arial" w:hAnsi="Arial"/>
          <w:sz w:val="20"/>
          <w:szCs w:val="20"/>
          <w:color w:val="auto"/>
        </w:rPr>
        <w:t xml:space="preserve">4.02. </w:t>
      </w:r>
      <w:r>
        <w:rPr>
          <w:rFonts w:ascii="Arial" w:cs="Arial" w:eastAsia="Arial" w:hAnsi="Arial"/>
          <w:sz w:val="20"/>
          <w:szCs w:val="20"/>
          <w:u w:val="single" w:color="auto"/>
          <w:color w:val="auto"/>
        </w:rPr>
        <w:t>Conditions to All Credit Extensions</w:t>
      </w:r>
      <w:r>
        <w:rPr>
          <w:rFonts w:ascii="Arial" w:cs="Arial" w:eastAsia="Arial" w:hAnsi="Arial"/>
          <w:sz w:val="20"/>
          <w:szCs w:val="20"/>
          <w:color w:val="auto"/>
        </w:rPr>
        <w:t>. The obligation of each Lender to honor any Request for Credit Extension (other than a Loan Notice requesting only a conversion of Term Loans to the other Type, or a continuation of Eurodollar Rate Loans) is subject to the following conditions precedent:</w:t>
      </w:r>
    </w:p>
    <w:p>
      <w:pPr>
        <w:spacing w:after="0" w:line="202" w:lineRule="exact"/>
        <w:rPr>
          <w:sz w:val="20"/>
          <w:szCs w:val="20"/>
          <w:color w:val="auto"/>
        </w:rPr>
      </w:pPr>
    </w:p>
    <w:p>
      <w:pPr>
        <w:jc w:val="both"/>
        <w:ind w:left="600" w:firstLine="599"/>
        <w:spacing w:after="0" w:line="273" w:lineRule="auto"/>
        <w:tabs>
          <w:tab w:leader="none" w:pos="2021" w:val="left"/>
        </w:tabs>
        <w:numPr>
          <w:ilvl w:val="0"/>
          <w:numId w:val="334"/>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the Borrower and each other Loan Party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any other Loan Document, or which are contained in any document furnished at any time under or in connection herewith or therewith, shall be true and correct in all material respects on and as of the date of the proposed Credit Extension, except (i) to the extent that such representations and warranties specifically refer to an earlier date, in which case they shall be true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95" w:right="239" w:bottom="1440" w:gutter="0" w:footer="0" w:header="0"/>
        </w:sectPr>
      </w:pPr>
    </w:p>
    <w:bookmarkStart w:id="294" w:name="page295"/>
    <w:bookmarkEnd w:id="294"/>
    <w:p>
      <w:pPr>
        <w:ind w:left="600"/>
        <w:spacing w:after="0" w:line="284" w:lineRule="auto"/>
        <w:rPr>
          <w:sz w:val="20"/>
          <w:szCs w:val="20"/>
          <w:color w:val="auto"/>
        </w:rPr>
      </w:pPr>
      <w:r>
        <w:rPr>
          <w:rFonts w:ascii="Arial" w:cs="Arial" w:eastAsia="Arial" w:hAnsi="Arial"/>
          <w:sz w:val="18"/>
          <w:szCs w:val="18"/>
          <w:color w:val="auto"/>
        </w:rPr>
        <w:t>and correct as of such earlier date, (ii) any representation or warranty that is already by its terms qualified as to “materiality”, “Material Adverse Effect” or similar language shall be true and correct in all respects as of such date after giving effect to such qualification and</w:t>
      </w:r>
    </w:p>
    <w:p>
      <w:pPr>
        <w:spacing w:after="0" w:line="1" w:lineRule="exact"/>
        <w:rPr>
          <w:sz w:val="20"/>
          <w:szCs w:val="20"/>
          <w:color w:val="auto"/>
        </w:rPr>
      </w:pPr>
    </w:p>
    <w:p>
      <w:pPr>
        <w:ind w:left="600" w:hanging="1"/>
        <w:spacing w:after="0" w:line="282" w:lineRule="auto"/>
        <w:tabs>
          <w:tab w:leader="none" w:pos="960" w:val="left"/>
        </w:tabs>
        <w:numPr>
          <w:ilvl w:val="0"/>
          <w:numId w:val="335"/>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the representations and warranties contained in subsections (a) and (b) of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shall be deemed to refer to the most recent statements furnished pursuant to clauses (a) and (b), respectively, of </w:t>
      </w:r>
      <w:r>
        <w:rPr>
          <w:rFonts w:ascii="Arial" w:cs="Arial" w:eastAsia="Arial" w:hAnsi="Arial"/>
          <w:sz w:val="19"/>
          <w:szCs w:val="19"/>
          <w:u w:val="single" w:color="auto"/>
          <w:color w:val="auto"/>
        </w:rPr>
        <w:t>Section 6.01</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ind w:left="2040" w:hanging="841"/>
        <w:spacing w:after="0"/>
        <w:tabs>
          <w:tab w:leader="none" w:pos="204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from the application of the proceeds</w:t>
      </w:r>
    </w:p>
    <w:p>
      <w:pPr>
        <w:spacing w:after="0" w:line="46"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20"/>
          <w:szCs w:val="20"/>
          <w:color w:val="auto"/>
        </w:rPr>
        <w:t>thereof; and</w:t>
      </w:r>
    </w:p>
    <w:p>
      <w:pPr>
        <w:spacing w:after="0" w:line="228" w:lineRule="exact"/>
        <w:rPr>
          <w:rFonts w:ascii="Arial" w:cs="Arial" w:eastAsia="Arial" w:hAnsi="Arial"/>
          <w:sz w:val="18"/>
          <w:szCs w:val="18"/>
          <w:color w:val="auto"/>
        </w:rPr>
      </w:pPr>
    </w:p>
    <w:p>
      <w:pPr>
        <w:ind w:left="2020" w:hanging="821"/>
        <w:spacing w:after="0"/>
        <w:tabs>
          <w:tab w:leader="none" w:pos="202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The Administrative Agent shall have received a Request for Credit Extension in accordance with the requirements</w:t>
      </w:r>
    </w:p>
    <w:p>
      <w:pPr>
        <w:spacing w:after="0" w:line="46"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20"/>
          <w:szCs w:val="20"/>
          <w:color w:val="auto"/>
        </w:rPr>
        <w:t>hereof.</w:t>
      </w:r>
    </w:p>
    <w:p>
      <w:pPr>
        <w:spacing w:after="0" w:line="229" w:lineRule="exact"/>
        <w:rPr>
          <w:sz w:val="20"/>
          <w:szCs w:val="20"/>
          <w:color w:val="auto"/>
        </w:rPr>
      </w:pPr>
    </w:p>
    <w:p>
      <w:pPr>
        <w:jc w:val="both"/>
        <w:ind w:left="600" w:firstLine="600"/>
        <w:spacing w:after="0" w:line="280" w:lineRule="auto"/>
        <w:rPr>
          <w:sz w:val="20"/>
          <w:szCs w:val="20"/>
          <w:color w:val="auto"/>
        </w:rPr>
      </w:pPr>
      <w:r>
        <w:rPr>
          <w:rFonts w:ascii="Arial" w:cs="Arial" w:eastAsia="Arial" w:hAnsi="Arial"/>
          <w:sz w:val="19"/>
          <w:szCs w:val="19"/>
          <w:color w:val="auto"/>
        </w:rPr>
        <w:t xml:space="preserve">Each Request for Credit Extension (other than a Loan Notice requesting only a conversion of Loans to the other Type or a continuation of Eurodollar Rate Loans) submitted by the Borrower shall be deemed to be a representation and warranty that the conditions specified in </w:t>
      </w:r>
      <w:r>
        <w:rPr>
          <w:rFonts w:ascii="Arial" w:cs="Arial" w:eastAsia="Arial" w:hAnsi="Arial"/>
          <w:sz w:val="19"/>
          <w:szCs w:val="19"/>
          <w:u w:val="single" w:color="auto"/>
          <w:color w:val="auto"/>
        </w:rPr>
        <w:t>Sections 4.02(a)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have been satisfied on and as of the date of the applicable Credit Extension.</w:t>
      </w:r>
    </w:p>
    <w:p>
      <w:pPr>
        <w:spacing w:after="0" w:line="185"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ARTICLE V</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REPRESENTATIONS AND WARRANTIES</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Each of the REIT and the Borrower represents and warrants to the Administrative Agent and the Lenders that:</w:t>
      </w:r>
    </w:p>
    <w:p>
      <w:pPr>
        <w:spacing w:after="0" w:line="245" w:lineRule="exact"/>
        <w:rPr>
          <w:sz w:val="20"/>
          <w:szCs w:val="20"/>
          <w:color w:val="auto"/>
        </w:rPr>
      </w:pPr>
    </w:p>
    <w:p>
      <w:pPr>
        <w:jc w:val="both"/>
        <w:ind w:firstLine="1199"/>
        <w:spacing w:after="0" w:line="267" w:lineRule="auto"/>
        <w:rPr>
          <w:sz w:val="20"/>
          <w:szCs w:val="20"/>
          <w:color w:val="auto"/>
        </w:rPr>
      </w:pPr>
      <w:r>
        <w:rPr>
          <w:rFonts w:ascii="Arial" w:cs="Arial" w:eastAsia="Arial" w:hAnsi="Arial"/>
          <w:sz w:val="19"/>
          <w:szCs w:val="19"/>
          <w:color w:val="auto"/>
        </w:rPr>
        <w:t xml:space="preserve">5.01. </w:t>
      </w:r>
      <w:r>
        <w:rPr>
          <w:rFonts w:ascii="Arial" w:cs="Arial" w:eastAsia="Arial" w:hAnsi="Arial"/>
          <w:sz w:val="19"/>
          <w:szCs w:val="19"/>
          <w:u w:val="single" w:color="auto"/>
          <w:color w:val="auto"/>
        </w:rPr>
        <w:t>Existence, Qualification and Power</w:t>
      </w:r>
      <w:r>
        <w:rPr>
          <w:rFonts w:ascii="Arial" w:cs="Arial" w:eastAsia="Arial" w:hAnsi="Arial"/>
          <w:sz w:val="19"/>
          <w:szCs w:val="19"/>
          <w:color w:val="auto"/>
        </w:rPr>
        <w:t>. Each Loan Party and each of its Subsidiaries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w:t>
      </w:r>
    </w:p>
    <w:p>
      <w:pPr>
        <w:spacing w:after="0" w:line="197" w:lineRule="exact"/>
        <w:rPr>
          <w:sz w:val="20"/>
          <w:szCs w:val="20"/>
          <w:color w:val="auto"/>
        </w:rPr>
      </w:pPr>
    </w:p>
    <w:p>
      <w:pPr>
        <w:jc w:val="both"/>
        <w:ind w:firstLine="1199"/>
        <w:spacing w:after="0" w:line="284" w:lineRule="auto"/>
        <w:rPr>
          <w:sz w:val="20"/>
          <w:szCs w:val="20"/>
          <w:color w:val="auto"/>
        </w:rPr>
      </w:pPr>
      <w:r>
        <w:rPr>
          <w:rFonts w:ascii="Arial" w:cs="Arial" w:eastAsia="Arial" w:hAnsi="Arial"/>
          <w:sz w:val="18"/>
          <w:szCs w:val="18"/>
          <w:color w:val="auto"/>
        </w:rPr>
        <w:t xml:space="preserve">5.02. </w:t>
      </w:r>
      <w:r>
        <w:rPr>
          <w:rFonts w:ascii="Arial" w:cs="Arial" w:eastAsia="Arial" w:hAnsi="Arial"/>
          <w:sz w:val="18"/>
          <w:szCs w:val="18"/>
          <w:u w:val="single" w:color="auto"/>
          <w:color w:val="auto"/>
        </w:rPr>
        <w:t>Authorization; No Contravention</w:t>
      </w:r>
      <w:r>
        <w:rPr>
          <w:rFonts w:ascii="Arial" w:cs="Arial" w:eastAsia="Arial" w:hAnsi="Arial"/>
          <w:sz w:val="18"/>
          <w:szCs w:val="18"/>
          <w:color w:val="auto"/>
        </w:rPr>
        <w:t>. The execution, delivery and performance by each Loan Party of each Loan Document to which such Person is a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 except in each case referred to in clause (b) or (c) hereof, to the extent the same could not reasonably be expected to have a Material Adverse Effect.</w:t>
      </w:r>
    </w:p>
    <w:p>
      <w:pPr>
        <w:spacing w:after="0" w:line="184" w:lineRule="exact"/>
        <w:rPr>
          <w:sz w:val="20"/>
          <w:szCs w:val="20"/>
          <w:color w:val="auto"/>
        </w:rPr>
      </w:pPr>
    </w:p>
    <w:p>
      <w:pPr>
        <w:jc w:val="both"/>
        <w:ind w:firstLine="1199"/>
        <w:spacing w:after="0" w:line="256" w:lineRule="auto"/>
        <w:rPr>
          <w:sz w:val="20"/>
          <w:szCs w:val="20"/>
          <w:color w:val="auto"/>
        </w:rPr>
      </w:pPr>
      <w:r>
        <w:rPr>
          <w:rFonts w:ascii="Arial" w:cs="Arial" w:eastAsia="Arial" w:hAnsi="Arial"/>
          <w:sz w:val="20"/>
          <w:szCs w:val="20"/>
          <w:color w:val="auto"/>
        </w:rPr>
        <w:t xml:space="preserve">5.03. </w:t>
      </w:r>
      <w:r>
        <w:rPr>
          <w:rFonts w:ascii="Arial" w:cs="Arial" w:eastAsia="Arial" w:hAnsi="Arial"/>
          <w:sz w:val="20"/>
          <w:szCs w:val="20"/>
          <w:u w:val="single" w:color="auto"/>
          <w:color w:val="auto"/>
        </w:rPr>
        <w:t>Governmental Authorization; Other Consents</w:t>
      </w:r>
      <w:r>
        <w:rPr>
          <w:rFonts w:ascii="Arial" w:cs="Arial" w:eastAsia="Arial" w:hAnsi="Arial"/>
          <w:sz w:val="20"/>
          <w:szCs w:val="20"/>
          <w:color w:val="auto"/>
        </w:rPr>
        <w:t>. 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or (b) the exercise by the Administrative Agent or any Lender of its rights or remedies under the Loan Documents, except for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795" w:right="239" w:bottom="1440" w:gutter="0" w:footer="0" w:header="0"/>
        </w:sectPr>
      </w:pPr>
    </w:p>
    <w:bookmarkStart w:id="295" w:name="page296"/>
    <w:bookmarkEnd w:id="295"/>
    <w:p>
      <w:pPr>
        <w:jc w:val="both"/>
        <w:spacing w:after="0" w:line="272" w:lineRule="auto"/>
        <w:rPr>
          <w:sz w:val="20"/>
          <w:szCs w:val="20"/>
          <w:color w:val="auto"/>
        </w:rPr>
      </w:pPr>
      <w:r>
        <w:rPr>
          <w:rFonts w:ascii="Arial" w:cs="Arial" w:eastAsia="Arial" w:hAnsi="Arial"/>
          <w:sz w:val="20"/>
          <w:szCs w:val="20"/>
          <w:color w:val="auto"/>
        </w:rPr>
        <w:t>approvals, consents, exemptions, authorizations, actions, notices and filings which have been duly obtained, taken, given or made and are in full force and effect.</w:t>
      </w:r>
    </w:p>
    <w:p>
      <w:pPr>
        <w:spacing w:after="0" w:line="191" w:lineRule="exact"/>
        <w:rPr>
          <w:sz w:val="20"/>
          <w:szCs w:val="20"/>
          <w:color w:val="auto"/>
        </w:rPr>
      </w:pPr>
    </w:p>
    <w:p>
      <w:pPr>
        <w:jc w:val="both"/>
        <w:ind w:firstLine="1199"/>
        <w:spacing w:after="0" w:line="288" w:lineRule="auto"/>
        <w:rPr>
          <w:sz w:val="20"/>
          <w:szCs w:val="20"/>
          <w:color w:val="auto"/>
        </w:rPr>
      </w:pPr>
      <w:r>
        <w:rPr>
          <w:rFonts w:ascii="Arial" w:cs="Arial" w:eastAsia="Arial" w:hAnsi="Arial"/>
          <w:sz w:val="18"/>
          <w:szCs w:val="18"/>
          <w:color w:val="auto"/>
        </w:rPr>
        <w:t xml:space="preserve">5.04.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as enforceability may be limited by applicable bankruptcy, insolvency, reorganization, moratorium or other similar laws affecting creditors’ rights generally, or by general equitable principles relating to enforceability.</w:t>
      </w:r>
    </w:p>
    <w:p>
      <w:pPr>
        <w:spacing w:after="0" w:line="182" w:lineRule="exact"/>
        <w:rPr>
          <w:sz w:val="20"/>
          <w:szCs w:val="20"/>
          <w:color w:val="auto"/>
        </w:rPr>
      </w:pPr>
    </w:p>
    <w:p>
      <w:pPr>
        <w:ind w:left="1200"/>
        <w:spacing w:after="0"/>
        <w:tabs>
          <w:tab w:leader="none" w:pos="1780" w:val="left"/>
        </w:tabs>
        <w:rPr>
          <w:sz w:val="20"/>
          <w:szCs w:val="20"/>
          <w:color w:val="auto"/>
        </w:rPr>
      </w:pPr>
      <w:r>
        <w:rPr>
          <w:rFonts w:ascii="Arial" w:cs="Arial" w:eastAsia="Arial" w:hAnsi="Arial"/>
          <w:sz w:val="20"/>
          <w:szCs w:val="20"/>
          <w:color w:val="auto"/>
        </w:rPr>
        <w:t>5.05.</w:t>
      </w:r>
      <w:r>
        <w:rPr>
          <w:sz w:val="20"/>
          <w:szCs w:val="20"/>
          <w:color w:val="auto"/>
        </w:rPr>
        <w:tab/>
      </w:r>
      <w:r>
        <w:rPr>
          <w:rFonts w:ascii="Arial" w:cs="Arial" w:eastAsia="Arial" w:hAnsi="Arial"/>
          <w:sz w:val="18"/>
          <w:szCs w:val="18"/>
          <w:u w:val="single" w:color="auto"/>
          <w:color w:val="auto"/>
        </w:rPr>
        <w:t>Financial Statements; No Material Adverse Effect</w:t>
      </w:r>
      <w:r>
        <w:rPr>
          <w:rFonts w:ascii="Arial" w:cs="Arial" w:eastAsia="Arial" w:hAnsi="Arial"/>
          <w:sz w:val="18"/>
          <w:szCs w:val="18"/>
          <w:color w:val="auto"/>
        </w:rPr>
        <w:t>.</w:t>
      </w:r>
    </w:p>
    <w:p>
      <w:pPr>
        <w:spacing w:after="0" w:line="245" w:lineRule="exact"/>
        <w:rPr>
          <w:sz w:val="20"/>
          <w:szCs w:val="20"/>
          <w:color w:val="auto"/>
        </w:rPr>
      </w:pPr>
    </w:p>
    <w:p>
      <w:pPr>
        <w:jc w:val="both"/>
        <w:ind w:left="600" w:firstLine="599"/>
        <w:spacing w:after="0" w:line="315" w:lineRule="auto"/>
        <w:tabs>
          <w:tab w:leader="none" w:pos="2021" w:val="left"/>
        </w:tabs>
        <w:numPr>
          <w:ilvl w:val="0"/>
          <w:numId w:val="336"/>
        </w:numPr>
        <w:rPr>
          <w:rFonts w:ascii="Arial" w:cs="Arial" w:eastAsia="Arial" w:hAnsi="Arial"/>
          <w:sz w:val="17"/>
          <w:szCs w:val="17"/>
          <w:color w:val="auto"/>
        </w:rPr>
      </w:pPr>
      <w:r>
        <w:rPr>
          <w:rFonts w:ascii="Arial" w:cs="Arial" w:eastAsia="Arial" w:hAnsi="Arial"/>
          <w:sz w:val="17"/>
          <w:szCs w:val="17"/>
          <w:color w:val="auto"/>
        </w:rPr>
        <w:t>The Audited Financial Statements (i) were prepared in accordance with GAAP consistently applied throughout the period covered thereby, except as otherwise expressly noted therein and (ii) fairly present the financial condition of the Consolidated Group as of the date thereof and its results of operations, cash flows and changes in shareholders’ equity for the period covered thereby in accordance with GAAP consistently applied throughout the period covered thereby, except as otherwise expressly noted therein.</w:t>
      </w:r>
    </w:p>
    <w:p>
      <w:pPr>
        <w:spacing w:after="0" w:line="154" w:lineRule="exact"/>
        <w:rPr>
          <w:rFonts w:ascii="Arial" w:cs="Arial" w:eastAsia="Arial" w:hAnsi="Arial"/>
          <w:sz w:val="17"/>
          <w:szCs w:val="17"/>
          <w:color w:val="auto"/>
        </w:rPr>
      </w:pPr>
    </w:p>
    <w:p>
      <w:pPr>
        <w:jc w:val="both"/>
        <w:ind w:left="600" w:firstLine="599"/>
        <w:spacing w:after="0" w:line="269" w:lineRule="auto"/>
        <w:tabs>
          <w:tab w:leader="none" w:pos="2032" w:val="left"/>
        </w:tabs>
        <w:numPr>
          <w:ilvl w:val="0"/>
          <w:numId w:val="336"/>
        </w:numPr>
        <w:rPr>
          <w:rFonts w:ascii="Arial" w:cs="Arial" w:eastAsia="Arial" w:hAnsi="Arial"/>
          <w:sz w:val="19"/>
          <w:szCs w:val="19"/>
          <w:color w:val="auto"/>
        </w:rPr>
      </w:pPr>
      <w:r>
        <w:rPr>
          <w:rFonts w:ascii="Arial" w:cs="Arial" w:eastAsia="Arial" w:hAnsi="Arial"/>
          <w:sz w:val="19"/>
          <w:szCs w:val="19"/>
          <w:color w:val="auto"/>
        </w:rPr>
        <w:t xml:space="preserve">The unaudited consolidated balance sheet of the Consolidated Group dated September 30, </w:t>
      </w:r>
      <w:r>
        <w:rPr>
          <w:rFonts w:ascii="Arial" w:cs="Arial" w:eastAsia="Arial" w:hAnsi="Arial"/>
          <w:sz w:val="19"/>
          <w:szCs w:val="19"/>
          <w:color w:val="FF0000"/>
          <w:strike w:val="1"/>
        </w:rPr>
        <w:t>2015</w:t>
      </w:r>
      <w:r>
        <w:rPr>
          <w:rFonts w:ascii="Arial" w:cs="Arial" w:eastAsia="Arial" w:hAnsi="Arial"/>
          <w:sz w:val="19"/>
          <w:szCs w:val="19"/>
          <w:b w:val="1"/>
          <w:bCs w:val="1"/>
          <w:u w:val="single" w:color="auto"/>
          <w:color w:val="0000FF"/>
          <w:highlight w:val="lightGray"/>
        </w:rPr>
        <w:t>2017</w:t>
      </w:r>
      <w:r>
        <w:rPr>
          <w:rFonts w:ascii="Arial" w:cs="Arial" w:eastAsia="Arial" w:hAnsi="Arial"/>
          <w:sz w:val="19"/>
          <w:szCs w:val="19"/>
          <w:color w:val="auto"/>
        </w:rPr>
        <w:t>,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Consolidated Group as of the date thereof and its results of operations, cash flows and changes in shareholders’ equity for the period covered thereby, subject, in the case of clauses (i) and (ii), to the absence of footnotes and to normal year-end audit adjustments.</w:t>
      </w:r>
    </w:p>
    <w:p>
      <w:pPr>
        <w:spacing w:after="0" w:line="191" w:lineRule="exact"/>
        <w:rPr>
          <w:rFonts w:ascii="Arial" w:cs="Arial" w:eastAsia="Arial" w:hAnsi="Arial"/>
          <w:sz w:val="19"/>
          <w:szCs w:val="19"/>
          <w:color w:val="auto"/>
        </w:rPr>
      </w:pPr>
    </w:p>
    <w:p>
      <w:pPr>
        <w:ind w:left="600" w:firstLine="599"/>
        <w:spacing w:after="0" w:line="279" w:lineRule="auto"/>
        <w:tabs>
          <w:tab w:leader="none" w:pos="2021" w:val="left"/>
        </w:tabs>
        <w:numPr>
          <w:ilvl w:val="0"/>
          <w:numId w:val="336"/>
        </w:numPr>
        <w:rPr>
          <w:rFonts w:ascii="Arial" w:cs="Arial" w:eastAsia="Arial" w:hAnsi="Arial"/>
          <w:sz w:val="20"/>
          <w:szCs w:val="20"/>
          <w:color w:val="auto"/>
        </w:rPr>
      </w:pPr>
      <w:r>
        <w:rPr>
          <w:rFonts w:ascii="Arial" w:cs="Arial" w:eastAsia="Arial" w:hAnsi="Arial"/>
          <w:sz w:val="20"/>
          <w:szCs w:val="20"/>
          <w:color w:val="auto"/>
        </w:rPr>
        <w:t xml:space="preserve">Since December 31, </w:t>
      </w:r>
      <w:r>
        <w:rPr>
          <w:rFonts w:ascii="Arial" w:cs="Arial" w:eastAsia="Arial" w:hAnsi="Arial"/>
          <w:sz w:val="20"/>
          <w:szCs w:val="20"/>
          <w:color w:val="FF0000"/>
          <w:strike w:val="1"/>
        </w:rPr>
        <w:t>2015</w:t>
      </w:r>
      <w:r>
        <w:rPr>
          <w:rFonts w:ascii="Arial" w:cs="Arial" w:eastAsia="Arial" w:hAnsi="Arial"/>
          <w:sz w:val="20"/>
          <w:szCs w:val="20"/>
          <w:b w:val="1"/>
          <w:bCs w:val="1"/>
          <w:u w:val="single" w:color="auto"/>
          <w:color w:val="0000FF"/>
          <w:highlight w:val="lightGray"/>
        </w:rPr>
        <w:t>2016</w:t>
      </w:r>
      <w:r>
        <w:rPr>
          <w:rFonts w:ascii="Arial" w:cs="Arial" w:eastAsia="Arial" w:hAnsi="Arial"/>
          <w:sz w:val="20"/>
          <w:szCs w:val="20"/>
          <w:b w:val="1"/>
          <w:bCs w:val="1"/>
          <w:color w:val="auto"/>
        </w:rPr>
        <w:t>,</w:t>
      </w:r>
      <w:r>
        <w:rPr>
          <w:rFonts w:ascii="Arial" w:cs="Arial" w:eastAsia="Arial" w:hAnsi="Arial"/>
          <w:sz w:val="20"/>
          <w:szCs w:val="20"/>
          <w:color w:val="auto"/>
        </w:rPr>
        <w:t xml:space="preserve"> there has been no event or circumstance, either individually or in the aggregate, that has had or could reasonably be expected to have a Material Adverse Effect.</w:t>
      </w:r>
    </w:p>
    <w:p>
      <w:pPr>
        <w:spacing w:after="0" w:line="183" w:lineRule="exact"/>
        <w:rPr>
          <w:rFonts w:ascii="Arial" w:cs="Arial" w:eastAsia="Arial" w:hAnsi="Arial"/>
          <w:sz w:val="20"/>
          <w:szCs w:val="20"/>
          <w:color w:val="auto"/>
        </w:rPr>
      </w:pPr>
    </w:p>
    <w:p>
      <w:pPr>
        <w:jc w:val="both"/>
        <w:ind w:left="600" w:firstLine="599"/>
        <w:spacing w:after="0" w:line="293" w:lineRule="auto"/>
        <w:tabs>
          <w:tab w:leader="none" w:pos="2032" w:val="left"/>
        </w:tabs>
        <w:numPr>
          <w:ilvl w:val="0"/>
          <w:numId w:val="336"/>
        </w:numPr>
        <w:rPr>
          <w:rFonts w:ascii="Arial" w:cs="Arial" w:eastAsia="Arial" w:hAnsi="Arial"/>
          <w:sz w:val="18"/>
          <w:szCs w:val="18"/>
          <w:color w:val="auto"/>
        </w:rPr>
      </w:pPr>
      <w:r>
        <w:rPr>
          <w:rFonts w:ascii="Arial" w:cs="Arial" w:eastAsia="Arial" w:hAnsi="Arial"/>
          <w:sz w:val="18"/>
          <w:szCs w:val="18"/>
          <w:color w:val="auto"/>
        </w:rPr>
        <w:t xml:space="preserve">The consolidated forecasted balance sheet, statement of income and cash flows of the Consolidated Group delivered pursuant to </w:t>
      </w:r>
      <w:r>
        <w:rPr>
          <w:rFonts w:ascii="Arial" w:cs="Arial" w:eastAsia="Arial" w:hAnsi="Arial"/>
          <w:sz w:val="18"/>
          <w:szCs w:val="18"/>
          <w:u w:val="single" w:color="auto"/>
          <w:color w:val="auto"/>
        </w:rPr>
        <w:t>Section 6.01(c)</w:t>
      </w:r>
      <w:r>
        <w:rPr>
          <w:rFonts w:ascii="Arial" w:cs="Arial" w:eastAsia="Arial" w:hAnsi="Arial"/>
          <w:sz w:val="18"/>
          <w:szCs w:val="18"/>
          <w:color w:val="auto"/>
        </w:rPr>
        <w:t xml:space="preserve"> were prepared in good faith on the basis of the assumptions stated therein, which assumptions the Borrower believed to be reasonable at the time made; </w:t>
      </w:r>
      <w:r>
        <w:rPr>
          <w:rFonts w:ascii="Arial" w:cs="Arial" w:eastAsia="Arial" w:hAnsi="Arial"/>
          <w:sz w:val="18"/>
          <w:szCs w:val="18"/>
          <w:u w:val="single" w:color="auto"/>
          <w:color w:val="auto"/>
        </w:rPr>
        <w:t>provided</w:t>
      </w:r>
      <w:r>
        <w:rPr>
          <w:rFonts w:ascii="Arial" w:cs="Arial" w:eastAsia="Arial" w:hAnsi="Arial"/>
          <w:sz w:val="18"/>
          <w:szCs w:val="18"/>
          <w:color w:val="auto"/>
        </w:rPr>
        <w:t>, such forecasts are not to be viewed as facts and that actual results during the period or periods covered by such forecasts may differ from such forecasts and that the differences may be material.</w:t>
      </w:r>
    </w:p>
    <w:p>
      <w:pPr>
        <w:spacing w:after="0" w:line="176" w:lineRule="exact"/>
        <w:rPr>
          <w:sz w:val="20"/>
          <w:szCs w:val="20"/>
          <w:color w:val="auto"/>
        </w:rPr>
      </w:pPr>
    </w:p>
    <w:p>
      <w:pPr>
        <w:jc w:val="both"/>
        <w:ind w:firstLine="1199"/>
        <w:spacing w:after="0" w:line="253" w:lineRule="auto"/>
        <w:rPr>
          <w:sz w:val="20"/>
          <w:szCs w:val="20"/>
          <w:color w:val="auto"/>
        </w:rPr>
      </w:pPr>
      <w:r>
        <w:rPr>
          <w:rFonts w:ascii="Arial" w:cs="Arial" w:eastAsia="Arial" w:hAnsi="Arial"/>
          <w:sz w:val="20"/>
          <w:szCs w:val="20"/>
          <w:color w:val="auto"/>
        </w:rPr>
        <w:t xml:space="preserve">5.06. </w:t>
      </w:r>
      <w:r>
        <w:rPr>
          <w:rFonts w:ascii="Arial" w:cs="Arial" w:eastAsia="Arial" w:hAnsi="Arial"/>
          <w:sz w:val="20"/>
          <w:szCs w:val="20"/>
          <w:u w:val="single" w:color="auto"/>
          <w:color w:val="auto"/>
        </w:rPr>
        <w:t>Litigation</w:t>
      </w:r>
      <w:r>
        <w:rPr>
          <w:rFonts w:ascii="Arial" w:cs="Arial" w:eastAsia="Arial" w:hAnsi="Arial"/>
          <w:sz w:val="20"/>
          <w:szCs w:val="20"/>
          <w:color w:val="auto"/>
        </w:rPr>
        <w:t>. There are no actions, suits, proceedings, claims or disputes pending or, to the knowledge of the Borrower after due and diligent investigation, threatened in writing, at law, in equity, in arbitration or before any Governmental Authority, by or against any Loan Party or any of its Subsidiaries or against any of their properties or revenues that (a) purport to affect or pertain to this Agreement, any other Loan Document, or any of the transactions contemplated hereby, or (b) either individually or in the aggregate could reasonably be expected to have a Material Adverse Effect.</w:t>
      </w:r>
    </w:p>
    <w:p>
      <w:pPr>
        <w:spacing w:after="0" w:line="212" w:lineRule="exact"/>
        <w:rPr>
          <w:sz w:val="20"/>
          <w:szCs w:val="20"/>
          <w:color w:val="auto"/>
        </w:rPr>
      </w:pPr>
    </w:p>
    <w:p>
      <w:pPr>
        <w:jc w:val="both"/>
        <w:ind w:firstLine="1199"/>
        <w:spacing w:after="0" w:line="272" w:lineRule="auto"/>
        <w:rPr>
          <w:sz w:val="20"/>
          <w:szCs w:val="20"/>
          <w:color w:val="auto"/>
        </w:rPr>
      </w:pPr>
      <w:r>
        <w:rPr>
          <w:rFonts w:ascii="Arial" w:cs="Arial" w:eastAsia="Arial" w:hAnsi="Arial"/>
          <w:sz w:val="20"/>
          <w:szCs w:val="20"/>
          <w:color w:val="auto"/>
        </w:rPr>
        <w:t xml:space="preserve">5.07. </w:t>
      </w:r>
      <w:r>
        <w:rPr>
          <w:rFonts w:ascii="Arial" w:cs="Arial" w:eastAsia="Arial" w:hAnsi="Arial"/>
          <w:sz w:val="20"/>
          <w:szCs w:val="20"/>
          <w:u w:val="single" w:color="auto"/>
          <w:color w:val="auto"/>
        </w:rPr>
        <w:t>No Default</w:t>
      </w:r>
      <w:r>
        <w:rPr>
          <w:rFonts w:ascii="Arial" w:cs="Arial" w:eastAsia="Arial" w:hAnsi="Arial"/>
          <w:sz w:val="20"/>
          <w:szCs w:val="20"/>
          <w:color w:val="auto"/>
        </w:rPr>
        <w:t>. Neither any Loan Party nor any Subsidiary thereof is in default under or with respect to any Contractual Obligation that could, either individually or in the aggregate, reasonably be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795" w:right="239" w:bottom="1440" w:gutter="0" w:footer="0" w:header="0"/>
        </w:sectPr>
      </w:pPr>
    </w:p>
    <w:bookmarkStart w:id="296" w:name="page297"/>
    <w:bookmarkEnd w:id="296"/>
    <w:p>
      <w:pPr>
        <w:jc w:val="both"/>
        <w:spacing w:after="0" w:line="272" w:lineRule="auto"/>
        <w:rPr>
          <w:sz w:val="20"/>
          <w:szCs w:val="20"/>
          <w:color w:val="auto"/>
        </w:rPr>
      </w:pPr>
      <w:r>
        <w:rPr>
          <w:rFonts w:ascii="Arial" w:cs="Arial" w:eastAsia="Arial" w:hAnsi="Arial"/>
          <w:sz w:val="20"/>
          <w:szCs w:val="20"/>
          <w:color w:val="auto"/>
        </w:rPr>
        <w:t>expected to have a Material Adverse Effect. No Default has occurred and is continuing or would result from the consummation of the transactions contemplated by this Agreement or any other Loan Document.</w:t>
      </w:r>
    </w:p>
    <w:p>
      <w:pPr>
        <w:spacing w:after="0" w:line="191" w:lineRule="exact"/>
        <w:rPr>
          <w:sz w:val="20"/>
          <w:szCs w:val="20"/>
          <w:color w:val="auto"/>
        </w:rPr>
      </w:pPr>
    </w:p>
    <w:p>
      <w:pPr>
        <w:jc w:val="both"/>
        <w:ind w:firstLine="1199"/>
        <w:spacing w:after="0" w:line="256" w:lineRule="auto"/>
        <w:rPr>
          <w:sz w:val="20"/>
          <w:szCs w:val="20"/>
          <w:color w:val="auto"/>
        </w:rPr>
      </w:pPr>
      <w:r>
        <w:rPr>
          <w:rFonts w:ascii="Arial" w:cs="Arial" w:eastAsia="Arial" w:hAnsi="Arial"/>
          <w:sz w:val="20"/>
          <w:szCs w:val="20"/>
          <w:color w:val="auto"/>
        </w:rPr>
        <w:t xml:space="preserve">5.08. </w:t>
      </w:r>
      <w:r>
        <w:rPr>
          <w:rFonts w:ascii="Arial" w:cs="Arial" w:eastAsia="Arial" w:hAnsi="Arial"/>
          <w:sz w:val="20"/>
          <w:szCs w:val="20"/>
          <w:u w:val="single" w:color="auto"/>
          <w:color w:val="auto"/>
        </w:rPr>
        <w:t>Ownership of Property; Liens</w:t>
      </w:r>
      <w:r>
        <w:rPr>
          <w:rFonts w:ascii="Arial" w:cs="Arial" w:eastAsia="Arial" w:hAnsi="Arial"/>
          <w:sz w:val="20"/>
          <w:szCs w:val="20"/>
          <w:color w:val="auto"/>
        </w:rPr>
        <w:t xml:space="preserve">. Each Loan Party and each of its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 The property of each Loan Party and its Subsidiaries is subject to no Liens, other than Liens permitted by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205" w:lineRule="exact"/>
        <w:rPr>
          <w:sz w:val="20"/>
          <w:szCs w:val="20"/>
          <w:color w:val="auto"/>
        </w:rPr>
      </w:pPr>
    </w:p>
    <w:p>
      <w:pPr>
        <w:ind w:left="1200"/>
        <w:spacing w:after="0"/>
        <w:tabs>
          <w:tab w:leader="none" w:pos="1780" w:val="left"/>
        </w:tabs>
        <w:rPr>
          <w:sz w:val="20"/>
          <w:szCs w:val="20"/>
          <w:color w:val="auto"/>
        </w:rPr>
      </w:pPr>
      <w:r>
        <w:rPr>
          <w:rFonts w:ascii="Arial" w:cs="Arial" w:eastAsia="Arial" w:hAnsi="Arial"/>
          <w:sz w:val="20"/>
          <w:szCs w:val="20"/>
          <w:color w:val="auto"/>
        </w:rPr>
        <w:t>5.09.</w:t>
      </w:r>
      <w:r>
        <w:rPr>
          <w:sz w:val="20"/>
          <w:szCs w:val="20"/>
          <w:color w:val="auto"/>
        </w:rPr>
        <w:tab/>
      </w:r>
      <w:r>
        <w:rPr>
          <w:rFonts w:ascii="Arial" w:cs="Arial" w:eastAsia="Arial" w:hAnsi="Arial"/>
          <w:sz w:val="18"/>
          <w:szCs w:val="18"/>
          <w:u w:val="single" w:color="auto"/>
          <w:color w:val="auto"/>
        </w:rPr>
        <w:t>Environmental Compliance</w:t>
      </w:r>
      <w:r>
        <w:rPr>
          <w:rFonts w:ascii="Arial" w:cs="Arial" w:eastAsia="Arial" w:hAnsi="Arial"/>
          <w:sz w:val="18"/>
          <w:szCs w:val="18"/>
          <w:color w:val="auto"/>
        </w:rPr>
        <w:t>.</w:t>
      </w:r>
    </w:p>
    <w:p>
      <w:pPr>
        <w:spacing w:after="0" w:line="245" w:lineRule="exact"/>
        <w:rPr>
          <w:sz w:val="20"/>
          <w:szCs w:val="20"/>
          <w:color w:val="auto"/>
        </w:rPr>
      </w:pPr>
    </w:p>
    <w:p>
      <w:pPr>
        <w:jc w:val="both"/>
        <w:ind w:left="680" w:firstLine="594"/>
        <w:spacing w:after="0" w:line="293" w:lineRule="auto"/>
        <w:tabs>
          <w:tab w:leader="none" w:pos="2026" w:val="left"/>
        </w:tabs>
        <w:numPr>
          <w:ilvl w:val="1"/>
          <w:numId w:val="337"/>
        </w:numPr>
        <w:rPr>
          <w:rFonts w:ascii="Arial" w:cs="Arial" w:eastAsia="Arial" w:hAnsi="Arial"/>
          <w:sz w:val="18"/>
          <w:szCs w:val="18"/>
          <w:color w:val="auto"/>
        </w:rPr>
      </w:pPr>
      <w:r>
        <w:rPr>
          <w:rFonts w:ascii="Arial" w:cs="Arial" w:eastAsia="Arial" w:hAnsi="Arial"/>
          <w:sz w:val="18"/>
          <w:szCs w:val="18"/>
          <w:color w:val="auto"/>
        </w:rPr>
        <w:t>The Loan Parties and their respective Subsidiaries conduct in the ordinary course of business a review of the effect of existing Environmental Laws and claims alleging potential liability or responsibility for violation of any Environmental Law on their respective businesses, operations and properties, and as a result thereof the Borrower has reasonably concluded that such Environmental Laws and claims could not, individually or in the aggregate, reasonably be expected to have a Material Adverse Effect.</w:t>
      </w:r>
    </w:p>
    <w:p>
      <w:pPr>
        <w:spacing w:after="0" w:line="175" w:lineRule="exact"/>
        <w:rPr>
          <w:rFonts w:ascii="Arial" w:cs="Arial" w:eastAsia="Arial" w:hAnsi="Arial"/>
          <w:sz w:val="18"/>
          <w:szCs w:val="18"/>
          <w:color w:val="auto"/>
        </w:rPr>
      </w:pPr>
    </w:p>
    <w:p>
      <w:pPr>
        <w:jc w:val="both"/>
        <w:ind w:left="600" w:firstLine="599"/>
        <w:spacing w:after="0" w:line="280" w:lineRule="auto"/>
        <w:tabs>
          <w:tab w:leader="none" w:pos="2032" w:val="left"/>
        </w:tabs>
        <w:numPr>
          <w:ilvl w:val="0"/>
          <w:numId w:val="338"/>
        </w:numPr>
        <w:rPr>
          <w:rFonts w:ascii="Arial" w:cs="Arial" w:eastAsia="Arial" w:hAnsi="Arial"/>
          <w:sz w:val="18"/>
          <w:szCs w:val="18"/>
          <w:color w:val="auto"/>
        </w:rPr>
      </w:pPr>
      <w:r>
        <w:rPr>
          <w:rFonts w:ascii="Arial" w:cs="Arial" w:eastAsia="Arial" w:hAnsi="Arial"/>
          <w:sz w:val="18"/>
          <w:szCs w:val="18"/>
          <w:color w:val="auto"/>
        </w:rPr>
        <w:t>Except as could not reasonably be expected to have a Material Adverse Effect (i) none of the properties currently or formerly owned or operated by any Loan Party or any of its Subsidiaries, is listed or formally proposed for listing on the NPL or on the CERCLIS or any analogous foreign, state or local list or is adjacent to any such property; (ii) there are no and, to the knowledge of the Loan Parties and their Subsidiaries, have never been any underground or above-ground storage tanks for storage of Hazardous Materials on or at any property currently owned or operated by any Loan Party or any of its Subsidiaries or, to the knowledge of the Loan Parties on any property formerly owned or operated by any Loan Party or any of its Subsidiaries; (iii) there are no and to the knowledge of the Loan Parties and their Subsidiaries after due inquiry never have been any surface impoundments, septic tanks, pits, sumps or lagoons in which Hazardous Materials are being or have been treated, stored or disposed on any property currently owned or operated by any Loan Party or any of its Subsidiaries or, to the knowledge of the Loan Parties after due inquiry, on any property formerly owned or operated by any Loan Party or any of its Subsidiaries; (iv) there is no asbestos or asbestos-containing material on, at or in any property currently owned or operated by any Loan Party or any of its Subsidiaries; and (v) Hazardous Materials have not been Released on, at, under or from any property currently or formerly owned or operated by any Loan Party or any of its Subsidiaries.</w:t>
      </w:r>
    </w:p>
    <w:p>
      <w:pPr>
        <w:spacing w:after="0" w:line="187" w:lineRule="exact"/>
        <w:rPr>
          <w:rFonts w:ascii="Arial" w:cs="Arial" w:eastAsia="Arial" w:hAnsi="Arial"/>
          <w:sz w:val="18"/>
          <w:szCs w:val="18"/>
          <w:color w:val="auto"/>
        </w:rPr>
      </w:pPr>
    </w:p>
    <w:p>
      <w:pPr>
        <w:jc w:val="both"/>
        <w:ind w:left="600" w:firstLine="599"/>
        <w:spacing w:after="0" w:line="265" w:lineRule="auto"/>
        <w:tabs>
          <w:tab w:leader="none" w:pos="2021" w:val="left"/>
        </w:tabs>
        <w:numPr>
          <w:ilvl w:val="0"/>
          <w:numId w:val="338"/>
        </w:numPr>
        <w:rPr>
          <w:rFonts w:ascii="Arial" w:cs="Arial" w:eastAsia="Arial" w:hAnsi="Arial"/>
          <w:sz w:val="19"/>
          <w:szCs w:val="19"/>
          <w:color w:val="auto"/>
        </w:rPr>
      </w:pPr>
      <w:r>
        <w:rPr>
          <w:rFonts w:ascii="Arial" w:cs="Arial" w:eastAsia="Arial" w:hAnsi="Arial"/>
          <w:sz w:val="19"/>
          <w:szCs w:val="19"/>
          <w:color w:val="auto"/>
        </w:rPr>
        <w:t xml:space="preserve">(i) Neither any Loan Party nor any of its Subsidiaries is undertaking, and has not completed, either individually or together with other potentially responsible parties, any investigation or assessment or remedial or response action relating to any actual or threatened Release of Hazardous Materials at, on, under, or from any site, location or operation, either voluntarily or pursuant to the order of any Governmental Authority or the requirements of any Environmental Law, except as set forth on </w:t>
      </w:r>
      <w:r>
        <w:rPr>
          <w:rFonts w:ascii="Arial" w:cs="Arial" w:eastAsia="Arial" w:hAnsi="Arial"/>
          <w:sz w:val="19"/>
          <w:szCs w:val="19"/>
          <w:u w:val="single" w:color="auto"/>
          <w:color w:val="auto"/>
        </w:rPr>
        <w:t>Schedule 5.09(c)</w:t>
      </w:r>
      <w:r>
        <w:rPr>
          <w:rFonts w:ascii="Arial" w:cs="Arial" w:eastAsia="Arial" w:hAnsi="Arial"/>
          <w:sz w:val="19"/>
          <w:szCs w:val="19"/>
          <w:color w:val="auto"/>
        </w:rPr>
        <w:t xml:space="preserve"> or as could not reasonably be expected to result in a Material Adverse Effect, or with respect to any such investigation or assessment or remedial or response action initiated after the Closing Date, as disclosed to the Administrative Agent in writing; and (ii) all Hazardous Materials generated, used, treated, handled or stored at, or transported to or from, any property currently or formerly owned or operated by any Loan Party or any of its Subsidiaries have been disposed of in a manner, either of which could not reasonably expected to result in a Material Adverse Effect.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795" w:right="239" w:bottom="1440" w:gutter="0" w:footer="0" w:header="0"/>
        </w:sectPr>
      </w:pPr>
    </w:p>
    <w:bookmarkStart w:id="297" w:name="page298"/>
    <w:bookmarkEnd w:id="297"/>
    <w:p>
      <w:pPr>
        <w:jc w:val="both"/>
        <w:ind w:left="600" w:firstLine="599"/>
        <w:spacing w:after="0" w:line="280" w:lineRule="auto"/>
        <w:tabs>
          <w:tab w:leader="none" w:pos="2032"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5.09(d)</w:t>
      </w:r>
      <w:r>
        <w:rPr>
          <w:rFonts w:ascii="Arial" w:cs="Arial" w:eastAsia="Arial" w:hAnsi="Arial"/>
          <w:sz w:val="18"/>
          <w:szCs w:val="18"/>
          <w:color w:val="auto"/>
        </w:rPr>
        <w:t xml:space="preserve">, the Loan Parties and their respective Subsidiaries: (i) are, and within the period of all applicable statutes of limitation have been, in compliance in all respects with all applicable Environmental Laws, except to the extent that the failure to do so could not reasonably be expected to result in a Material Adverse Effect; (ii) hold all </w:t>
      </w:r>
      <w:r>
        <w:rPr>
          <w:rFonts w:ascii="Arial" w:cs="Arial" w:eastAsia="Arial" w:hAnsi="Arial"/>
          <w:sz w:val="18"/>
          <w:szCs w:val="18"/>
          <w:color w:val="FF0000"/>
          <w:strike w:val="1"/>
        </w:rPr>
        <w:t>material</w:t>
      </w:r>
      <w:r>
        <w:rPr>
          <w:rFonts w:ascii="Arial" w:cs="Arial" w:eastAsia="Arial" w:hAnsi="Arial"/>
          <w:sz w:val="18"/>
          <w:szCs w:val="18"/>
          <w:color w:val="auto"/>
        </w:rPr>
        <w:t xml:space="preserve"> Environmental Permits (each of which is in full force and effect) required for any of their current or intended operations or for each property owned, leased, or otherwise operated by any of them</w:t>
      </w:r>
      <w:r>
        <w:rPr>
          <w:rFonts w:ascii="Arial" w:cs="Arial" w:eastAsia="Arial" w:hAnsi="Arial"/>
          <w:sz w:val="18"/>
          <w:szCs w:val="18"/>
          <w:b w:val="1"/>
          <w:bCs w:val="1"/>
          <w:u w:val="single" w:color="auto"/>
          <w:color w:val="0000FF"/>
          <w:highlight w:val="lightGray"/>
        </w:rPr>
        <w:t>, except as could not reasonably be expected to have a Material</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highlight w:val="lightGray"/>
        </w:rPr>
        <w:t>Adverse Effect</w:t>
      </w:r>
      <w:r>
        <w:rPr>
          <w:rFonts w:ascii="Arial" w:cs="Arial" w:eastAsia="Arial" w:hAnsi="Arial"/>
          <w:sz w:val="18"/>
          <w:szCs w:val="18"/>
          <w:color w:val="000000"/>
        </w:rPr>
        <w:t>;</w:t>
      </w:r>
      <w:r>
        <w:rPr>
          <w:rFonts w:ascii="Arial" w:cs="Arial" w:eastAsia="Arial" w:hAnsi="Arial"/>
          <w:sz w:val="18"/>
          <w:szCs w:val="18"/>
          <w:b w:val="1"/>
          <w:bCs w:val="1"/>
          <w:color w:val="0000FF"/>
          <w:highlight w:val="lightGray"/>
        </w:rPr>
        <w:t xml:space="preserve"> </w:t>
      </w:r>
      <w:r>
        <w:rPr>
          <w:rFonts w:ascii="Arial" w:cs="Arial" w:eastAsia="Arial" w:hAnsi="Arial"/>
          <w:sz w:val="18"/>
          <w:szCs w:val="18"/>
          <w:b w:val="1"/>
          <w:bCs w:val="1"/>
          <w:u w:val="single" w:color="auto"/>
          <w:color w:val="0000FF"/>
          <w:highlight w:val="lightGray"/>
        </w:rPr>
        <w:t>and</w:t>
      </w:r>
      <w:r>
        <w:rPr>
          <w:rFonts w:ascii="Arial" w:cs="Arial" w:eastAsia="Arial" w:hAnsi="Arial"/>
          <w:sz w:val="18"/>
          <w:szCs w:val="18"/>
          <w:b w:val="1"/>
          <w:bCs w:val="1"/>
          <w:color w:val="0000FF"/>
          <w:highlight w:val="lightGray"/>
        </w:rPr>
        <w:t xml:space="preserve"> </w:t>
      </w:r>
      <w:r>
        <w:rPr>
          <w:rFonts w:ascii="Arial" w:cs="Arial" w:eastAsia="Arial" w:hAnsi="Arial"/>
          <w:sz w:val="18"/>
          <w:szCs w:val="18"/>
          <w:color w:val="000000"/>
        </w:rPr>
        <w:t>(iii) are, and within the period of all applicable statutes of limitation have been, in compliance with all of their</w:t>
      </w:r>
      <w:r>
        <w:rPr>
          <w:rFonts w:ascii="Arial" w:cs="Arial" w:eastAsia="Arial" w:hAnsi="Arial"/>
          <w:sz w:val="18"/>
          <w:szCs w:val="18"/>
          <w:b w:val="1"/>
          <w:bCs w:val="1"/>
          <w:color w:val="0000FF"/>
          <w:highlight w:val="lightGray"/>
        </w:rPr>
        <w:t xml:space="preserve"> </w:t>
      </w:r>
      <w:r>
        <w:rPr>
          <w:rFonts w:ascii="Arial" w:cs="Arial" w:eastAsia="Arial" w:hAnsi="Arial"/>
          <w:sz w:val="18"/>
          <w:szCs w:val="18"/>
          <w:color w:val="000000"/>
        </w:rPr>
        <w:t>Environmental Permits that pertain to any of their properties, except as could not reasonably be expected to have a Material Adverse Effect</w:t>
      </w:r>
      <w:r>
        <w:rPr>
          <w:rFonts w:ascii="Arial" w:cs="Arial" w:eastAsia="Arial" w:hAnsi="Arial"/>
          <w:sz w:val="18"/>
          <w:szCs w:val="18"/>
          <w:color w:val="FF0000"/>
          <w:strike w:val="1"/>
        </w:rPr>
        <w:t>; and (iv) in each case to the extent within the control of the Loan Parties and their respective Subsidiaries, each of their</w:t>
      </w:r>
      <w:r>
        <w:rPr>
          <w:rFonts w:ascii="Arial" w:cs="Arial" w:eastAsia="Arial" w:hAnsi="Arial"/>
          <w:sz w:val="18"/>
          <w:szCs w:val="18"/>
          <w:color w:val="000000"/>
        </w:rPr>
        <w:t xml:space="preserve"> </w:t>
      </w:r>
      <w:r>
        <w:rPr>
          <w:rFonts w:ascii="Arial" w:cs="Arial" w:eastAsia="Arial" w:hAnsi="Arial"/>
          <w:sz w:val="18"/>
          <w:szCs w:val="18"/>
          <w:color w:val="FF0000"/>
          <w:strike w:val="1"/>
        </w:rPr>
        <w:t>Environmental Permits will be timely renewed and complied with, any additional Environmental Permits that may be required of any of them will be timely obtained and complied with, without material expense, and compliance with any Environmental Law that is or is expected to become applicable to any of them will be timely attained and maintained, without material expense.</w:t>
      </w:r>
      <w:r>
        <w:rPr>
          <w:rFonts w:ascii="Arial" w:cs="Arial" w:eastAsia="Arial" w:hAnsi="Arial"/>
          <w:sz w:val="18"/>
          <w:szCs w:val="18"/>
          <w:b w:val="1"/>
          <w:bCs w:val="1"/>
          <w:color w:val="0000FF"/>
          <w:strike w:val="1"/>
        </w:rPr>
        <w:t>.</w:t>
      </w:r>
    </w:p>
    <w:p>
      <w:pPr>
        <w:spacing w:after="0" w:line="191" w:lineRule="exact"/>
        <w:rPr>
          <w:sz w:val="20"/>
          <w:szCs w:val="20"/>
          <w:color w:val="auto"/>
        </w:rPr>
      </w:pPr>
    </w:p>
    <w:p>
      <w:pPr>
        <w:jc w:val="both"/>
        <w:ind w:firstLine="1199"/>
        <w:spacing w:after="0" w:line="256" w:lineRule="auto"/>
        <w:rPr>
          <w:sz w:val="20"/>
          <w:szCs w:val="20"/>
          <w:color w:val="auto"/>
        </w:rPr>
      </w:pPr>
      <w:r>
        <w:rPr>
          <w:rFonts w:ascii="Arial" w:cs="Arial" w:eastAsia="Arial" w:hAnsi="Arial"/>
          <w:sz w:val="20"/>
          <w:szCs w:val="20"/>
          <w:color w:val="auto"/>
        </w:rPr>
        <w:t xml:space="preserve">5.10. </w:t>
      </w:r>
      <w:r>
        <w:rPr>
          <w:rFonts w:ascii="Arial" w:cs="Arial" w:eastAsia="Arial" w:hAnsi="Arial"/>
          <w:sz w:val="20"/>
          <w:szCs w:val="20"/>
          <w:u w:val="single" w:color="auto"/>
          <w:color w:val="auto"/>
        </w:rPr>
        <w:t>Insurance</w:t>
      </w:r>
      <w:r>
        <w:rPr>
          <w:rFonts w:ascii="Arial" w:cs="Arial" w:eastAsia="Arial" w:hAnsi="Arial"/>
          <w:sz w:val="20"/>
          <w:szCs w:val="20"/>
          <w:color w:val="auto"/>
        </w:rPr>
        <w:t>. The properties of each Loan Party and its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such Loan Party or the applicable Subsidiary operates.</w:t>
      </w:r>
    </w:p>
    <w:p>
      <w:pPr>
        <w:spacing w:after="0" w:line="205" w:lineRule="exact"/>
        <w:rPr>
          <w:sz w:val="20"/>
          <w:szCs w:val="20"/>
          <w:color w:val="auto"/>
        </w:rPr>
      </w:pPr>
    </w:p>
    <w:p>
      <w:pPr>
        <w:jc w:val="both"/>
        <w:ind w:firstLine="1199"/>
        <w:spacing w:after="0" w:line="300"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Taxes</w:t>
      </w:r>
      <w:r>
        <w:rPr>
          <w:rFonts w:ascii="Arial" w:cs="Arial" w:eastAsia="Arial" w:hAnsi="Arial"/>
          <w:sz w:val="17"/>
          <w:szCs w:val="17"/>
          <w:color w:val="auto"/>
        </w:rPr>
        <w:t xml:space="preserve">. Each Loan Party and each of its Subsidiaries has timely filed all federal, state and other material tax returns and reports required to be filed, and has timely paid all federal, state and other material Taxes (whether or not shown on a tax return), including in its capacity as a withholding agent, levied or imposed upon it or its properties, income or assets otherwise due and payable, except those Taxes which are being contested in good faith by appropriate proceedings diligently conducted and for which adequate reserves have been provided in accordance with GAAP. There is no proposed material tax assessment </w:t>
      </w:r>
      <w:r>
        <w:rPr>
          <w:rFonts w:ascii="Arial" w:cs="Arial" w:eastAsia="Arial" w:hAnsi="Arial"/>
          <w:sz w:val="17"/>
          <w:szCs w:val="17"/>
          <w:color w:val="FF0000"/>
          <w:strike w:val="1"/>
        </w:rPr>
        <w:t>or other claim</w:t>
      </w:r>
      <w:r>
        <w:rPr>
          <w:rFonts w:ascii="Arial" w:cs="Arial" w:eastAsia="Arial" w:hAnsi="Arial"/>
          <w:sz w:val="17"/>
          <w:szCs w:val="17"/>
          <w:color w:val="auto"/>
        </w:rPr>
        <w:t xml:space="preserve"> against</w:t>
      </w:r>
      <w:r>
        <w:rPr>
          <w:rFonts w:ascii="Arial" w:cs="Arial" w:eastAsia="Arial" w:hAnsi="Arial"/>
          <w:sz w:val="17"/>
          <w:szCs w:val="17"/>
          <w:color w:val="FF0000"/>
          <w:strike w:val="1"/>
        </w:rPr>
        <w:t>, and no material tax audit with respect to,</w:t>
      </w:r>
      <w:r>
        <w:rPr>
          <w:rFonts w:ascii="Arial" w:cs="Arial" w:eastAsia="Arial" w:hAnsi="Arial"/>
          <w:sz w:val="17"/>
          <w:szCs w:val="17"/>
          <w:color w:val="auto"/>
        </w:rPr>
        <w:t xml:space="preserve"> any Loan Party or any Subsidiary thereof. Except as set forth on </w:t>
      </w:r>
      <w:r>
        <w:rPr>
          <w:rFonts w:ascii="Arial" w:cs="Arial" w:eastAsia="Arial" w:hAnsi="Arial"/>
          <w:sz w:val="17"/>
          <w:szCs w:val="17"/>
          <w:u w:val="single" w:color="auto"/>
          <w:color w:val="auto"/>
        </w:rPr>
        <w:t>Schedule 5.11</w:t>
      </w:r>
      <w:r>
        <w:rPr>
          <w:rFonts w:ascii="Arial" w:cs="Arial" w:eastAsia="Arial" w:hAnsi="Arial"/>
          <w:sz w:val="17"/>
          <w:szCs w:val="17"/>
          <w:color w:val="auto"/>
        </w:rPr>
        <w:t xml:space="preserve">, on the </w:t>
      </w:r>
      <w:r>
        <w:rPr>
          <w:rFonts w:ascii="Arial" w:cs="Arial" w:eastAsia="Arial" w:hAnsi="Arial"/>
          <w:sz w:val="17"/>
          <w:szCs w:val="17"/>
          <w:color w:val="FF0000"/>
          <w:strike w:val="1"/>
        </w:rPr>
        <w:t>Closing</w:t>
      </w:r>
      <w:r>
        <w:rPr>
          <w:rFonts w:ascii="Arial" w:cs="Arial" w:eastAsia="Arial" w:hAnsi="Arial"/>
          <w:sz w:val="17"/>
          <w:szCs w:val="17"/>
          <w:b w:val="1"/>
          <w:bCs w:val="1"/>
          <w:u w:val="single" w:color="auto"/>
          <w:color w:val="0000FF"/>
          <w:highlight w:val="lightGray"/>
        </w:rPr>
        <w:t>Third Amendment Effective</w:t>
      </w:r>
      <w:r>
        <w:rPr>
          <w:rFonts w:ascii="Arial" w:cs="Arial" w:eastAsia="Arial" w:hAnsi="Arial"/>
          <w:sz w:val="17"/>
          <w:szCs w:val="17"/>
          <w:color w:val="auto"/>
        </w:rPr>
        <w:t xml:space="preserve"> Date, neither any Loan Party nor any Subsidiary thereof is party to any tax sharing, tax indemnification or other similar agreement. Except as could not be reasonably expected to, individually or in the aggregate, result in a Material Adverse Effect, neither any Loan Party nor any of its Subsidiaries has ever “participated” in a “listed transaction” or a “reportable transaction” within the meaning of Treasury Regulation Section 1.6011-4.</w:t>
      </w:r>
    </w:p>
    <w:p>
      <w:pPr>
        <w:spacing w:after="0" w:line="174" w:lineRule="exact"/>
        <w:rPr>
          <w:sz w:val="20"/>
          <w:szCs w:val="20"/>
          <w:color w:val="auto"/>
        </w:rPr>
      </w:pPr>
    </w:p>
    <w:p>
      <w:pPr>
        <w:ind w:left="1200"/>
        <w:spacing w:after="0"/>
        <w:tabs>
          <w:tab w:leader="none" w:pos="1780" w:val="left"/>
        </w:tabs>
        <w:rPr>
          <w:sz w:val="20"/>
          <w:szCs w:val="20"/>
          <w:color w:val="auto"/>
        </w:rPr>
      </w:pPr>
      <w:r>
        <w:rPr>
          <w:rFonts w:ascii="Arial" w:cs="Arial" w:eastAsia="Arial" w:hAnsi="Arial"/>
          <w:sz w:val="20"/>
          <w:szCs w:val="20"/>
          <w:color w:val="auto"/>
        </w:rPr>
        <w:t>5.12.</w:t>
      </w:r>
      <w:r>
        <w:rPr>
          <w:sz w:val="20"/>
          <w:szCs w:val="20"/>
          <w:color w:val="auto"/>
        </w:rPr>
        <w:tab/>
      </w:r>
      <w:r>
        <w:rPr>
          <w:rFonts w:ascii="Arial" w:cs="Arial" w:eastAsia="Arial" w:hAnsi="Arial"/>
          <w:sz w:val="18"/>
          <w:szCs w:val="18"/>
          <w:u w:val="single" w:color="auto"/>
          <w:color w:val="auto"/>
        </w:rPr>
        <w:t>ERISA Compliance</w:t>
      </w:r>
      <w:r>
        <w:rPr>
          <w:rFonts w:ascii="Arial" w:cs="Arial" w:eastAsia="Arial" w:hAnsi="Arial"/>
          <w:sz w:val="18"/>
          <w:szCs w:val="18"/>
          <w:color w:val="auto"/>
        </w:rPr>
        <w:t>.</w:t>
      </w:r>
    </w:p>
    <w:p>
      <w:pPr>
        <w:spacing w:after="0" w:line="245" w:lineRule="exact"/>
        <w:rPr>
          <w:sz w:val="20"/>
          <w:szCs w:val="20"/>
          <w:color w:val="auto"/>
        </w:rPr>
      </w:pPr>
    </w:p>
    <w:p>
      <w:pPr>
        <w:jc w:val="both"/>
        <w:ind w:left="600" w:firstLine="599"/>
        <w:spacing w:after="0" w:line="286" w:lineRule="auto"/>
        <w:tabs>
          <w:tab w:leader="none" w:pos="2021" w:val="left"/>
        </w:tabs>
        <w:numPr>
          <w:ilvl w:val="0"/>
          <w:numId w:val="340"/>
        </w:numPr>
        <w:rPr>
          <w:rFonts w:ascii="Arial" w:cs="Arial" w:eastAsia="Arial" w:hAnsi="Arial"/>
          <w:sz w:val="18"/>
          <w:szCs w:val="18"/>
          <w:color w:val="auto"/>
        </w:rPr>
      </w:pPr>
      <w:r>
        <w:rPr>
          <w:rFonts w:ascii="Arial" w:cs="Arial" w:eastAsia="Arial" w:hAnsi="Arial"/>
          <w:sz w:val="18"/>
          <w:szCs w:val="18"/>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To the best knowledge of the Borrower, nothing has occurred that would prevent or cause the loss of such tax-qualified status.</w:t>
      </w:r>
    </w:p>
    <w:p>
      <w:pPr>
        <w:spacing w:after="0" w:line="181" w:lineRule="exact"/>
        <w:rPr>
          <w:rFonts w:ascii="Arial" w:cs="Arial" w:eastAsia="Arial" w:hAnsi="Arial"/>
          <w:sz w:val="18"/>
          <w:szCs w:val="18"/>
          <w:color w:val="auto"/>
        </w:rPr>
      </w:pPr>
    </w:p>
    <w:p>
      <w:pPr>
        <w:jc w:val="both"/>
        <w:ind w:left="600" w:firstLine="599"/>
        <w:spacing w:after="0" w:line="260" w:lineRule="auto"/>
        <w:tabs>
          <w:tab w:leader="none" w:pos="2032" w:val="left"/>
        </w:tabs>
        <w:numPr>
          <w:ilvl w:val="0"/>
          <w:numId w:val="340"/>
        </w:numPr>
        <w:rPr>
          <w:rFonts w:ascii="Arial" w:cs="Arial" w:eastAsia="Arial" w:hAnsi="Arial"/>
          <w:sz w:val="20"/>
          <w:szCs w:val="20"/>
          <w:color w:val="auto"/>
        </w:rPr>
      </w:pPr>
      <w:r>
        <w:rPr>
          <w:rFonts w:ascii="Arial" w:cs="Arial" w:eastAsia="Arial" w:hAnsi="Arial"/>
          <w:sz w:val="20"/>
          <w:szCs w:val="20"/>
          <w:color w:val="auto"/>
        </w:rPr>
        <w:t>There are no pending or, to the best knowledge of the Borrower, threatened in writing, claims, actions or lawsuits, or action by any Governmental Authority, with respect to any Plan that could reasonably be expected to have a Material Adverse Effect. There has been no prohibited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795" w:right="239" w:bottom="1440" w:gutter="0" w:footer="0" w:header="0"/>
        </w:sectPr>
      </w:pPr>
    </w:p>
    <w:bookmarkStart w:id="298" w:name="page299"/>
    <w:bookmarkEnd w:id="298"/>
    <w:p>
      <w:pPr>
        <w:ind w:left="600"/>
        <w:spacing w:after="0" w:line="272" w:lineRule="auto"/>
        <w:rPr>
          <w:sz w:val="20"/>
          <w:szCs w:val="20"/>
          <w:color w:val="auto"/>
        </w:rPr>
      </w:pPr>
      <w:r>
        <w:rPr>
          <w:rFonts w:ascii="Arial" w:cs="Arial" w:eastAsia="Arial" w:hAnsi="Arial"/>
          <w:sz w:val="20"/>
          <w:szCs w:val="20"/>
          <w:color w:val="auto"/>
        </w:rPr>
        <w:t>transaction or violation of the fiduciary responsibility rules with respect to any Plan that has resulted or could reasonably be expected to result in a Material Adverse Effect.</w:t>
      </w:r>
    </w:p>
    <w:p>
      <w:pPr>
        <w:spacing w:after="0" w:line="191" w:lineRule="exact"/>
        <w:rPr>
          <w:sz w:val="20"/>
          <w:szCs w:val="20"/>
          <w:color w:val="auto"/>
        </w:rPr>
      </w:pPr>
    </w:p>
    <w:p>
      <w:pPr>
        <w:jc w:val="both"/>
        <w:ind w:left="600" w:firstLine="599"/>
        <w:spacing w:after="0" w:line="264" w:lineRule="auto"/>
        <w:tabs>
          <w:tab w:leader="none" w:pos="2021" w:val="left"/>
        </w:tabs>
        <w:numPr>
          <w:ilvl w:val="0"/>
          <w:numId w:val="341"/>
        </w:numPr>
        <w:rPr>
          <w:rFonts w:ascii="Arial" w:cs="Arial" w:eastAsia="Arial" w:hAnsi="Arial"/>
          <w:sz w:val="19"/>
          <w:szCs w:val="19"/>
          <w:color w:val="auto"/>
        </w:rPr>
      </w:pPr>
      <w:r>
        <w:rPr>
          <w:rFonts w:ascii="Arial" w:cs="Arial" w:eastAsia="Arial" w:hAnsi="Arial"/>
          <w:sz w:val="19"/>
          <w:szCs w:val="19"/>
          <w:color w:val="auto"/>
        </w:rPr>
        <w:t>(i) No ERISA Event has occurred, and neither the Borrower nor any ERISA Affiliate is aware of any fact, event or circumstance that could reasonably be expected to constitute or result in an ERISA Event with respect to any Pension Plan or Multiemployer Plan; (ii) as of the most recent valuation date for any Pension Plan, the funding target attainment percentage (as defined in Section 430(d)(2) of the Code) is 60% or higher and neither the Borrower nor any ERISA Affiliate knows of any facts or circumstances that could reasonably be expected to cause the funding target attainment percentage for any such plan to drop below 60% as of the most recent valuation date; (iii) neither the Borrower nor any ERISA Affiliate has incurred any liability to the PBGC other than for the payment of premiums, and there are no premium payments which have become due that are unpaid; (iv) neither the Borrower nor any ERISA Affiliate has engaged in a transaction that could be subject to Section 4069 or Section 4212(c) of ERISA; and (v)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203" w:lineRule="exact"/>
        <w:rPr>
          <w:rFonts w:ascii="Arial" w:cs="Arial" w:eastAsia="Arial" w:hAnsi="Arial"/>
          <w:sz w:val="19"/>
          <w:szCs w:val="19"/>
          <w:color w:val="auto"/>
        </w:rPr>
      </w:pPr>
    </w:p>
    <w:p>
      <w:pPr>
        <w:ind w:left="600" w:firstLine="599"/>
        <w:spacing w:after="0" w:line="272" w:lineRule="auto"/>
        <w:tabs>
          <w:tab w:leader="none" w:pos="2032" w:val="left"/>
        </w:tabs>
        <w:numPr>
          <w:ilvl w:val="0"/>
          <w:numId w:val="341"/>
        </w:numPr>
        <w:rPr>
          <w:rFonts w:ascii="Arial" w:cs="Arial" w:eastAsia="Arial" w:hAnsi="Arial"/>
          <w:sz w:val="20"/>
          <w:szCs w:val="20"/>
          <w:color w:val="auto"/>
        </w:rPr>
      </w:pPr>
      <w:r>
        <w:rPr>
          <w:rFonts w:ascii="Arial" w:cs="Arial" w:eastAsia="Arial" w:hAnsi="Arial"/>
          <w:sz w:val="20"/>
          <w:szCs w:val="20"/>
          <w:color w:val="auto"/>
        </w:rPr>
        <w:t xml:space="preserve">Neither the REIT nor any ERISA Affiliate maintains or contributes to, or has any unsatisfied obligation to contribute to, or liability under, any active or terminated Pension Plan other than those listed on </w:t>
      </w:r>
      <w:r>
        <w:rPr>
          <w:rFonts w:ascii="Arial" w:cs="Arial" w:eastAsia="Arial" w:hAnsi="Arial"/>
          <w:sz w:val="20"/>
          <w:szCs w:val="20"/>
          <w:u w:val="single" w:color="auto"/>
          <w:color w:val="auto"/>
        </w:rPr>
        <w:t>Schedule 5.12(d)</w:t>
      </w:r>
      <w:r>
        <w:rPr>
          <w:rFonts w:ascii="Arial" w:cs="Arial" w:eastAsia="Arial" w:hAnsi="Arial"/>
          <w:sz w:val="20"/>
          <w:szCs w:val="20"/>
          <w:color w:val="auto"/>
        </w:rPr>
        <w:t xml:space="preserve"> hereto.</w:t>
      </w:r>
    </w:p>
    <w:p>
      <w:pPr>
        <w:spacing w:after="0" w:line="184" w:lineRule="exact"/>
        <w:rPr>
          <w:rFonts w:ascii="Arial" w:cs="Arial" w:eastAsia="Arial" w:hAnsi="Arial"/>
          <w:sz w:val="20"/>
          <w:szCs w:val="20"/>
          <w:color w:val="auto"/>
        </w:rPr>
      </w:pPr>
    </w:p>
    <w:p>
      <w:pPr>
        <w:ind w:left="600" w:firstLine="599"/>
        <w:spacing w:after="0" w:line="279" w:lineRule="auto"/>
        <w:tabs>
          <w:tab w:leader="none" w:pos="2021" w:val="left"/>
        </w:tabs>
        <w:numPr>
          <w:ilvl w:val="0"/>
          <w:numId w:val="341"/>
        </w:numPr>
        <w:rPr>
          <w:rFonts w:ascii="Arial" w:cs="Arial" w:eastAsia="Arial" w:hAnsi="Arial"/>
          <w:sz w:val="20"/>
          <w:szCs w:val="20"/>
          <w:color w:val="auto"/>
        </w:rPr>
      </w:pPr>
      <w:r>
        <w:rPr>
          <w:rFonts w:ascii="Arial" w:cs="Arial" w:eastAsia="Arial" w:hAnsi="Arial"/>
          <w:sz w:val="20"/>
          <w:szCs w:val="20"/>
          <w:b w:val="1"/>
          <w:bCs w:val="1"/>
          <w:u w:val="single" w:color="auto"/>
          <w:color w:val="0000FF"/>
          <w:highlight w:val="lightGray"/>
        </w:rPr>
        <w:t>No Loan Party is or will be using “plan assets” (within the meaning of 29 CFR § 2510.3-101, as modified by Section 3(42) of ERISA) of one or more Benefit Plans in connection with the Loans.</w:t>
      </w:r>
    </w:p>
    <w:p>
      <w:pPr>
        <w:spacing w:after="0" w:line="177" w:lineRule="exact"/>
        <w:rPr>
          <w:sz w:val="20"/>
          <w:szCs w:val="20"/>
          <w:color w:val="auto"/>
        </w:rPr>
      </w:pPr>
    </w:p>
    <w:p>
      <w:pPr>
        <w:jc w:val="both"/>
        <w:ind w:firstLine="1199"/>
        <w:spacing w:after="0" w:line="268" w:lineRule="auto"/>
        <w:rPr>
          <w:sz w:val="20"/>
          <w:szCs w:val="20"/>
          <w:color w:val="auto"/>
        </w:rPr>
      </w:pPr>
      <w:r>
        <w:rPr>
          <w:rFonts w:ascii="Arial" w:cs="Arial" w:eastAsia="Arial" w:hAnsi="Arial"/>
          <w:sz w:val="19"/>
          <w:szCs w:val="19"/>
          <w:color w:val="auto"/>
        </w:rPr>
        <w:t xml:space="preserve">5.13. </w:t>
      </w:r>
      <w:r>
        <w:rPr>
          <w:rFonts w:ascii="Arial" w:cs="Arial" w:eastAsia="Arial" w:hAnsi="Arial"/>
          <w:sz w:val="19"/>
          <w:szCs w:val="19"/>
          <w:u w:val="single" w:color="auto"/>
          <w:color w:val="auto"/>
        </w:rPr>
        <w:t>Subsidiaries; Equity Interests; Loan Parties</w:t>
      </w:r>
      <w:r>
        <w:rPr>
          <w:rFonts w:ascii="Arial" w:cs="Arial" w:eastAsia="Arial" w:hAnsi="Arial"/>
          <w:sz w:val="19"/>
          <w:szCs w:val="19"/>
          <w:color w:val="auto"/>
        </w:rPr>
        <w:t xml:space="preserve">. As of the </w:t>
      </w:r>
      <w:r>
        <w:rPr>
          <w:rFonts w:ascii="Arial" w:cs="Arial" w:eastAsia="Arial" w:hAnsi="Arial"/>
          <w:sz w:val="19"/>
          <w:szCs w:val="19"/>
          <w:color w:val="FF0000"/>
          <w:strike w:val="1"/>
        </w:rPr>
        <w:t>Closing</w:t>
      </w:r>
      <w:r>
        <w:rPr>
          <w:rFonts w:ascii="Arial" w:cs="Arial" w:eastAsia="Arial" w:hAnsi="Arial"/>
          <w:sz w:val="19"/>
          <w:szCs w:val="19"/>
          <w:b w:val="1"/>
          <w:bCs w:val="1"/>
          <w:u w:val="single" w:color="auto"/>
          <w:color w:val="0000FF"/>
          <w:highlight w:val="lightGray"/>
        </w:rPr>
        <w:t>Third Amendment Effective</w:t>
      </w:r>
      <w:r>
        <w:rPr>
          <w:rFonts w:ascii="Arial" w:cs="Arial" w:eastAsia="Arial" w:hAnsi="Arial"/>
          <w:sz w:val="19"/>
          <w:szCs w:val="19"/>
          <w:color w:val="auto"/>
        </w:rPr>
        <w:t xml:space="preserve"> Date, no Loan Party has any Subsidiaries other than those specifically disclosed in Part (a) of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and all of the outstanding Equity Interests in such Subsidiaries have been validly issued, are fully paid and non-assessable and are owned by the Persons and in the amounts specified on Part (a) of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Set forth on Part (b) of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is, as of the </w:t>
      </w:r>
      <w:r>
        <w:rPr>
          <w:rFonts w:ascii="Arial" w:cs="Arial" w:eastAsia="Arial" w:hAnsi="Arial"/>
          <w:sz w:val="19"/>
          <w:szCs w:val="19"/>
          <w:color w:val="FF0000"/>
          <w:strike w:val="1"/>
        </w:rPr>
        <w:t>Closing</w:t>
      </w:r>
      <w:r>
        <w:rPr>
          <w:rFonts w:ascii="Arial" w:cs="Arial" w:eastAsia="Arial" w:hAnsi="Arial"/>
          <w:sz w:val="19"/>
          <w:szCs w:val="19"/>
          <w:b w:val="1"/>
          <w:bCs w:val="1"/>
          <w:u w:val="single" w:color="auto"/>
          <w:color w:val="0000FF"/>
          <w:highlight w:val="lightGray"/>
        </w:rPr>
        <w:t>Third Amendment Effective</w:t>
      </w:r>
      <w:r>
        <w:rPr>
          <w:rFonts w:ascii="Arial" w:cs="Arial" w:eastAsia="Arial" w:hAnsi="Arial"/>
          <w:sz w:val="19"/>
          <w:szCs w:val="19"/>
          <w:color w:val="auto"/>
        </w:rPr>
        <w:t xml:space="preserve"> Date, a complete and accurate list of all Loan Parties, showing (as to each Loan Party) the jurisdiction of its incorporation or organization, the address of its principal place of business and its U.S. taxpayer identification number or, in the case of any non-U.S. Loan Party that does not have a U.S. taxpayer identification number, its unique identification number issued to it by the jurisdiction of its incorporation or organization.</w:t>
      </w:r>
    </w:p>
    <w:p>
      <w:pPr>
        <w:spacing w:after="0" w:line="197" w:lineRule="exact"/>
        <w:rPr>
          <w:sz w:val="20"/>
          <w:szCs w:val="20"/>
          <w:color w:val="auto"/>
        </w:rPr>
      </w:pPr>
    </w:p>
    <w:p>
      <w:pPr>
        <w:ind w:left="1200"/>
        <w:spacing w:after="0"/>
        <w:tabs>
          <w:tab w:leader="none" w:pos="1780" w:val="left"/>
        </w:tabs>
        <w:rPr>
          <w:sz w:val="20"/>
          <w:szCs w:val="20"/>
          <w:color w:val="auto"/>
        </w:rPr>
      </w:pPr>
      <w:r>
        <w:rPr>
          <w:rFonts w:ascii="Arial" w:cs="Arial" w:eastAsia="Arial" w:hAnsi="Arial"/>
          <w:sz w:val="20"/>
          <w:szCs w:val="20"/>
          <w:color w:val="auto"/>
        </w:rPr>
        <w:t>5.14.</w:t>
      </w:r>
      <w:r>
        <w:rPr>
          <w:sz w:val="20"/>
          <w:szCs w:val="20"/>
          <w:color w:val="auto"/>
        </w:rPr>
        <w:tab/>
      </w:r>
      <w:r>
        <w:rPr>
          <w:rFonts w:ascii="Arial" w:cs="Arial" w:eastAsia="Arial" w:hAnsi="Arial"/>
          <w:sz w:val="18"/>
          <w:szCs w:val="18"/>
          <w:u w:val="single" w:color="auto"/>
          <w:color w:val="auto"/>
        </w:rPr>
        <w:t>Margin Regulations; Investment Company Act</w:t>
      </w:r>
      <w:r>
        <w:rPr>
          <w:rFonts w:ascii="Arial" w:cs="Arial" w:eastAsia="Arial" w:hAnsi="Arial"/>
          <w:sz w:val="18"/>
          <w:szCs w:val="18"/>
          <w:color w:val="auto"/>
        </w:rPr>
        <w:t>.</w:t>
      </w:r>
    </w:p>
    <w:p>
      <w:pPr>
        <w:spacing w:after="0" w:line="245" w:lineRule="exact"/>
        <w:rPr>
          <w:sz w:val="20"/>
          <w:szCs w:val="20"/>
          <w:color w:val="auto"/>
        </w:rPr>
      </w:pPr>
    </w:p>
    <w:p>
      <w:pPr>
        <w:jc w:val="both"/>
        <w:ind w:left="600" w:firstLine="599"/>
        <w:spacing w:after="0" w:line="286" w:lineRule="auto"/>
        <w:tabs>
          <w:tab w:leader="none" w:pos="2021" w:val="left"/>
        </w:tabs>
        <w:numPr>
          <w:ilvl w:val="0"/>
          <w:numId w:val="342"/>
        </w:numPr>
        <w:rPr>
          <w:rFonts w:ascii="Arial" w:cs="Arial" w:eastAsia="Arial" w:hAnsi="Arial"/>
          <w:sz w:val="18"/>
          <w:szCs w:val="18"/>
          <w:color w:val="auto"/>
        </w:rPr>
      </w:pPr>
      <w:r>
        <w:rPr>
          <w:rFonts w:ascii="Arial" w:cs="Arial" w:eastAsia="Arial" w:hAnsi="Arial"/>
          <w:sz w:val="18"/>
          <w:szCs w:val="18"/>
          <w:color w:val="auto"/>
        </w:rPr>
        <w:t xml:space="preserve">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not more than 25% of the value of the assets (either of the Borrower only or of the REIT and its Subsidiaries on a consolidated basis) subject to the provisions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or subject to any restriction contained in any agreement or instrument between the Borrower and any Lender or any Affiliate of any Lender relating to Indebtedness and within the scope of </w:t>
      </w:r>
      <w:r>
        <w:rPr>
          <w:rFonts w:ascii="Arial" w:cs="Arial" w:eastAsia="Arial" w:hAnsi="Arial"/>
          <w:sz w:val="18"/>
          <w:szCs w:val="18"/>
          <w:u w:val="single" w:color="auto"/>
          <w:color w:val="auto"/>
        </w:rPr>
        <w:t>Section 8.01(e)</w:t>
      </w:r>
      <w:r>
        <w:rPr>
          <w:rFonts w:ascii="Arial" w:cs="Arial" w:eastAsia="Arial" w:hAnsi="Arial"/>
          <w:sz w:val="18"/>
          <w:szCs w:val="18"/>
          <w:color w:val="auto"/>
        </w:rPr>
        <w:t xml:space="preserve"> will be margin stock.</w:t>
      </w:r>
    </w:p>
    <w:p>
      <w:pPr>
        <w:spacing w:after="0" w:line="181" w:lineRule="exact"/>
        <w:rPr>
          <w:rFonts w:ascii="Arial" w:cs="Arial" w:eastAsia="Arial" w:hAnsi="Arial"/>
          <w:sz w:val="18"/>
          <w:szCs w:val="18"/>
          <w:color w:val="auto"/>
        </w:rPr>
      </w:pPr>
    </w:p>
    <w:p>
      <w:pPr>
        <w:ind w:left="600" w:firstLine="599"/>
        <w:spacing w:after="0" w:line="272" w:lineRule="auto"/>
        <w:tabs>
          <w:tab w:leader="none" w:pos="2032" w:val="left"/>
        </w:tabs>
        <w:numPr>
          <w:ilvl w:val="0"/>
          <w:numId w:val="342"/>
        </w:numPr>
        <w:rPr>
          <w:rFonts w:ascii="Arial" w:cs="Arial" w:eastAsia="Arial" w:hAnsi="Arial"/>
          <w:sz w:val="20"/>
          <w:szCs w:val="20"/>
          <w:color w:val="auto"/>
        </w:rPr>
      </w:pPr>
      <w:r>
        <w:rPr>
          <w:rFonts w:ascii="Arial" w:cs="Arial" w:eastAsia="Arial" w:hAnsi="Arial"/>
          <w:sz w:val="20"/>
          <w:szCs w:val="20"/>
          <w:color w:val="auto"/>
        </w:rPr>
        <w:t>None of the Loan Parties is or is required to be registered as an “investment company” under the Investment Company Act of 1940.</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795" w:right="239" w:bottom="1440" w:gutter="0" w:footer="0" w:header="0"/>
        </w:sectPr>
      </w:pPr>
    </w:p>
    <w:bookmarkStart w:id="299" w:name="page300"/>
    <w:bookmarkEnd w:id="299"/>
    <w:p>
      <w:pPr>
        <w:jc w:val="both"/>
        <w:ind w:firstLine="1199"/>
        <w:spacing w:after="0" w:line="251" w:lineRule="auto"/>
        <w:rPr>
          <w:sz w:val="20"/>
          <w:szCs w:val="20"/>
          <w:color w:val="auto"/>
        </w:rPr>
      </w:pPr>
      <w:r>
        <w:rPr>
          <w:rFonts w:ascii="Arial" w:cs="Arial" w:eastAsia="Arial" w:hAnsi="Arial"/>
          <w:sz w:val="20"/>
          <w:szCs w:val="20"/>
          <w:color w:val="auto"/>
        </w:rPr>
        <w:t xml:space="preserve">5.15. </w:t>
      </w:r>
      <w:r>
        <w:rPr>
          <w:rFonts w:ascii="Arial" w:cs="Arial" w:eastAsia="Arial" w:hAnsi="Arial"/>
          <w:sz w:val="20"/>
          <w:szCs w:val="20"/>
          <w:u w:val="single" w:color="auto"/>
          <w:color w:val="auto"/>
        </w:rPr>
        <w:t>Disclosure</w:t>
      </w:r>
      <w:r>
        <w:rPr>
          <w:rFonts w:ascii="Arial" w:cs="Arial" w:eastAsia="Arial" w:hAnsi="Arial"/>
          <w:sz w:val="20"/>
          <w:szCs w:val="20"/>
          <w:color w:val="auto"/>
        </w:rPr>
        <w:t xml:space="preserve">. No written report, financial statement, certificate or other </w:t>
      </w:r>
      <w:r>
        <w:rPr>
          <w:rFonts w:ascii="Arial" w:cs="Arial" w:eastAsia="Arial" w:hAnsi="Arial"/>
          <w:sz w:val="20"/>
          <w:szCs w:val="20"/>
          <w:b w:val="1"/>
          <w:bCs w:val="1"/>
          <w:u w:val="single" w:color="auto"/>
          <w:color w:val="0000FF"/>
          <w:highlight w:val="lightGray"/>
        </w:rPr>
        <w:t>written</w:t>
      </w:r>
      <w:r>
        <w:rPr>
          <w:rFonts w:ascii="Arial" w:cs="Arial" w:eastAsia="Arial" w:hAnsi="Arial"/>
          <w:sz w:val="20"/>
          <w:szCs w:val="20"/>
          <w:color w:val="auto"/>
        </w:rPr>
        <w:t xml:space="preserve"> information furnished by or at the direction of any Loan Party to the Administrative Agent or any Lender in connection with the transactions contemplated hereby and the negotiation of this Agreement or delivered hereunder or under any other Loan Document </w:t>
      </w:r>
      <w:r>
        <w:rPr>
          <w:rFonts w:ascii="Arial" w:cs="Arial" w:eastAsia="Arial" w:hAnsi="Arial"/>
          <w:sz w:val="20"/>
          <w:szCs w:val="20"/>
          <w:color w:val="FF0000"/>
          <w:strike w:val="1"/>
        </w:rPr>
        <w:t>which</w:t>
      </w:r>
      <w:r>
        <w:rPr>
          <w:rFonts w:ascii="Arial" w:cs="Arial" w:eastAsia="Arial" w:hAnsi="Arial"/>
          <w:sz w:val="20"/>
          <w:szCs w:val="20"/>
          <w:color w:val="auto"/>
        </w:rPr>
        <w:t xml:space="preserve">, when taken as a whole, contained at the time of delivery any material misstatement of fact or omitted to state any material fact necessary to make the statements therein, in the light of the circumstances under which they were made, not materially misleading;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projections, estimates and other forward-looking information, the Borrower and the REIT represent only that such information was prepared in good faith based upon assumptions believed to be reasonable at the time</w:t>
      </w:r>
      <w:r>
        <w:rPr>
          <w:rFonts w:ascii="Arial" w:cs="Arial" w:eastAsia="Arial" w:hAnsi="Arial"/>
          <w:sz w:val="20"/>
          <w:szCs w:val="20"/>
          <w:color w:val="FF0000"/>
          <w:strike w:val="1"/>
        </w:rPr>
        <w:t>.</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highlight w:val="lightGray"/>
        </w:rPr>
        <w:t>(it being understood that such projections, estimates and other forward-looking information are</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highlight w:val="lightGray"/>
        </w:rPr>
        <w:t>not to be viewed as facts or guarantees and that actual results may vary materially from such projections, estimates and forward-looking information).</w:t>
      </w:r>
    </w:p>
    <w:p>
      <w:pPr>
        <w:spacing w:after="0" w:line="214" w:lineRule="exact"/>
        <w:rPr>
          <w:sz w:val="20"/>
          <w:szCs w:val="20"/>
          <w:color w:val="auto"/>
        </w:rPr>
      </w:pPr>
    </w:p>
    <w:p>
      <w:pPr>
        <w:jc w:val="both"/>
        <w:ind w:firstLine="1199"/>
        <w:spacing w:after="0" w:line="253" w:lineRule="auto"/>
        <w:rPr>
          <w:sz w:val="20"/>
          <w:szCs w:val="20"/>
          <w:color w:val="auto"/>
        </w:rPr>
      </w:pPr>
      <w:r>
        <w:rPr>
          <w:rFonts w:ascii="Arial" w:cs="Arial" w:eastAsia="Arial" w:hAnsi="Arial"/>
          <w:sz w:val="20"/>
          <w:szCs w:val="20"/>
          <w:color w:val="auto"/>
        </w:rPr>
        <w:t xml:space="preserve">5.16.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 Each Loan Party and each Subsidiary thereof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212" w:lineRule="exact"/>
        <w:rPr>
          <w:sz w:val="20"/>
          <w:szCs w:val="20"/>
          <w:color w:val="auto"/>
        </w:rPr>
      </w:pPr>
    </w:p>
    <w:p>
      <w:pPr>
        <w:ind w:left="1200"/>
        <w:spacing w:after="0"/>
        <w:tabs>
          <w:tab w:leader="none" w:pos="1780" w:val="left"/>
        </w:tabs>
        <w:rPr>
          <w:sz w:val="20"/>
          <w:szCs w:val="20"/>
          <w:color w:val="auto"/>
        </w:rPr>
      </w:pPr>
      <w:r>
        <w:rPr>
          <w:rFonts w:ascii="Arial" w:cs="Arial" w:eastAsia="Arial" w:hAnsi="Arial"/>
          <w:sz w:val="20"/>
          <w:szCs w:val="20"/>
          <w:color w:val="auto"/>
        </w:rPr>
        <w:t>5.17.</w:t>
      </w:r>
      <w:r>
        <w:rPr>
          <w:sz w:val="20"/>
          <w:szCs w:val="20"/>
          <w:color w:val="auto"/>
        </w:rPr>
        <w:tab/>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45" w:lineRule="exact"/>
        <w:rPr>
          <w:sz w:val="20"/>
          <w:szCs w:val="20"/>
          <w:color w:val="auto"/>
        </w:rPr>
      </w:pPr>
    </w:p>
    <w:p>
      <w:pPr>
        <w:jc w:val="both"/>
        <w:ind w:firstLine="1199"/>
        <w:spacing w:after="0" w:line="265" w:lineRule="auto"/>
        <w:rPr>
          <w:sz w:val="20"/>
          <w:szCs w:val="20"/>
          <w:color w:val="auto"/>
        </w:rPr>
      </w:pPr>
      <w:r>
        <w:rPr>
          <w:rFonts w:ascii="Arial" w:cs="Arial" w:eastAsia="Arial" w:hAnsi="Arial"/>
          <w:sz w:val="19"/>
          <w:szCs w:val="19"/>
          <w:color w:val="auto"/>
        </w:rPr>
        <w:t xml:space="preserve">5.18. </w:t>
      </w:r>
      <w:r>
        <w:rPr>
          <w:rFonts w:ascii="Arial" w:cs="Arial" w:eastAsia="Arial" w:hAnsi="Arial"/>
          <w:sz w:val="19"/>
          <w:szCs w:val="19"/>
          <w:u w:val="single" w:color="auto"/>
          <w:color w:val="auto"/>
        </w:rPr>
        <w:t>Intellectual Property; Licenses, Etc</w:t>
      </w:r>
      <w:r>
        <w:rPr>
          <w:rFonts w:ascii="Arial" w:cs="Arial" w:eastAsia="Arial" w:hAnsi="Arial"/>
          <w:sz w:val="19"/>
          <w:szCs w:val="19"/>
          <w:color w:val="auto"/>
        </w:rPr>
        <w:t xml:space="preserve">. Each Loan Party and each of its Subsidiaries owns, or possesses the right to use, all of the </w:t>
      </w:r>
      <w:r>
        <w:rPr>
          <w:rFonts w:ascii="Arial" w:cs="Arial" w:eastAsia="Arial" w:hAnsi="Arial"/>
          <w:sz w:val="19"/>
          <w:szCs w:val="19"/>
          <w:color w:val="FF0000"/>
          <w:strike w:val="1"/>
        </w:rPr>
        <w:t>material</w:t>
      </w:r>
      <w:r>
        <w:rPr>
          <w:rFonts w:ascii="Arial" w:cs="Arial" w:eastAsia="Arial" w:hAnsi="Arial"/>
          <w:sz w:val="19"/>
          <w:szCs w:val="19"/>
          <w:color w:val="auto"/>
        </w:rPr>
        <w:t xml:space="preserve"> trademarks, service marks, trade names, copyrights, patents, patent rights, franchises, licenses and other intellectual property rights (collectively, “</w:t>
      </w:r>
      <w:r>
        <w:rPr>
          <w:rFonts w:ascii="Arial" w:cs="Arial" w:eastAsia="Arial" w:hAnsi="Arial"/>
          <w:sz w:val="19"/>
          <w:szCs w:val="19"/>
          <w:u w:val="single" w:color="auto"/>
          <w:color w:val="auto"/>
        </w:rPr>
        <w:t>IP Rights</w:t>
      </w:r>
      <w:r>
        <w:rPr>
          <w:rFonts w:ascii="Arial" w:cs="Arial" w:eastAsia="Arial" w:hAnsi="Arial"/>
          <w:sz w:val="19"/>
          <w:szCs w:val="19"/>
          <w:color w:val="auto"/>
        </w:rPr>
        <w:t>”) that are reasonably necessary for the operation of its businesses</w:t>
      </w:r>
      <w:r>
        <w:rPr>
          <w:rFonts w:ascii="Arial" w:cs="Arial" w:eastAsia="Arial" w:hAnsi="Arial"/>
          <w:sz w:val="19"/>
          <w:szCs w:val="19"/>
          <w:color w:val="FF0000"/>
          <w:strike w:val="1"/>
        </w:rPr>
        <w:t>, without conflict with the rights of any other</w:t>
      </w:r>
      <w:r>
        <w:rPr>
          <w:rFonts w:ascii="Arial" w:cs="Arial" w:eastAsia="Arial" w:hAnsi="Arial"/>
          <w:sz w:val="19"/>
          <w:szCs w:val="19"/>
          <w:color w:val="auto"/>
        </w:rPr>
        <w:t xml:space="preserve"> </w:t>
      </w:r>
      <w:r>
        <w:rPr>
          <w:rFonts w:ascii="Arial" w:cs="Arial" w:eastAsia="Arial" w:hAnsi="Arial"/>
          <w:sz w:val="19"/>
          <w:szCs w:val="19"/>
          <w:color w:val="FF0000"/>
          <w:strike w:val="1"/>
        </w:rPr>
        <w:t>Person (except for such conflicts that</w:t>
      </w:r>
      <w:r>
        <w:rPr>
          <w:rFonts w:ascii="Arial" w:cs="Arial" w:eastAsia="Arial" w:hAnsi="Arial"/>
          <w:sz w:val="19"/>
          <w:szCs w:val="19"/>
          <w:color w:val="FF0000"/>
        </w:rPr>
        <w:t xml:space="preserve"> </w:t>
      </w:r>
      <w:r>
        <w:rPr>
          <w:rFonts w:ascii="Arial" w:cs="Arial" w:eastAsia="Arial" w:hAnsi="Arial"/>
          <w:sz w:val="19"/>
          <w:szCs w:val="19"/>
          <w:b w:val="1"/>
          <w:bCs w:val="1"/>
          <w:u w:val="single" w:color="auto"/>
          <w:color w:val="0000FF"/>
          <w:highlight w:val="lightGray"/>
        </w:rPr>
        <w:t>except to the extent the failure to have such rights</w:t>
      </w:r>
      <w:r>
        <w:rPr>
          <w:rFonts w:ascii="Arial" w:cs="Arial" w:eastAsia="Arial" w:hAnsi="Arial"/>
          <w:sz w:val="19"/>
          <w:szCs w:val="19"/>
          <w:color w:val="FF0000"/>
        </w:rPr>
        <w:t xml:space="preserve"> </w:t>
      </w:r>
      <w:r>
        <w:rPr>
          <w:rFonts w:ascii="Arial" w:cs="Arial" w:eastAsia="Arial" w:hAnsi="Arial"/>
          <w:sz w:val="19"/>
          <w:szCs w:val="19"/>
          <w:color w:val="000000"/>
        </w:rPr>
        <w:t>could not reasonably be expected to have a</w:t>
      </w:r>
      <w:r>
        <w:rPr>
          <w:rFonts w:ascii="Arial" w:cs="Arial" w:eastAsia="Arial" w:hAnsi="Arial"/>
          <w:sz w:val="19"/>
          <w:szCs w:val="19"/>
          <w:color w:val="FF0000"/>
        </w:rPr>
        <w:t xml:space="preserve"> </w:t>
      </w:r>
      <w:r>
        <w:rPr>
          <w:rFonts w:ascii="Arial" w:cs="Arial" w:eastAsia="Arial" w:hAnsi="Arial"/>
          <w:sz w:val="19"/>
          <w:szCs w:val="19"/>
          <w:color w:val="000000"/>
        </w:rPr>
        <w:t>Material Adverse Effect</w:t>
      </w:r>
      <w:r>
        <w:rPr>
          <w:rFonts w:ascii="Arial" w:cs="Arial" w:eastAsia="Arial" w:hAnsi="Arial"/>
          <w:sz w:val="19"/>
          <w:szCs w:val="19"/>
          <w:color w:val="FF0000"/>
          <w:strike w:val="1"/>
        </w:rPr>
        <w:t>). To the knowledge of the Borrower, no slogan or other advertising device, product, process, method, substance, part</w:t>
      </w:r>
      <w:r>
        <w:rPr>
          <w:rFonts w:ascii="Arial" w:cs="Arial" w:eastAsia="Arial" w:hAnsi="Arial"/>
          <w:sz w:val="19"/>
          <w:szCs w:val="19"/>
          <w:color w:val="000000"/>
        </w:rPr>
        <w:t xml:space="preserve"> </w:t>
      </w:r>
      <w:r>
        <w:rPr>
          <w:rFonts w:ascii="Arial" w:cs="Arial" w:eastAsia="Arial" w:hAnsi="Arial"/>
          <w:sz w:val="19"/>
          <w:szCs w:val="19"/>
          <w:color w:val="FF0000"/>
          <w:strike w:val="1"/>
        </w:rPr>
        <w:t>or other material now employed, or now contemplated to be employed, by any Loan Party or any of its Subsidiaries infringes upon any rights held by any other Person</w:t>
      </w:r>
      <w:r>
        <w:rPr>
          <w:rFonts w:ascii="Arial" w:cs="Arial" w:eastAsia="Arial" w:hAnsi="Arial"/>
          <w:sz w:val="19"/>
          <w:szCs w:val="19"/>
          <w:color w:val="000000"/>
          <w:strike w:val="1"/>
        </w:rPr>
        <w:t>. No claim or litigation regarding</w:t>
      </w:r>
      <w:r>
        <w:rPr>
          <w:rFonts w:ascii="Arial" w:cs="Arial" w:eastAsia="Arial" w:hAnsi="Arial"/>
          <w:sz w:val="19"/>
          <w:szCs w:val="19"/>
          <w:color w:val="FF0000"/>
          <w:strike w:val="1"/>
        </w:rPr>
        <w:t xml:space="preserve"> any</w:t>
      </w:r>
      <w:r>
        <w:rPr>
          <w:rFonts w:ascii="Arial" w:cs="Arial" w:eastAsia="Arial" w:hAnsi="Arial"/>
          <w:sz w:val="19"/>
          <w:szCs w:val="19"/>
          <w:b w:val="1"/>
          <w:bCs w:val="1"/>
          <w:u w:val="single" w:color="auto"/>
          <w:color w:val="0000FF"/>
          <w:highlight w:val="lightGray"/>
          <w:strike w:val="1"/>
        </w:rPr>
        <w:t>infringement</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of the</w:t>
      </w:r>
      <w:r>
        <w:rPr>
          <w:rFonts w:ascii="Arial" w:cs="Arial" w:eastAsia="Arial" w:hAnsi="Arial"/>
          <w:sz w:val="19"/>
          <w:szCs w:val="19"/>
          <w:color w:val="FF0000"/>
          <w:strike w:val="1"/>
        </w:rPr>
        <w:t xml:space="preserve"> foregoing</w:t>
      </w:r>
      <w:r>
        <w:rPr>
          <w:rFonts w:ascii="Arial" w:cs="Arial" w:eastAsia="Arial" w:hAnsi="Arial"/>
          <w:sz w:val="19"/>
          <w:szCs w:val="19"/>
          <w:b w:val="1"/>
          <w:bCs w:val="1"/>
          <w:u w:val="single" w:color="auto"/>
          <w:color w:val="0000FF"/>
          <w:highlight w:val="lightGray"/>
          <w:strike w:val="1"/>
        </w:rPr>
        <w:t>rights held by any other Person</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is pending or,</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to the knowledge of the Borrower, threatened in writing, which, either individually or in the aggregate, could reasonably be expected to have a Material Adverse Effect.</w:t>
      </w:r>
    </w:p>
    <w:p>
      <w:pPr>
        <w:spacing w:after="0" w:line="202" w:lineRule="exact"/>
        <w:rPr>
          <w:sz w:val="20"/>
          <w:szCs w:val="20"/>
          <w:color w:val="auto"/>
        </w:rPr>
      </w:pPr>
    </w:p>
    <w:p>
      <w:pPr>
        <w:ind w:left="1200"/>
        <w:spacing w:after="0"/>
        <w:tabs>
          <w:tab w:leader="none" w:pos="1780" w:val="left"/>
        </w:tabs>
        <w:rPr>
          <w:sz w:val="20"/>
          <w:szCs w:val="20"/>
          <w:color w:val="auto"/>
        </w:rPr>
      </w:pPr>
      <w:r>
        <w:rPr>
          <w:rFonts w:ascii="Arial" w:cs="Arial" w:eastAsia="Arial" w:hAnsi="Arial"/>
          <w:sz w:val="20"/>
          <w:szCs w:val="20"/>
          <w:color w:val="auto"/>
        </w:rPr>
        <w:t>5.19.</w:t>
      </w:r>
      <w:r>
        <w:rPr>
          <w:sz w:val="20"/>
          <w:szCs w:val="20"/>
          <w:color w:val="auto"/>
        </w:rPr>
        <w:tab/>
      </w:r>
      <w:r>
        <w:rPr>
          <w:rFonts w:ascii="Arial" w:cs="Arial" w:eastAsia="Arial" w:hAnsi="Arial"/>
          <w:sz w:val="18"/>
          <w:szCs w:val="18"/>
          <w:u w:val="single" w:color="auto"/>
          <w:color w:val="auto"/>
        </w:rPr>
        <w:t>Solvency</w:t>
      </w:r>
      <w:r>
        <w:rPr>
          <w:rFonts w:ascii="Arial" w:cs="Arial" w:eastAsia="Arial" w:hAnsi="Arial"/>
          <w:sz w:val="18"/>
          <w:szCs w:val="18"/>
          <w:color w:val="auto"/>
        </w:rPr>
        <w:t>. The REIT and its Consolidated Subsidiaries, on a consolidated basis, are Solvent.</w:t>
      </w:r>
    </w:p>
    <w:p>
      <w:pPr>
        <w:spacing w:after="0" w:line="245" w:lineRule="exact"/>
        <w:rPr>
          <w:sz w:val="20"/>
          <w:szCs w:val="20"/>
          <w:color w:val="auto"/>
        </w:rPr>
      </w:pPr>
    </w:p>
    <w:p>
      <w:pPr>
        <w:jc w:val="both"/>
        <w:ind w:firstLine="1199"/>
        <w:spacing w:after="0" w:line="256" w:lineRule="auto"/>
        <w:rPr>
          <w:sz w:val="20"/>
          <w:szCs w:val="20"/>
          <w:color w:val="auto"/>
        </w:rPr>
      </w:pPr>
      <w:r>
        <w:rPr>
          <w:rFonts w:ascii="Arial" w:cs="Arial" w:eastAsia="Arial" w:hAnsi="Arial"/>
          <w:sz w:val="20"/>
          <w:szCs w:val="20"/>
          <w:color w:val="auto"/>
        </w:rPr>
        <w:t xml:space="preserve">5.20. </w:t>
      </w:r>
      <w:r>
        <w:rPr>
          <w:rFonts w:ascii="Arial" w:cs="Arial" w:eastAsia="Arial" w:hAnsi="Arial"/>
          <w:sz w:val="20"/>
          <w:szCs w:val="20"/>
          <w:u w:val="single" w:color="auto"/>
          <w:color w:val="auto"/>
        </w:rPr>
        <w:t>Casualty, Etc</w:t>
      </w:r>
      <w:r>
        <w:rPr>
          <w:rFonts w:ascii="Arial" w:cs="Arial" w:eastAsia="Arial" w:hAnsi="Arial"/>
          <w:sz w:val="20"/>
          <w:szCs w:val="20"/>
          <w:color w:val="auto"/>
        </w:rPr>
        <w:t>. Neither the businesses nor the properties of any Loan Party or any of its Subsidiaries are affected by any fire, explosion, accident, strike, lockout or other labor dispute, drought, storm, hail, earthquake, embargo, act of God or of the public enemy or other casualty (whether or not covered by insurance), condemnation or eminent domain proceeding that, either individually or in the aggregate, could reasonably be expected to have a Material Adverse Effect.</w:t>
      </w:r>
    </w:p>
    <w:p>
      <w:pPr>
        <w:spacing w:after="0" w:line="205" w:lineRule="exact"/>
        <w:rPr>
          <w:sz w:val="20"/>
          <w:szCs w:val="20"/>
          <w:color w:val="auto"/>
        </w:rPr>
      </w:pPr>
    </w:p>
    <w:p>
      <w:pPr>
        <w:jc w:val="both"/>
        <w:ind w:firstLine="1199"/>
        <w:spacing w:after="0" w:line="273" w:lineRule="auto"/>
        <w:rPr>
          <w:sz w:val="20"/>
          <w:szCs w:val="20"/>
          <w:color w:val="auto"/>
        </w:rPr>
      </w:pPr>
      <w:r>
        <w:rPr>
          <w:rFonts w:ascii="Arial" w:cs="Arial" w:eastAsia="Arial" w:hAnsi="Arial"/>
          <w:sz w:val="19"/>
          <w:szCs w:val="19"/>
          <w:color w:val="auto"/>
        </w:rPr>
        <w:t xml:space="preserve">5.21. </w:t>
      </w:r>
      <w:r>
        <w:rPr>
          <w:rFonts w:ascii="Arial" w:cs="Arial" w:eastAsia="Arial" w:hAnsi="Arial"/>
          <w:sz w:val="19"/>
          <w:szCs w:val="19"/>
          <w:u w:val="single" w:color="auto"/>
          <w:color w:val="auto"/>
        </w:rPr>
        <w:t>Labor Matters</w:t>
      </w:r>
      <w:r>
        <w:rPr>
          <w:rFonts w:ascii="Arial" w:cs="Arial" w:eastAsia="Arial" w:hAnsi="Arial"/>
          <w:sz w:val="19"/>
          <w:szCs w:val="19"/>
          <w:color w:val="auto"/>
        </w:rPr>
        <w:t xml:space="preserve">. There are no collective bargaining agreements or Multiemployer Plans covering the employees of any Loan Party or any of its Subsidiaries or any ERISA Affiliates as of the </w:t>
      </w:r>
      <w:r>
        <w:rPr>
          <w:rFonts w:ascii="Arial" w:cs="Arial" w:eastAsia="Arial" w:hAnsi="Arial"/>
          <w:sz w:val="19"/>
          <w:szCs w:val="19"/>
          <w:color w:val="FF0000"/>
          <w:strike w:val="1"/>
        </w:rPr>
        <w:t>Closing</w:t>
      </w:r>
      <w:r>
        <w:rPr>
          <w:rFonts w:ascii="Arial" w:cs="Arial" w:eastAsia="Arial" w:hAnsi="Arial"/>
          <w:sz w:val="19"/>
          <w:szCs w:val="19"/>
          <w:b w:val="1"/>
          <w:bCs w:val="1"/>
          <w:u w:val="single" w:color="auto"/>
          <w:color w:val="0000FF"/>
          <w:highlight w:val="lightGray"/>
        </w:rPr>
        <w:t>Third Amendment Effective</w:t>
      </w:r>
      <w:r>
        <w:rPr>
          <w:rFonts w:ascii="Arial" w:cs="Arial" w:eastAsia="Arial" w:hAnsi="Arial"/>
          <w:sz w:val="19"/>
          <w:szCs w:val="19"/>
          <w:color w:val="auto"/>
        </w:rPr>
        <w:t xml:space="preserve"> Date and neither any Loan Party nor any Subsidiary thereof has suffered any strikes, walkouts, work stoppages or other material labor difficulty within the last five years that, either individually or in the aggregate, could reasonably be expected to have a Material Adverse Effect.</w:t>
      </w:r>
    </w:p>
    <w:p>
      <w:pPr>
        <w:spacing w:after="0" w:line="192" w:lineRule="exact"/>
        <w:rPr>
          <w:sz w:val="20"/>
          <w:szCs w:val="20"/>
          <w:color w:val="auto"/>
        </w:rPr>
      </w:pPr>
    </w:p>
    <w:p>
      <w:pPr>
        <w:ind w:left="1200"/>
        <w:spacing w:after="0"/>
        <w:tabs>
          <w:tab w:leader="none" w:pos="1780" w:val="left"/>
        </w:tabs>
        <w:rPr>
          <w:sz w:val="20"/>
          <w:szCs w:val="20"/>
          <w:color w:val="auto"/>
        </w:rPr>
      </w:pPr>
      <w:r>
        <w:rPr>
          <w:rFonts w:ascii="Arial" w:cs="Arial" w:eastAsia="Arial" w:hAnsi="Arial"/>
          <w:sz w:val="20"/>
          <w:szCs w:val="20"/>
          <w:color w:val="auto"/>
        </w:rPr>
        <w:t>5.22.</w:t>
      </w:r>
      <w:r>
        <w:rPr>
          <w:sz w:val="20"/>
          <w:szCs w:val="20"/>
          <w:color w:val="auto"/>
        </w:rPr>
        <w:tab/>
      </w:r>
      <w:r>
        <w:rPr>
          <w:rFonts w:ascii="Arial" w:cs="Arial" w:eastAsia="Arial" w:hAnsi="Arial"/>
          <w:sz w:val="18"/>
          <w:szCs w:val="18"/>
          <w:u w:val="single" w:color="auto"/>
          <w:color w:val="auto"/>
        </w:rPr>
        <w:t>Anti-Corruption Laws; Sanctions; Anti-Terrorism Laws</w:t>
      </w:r>
      <w:r>
        <w:rPr>
          <w:rFonts w:ascii="Arial" w:cs="Arial" w:eastAsia="Arial" w:hAnsi="Arial"/>
          <w:sz w:val="18"/>
          <w:szCs w:val="18"/>
          <w:color w:val="auto"/>
        </w:rPr>
        <w: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789" w:right="239" w:bottom="1440" w:gutter="0" w:footer="0" w:header="0"/>
        </w:sectPr>
      </w:pPr>
    </w:p>
    <w:bookmarkStart w:id="300" w:name="page301"/>
    <w:bookmarkEnd w:id="300"/>
    <w:p>
      <w:pPr>
        <w:jc w:val="both"/>
        <w:ind w:left="600" w:firstLine="599"/>
        <w:spacing w:after="0" w:line="251" w:lineRule="auto"/>
        <w:tabs>
          <w:tab w:leader="none" w:pos="2021" w:val="left"/>
        </w:tabs>
        <w:numPr>
          <w:ilvl w:val="0"/>
          <w:numId w:val="343"/>
        </w:numPr>
        <w:rPr>
          <w:rFonts w:ascii="Arial" w:cs="Arial" w:eastAsia="Arial" w:hAnsi="Arial"/>
          <w:sz w:val="20"/>
          <w:szCs w:val="20"/>
          <w:color w:val="auto"/>
        </w:rPr>
      </w:pPr>
      <w:r>
        <w:rPr>
          <w:rFonts w:ascii="Arial" w:cs="Arial" w:eastAsia="Arial" w:hAnsi="Arial"/>
          <w:sz w:val="20"/>
          <w:szCs w:val="20"/>
          <w:color w:val="auto"/>
        </w:rPr>
        <w:t>The REIT, its Subsidiaries and their respective officers and employees and to the knowledge of the REIT, its directors and agents, are in compliance with Anti-Corruption Laws and applicable Sanctions in all material respects. None of the REIT, any Subsidiary or to the knowledge of the REIT or such Subsidiary any of their respective directors, officers or employees, is a Sanctioned Person. Neither the Term Loan, use of the proceeds of the Term Loans nor the</w:t>
      </w:r>
    </w:p>
    <w:p>
      <w:pPr>
        <w:spacing w:after="0" w:line="3" w:lineRule="exact"/>
        <w:rPr>
          <w:rFonts w:ascii="Arial" w:cs="Arial" w:eastAsia="Arial" w:hAnsi="Arial"/>
          <w:sz w:val="20"/>
          <w:szCs w:val="20"/>
          <w:color w:val="auto"/>
        </w:rPr>
      </w:pPr>
    </w:p>
    <w:p>
      <w:pPr>
        <w:ind w:left="600"/>
        <w:spacing w:after="0"/>
        <w:rPr>
          <w:rFonts w:ascii="Arial" w:cs="Arial" w:eastAsia="Arial" w:hAnsi="Arial"/>
          <w:sz w:val="20"/>
          <w:szCs w:val="20"/>
          <w:color w:val="auto"/>
        </w:rPr>
      </w:pPr>
      <w:r>
        <w:rPr>
          <w:rFonts w:ascii="Arial" w:cs="Arial" w:eastAsia="Arial" w:hAnsi="Arial"/>
          <w:sz w:val="20"/>
          <w:szCs w:val="20"/>
          <w:color w:val="auto"/>
        </w:rPr>
        <w:t>other transactions contemplated hereby will violate Anti-Corruption Laws or applicable Sanctions.</w:t>
      </w:r>
    </w:p>
    <w:p>
      <w:pPr>
        <w:spacing w:after="0" w:line="228" w:lineRule="exact"/>
        <w:rPr>
          <w:rFonts w:ascii="Arial" w:cs="Arial" w:eastAsia="Arial" w:hAnsi="Arial"/>
          <w:sz w:val="20"/>
          <w:szCs w:val="20"/>
          <w:color w:val="auto"/>
        </w:rPr>
      </w:pPr>
    </w:p>
    <w:p>
      <w:pPr>
        <w:jc w:val="both"/>
        <w:ind w:left="600" w:firstLine="599"/>
        <w:spacing w:after="0" w:line="273" w:lineRule="auto"/>
        <w:tabs>
          <w:tab w:leader="none" w:pos="2032" w:val="left"/>
        </w:tabs>
        <w:numPr>
          <w:ilvl w:val="0"/>
          <w:numId w:val="343"/>
        </w:numPr>
        <w:rPr>
          <w:rFonts w:ascii="Arial" w:cs="Arial" w:eastAsia="Arial" w:hAnsi="Arial"/>
          <w:sz w:val="19"/>
          <w:szCs w:val="19"/>
          <w:color w:val="auto"/>
        </w:rPr>
      </w:pPr>
      <w:r>
        <w:rPr>
          <w:rFonts w:ascii="Arial" w:cs="Arial" w:eastAsia="Arial" w:hAnsi="Arial"/>
          <w:sz w:val="19"/>
          <w:szCs w:val="19"/>
          <w:color w:val="auto"/>
        </w:rPr>
        <w:t>Neither the making of the Loans hereunder nor the use of the proceeds thereof will violate the PATRIOT Act, the Trading with the Enemy Act, as amended, or any of the foreign assets control regulations of the United States Treasury Department (31 C.F.R., Subtitle B, Chapter V, as amended) or any enabling legislation or executive order relating thereto or successor statute thereto. The REIT and its Subsidiaries are in compliance in all material respects with the PATRIOT Act.</w:t>
      </w:r>
    </w:p>
    <w:p>
      <w:pPr>
        <w:spacing w:after="0" w:line="192" w:lineRule="exact"/>
        <w:rPr>
          <w:sz w:val="20"/>
          <w:szCs w:val="20"/>
          <w:color w:val="auto"/>
        </w:rPr>
      </w:pPr>
    </w:p>
    <w:p>
      <w:pPr>
        <w:ind w:firstLine="1199"/>
        <w:spacing w:after="0" w:line="272" w:lineRule="auto"/>
        <w:rPr>
          <w:sz w:val="20"/>
          <w:szCs w:val="20"/>
          <w:color w:val="auto"/>
        </w:rPr>
      </w:pPr>
      <w:r>
        <w:rPr>
          <w:rFonts w:ascii="Arial" w:cs="Arial" w:eastAsia="Arial" w:hAnsi="Arial"/>
          <w:sz w:val="20"/>
          <w:szCs w:val="20"/>
          <w:color w:val="auto"/>
        </w:rPr>
        <w:t xml:space="preserve">5.23. </w:t>
      </w:r>
      <w:r>
        <w:rPr>
          <w:rFonts w:ascii="Arial" w:cs="Arial" w:eastAsia="Arial" w:hAnsi="Arial"/>
          <w:sz w:val="20"/>
          <w:szCs w:val="20"/>
          <w:u w:val="single" w:color="auto"/>
          <w:color w:val="auto"/>
        </w:rPr>
        <w:t>REIT Status; Stock Exchange Listing</w:t>
      </w:r>
      <w:r>
        <w:rPr>
          <w:rFonts w:ascii="Arial" w:cs="Arial" w:eastAsia="Arial" w:hAnsi="Arial"/>
          <w:sz w:val="20"/>
          <w:szCs w:val="20"/>
          <w:color w:val="auto"/>
        </w:rPr>
        <w:t>. The REIT is qualified as a Real Estate Investment Trust. The shares of common Equity Interests of the REIT are listed on the New York Stock Exchange.</w:t>
      </w:r>
    </w:p>
    <w:p>
      <w:pPr>
        <w:spacing w:after="0" w:line="185" w:lineRule="exact"/>
        <w:rPr>
          <w:sz w:val="20"/>
          <w:szCs w:val="20"/>
          <w:color w:val="auto"/>
        </w:rPr>
      </w:pPr>
    </w:p>
    <w:p>
      <w:pPr>
        <w:ind w:left="1200"/>
        <w:spacing w:after="0"/>
        <w:tabs>
          <w:tab w:leader="none" w:pos="1780" w:val="left"/>
        </w:tabs>
        <w:rPr>
          <w:sz w:val="20"/>
          <w:szCs w:val="20"/>
          <w:color w:val="auto"/>
        </w:rPr>
      </w:pPr>
      <w:r>
        <w:rPr>
          <w:rFonts w:ascii="Arial" w:cs="Arial" w:eastAsia="Arial" w:hAnsi="Arial"/>
          <w:sz w:val="20"/>
          <w:szCs w:val="20"/>
          <w:b w:val="1"/>
          <w:bCs w:val="1"/>
          <w:u w:val="single" w:color="auto"/>
          <w:color w:val="0000FF"/>
          <w:highlight w:val="lightGray"/>
        </w:rPr>
        <w:t>5.24.</w:t>
      </w:r>
      <w:r>
        <w:rPr>
          <w:sz w:val="20"/>
          <w:szCs w:val="20"/>
          <w:color w:val="auto"/>
        </w:rPr>
        <w:tab/>
      </w:r>
      <w:r>
        <w:rPr>
          <w:rFonts w:ascii="Arial" w:cs="Arial" w:eastAsia="Arial" w:hAnsi="Arial"/>
          <w:sz w:val="18"/>
          <w:szCs w:val="18"/>
          <w:b w:val="1"/>
          <w:bCs w:val="1"/>
          <w:u w:val="single" w:color="auto"/>
          <w:color w:val="0000FF"/>
          <w:highlight w:val="lightGray"/>
        </w:rPr>
        <w:t>EEA Financial Institution. No Loan Party is an EEA Financial Institution.</w:t>
      </w:r>
    </w:p>
    <w:p>
      <w:pPr>
        <w:spacing w:after="0" w:line="251" w:lineRule="exact"/>
        <w:rPr>
          <w:sz w:val="20"/>
          <w:szCs w:val="20"/>
          <w:color w:val="auto"/>
        </w:rPr>
      </w:pPr>
    </w:p>
    <w:p>
      <w:pPr>
        <w:jc w:val="center"/>
        <w:ind w:left="600"/>
        <w:spacing w:after="0"/>
        <w:rPr>
          <w:sz w:val="20"/>
          <w:szCs w:val="20"/>
          <w:color w:val="auto"/>
        </w:rPr>
      </w:pPr>
      <w:r>
        <w:rPr>
          <w:rFonts w:ascii="Arial" w:cs="Arial" w:eastAsia="Arial" w:hAnsi="Arial"/>
          <w:sz w:val="20"/>
          <w:szCs w:val="20"/>
          <w:color w:val="auto"/>
        </w:rPr>
        <w:t>ARTICLE VI</w:t>
      </w:r>
    </w:p>
    <w:p>
      <w:pPr>
        <w:spacing w:after="0" w:line="23" w:lineRule="exact"/>
        <w:rPr>
          <w:sz w:val="20"/>
          <w:szCs w:val="20"/>
          <w:color w:val="auto"/>
        </w:rPr>
      </w:pPr>
    </w:p>
    <w:p>
      <w:pPr>
        <w:jc w:val="center"/>
        <w:ind w:left="600"/>
        <w:spacing w:after="0"/>
        <w:rPr>
          <w:sz w:val="20"/>
          <w:szCs w:val="20"/>
          <w:color w:val="auto"/>
        </w:rPr>
      </w:pPr>
      <w:r>
        <w:rPr>
          <w:rFonts w:ascii="Arial" w:cs="Arial" w:eastAsia="Arial" w:hAnsi="Arial"/>
          <w:sz w:val="20"/>
          <w:szCs w:val="20"/>
          <w:color w:val="auto"/>
        </w:rPr>
        <w:t>AFFIRMATIVE COVENANTS</w:t>
      </w:r>
    </w:p>
    <w:p>
      <w:pPr>
        <w:spacing w:after="0" w:line="229" w:lineRule="exact"/>
        <w:rPr>
          <w:sz w:val="20"/>
          <w:szCs w:val="20"/>
          <w:color w:val="auto"/>
        </w:rPr>
      </w:pPr>
    </w:p>
    <w:p>
      <w:pPr>
        <w:jc w:val="both"/>
        <w:ind w:left="600" w:firstLine="600"/>
        <w:spacing w:after="0" w:line="260" w:lineRule="auto"/>
        <w:rPr>
          <w:sz w:val="20"/>
          <w:szCs w:val="20"/>
          <w:color w:val="auto"/>
        </w:rPr>
      </w:pPr>
      <w:r>
        <w:rPr>
          <w:rFonts w:ascii="Arial" w:cs="Arial" w:eastAsia="Arial" w:hAnsi="Arial"/>
          <w:sz w:val="20"/>
          <w:szCs w:val="20"/>
          <w:color w:val="auto"/>
        </w:rPr>
        <w:t xml:space="preserve">So long as any Lender shall have any Commitment hereunder, any Loan or other Obligation hereunder shall remain unpaid or unsatisfied, each of the REIT and the Borrower shall, and shall (except in the case of the covenants set forth in </w:t>
      </w:r>
      <w:r>
        <w:rPr>
          <w:rFonts w:ascii="Arial" w:cs="Arial" w:eastAsia="Arial" w:hAnsi="Arial"/>
          <w:sz w:val="20"/>
          <w:szCs w:val="20"/>
          <w:u w:val="single" w:color="auto"/>
          <w:color w:val="auto"/>
        </w:rPr>
        <w:t>Sections 6.01</w:t>
      </w:r>
      <w:r>
        <w:rPr>
          <w:rFonts w:ascii="Arial" w:cs="Arial" w:eastAsia="Arial" w:hAnsi="Arial"/>
          <w:sz w:val="20"/>
          <w:szCs w:val="20"/>
          <w:color w:val="auto"/>
        </w:rPr>
        <w:t xml:space="preserve">, </w:t>
      </w:r>
      <w:r>
        <w:rPr>
          <w:rFonts w:ascii="Arial" w:cs="Arial" w:eastAsia="Arial" w:hAnsi="Arial"/>
          <w:sz w:val="20"/>
          <w:szCs w:val="20"/>
          <w:u w:val="single" w:color="auto"/>
          <w:color w:val="auto"/>
        </w:rPr>
        <w:t>6.02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6.03</w:t>
      </w:r>
      <w:r>
        <w:rPr>
          <w:rFonts w:ascii="Arial" w:cs="Arial" w:eastAsia="Arial" w:hAnsi="Arial"/>
          <w:sz w:val="20"/>
          <w:szCs w:val="20"/>
          <w:color w:val="auto"/>
        </w:rPr>
        <w:t>) cause each of their respective Subsidiaries to:</w:t>
      </w:r>
    </w:p>
    <w:p>
      <w:pPr>
        <w:spacing w:after="0" w:line="202" w:lineRule="exact"/>
        <w:rPr>
          <w:sz w:val="20"/>
          <w:szCs w:val="20"/>
          <w:color w:val="auto"/>
        </w:rPr>
      </w:pPr>
    </w:p>
    <w:p>
      <w:pPr>
        <w:ind w:left="1200"/>
        <w:spacing w:after="0"/>
        <w:tabs>
          <w:tab w:leader="none" w:pos="2020" w:val="left"/>
        </w:tabs>
        <w:rPr>
          <w:sz w:val="20"/>
          <w:szCs w:val="20"/>
          <w:color w:val="auto"/>
        </w:rPr>
      </w:pPr>
      <w:r>
        <w:rPr>
          <w:rFonts w:ascii="Arial" w:cs="Arial" w:eastAsia="Arial" w:hAnsi="Arial"/>
          <w:sz w:val="20"/>
          <w:szCs w:val="20"/>
          <w:color w:val="auto"/>
        </w:rPr>
        <w:t>6.01.</w:t>
      </w:r>
      <w:r>
        <w:rPr>
          <w:sz w:val="20"/>
          <w:szCs w:val="20"/>
          <w:color w:val="auto"/>
        </w:rPr>
        <w:tab/>
      </w:r>
      <w:r>
        <w:rPr>
          <w:rFonts w:ascii="Arial" w:cs="Arial" w:eastAsia="Arial" w:hAnsi="Arial"/>
          <w:sz w:val="20"/>
          <w:szCs w:val="20"/>
          <w:u w:val="single" w:color="auto"/>
          <w:color w:val="auto"/>
        </w:rPr>
        <w:t>Financial Statements</w:t>
      </w:r>
      <w:r>
        <w:rPr>
          <w:rFonts w:ascii="Arial" w:cs="Arial" w:eastAsia="Arial" w:hAnsi="Arial"/>
          <w:sz w:val="20"/>
          <w:szCs w:val="20"/>
          <w:color w:val="auto"/>
        </w:rPr>
        <w:t>. Deliver to the Administrative Agent, in form and detail reasonably satisfactory to the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w:t>
      </w:r>
    </w:p>
    <w:p>
      <w:pPr>
        <w:spacing w:after="0" w:line="229" w:lineRule="exact"/>
        <w:rPr>
          <w:sz w:val="20"/>
          <w:szCs w:val="20"/>
          <w:color w:val="auto"/>
        </w:rPr>
      </w:pPr>
    </w:p>
    <w:p>
      <w:pPr>
        <w:jc w:val="both"/>
        <w:ind w:left="600" w:firstLine="599"/>
        <w:spacing w:after="0" w:line="265" w:lineRule="auto"/>
        <w:tabs>
          <w:tab w:leader="none" w:pos="2021" w:val="left"/>
        </w:tabs>
        <w:numPr>
          <w:ilvl w:val="0"/>
          <w:numId w:val="344"/>
        </w:numPr>
        <w:rPr>
          <w:rFonts w:ascii="Arial" w:cs="Arial" w:eastAsia="Arial" w:hAnsi="Arial"/>
          <w:sz w:val="19"/>
          <w:szCs w:val="19"/>
          <w:color w:val="auto"/>
        </w:rPr>
      </w:pPr>
      <w:r>
        <w:rPr>
          <w:rFonts w:ascii="Arial" w:cs="Arial" w:eastAsia="Arial" w:hAnsi="Arial"/>
          <w:sz w:val="19"/>
          <w:szCs w:val="19"/>
          <w:color w:val="auto"/>
        </w:rPr>
        <w:t>as soon as available, but in any event within 90 days after the end of each fiscal year of the REIT (or, if earlier, 15 days after the date required to be filed with the SEC) (commencing with the fiscal year ended December 31, 2015), a consolidated balance sheet of the Consolidated Group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(except for a qualification or an exception to the extent related to the maturity or refinancing of the Loans or any loans or obligations under the Revolving Credit Agreement);</w:t>
      </w:r>
    </w:p>
    <w:p>
      <w:pPr>
        <w:spacing w:after="0" w:line="197" w:lineRule="exact"/>
        <w:rPr>
          <w:rFonts w:ascii="Arial" w:cs="Arial" w:eastAsia="Arial" w:hAnsi="Arial"/>
          <w:sz w:val="19"/>
          <w:szCs w:val="19"/>
          <w:color w:val="auto"/>
        </w:rPr>
      </w:pPr>
    </w:p>
    <w:p>
      <w:pPr>
        <w:jc w:val="both"/>
        <w:ind w:left="600" w:firstLine="599"/>
        <w:spacing w:after="0" w:line="273" w:lineRule="auto"/>
        <w:tabs>
          <w:tab w:leader="none" w:pos="2032" w:val="left"/>
        </w:tabs>
        <w:numPr>
          <w:ilvl w:val="0"/>
          <w:numId w:val="344"/>
        </w:numPr>
        <w:rPr>
          <w:rFonts w:ascii="Arial" w:cs="Arial" w:eastAsia="Arial" w:hAnsi="Arial"/>
          <w:sz w:val="19"/>
          <w:szCs w:val="19"/>
          <w:color w:val="auto"/>
        </w:rPr>
      </w:pPr>
      <w:r>
        <w:rPr>
          <w:rFonts w:ascii="Arial" w:cs="Arial" w:eastAsia="Arial" w:hAnsi="Arial"/>
          <w:sz w:val="19"/>
          <w:szCs w:val="19"/>
          <w:color w:val="auto"/>
        </w:rPr>
        <w:t>as soon as available, but in any event within 45 days after the end of each of the first three fiscal quarters of each fiscal year of the REIT (or, if earlier, 5 days after the date required to be filed with the SEC) (commencing with the fiscal quarter ending March 31, 2016), a consolidated balance sheet of the Consolidated Group as at the end of such fiscal quarter, and the related consolidated statements of income or operations for such fiscal quarter and for the portion of the REIT’s fiscal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795" w:right="239" w:bottom="1440" w:gutter="0" w:footer="0" w:header="0"/>
        </w:sectPr>
      </w:pPr>
    </w:p>
    <w:bookmarkStart w:id="301" w:name="page302"/>
    <w:bookmarkEnd w:id="301"/>
    <w:p>
      <w:pPr>
        <w:jc w:val="both"/>
        <w:ind w:left="600"/>
        <w:spacing w:after="0" w:line="252" w:lineRule="auto"/>
        <w:rPr>
          <w:sz w:val="20"/>
          <w:szCs w:val="20"/>
          <w:color w:val="auto"/>
        </w:rPr>
      </w:pPr>
      <w:r>
        <w:rPr>
          <w:rFonts w:ascii="Arial" w:cs="Arial" w:eastAsia="Arial" w:hAnsi="Arial"/>
          <w:sz w:val="20"/>
          <w:szCs w:val="20"/>
          <w:color w:val="auto"/>
        </w:rPr>
        <w:t>year then ended, and the related consolidated statements of changes in shareholders’ equity and cash flows for the portion of the REIT’s fiscal year then ended, in each case setting forth in comparative form, as applicable, the figures for the corresponding fiscal quarter of the previous fiscal year and the corresponding portion of the previous fiscal year, all in reasonable detail, certified by the chief executive officer, chief financial officer, treasurer or controller of the REIT as fairly presenting the financial condition, results of operations, shareholders’ equity and cash flows of the Consolidated Group in accordance with GAAP, subject only to customary year-end audit adjustments and the absence of footnotes; and</w:t>
      </w:r>
    </w:p>
    <w:p>
      <w:pPr>
        <w:spacing w:after="0" w:line="212" w:lineRule="exact"/>
        <w:rPr>
          <w:sz w:val="20"/>
          <w:szCs w:val="20"/>
          <w:color w:val="auto"/>
        </w:rPr>
      </w:pPr>
    </w:p>
    <w:p>
      <w:pPr>
        <w:jc w:val="both"/>
        <w:ind w:left="600" w:firstLine="599"/>
        <w:spacing w:after="0" w:line="293" w:lineRule="auto"/>
        <w:tabs>
          <w:tab w:leader="none" w:pos="2021"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as soon as available, but in any event at least 15 days before the end of each fiscal year of the Consolidated Group on a consolidated basis, including forecasts prepared by management of the REIT, in form reasonably satisfactory to the Administrative Agent, of consolidated balance sheets and statements of income or operations and cash flows of the Consolidated Group on a quarterly basis for the immediately following fiscal year (including the fiscal year in which the Maturity Date occurs).</w:t>
      </w:r>
    </w:p>
    <w:p>
      <w:pPr>
        <w:spacing w:after="0" w:line="176" w:lineRule="exact"/>
        <w:rPr>
          <w:sz w:val="20"/>
          <w:szCs w:val="20"/>
          <w:color w:val="auto"/>
        </w:rPr>
      </w:pPr>
    </w:p>
    <w:p>
      <w:pPr>
        <w:jc w:val="both"/>
        <w:ind w:left="600"/>
        <w:spacing w:after="0" w:line="280" w:lineRule="auto"/>
        <w:rPr>
          <w:sz w:val="20"/>
          <w:szCs w:val="20"/>
          <w:color w:val="auto"/>
        </w:rPr>
      </w:pPr>
      <w:r>
        <w:rPr>
          <w:rFonts w:ascii="Arial" w:cs="Arial" w:eastAsia="Arial" w:hAnsi="Arial"/>
          <w:sz w:val="19"/>
          <w:szCs w:val="19"/>
          <w:color w:val="auto"/>
        </w:rPr>
        <w:t xml:space="preserve">As to any information contained in materials furnished pursuant to </w:t>
      </w:r>
      <w:r>
        <w:rPr>
          <w:rFonts w:ascii="Arial" w:cs="Arial" w:eastAsia="Arial" w:hAnsi="Arial"/>
          <w:sz w:val="19"/>
          <w:szCs w:val="19"/>
          <w:u w:val="single" w:color="auto"/>
          <w:color w:val="auto"/>
        </w:rPr>
        <w:t>Section 6.02(d)</w:t>
      </w:r>
      <w:r>
        <w:rPr>
          <w:rFonts w:ascii="Arial" w:cs="Arial" w:eastAsia="Arial" w:hAnsi="Arial"/>
          <w:sz w:val="19"/>
          <w:szCs w:val="19"/>
          <w:color w:val="auto"/>
        </w:rPr>
        <w:t xml:space="preserve">, the Borrower shall not be separately required to furnish such information under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but the foregoing shall not be in derogation of the obligation of the Borrower to furnish the information and materials described in </w:t>
      </w:r>
      <w:r>
        <w:rPr>
          <w:rFonts w:ascii="Arial" w:cs="Arial" w:eastAsia="Arial" w:hAnsi="Arial"/>
          <w:sz w:val="19"/>
          <w:szCs w:val="19"/>
          <w:u w:val="single" w:color="auto"/>
          <w:color w:val="auto"/>
        </w:rPr>
        <w:t>Sections 6.01(a)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at the times specified therein.</w:t>
      </w:r>
    </w:p>
    <w:p>
      <w:pPr>
        <w:spacing w:after="0" w:line="185" w:lineRule="exact"/>
        <w:rPr>
          <w:sz w:val="20"/>
          <w:szCs w:val="20"/>
          <w:color w:val="auto"/>
        </w:rPr>
      </w:pPr>
    </w:p>
    <w:p>
      <w:pPr>
        <w:ind w:left="1200"/>
        <w:spacing w:after="0"/>
        <w:tabs>
          <w:tab w:leader="none" w:pos="2020" w:val="left"/>
        </w:tabs>
        <w:rPr>
          <w:sz w:val="20"/>
          <w:szCs w:val="20"/>
          <w:color w:val="auto"/>
        </w:rPr>
      </w:pPr>
      <w:r>
        <w:rPr>
          <w:rFonts w:ascii="Arial" w:cs="Arial" w:eastAsia="Arial" w:hAnsi="Arial"/>
          <w:sz w:val="20"/>
          <w:szCs w:val="20"/>
          <w:color w:val="auto"/>
        </w:rPr>
        <w:t>6.02.</w:t>
      </w:r>
      <w:r>
        <w:rPr>
          <w:sz w:val="20"/>
          <w:szCs w:val="20"/>
          <w:color w:val="auto"/>
        </w:rPr>
        <w:tab/>
      </w:r>
      <w:r>
        <w:rPr>
          <w:rFonts w:ascii="Arial" w:cs="Arial" w:eastAsia="Arial" w:hAnsi="Arial"/>
          <w:sz w:val="20"/>
          <w:szCs w:val="20"/>
          <w:u w:val="single" w:color="auto"/>
          <w:color w:val="auto"/>
        </w:rPr>
        <w:t>Certificates; Other Information</w:t>
      </w:r>
      <w:r>
        <w:rPr>
          <w:rFonts w:ascii="Arial" w:cs="Arial" w:eastAsia="Arial" w:hAnsi="Arial"/>
          <w:sz w:val="20"/>
          <w:szCs w:val="20"/>
          <w:color w:val="auto"/>
        </w:rPr>
        <w:t>. Deliver to the Administrative Agent, in form and detail satisfactory to the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w:t>
      </w:r>
    </w:p>
    <w:p>
      <w:pPr>
        <w:spacing w:after="0" w:line="229" w:lineRule="exact"/>
        <w:rPr>
          <w:sz w:val="20"/>
          <w:szCs w:val="20"/>
          <w:color w:val="auto"/>
        </w:rPr>
      </w:pPr>
    </w:p>
    <w:p>
      <w:pPr>
        <w:jc w:val="both"/>
        <w:ind w:left="600" w:firstLine="599"/>
        <w:spacing w:after="0" w:line="253" w:lineRule="auto"/>
        <w:tabs>
          <w:tab w:leader="none" w:pos="2021" w:val="left"/>
        </w:tabs>
        <w:numPr>
          <w:ilvl w:val="0"/>
          <w:numId w:val="346"/>
        </w:numPr>
        <w:rPr>
          <w:rFonts w:ascii="Arial" w:cs="Arial" w:eastAsia="Arial" w:hAnsi="Arial"/>
          <w:sz w:val="20"/>
          <w:szCs w:val="20"/>
          <w:color w:val="auto"/>
        </w:rPr>
      </w:pPr>
      <w:r>
        <w:rPr>
          <w:rFonts w:ascii="Arial" w:cs="Arial" w:eastAsia="Arial" w:hAnsi="Arial"/>
          <w:sz w:val="20"/>
          <w:szCs w:val="20"/>
          <w:color w:val="auto"/>
        </w:rPr>
        <w:t xml:space="preserve">concurrently with the delivery of the financial statements referred to in </w:t>
      </w:r>
      <w:r>
        <w:rPr>
          <w:rFonts w:ascii="Arial" w:cs="Arial" w:eastAsia="Arial" w:hAnsi="Arial"/>
          <w:sz w:val="20"/>
          <w:szCs w:val="20"/>
          <w:u w:val="single" w:color="auto"/>
          <w:color w:val="auto"/>
        </w:rPr>
        <w:t>Section 6.01(a)</w:t>
      </w:r>
      <w:r>
        <w:rPr>
          <w:rFonts w:ascii="Arial" w:cs="Arial" w:eastAsia="Arial" w:hAnsi="Arial"/>
          <w:sz w:val="20"/>
          <w:szCs w:val="20"/>
          <w:color w:val="auto"/>
        </w:rPr>
        <w:t>, a certificate of its independent certified public accountants (which certificate may be limited or eliminated to the extent required by accounting rules or guidelines) certifying such financial statements and stating that in making the examination necessary therefor no knowledge was obtained of any Default under the financial covenants set forth herein or, if any such Default shall exist, stating the nature and status of such event;</w:t>
      </w:r>
    </w:p>
    <w:p>
      <w:pPr>
        <w:spacing w:after="0" w:line="211" w:lineRule="exact"/>
        <w:rPr>
          <w:rFonts w:ascii="Arial" w:cs="Arial" w:eastAsia="Arial" w:hAnsi="Arial"/>
          <w:sz w:val="20"/>
          <w:szCs w:val="20"/>
          <w:color w:val="auto"/>
        </w:rPr>
      </w:pPr>
    </w:p>
    <w:p>
      <w:pPr>
        <w:jc w:val="both"/>
        <w:ind w:left="600" w:firstLine="599"/>
        <w:spacing w:after="0" w:line="293" w:lineRule="auto"/>
        <w:tabs>
          <w:tab w:leader="none" w:pos="2032"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 duly completed Compliance Certificate signed by the chief executive officer, chief financial officer, treasurer or controller of the REIT (which delivery may, unless the Administrative Agent, or a Lender through the Administrative Agent requests executed originals, be by electronic communication including fax or email and shall be deemed to be an original authentic counterpart thereof for all purposes);</w:t>
      </w:r>
    </w:p>
    <w:p>
      <w:pPr>
        <w:spacing w:after="0" w:line="175" w:lineRule="exact"/>
        <w:rPr>
          <w:rFonts w:ascii="Arial" w:cs="Arial" w:eastAsia="Arial" w:hAnsi="Arial"/>
          <w:sz w:val="18"/>
          <w:szCs w:val="18"/>
          <w:color w:val="auto"/>
        </w:rPr>
      </w:pPr>
    </w:p>
    <w:p>
      <w:pPr>
        <w:jc w:val="both"/>
        <w:ind w:left="600" w:firstLine="599"/>
        <w:spacing w:after="0" w:line="256" w:lineRule="auto"/>
        <w:tabs>
          <w:tab w:leader="none" w:pos="2021" w:val="left"/>
        </w:tabs>
        <w:numPr>
          <w:ilvl w:val="0"/>
          <w:numId w:val="346"/>
        </w:numPr>
        <w:rPr>
          <w:rFonts w:ascii="Arial" w:cs="Arial" w:eastAsia="Arial" w:hAnsi="Arial"/>
          <w:sz w:val="20"/>
          <w:szCs w:val="20"/>
          <w:color w:val="auto"/>
        </w:rPr>
      </w:pPr>
      <w:r>
        <w:rPr>
          <w:rFonts w:ascii="Arial" w:cs="Arial" w:eastAsia="Arial" w:hAnsi="Arial"/>
          <w:sz w:val="20"/>
          <w:szCs w:val="20"/>
          <w:color w:val="auto"/>
        </w:rPr>
        <w:t>promptly after any request by the Administrative Agent or any Lender, copies of any detailed audit reports, management letters or recommendations submitted to the board of directors (or the audit committee of the board of directors) of any Loan Party by independent accountants in connection with the accounts or books of any Loan Party or any of its Subsidiaries, or any audit of any of them;</w:t>
      </w:r>
    </w:p>
    <w:p>
      <w:pPr>
        <w:spacing w:after="0" w:line="205" w:lineRule="exact"/>
        <w:rPr>
          <w:rFonts w:ascii="Arial" w:cs="Arial" w:eastAsia="Arial" w:hAnsi="Arial"/>
          <w:sz w:val="20"/>
          <w:szCs w:val="20"/>
          <w:color w:val="auto"/>
        </w:rPr>
      </w:pPr>
    </w:p>
    <w:p>
      <w:pPr>
        <w:jc w:val="both"/>
        <w:ind w:left="600" w:firstLine="599"/>
        <w:spacing w:after="0" w:line="273" w:lineRule="auto"/>
        <w:tabs>
          <w:tab w:leader="none" w:pos="2032" w:val="left"/>
        </w:tabs>
        <w:numPr>
          <w:ilvl w:val="0"/>
          <w:numId w:val="346"/>
        </w:numPr>
        <w:rPr>
          <w:rFonts w:ascii="Arial" w:cs="Arial" w:eastAsia="Arial" w:hAnsi="Arial"/>
          <w:sz w:val="19"/>
          <w:szCs w:val="19"/>
          <w:color w:val="auto"/>
        </w:rPr>
      </w:pPr>
      <w:r>
        <w:rPr>
          <w:rFonts w:ascii="Arial" w:cs="Arial" w:eastAsia="Arial" w:hAnsi="Arial"/>
          <w:sz w:val="19"/>
          <w:szCs w:val="19"/>
          <w:color w:val="auto"/>
        </w:rPr>
        <w:t>promptly after the same are available, (x) copies of each annual report, proxy or financial statement or other report or communication sent to the stockholders or other equityholders of the REIT, (y) copies of each annual report, proxy, financial statement or other financial report sent to the limited partners of the Borrower, and (z) copies of all annual, regular, periodic and special reports and registration statements which any Loan Party or any Subsidiary thereof files with the SEC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795" w:right="239" w:bottom="1440" w:gutter="0" w:footer="0" w:header="0"/>
        </w:sectPr>
      </w:pPr>
    </w:p>
    <w:bookmarkStart w:id="302" w:name="page303"/>
    <w:bookmarkEnd w:id="302"/>
    <w:p>
      <w:pPr>
        <w:spacing w:after="0" w:line="272" w:lineRule="auto"/>
        <w:rPr>
          <w:sz w:val="20"/>
          <w:szCs w:val="20"/>
          <w:color w:val="auto"/>
        </w:rPr>
      </w:pPr>
      <w:r>
        <w:rPr>
          <w:rFonts w:ascii="Arial" w:cs="Arial" w:eastAsia="Arial" w:hAnsi="Arial"/>
          <w:sz w:val="20"/>
          <w:szCs w:val="20"/>
          <w:color w:val="auto"/>
        </w:rPr>
        <w:t>under Section 13 or 15(d) of the Securities Exchange Act of 1934, or with any national securities exchange, and in any case not otherwise required to be delivered to the Administrative Agent pursuant hereto;</w:t>
      </w:r>
    </w:p>
    <w:p>
      <w:pPr>
        <w:spacing w:after="0" w:line="191" w:lineRule="exact"/>
        <w:rPr>
          <w:sz w:val="20"/>
          <w:szCs w:val="20"/>
          <w:color w:val="auto"/>
        </w:rPr>
      </w:pPr>
    </w:p>
    <w:p>
      <w:pPr>
        <w:jc w:val="both"/>
        <w:ind w:firstLine="599"/>
        <w:spacing w:after="0" w:line="302" w:lineRule="auto"/>
        <w:tabs>
          <w:tab w:leader="none" w:pos="1421" w:val="left"/>
        </w:tabs>
        <w:numPr>
          <w:ilvl w:val="0"/>
          <w:numId w:val="347"/>
        </w:numPr>
        <w:rPr>
          <w:rFonts w:ascii="Arial" w:cs="Arial" w:eastAsia="Arial" w:hAnsi="Arial"/>
          <w:sz w:val="18"/>
          <w:szCs w:val="18"/>
          <w:color w:val="auto"/>
        </w:rPr>
      </w:pPr>
      <w:r>
        <w:rPr>
          <w:rFonts w:ascii="Arial" w:cs="Arial" w:eastAsia="Arial" w:hAnsi="Arial"/>
          <w:sz w:val="18"/>
          <w:szCs w:val="18"/>
          <w:color w:val="auto"/>
        </w:rPr>
        <w:t>promptly after the furnishing thereof, copies of any material statement or report furnished to any holder of debt securities of any Loan Party</w:t>
      </w:r>
      <w:r>
        <w:rPr>
          <w:rFonts w:ascii="Arial" w:cs="Arial" w:eastAsia="Arial" w:hAnsi="Arial"/>
          <w:sz w:val="18"/>
          <w:szCs w:val="18"/>
          <w:b w:val="1"/>
          <w:bCs w:val="1"/>
          <w:u w:val="single" w:color="auto"/>
          <w:color w:val="0000FF"/>
          <w:highlight w:val="lightGray"/>
        </w:rPr>
        <w:t>, any Direct Owner or Indirect Owner</w:t>
      </w:r>
      <w:r>
        <w:rPr>
          <w:rFonts w:ascii="Arial" w:cs="Arial" w:eastAsia="Arial" w:hAnsi="Arial"/>
          <w:sz w:val="18"/>
          <w:szCs w:val="18"/>
          <w:color w:val="auto"/>
        </w:rPr>
        <w:t xml:space="preserve"> pursuant to the terms of any indenture, loan or credit or similar agreement and not otherwise required to be furnished to the Lenders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or any other clause of this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67" w:lineRule="exact"/>
        <w:rPr>
          <w:rFonts w:ascii="Arial" w:cs="Arial" w:eastAsia="Arial" w:hAnsi="Arial"/>
          <w:sz w:val="18"/>
          <w:szCs w:val="18"/>
          <w:color w:val="auto"/>
        </w:rPr>
      </w:pPr>
    </w:p>
    <w:p>
      <w:pPr>
        <w:jc w:val="both"/>
        <w:ind w:firstLine="599"/>
        <w:spacing w:after="0" w:line="256" w:lineRule="auto"/>
        <w:tabs>
          <w:tab w:leader="none" w:pos="1399" w:val="left"/>
        </w:tabs>
        <w:numPr>
          <w:ilvl w:val="0"/>
          <w:numId w:val="347"/>
        </w:numPr>
        <w:rPr>
          <w:rFonts w:ascii="Arial" w:cs="Arial" w:eastAsia="Arial" w:hAnsi="Arial"/>
          <w:sz w:val="20"/>
          <w:szCs w:val="20"/>
          <w:color w:val="auto"/>
        </w:rPr>
      </w:pPr>
      <w:r>
        <w:rPr>
          <w:rFonts w:ascii="Arial" w:cs="Arial" w:eastAsia="Arial" w:hAnsi="Arial"/>
          <w:sz w:val="20"/>
          <w:szCs w:val="20"/>
          <w:color w:val="auto"/>
        </w:rPr>
        <w:t>promptly, and in any event within five Business Days after receipt thereof by any Loan Party or any Subsidiary thereof, copies of each material notice or other material written correspondence received from the SEC (or comparable agency in any applicable non-U.S. jurisdiction) concerning any investigation or possible investigation or other inquiry by such agency regarding financial or other operational results of any Loan Party or any Subsidiary thereof;</w:t>
      </w:r>
    </w:p>
    <w:p>
      <w:pPr>
        <w:spacing w:after="0" w:line="205" w:lineRule="exact"/>
        <w:rPr>
          <w:rFonts w:ascii="Arial" w:cs="Arial" w:eastAsia="Arial" w:hAnsi="Arial"/>
          <w:sz w:val="20"/>
          <w:szCs w:val="20"/>
          <w:color w:val="auto"/>
        </w:rPr>
      </w:pPr>
    </w:p>
    <w:p>
      <w:pPr>
        <w:jc w:val="both"/>
        <w:ind w:firstLine="599"/>
        <w:spacing w:after="0" w:line="260" w:lineRule="auto"/>
        <w:tabs>
          <w:tab w:leader="none" w:pos="1432" w:val="left"/>
        </w:tabs>
        <w:numPr>
          <w:ilvl w:val="0"/>
          <w:numId w:val="347"/>
        </w:numPr>
        <w:rPr>
          <w:rFonts w:ascii="Arial" w:cs="Arial" w:eastAsia="Arial" w:hAnsi="Arial"/>
          <w:sz w:val="20"/>
          <w:szCs w:val="20"/>
          <w:color w:val="auto"/>
        </w:rPr>
      </w:pPr>
      <w:r>
        <w:rPr>
          <w:rFonts w:ascii="Arial" w:cs="Arial" w:eastAsia="Arial" w:hAnsi="Arial"/>
          <w:sz w:val="20"/>
          <w:szCs w:val="20"/>
          <w:color w:val="auto"/>
        </w:rPr>
        <w:t>promptly after the assertion or occurrence thereof, notice of any action or proceeding against or of any noncompliance by any Loan Party or any of its Subsidiaries with any Environmental Law or Environmental Permit that could reasonably be expected to have a Material Adverse Effect;</w:t>
      </w:r>
    </w:p>
    <w:p>
      <w:pPr>
        <w:spacing w:after="0" w:line="201" w:lineRule="exact"/>
        <w:rPr>
          <w:rFonts w:ascii="Arial" w:cs="Arial" w:eastAsia="Arial" w:hAnsi="Arial"/>
          <w:sz w:val="20"/>
          <w:szCs w:val="20"/>
          <w:color w:val="auto"/>
        </w:rPr>
      </w:pPr>
    </w:p>
    <w:p>
      <w:pPr>
        <w:jc w:val="both"/>
        <w:ind w:firstLine="599"/>
        <w:spacing w:after="0" w:line="256" w:lineRule="auto"/>
        <w:tabs>
          <w:tab w:leader="none" w:pos="1432" w:val="left"/>
        </w:tabs>
        <w:numPr>
          <w:ilvl w:val="0"/>
          <w:numId w:val="347"/>
        </w:numPr>
        <w:rPr>
          <w:rFonts w:ascii="Arial" w:cs="Arial" w:eastAsia="Arial" w:hAnsi="Arial"/>
          <w:sz w:val="20"/>
          <w:szCs w:val="20"/>
          <w:color w:val="auto"/>
        </w:rPr>
      </w:pPr>
      <w:r>
        <w:rPr>
          <w:rFonts w:ascii="Arial" w:cs="Arial" w:eastAsia="Arial" w:hAnsi="Arial"/>
          <w:sz w:val="20"/>
          <w:szCs w:val="20"/>
          <w:color w:val="auto"/>
        </w:rPr>
        <w:t xml:space="preserve">as soon as available, but in any event within 30 days after the end of each fiscal year of the REIT, a report summarizing the insurance coverage (specifying type, amount and carrier) in effect for each </w:t>
      </w:r>
      <w:r>
        <w:rPr>
          <w:rFonts w:ascii="Arial" w:cs="Arial" w:eastAsia="Arial" w:hAnsi="Arial"/>
          <w:sz w:val="20"/>
          <w:szCs w:val="20"/>
          <w:color w:val="FF0000"/>
          <w:strike w:val="1"/>
        </w:rPr>
        <w:t>Loan Party</w:t>
      </w:r>
      <w:r>
        <w:rPr>
          <w:rFonts w:ascii="Arial" w:cs="Arial" w:eastAsia="Arial" w:hAnsi="Arial"/>
          <w:sz w:val="20"/>
          <w:szCs w:val="20"/>
          <w:b w:val="1"/>
          <w:bCs w:val="1"/>
          <w:u w:val="single" w:color="auto"/>
          <w:color w:val="0000FF"/>
          <w:highlight w:val="lightGray"/>
        </w:rPr>
        <w:t>member of the Consolidated</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highlight w:val="lightGray"/>
        </w:rPr>
        <w:t>Group</w:t>
      </w:r>
      <w:r>
        <w:rPr>
          <w:rFonts w:ascii="Arial" w:cs="Arial" w:eastAsia="Arial" w:hAnsi="Arial"/>
          <w:sz w:val="20"/>
          <w:szCs w:val="20"/>
          <w:b w:val="1"/>
          <w:bCs w:val="1"/>
          <w:color w:val="0000FF"/>
          <w:highlight w:val="lightGray"/>
        </w:rPr>
        <w:t xml:space="preserve"> </w:t>
      </w:r>
      <w:r>
        <w:rPr>
          <w:rFonts w:ascii="Arial" w:cs="Arial" w:eastAsia="Arial" w:hAnsi="Arial"/>
          <w:sz w:val="20"/>
          <w:szCs w:val="20"/>
          <w:color w:val="000000"/>
        </w:rPr>
        <w:t>and containing such additional information as the Administrative Agent, or any Lender through the Administrative Agent, may</w:t>
      </w:r>
      <w:r>
        <w:rPr>
          <w:rFonts w:ascii="Arial" w:cs="Arial" w:eastAsia="Arial" w:hAnsi="Arial"/>
          <w:sz w:val="20"/>
          <w:szCs w:val="20"/>
          <w:b w:val="1"/>
          <w:bCs w:val="1"/>
          <w:color w:val="0000FF"/>
          <w:highlight w:val="lightGray"/>
        </w:rPr>
        <w:t xml:space="preserve"> </w:t>
      </w:r>
      <w:r>
        <w:rPr>
          <w:rFonts w:ascii="Arial" w:cs="Arial" w:eastAsia="Arial" w:hAnsi="Arial"/>
          <w:sz w:val="20"/>
          <w:szCs w:val="20"/>
          <w:color w:val="000000"/>
        </w:rPr>
        <w:t>reasonably specify; and</w:t>
      </w:r>
    </w:p>
    <w:p>
      <w:pPr>
        <w:spacing w:after="0" w:line="205" w:lineRule="exact"/>
        <w:rPr>
          <w:rFonts w:ascii="Arial" w:cs="Arial" w:eastAsia="Arial" w:hAnsi="Arial"/>
          <w:sz w:val="20"/>
          <w:szCs w:val="20"/>
          <w:color w:val="auto"/>
        </w:rPr>
      </w:pPr>
    </w:p>
    <w:p>
      <w:pPr>
        <w:jc w:val="both"/>
        <w:ind w:firstLine="599"/>
        <w:spacing w:after="0" w:line="260" w:lineRule="auto"/>
        <w:tabs>
          <w:tab w:leader="none" w:pos="1388" w:val="left"/>
        </w:tabs>
        <w:numPr>
          <w:ilvl w:val="0"/>
          <w:numId w:val="347"/>
        </w:numPr>
        <w:rPr>
          <w:rFonts w:ascii="Arial" w:cs="Arial" w:eastAsia="Arial" w:hAnsi="Arial"/>
          <w:sz w:val="20"/>
          <w:szCs w:val="20"/>
          <w:color w:val="auto"/>
        </w:rPr>
      </w:pPr>
      <w:r>
        <w:rPr>
          <w:rFonts w:ascii="Arial" w:cs="Arial" w:eastAsia="Arial" w:hAnsi="Arial"/>
          <w:sz w:val="20"/>
          <w:szCs w:val="20"/>
          <w:color w:val="auto"/>
        </w:rPr>
        <w:t>promptly, such additional information regarding the business, financial, legal or corporate affairs of any Loan Party or any Subsidiary thereof, or compliance with the terms of the Loan Documents, as the Administrative Agent or any Lender through the Administrative Agent may from time to time reasonably request.</w:t>
      </w:r>
    </w:p>
    <w:p>
      <w:pPr>
        <w:spacing w:after="0" w:line="202" w:lineRule="exact"/>
        <w:rPr>
          <w:sz w:val="20"/>
          <w:szCs w:val="20"/>
          <w:color w:val="auto"/>
        </w:rPr>
      </w:pPr>
    </w:p>
    <w:p>
      <w:pPr>
        <w:jc w:val="both"/>
        <w:ind w:firstLine="600"/>
        <w:spacing w:after="0" w:line="263"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6.02(d)</w:t>
      </w:r>
      <w:r>
        <w:rPr>
          <w:rFonts w:ascii="Arial" w:cs="Arial" w:eastAsia="Arial" w:hAnsi="Arial"/>
          <w:sz w:val="19"/>
          <w:szCs w:val="19"/>
          <w:color w:val="auto"/>
        </w:rPr>
        <w:t xml:space="preserve"> (to the extent any such documents are included in materials otherwise filed with the SEC) may be delivered electronically and if so delivered, shall be deemed to have been delivered on the date (i) on which the REIT posts such documents, or provides a link thereto on the REIT’s website on the Internet at the website address listed on </w:t>
      </w:r>
      <w:r>
        <w:rPr>
          <w:rFonts w:ascii="Arial" w:cs="Arial" w:eastAsia="Arial" w:hAnsi="Arial"/>
          <w:sz w:val="19"/>
          <w:szCs w:val="19"/>
          <w:u w:val="single" w:color="auto"/>
          <w:color w:val="auto"/>
        </w:rPr>
        <w:t>Schedule 10.02</w:t>
      </w:r>
      <w:r>
        <w:rPr>
          <w:rFonts w:ascii="Arial" w:cs="Arial" w:eastAsia="Arial" w:hAnsi="Arial"/>
          <w:sz w:val="19"/>
          <w:szCs w:val="19"/>
          <w:color w:val="auto"/>
        </w:rPr>
        <w:t xml:space="preserve">; or (ii) on which such documents are posted on the REIT’s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Borrower shall deliver paper copies of such documents to the Administrative Agent or any Lender upon its request to the Borrower (through the Administrative Agent) to deliver such paper copies until a written request to cease delivering paper copies is given by the Administrative Agent or such Lender (through the Administrative Agent) and (ii) the Borrower shall notify the Administrative Agent (by facsimile or electronic mail) of the posting of any such documents and provide to the Administrative Agent by electronic mail electronic versions (</w:t>
      </w:r>
      <w:r>
        <w:rPr>
          <w:rFonts w:ascii="Arial" w:cs="Arial" w:eastAsia="Arial" w:hAnsi="Arial"/>
          <w:sz w:val="19"/>
          <w:szCs w:val="19"/>
          <w:u w:val="single" w:color="auto"/>
          <w:color w:val="auto"/>
        </w:rPr>
        <w:t>i.e.</w:t>
      </w:r>
      <w:r>
        <w:rPr>
          <w:rFonts w:ascii="Arial" w:cs="Arial" w:eastAsia="Arial" w:hAnsi="Arial"/>
          <w:sz w:val="19"/>
          <w:szCs w:val="19"/>
          <w:color w:val="auto"/>
        </w:rPr>
        <w:t>,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(through the Administrative Agent) or maintaining its copies of such documents.</w:t>
      </w:r>
    </w:p>
    <w:p>
      <w:pPr>
        <w:spacing w:after="0" w:line="18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820"/>
          </w:cols>
          <w:pgMar w:left="840" w:top="795" w:right="239" w:bottom="1440" w:gutter="0" w:footer="0" w:header="0"/>
        </w:sectPr>
      </w:pPr>
    </w:p>
    <w:bookmarkStart w:id="303" w:name="page304"/>
    <w:bookmarkEnd w:id="303"/>
    <w:p>
      <w:pPr>
        <w:jc w:val="both"/>
        <w:ind w:firstLine="600"/>
        <w:spacing w:after="0" w:line="278" w:lineRule="auto"/>
        <w:rPr>
          <w:sz w:val="20"/>
          <w:szCs w:val="20"/>
          <w:color w:val="auto"/>
        </w:rPr>
      </w:pPr>
      <w:r>
        <w:rPr>
          <w:rFonts w:ascii="Arial" w:cs="Arial" w:eastAsia="Arial" w:hAnsi="Arial"/>
          <w:sz w:val="18"/>
          <w:szCs w:val="18"/>
          <w:color w:val="auto"/>
        </w:rPr>
        <w:t>The Borrower and the REIT hereby acknowledge that (a) the Administrative Agent and/or the Arrangers will make available to the Lenders materials and/or information provided by or on behalf of the REIT or the Borrower hereunder (collectively, “</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w:t>
      </w:r>
      <w:r>
        <w:rPr>
          <w:rFonts w:ascii="Arial" w:cs="Arial" w:eastAsia="Arial" w:hAnsi="Arial"/>
          <w:sz w:val="18"/>
          <w:szCs w:val="18"/>
          <w:u w:val="single" w:color="auto"/>
          <w:color w:val="auto"/>
        </w:rPr>
        <w:t>Materials</w:t>
      </w:r>
      <w:r>
        <w:rPr>
          <w:rFonts w:ascii="Arial" w:cs="Arial" w:eastAsia="Arial" w:hAnsi="Arial"/>
          <w:sz w:val="18"/>
          <w:szCs w:val="18"/>
          <w:color w:val="auto"/>
        </w:rPr>
        <w:t>”) by posting the Borrower Materials on IntraLinks or another similar electronic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 (b) certain of the Lenders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Arrangers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the extent such Borrower Materials constitute Information, they shall be treated as set forth in </w:t>
      </w:r>
      <w:r>
        <w:rPr>
          <w:rFonts w:ascii="Arial" w:cs="Arial" w:eastAsia="Arial" w:hAnsi="Arial"/>
          <w:sz w:val="18"/>
          <w:szCs w:val="18"/>
          <w:u w:val="single" w:color="auto"/>
          <w:color w:val="auto"/>
        </w:rPr>
        <w:t>Section 10.07</w:t>
      </w:r>
      <w:r>
        <w:rPr>
          <w:rFonts w:ascii="Arial" w:cs="Arial" w:eastAsia="Arial" w:hAnsi="Arial"/>
          <w:sz w:val="18"/>
          <w:szCs w:val="18"/>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198"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6.03.</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 Promptly notify the Administrative Agent:</w:t>
      </w:r>
    </w:p>
    <w:p>
      <w:pPr>
        <w:spacing w:after="0" w:line="245" w:lineRule="exact"/>
        <w:rPr>
          <w:sz w:val="20"/>
          <w:szCs w:val="20"/>
          <w:color w:val="auto"/>
        </w:rPr>
      </w:pPr>
    </w:p>
    <w:p>
      <w:pPr>
        <w:ind w:left="1420" w:hanging="821"/>
        <w:spacing w:after="0"/>
        <w:tabs>
          <w:tab w:leader="none" w:pos="1420" w:val="left"/>
        </w:tabs>
        <w:numPr>
          <w:ilvl w:val="0"/>
          <w:numId w:val="348"/>
        </w:numPr>
        <w:rPr>
          <w:rFonts w:ascii="Arial" w:cs="Arial" w:eastAsia="Arial" w:hAnsi="Arial"/>
          <w:sz w:val="20"/>
          <w:szCs w:val="20"/>
          <w:color w:val="auto"/>
        </w:rPr>
      </w:pPr>
      <w:r>
        <w:rPr>
          <w:rFonts w:ascii="Arial" w:cs="Arial" w:eastAsia="Arial" w:hAnsi="Arial"/>
          <w:sz w:val="20"/>
          <w:szCs w:val="20"/>
          <w:color w:val="auto"/>
        </w:rPr>
        <w:t>of the occurrence of any Default;</w:t>
      </w:r>
    </w:p>
    <w:p>
      <w:pPr>
        <w:spacing w:after="0" w:line="244" w:lineRule="exact"/>
        <w:rPr>
          <w:rFonts w:ascii="Arial" w:cs="Arial" w:eastAsia="Arial" w:hAnsi="Arial"/>
          <w:sz w:val="20"/>
          <w:szCs w:val="20"/>
          <w:color w:val="auto"/>
        </w:rPr>
      </w:pPr>
    </w:p>
    <w:p>
      <w:pPr>
        <w:jc w:val="both"/>
        <w:ind w:firstLine="599"/>
        <w:spacing w:after="0" w:line="268" w:lineRule="auto"/>
        <w:tabs>
          <w:tab w:leader="none" w:pos="1432" w:val="left"/>
        </w:tabs>
        <w:numPr>
          <w:ilvl w:val="0"/>
          <w:numId w:val="348"/>
        </w:numPr>
        <w:rPr>
          <w:rFonts w:ascii="Arial" w:cs="Arial" w:eastAsia="Arial" w:hAnsi="Arial"/>
          <w:sz w:val="19"/>
          <w:szCs w:val="19"/>
          <w:color w:val="auto"/>
        </w:rPr>
      </w:pPr>
      <w:r>
        <w:rPr>
          <w:rFonts w:ascii="Arial" w:cs="Arial" w:eastAsia="Arial" w:hAnsi="Arial"/>
          <w:sz w:val="19"/>
          <w:szCs w:val="19"/>
          <w:color w:val="auto"/>
        </w:rPr>
        <w:t>of any matter that has resulted or could reasonably be expected to result in a Material Adverse Effect, including (i) breach or non-performance of, or any default under, a Contractual Obligation of any Loan Party or any Subsidiary thereof; (ii) any dispute, litigation, investigation, proceeding or suspension between any Loan Party or any Subsidiary thereof and any Governmental Authority; or (iii) the commencement of, or any material development in, any litigation or proceeding affecting any Loan Party or any Subsidiary thereof, including pursuant to any applicable Environmental Laws, in each case that has resulted or could reasonably be expected to result in a Material Adverse Effect;</w:t>
      </w:r>
    </w:p>
    <w:p>
      <w:pPr>
        <w:spacing w:after="0" w:line="197" w:lineRule="exact"/>
        <w:rPr>
          <w:rFonts w:ascii="Arial" w:cs="Arial" w:eastAsia="Arial" w:hAnsi="Arial"/>
          <w:sz w:val="19"/>
          <w:szCs w:val="19"/>
          <w:color w:val="auto"/>
        </w:rPr>
      </w:pPr>
    </w:p>
    <w:p>
      <w:pPr>
        <w:ind w:left="1420" w:hanging="821"/>
        <w:spacing w:after="0"/>
        <w:tabs>
          <w:tab w:leader="none" w:pos="1420" w:val="left"/>
        </w:tabs>
        <w:numPr>
          <w:ilvl w:val="0"/>
          <w:numId w:val="348"/>
        </w:numPr>
        <w:rPr>
          <w:rFonts w:ascii="Arial" w:cs="Arial" w:eastAsia="Arial" w:hAnsi="Arial"/>
          <w:sz w:val="20"/>
          <w:szCs w:val="20"/>
          <w:color w:val="auto"/>
        </w:rPr>
      </w:pPr>
      <w:r>
        <w:rPr>
          <w:rFonts w:ascii="Arial" w:cs="Arial" w:eastAsia="Arial" w:hAnsi="Arial"/>
          <w:sz w:val="20"/>
          <w:szCs w:val="20"/>
          <w:color w:val="auto"/>
        </w:rPr>
        <w:t>of the occurrence of any ERISA Event;</w:t>
      </w:r>
    </w:p>
    <w:p>
      <w:pPr>
        <w:spacing w:after="0" w:line="244" w:lineRule="exact"/>
        <w:rPr>
          <w:rFonts w:ascii="Arial" w:cs="Arial" w:eastAsia="Arial" w:hAnsi="Arial"/>
          <w:sz w:val="20"/>
          <w:szCs w:val="20"/>
          <w:color w:val="auto"/>
        </w:rPr>
      </w:pPr>
    </w:p>
    <w:p>
      <w:pPr>
        <w:ind w:left="1440" w:hanging="841"/>
        <w:spacing w:after="0"/>
        <w:tabs>
          <w:tab w:leader="none" w:pos="144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of any material change in accounting policies or financial reporting practices by any Loan Party or any Subsidiary</w:t>
      </w:r>
    </w:p>
    <w:p>
      <w:pPr>
        <w:spacing w:after="0" w:line="4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thereof; or</w:t>
      </w:r>
    </w:p>
    <w:p>
      <w:pPr>
        <w:spacing w:after="0" w:line="228" w:lineRule="exact"/>
        <w:rPr>
          <w:rFonts w:ascii="Arial" w:cs="Arial" w:eastAsia="Arial" w:hAnsi="Arial"/>
          <w:sz w:val="18"/>
          <w:szCs w:val="18"/>
          <w:color w:val="auto"/>
        </w:rPr>
      </w:pPr>
    </w:p>
    <w:p>
      <w:pPr>
        <w:ind w:firstLine="599"/>
        <w:spacing w:after="0" w:line="299" w:lineRule="auto"/>
        <w:tabs>
          <w:tab w:leader="none" w:pos="1421" w:val="left"/>
        </w:tabs>
        <w:numPr>
          <w:ilvl w:val="0"/>
          <w:numId w:val="348"/>
        </w:numPr>
        <w:rPr>
          <w:rFonts w:ascii="Arial" w:cs="Arial" w:eastAsia="Arial" w:hAnsi="Arial"/>
          <w:sz w:val="19"/>
          <w:szCs w:val="19"/>
          <w:color w:val="auto"/>
        </w:rPr>
      </w:pPr>
      <w:r>
        <w:rPr>
          <w:rFonts w:ascii="Arial" w:cs="Arial" w:eastAsia="Arial" w:hAnsi="Arial"/>
          <w:sz w:val="19"/>
          <w:szCs w:val="19"/>
          <w:color w:val="auto"/>
        </w:rPr>
        <w:t xml:space="preserve">of any announcement by Moody’s, Fitch or S&amp;P of any change or possible change in a Debt Rating; </w:t>
      </w:r>
      <w:r>
        <w:rPr>
          <w:rFonts w:ascii="Arial" w:cs="Arial" w:eastAsia="Arial" w:hAnsi="Arial"/>
          <w:sz w:val="19"/>
          <w:szCs w:val="19"/>
          <w:u w:val="single" w:color="auto"/>
          <w:color w:val="auto"/>
        </w:rPr>
        <w:t>provided</w:t>
      </w:r>
      <w:r>
        <w:rPr>
          <w:rFonts w:ascii="Arial" w:cs="Arial" w:eastAsia="Arial" w:hAnsi="Arial"/>
          <w:sz w:val="19"/>
          <w:szCs w:val="19"/>
          <w:color w:val="auto"/>
        </w:rPr>
        <w:t>, that the provisions of this clause (e) shall not apply at any time prior to the Investment Grade Pricing Effective Date.</w:t>
      </w:r>
    </w:p>
    <w:p>
      <w:pPr>
        <w:spacing w:after="0" w:line="168" w:lineRule="exact"/>
        <w:rPr>
          <w:sz w:val="20"/>
          <w:szCs w:val="20"/>
          <w:color w:val="auto"/>
        </w:rPr>
      </w:pPr>
    </w:p>
    <w:p>
      <w:pPr>
        <w:jc w:val="both"/>
        <w:ind w:firstLine="600"/>
        <w:spacing w:after="0" w:line="256" w:lineRule="auto"/>
        <w:rPr>
          <w:sz w:val="20"/>
          <w:szCs w:val="20"/>
          <w:color w:val="auto"/>
        </w:rPr>
      </w:pPr>
      <w:r>
        <w:rPr>
          <w:rFonts w:ascii="Arial" w:cs="Arial" w:eastAsia="Arial" w:hAnsi="Arial"/>
          <w:sz w:val="20"/>
          <w:szCs w:val="20"/>
          <w:color w:val="auto"/>
        </w:rPr>
        <w:t xml:space="preserve">Each notice pursuant to </w:t>
      </w:r>
      <w:r>
        <w:rPr>
          <w:rFonts w:ascii="Arial" w:cs="Arial" w:eastAsia="Arial" w:hAnsi="Arial"/>
          <w:sz w:val="20"/>
          <w:szCs w:val="20"/>
          <w:u w:val="single" w:color="auto"/>
          <w:color w:val="auto"/>
        </w:rPr>
        <w:t>Section 6.03</w:t>
      </w:r>
      <w:r>
        <w:rPr>
          <w:rFonts w:ascii="Arial" w:cs="Arial" w:eastAsia="Arial" w:hAnsi="Arial"/>
          <w:sz w:val="20"/>
          <w:szCs w:val="20"/>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20"/>
          <w:szCs w:val="20"/>
          <w:u w:val="single" w:color="auto"/>
          <w:color w:val="auto"/>
        </w:rPr>
        <w:t>Section 6.03(a)</w:t>
      </w:r>
      <w:r>
        <w:rPr>
          <w:rFonts w:ascii="Arial" w:cs="Arial" w:eastAsia="Arial" w:hAnsi="Arial"/>
          <w:sz w:val="20"/>
          <w:szCs w:val="20"/>
          <w:color w:val="auto"/>
        </w:rPr>
        <w:t xml:space="preserve"> shall describe with particularity any and all provisions of this Agreement and any other Loan Document that have been breached.</w:t>
      </w:r>
    </w:p>
    <w:p>
      <w:pPr>
        <w:spacing w:after="0" w:line="18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820"/>
          </w:cols>
          <w:pgMar w:left="840" w:top="795" w:right="239" w:bottom="1440" w:gutter="0" w:footer="0" w:header="0"/>
        </w:sectPr>
      </w:pPr>
    </w:p>
    <w:bookmarkStart w:id="304" w:name="page305"/>
    <w:bookmarkEnd w:id="304"/>
    <w:p>
      <w:pPr>
        <w:jc w:val="both"/>
        <w:ind w:firstLine="1199"/>
        <w:spacing w:after="0" w:line="281" w:lineRule="auto"/>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xml:space="preserve">. (a) Pay and discharge as the same shall become due and payable (i) all federal, state and other material Tax liabilities, assessments and governmental charges or levies upon it or its properties or assets, unless the same are being contested in good faith by appropriate proceedings diligently conducted (which proceedings have the effect of preventing the forfeiture or sale of the property or assets subject to any such Lien) and adequate reserves in accordance with GAAP are being maintained by the REIT, the Borrower or such Subsidiary; (ii) all lawful claims which, if unpaid, would by law become a Lien upon its property (other than a Lien permitted under </w:t>
      </w:r>
      <w:r>
        <w:rPr>
          <w:rFonts w:ascii="Arial" w:cs="Arial" w:eastAsia="Arial" w:hAnsi="Arial"/>
          <w:sz w:val="18"/>
          <w:szCs w:val="18"/>
          <w:u w:val="single" w:color="auto"/>
          <w:color w:val="auto"/>
        </w:rPr>
        <w:t>Section 7.01</w:t>
      </w:r>
      <w:r>
        <w:rPr>
          <w:rFonts w:ascii="Arial" w:cs="Arial" w:eastAsia="Arial" w:hAnsi="Arial"/>
          <w:sz w:val="18"/>
          <w:szCs w:val="18"/>
          <w:color w:val="auto"/>
        </w:rPr>
        <w:t>) unless the same are being contested in good faith by appropriate proceedings diligently conducted and adequate reserves in accordance with GAAP are maintained; (iii) all Indebtedness, as and when due and payable, but subject to any subordination provisions contained in any instrument or agreement evidencing such Indebtedness, but only to the extent the failure to pay such Indebtedness would constitute an Event of Default and (iv) all of its other obligations and liabilities, except as could not reasonably be expected to have a Material Adverse Effect; and (b) timely file all material tax returns required to be filed.</w:t>
      </w:r>
    </w:p>
    <w:p>
      <w:pPr>
        <w:spacing w:after="0" w:line="187" w:lineRule="exact"/>
        <w:rPr>
          <w:sz w:val="20"/>
          <w:szCs w:val="20"/>
          <w:color w:val="auto"/>
        </w:rPr>
      </w:pPr>
    </w:p>
    <w:p>
      <w:pPr>
        <w:jc w:val="both"/>
        <w:ind w:firstLine="1199"/>
        <w:spacing w:after="0" w:line="252" w:lineRule="auto"/>
        <w:rPr>
          <w:sz w:val="20"/>
          <w:szCs w:val="20"/>
          <w:color w:val="auto"/>
        </w:rPr>
      </w:pPr>
      <w:r>
        <w:rPr>
          <w:rFonts w:ascii="Arial" w:cs="Arial" w:eastAsia="Arial" w:hAnsi="Arial"/>
          <w:sz w:val="20"/>
          <w:szCs w:val="20"/>
          <w:color w:val="auto"/>
        </w:rPr>
        <w:t xml:space="preserve">6.05. </w:t>
      </w:r>
      <w:r>
        <w:rPr>
          <w:rFonts w:ascii="Arial" w:cs="Arial" w:eastAsia="Arial" w:hAnsi="Arial"/>
          <w:sz w:val="20"/>
          <w:szCs w:val="20"/>
          <w:u w:val="single" w:color="auto"/>
          <w:color w:val="auto"/>
        </w:rPr>
        <w:t>Preservation of Existence, Etc</w:t>
      </w:r>
      <w:r>
        <w:rPr>
          <w:rFonts w:ascii="Arial" w:cs="Arial" w:eastAsia="Arial" w:hAnsi="Arial"/>
          <w:sz w:val="20"/>
          <w:szCs w:val="20"/>
          <w:color w:val="auto"/>
        </w:rPr>
        <w:t xml:space="preserve">. (a) Preserve, renew and maintain in full force and effect its legal existence and good standing under the Laws of the jurisdiction of its organization except in a transaction permitted by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7.05</w:t>
      </w:r>
      <w:r>
        <w:rPr>
          <w:rFonts w:ascii="Arial" w:cs="Arial" w:eastAsia="Arial" w:hAnsi="Arial"/>
          <w:sz w:val="20"/>
          <w:szCs w:val="20"/>
          <w:color w:val="auto"/>
        </w:rPr>
        <w: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w:t>
      </w:r>
    </w:p>
    <w:p>
      <w:pPr>
        <w:spacing w:after="0" w:line="212" w:lineRule="exact"/>
        <w:rPr>
          <w:sz w:val="20"/>
          <w:szCs w:val="20"/>
          <w:color w:val="auto"/>
        </w:rPr>
      </w:pPr>
    </w:p>
    <w:p>
      <w:pPr>
        <w:jc w:val="both"/>
        <w:ind w:firstLine="1199"/>
        <w:spacing w:after="0" w:line="253" w:lineRule="auto"/>
        <w:rPr>
          <w:sz w:val="20"/>
          <w:szCs w:val="20"/>
          <w:color w:val="auto"/>
        </w:rPr>
      </w:pPr>
      <w:r>
        <w:rPr>
          <w:rFonts w:ascii="Arial" w:cs="Arial" w:eastAsia="Arial" w:hAnsi="Arial"/>
          <w:sz w:val="20"/>
          <w:szCs w:val="20"/>
          <w:color w:val="auto"/>
        </w:rPr>
        <w:t xml:space="preserve">6.06. </w:t>
      </w:r>
      <w:r>
        <w:rPr>
          <w:rFonts w:ascii="Arial" w:cs="Arial" w:eastAsia="Arial" w:hAnsi="Arial"/>
          <w:sz w:val="20"/>
          <w:szCs w:val="20"/>
          <w:u w:val="single" w:color="auto"/>
          <w:color w:val="auto"/>
        </w:rPr>
        <w:t>Maintenance of Properties</w:t>
      </w:r>
      <w:r>
        <w:rPr>
          <w:rFonts w:ascii="Arial" w:cs="Arial" w:eastAsia="Arial" w:hAnsi="Arial"/>
          <w:sz w:val="20"/>
          <w:szCs w:val="20"/>
          <w:color w:val="auto"/>
        </w:rPr>
        <w:t>. (a) Maintain, preserve and protect all of its properties and equipment necessary in the operation of its business in good working order and condition, ordinary wear and tear excepted, except where the failure to do so could not reasonably be expected to have a Material Adverse Effect; (b) make all necessary repairs thereto and renewals and replacements thereof except where the failure to do so could not reasonably be expected to have a Material Adverse Effect; and (c) use the standard of care typical in the industry in the operation and maintenance of its facilities.</w:t>
      </w:r>
    </w:p>
    <w:p>
      <w:pPr>
        <w:spacing w:after="0" w:line="212" w:lineRule="exact"/>
        <w:rPr>
          <w:sz w:val="20"/>
          <w:szCs w:val="20"/>
          <w:color w:val="auto"/>
        </w:rPr>
      </w:pPr>
    </w:p>
    <w:p>
      <w:pPr>
        <w:jc w:val="both"/>
        <w:ind w:firstLine="1199"/>
        <w:spacing w:after="0" w:line="268" w:lineRule="auto"/>
        <w:rPr>
          <w:sz w:val="20"/>
          <w:szCs w:val="20"/>
          <w:color w:val="auto"/>
        </w:rPr>
      </w:pPr>
      <w:r>
        <w:rPr>
          <w:rFonts w:ascii="Arial" w:cs="Arial" w:eastAsia="Arial" w:hAnsi="Arial"/>
          <w:sz w:val="19"/>
          <w:szCs w:val="19"/>
          <w:color w:val="auto"/>
        </w:rPr>
        <w:t xml:space="preserve">6.07. </w:t>
      </w:r>
      <w:r>
        <w:rPr>
          <w:rFonts w:ascii="Arial" w:cs="Arial" w:eastAsia="Arial" w:hAnsi="Arial"/>
          <w:sz w:val="19"/>
          <w:szCs w:val="19"/>
          <w:u w:val="single" w:color="auto"/>
          <w:color w:val="auto"/>
        </w:rPr>
        <w:t>Maintenance of Insurance</w:t>
      </w:r>
      <w:r>
        <w:rPr>
          <w:rFonts w:ascii="Arial" w:cs="Arial" w:eastAsia="Arial" w:hAnsi="Arial"/>
          <w:sz w:val="19"/>
          <w:szCs w:val="19"/>
          <w:color w:val="auto"/>
        </w:rPr>
        <w:t xml:space="preserve">. Maintain with financially sound and reputable insurance companies that are not Affiliates of the REIT,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and, in the case of </w:t>
      </w:r>
      <w:r>
        <w:rPr>
          <w:rFonts w:ascii="Arial" w:cs="Arial" w:eastAsia="Arial" w:hAnsi="Arial"/>
          <w:sz w:val="19"/>
          <w:szCs w:val="19"/>
          <w:color w:val="FF0000"/>
          <w:strike w:val="1"/>
        </w:rPr>
        <w:t>all</w:t>
      </w:r>
      <w:r>
        <w:rPr>
          <w:rFonts w:ascii="Arial" w:cs="Arial" w:eastAsia="Arial" w:hAnsi="Arial"/>
          <w:sz w:val="19"/>
          <w:szCs w:val="19"/>
          <w:color w:val="auto"/>
        </w:rPr>
        <w:t xml:space="preserve"> liability insurance </w:t>
      </w:r>
      <w:r>
        <w:rPr>
          <w:rFonts w:ascii="Arial" w:cs="Arial" w:eastAsia="Arial" w:hAnsi="Arial"/>
          <w:sz w:val="19"/>
          <w:szCs w:val="19"/>
          <w:color w:val="FF0000"/>
          <w:strike w:val="1"/>
        </w:rPr>
        <w:t>maintained by a Loan Party</w:t>
      </w:r>
      <w:r>
        <w:rPr>
          <w:rFonts w:ascii="Arial" w:cs="Arial" w:eastAsia="Arial" w:hAnsi="Arial"/>
          <w:sz w:val="19"/>
          <w:szCs w:val="19"/>
          <w:color w:val="auto"/>
        </w:rPr>
        <w:t>, shall (i) provide for not less than 30 days’ (or 10 days in the case of termination for failure to pay premiums) prior notice to the Administrative Agent of termination, lapse or cancellation of such insurance and (ii) name the Administrative Agent as additional insured on behalf of the Lenders.</w:t>
      </w:r>
    </w:p>
    <w:p>
      <w:pPr>
        <w:spacing w:after="0" w:line="197" w:lineRule="exact"/>
        <w:rPr>
          <w:sz w:val="20"/>
          <w:szCs w:val="20"/>
          <w:color w:val="auto"/>
        </w:rPr>
      </w:pPr>
    </w:p>
    <w:p>
      <w:pPr>
        <w:jc w:val="both"/>
        <w:ind w:firstLine="1199"/>
        <w:spacing w:after="0" w:line="286" w:lineRule="auto"/>
        <w:rPr>
          <w:sz w:val="20"/>
          <w:szCs w:val="20"/>
          <w:color w:val="auto"/>
        </w:rPr>
      </w:pPr>
      <w:r>
        <w:rPr>
          <w:rFonts w:ascii="Arial" w:cs="Arial" w:eastAsia="Arial" w:hAnsi="Arial"/>
          <w:sz w:val="18"/>
          <w:szCs w:val="18"/>
          <w:color w:val="auto"/>
        </w:rPr>
        <w:t xml:space="preserve">6.08.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Comply in all material respects with the requirements of all Laws (including, without limitation, all Anti-Corruption Laws and applicable Sanctions)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 and maintain in effect and enforce policies and procedures designed to promote and achieve compliance by the REIT, its Subsidiaries and their respective directors, officers, employees and agents with Anti-Corruption Laws and applicable Sanctions.</w:t>
      </w:r>
    </w:p>
    <w:p>
      <w:pPr>
        <w:spacing w:after="0" w:line="181" w:lineRule="exact"/>
        <w:rPr>
          <w:sz w:val="20"/>
          <w:szCs w:val="20"/>
          <w:color w:val="auto"/>
        </w:rPr>
      </w:pPr>
    </w:p>
    <w:p>
      <w:pPr>
        <w:jc w:val="both"/>
        <w:ind w:firstLine="1199"/>
        <w:spacing w:after="0" w:line="272" w:lineRule="auto"/>
        <w:rPr>
          <w:sz w:val="20"/>
          <w:szCs w:val="20"/>
          <w:color w:val="auto"/>
        </w:rPr>
      </w:pPr>
      <w:r>
        <w:rPr>
          <w:rFonts w:ascii="Arial" w:cs="Arial" w:eastAsia="Arial" w:hAnsi="Arial"/>
          <w:sz w:val="20"/>
          <w:szCs w:val="20"/>
          <w:color w:val="auto"/>
        </w:rPr>
        <w:t xml:space="preserve">6.09. </w:t>
      </w:r>
      <w:r>
        <w:rPr>
          <w:rFonts w:ascii="Arial" w:cs="Arial" w:eastAsia="Arial" w:hAnsi="Arial"/>
          <w:sz w:val="20"/>
          <w:szCs w:val="20"/>
          <w:u w:val="single" w:color="auto"/>
          <w:color w:val="auto"/>
        </w:rPr>
        <w:t>Books and Records</w:t>
      </w:r>
      <w:r>
        <w:rPr>
          <w:rFonts w:ascii="Arial" w:cs="Arial" w:eastAsia="Arial" w:hAnsi="Arial"/>
          <w:sz w:val="20"/>
          <w:szCs w:val="20"/>
          <w:color w:val="auto"/>
        </w:rPr>
        <w:t>. (a) Maintain proper books of record and account, in which full, true and correct entries in conformity with GAAP consistently applied shall be made of all financial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794" w:right="239" w:bottom="1440" w:gutter="0" w:footer="0" w:header="0"/>
        </w:sectPr>
      </w:pPr>
    </w:p>
    <w:bookmarkStart w:id="305" w:name="page306"/>
    <w:bookmarkEnd w:id="305"/>
    <w:p>
      <w:pPr>
        <w:jc w:val="both"/>
        <w:spacing w:after="0" w:line="260" w:lineRule="auto"/>
        <w:rPr>
          <w:sz w:val="20"/>
          <w:szCs w:val="20"/>
          <w:color w:val="auto"/>
        </w:rPr>
      </w:pPr>
      <w:r>
        <w:rPr>
          <w:rFonts w:ascii="Arial" w:cs="Arial" w:eastAsia="Arial" w:hAnsi="Arial"/>
          <w:sz w:val="20"/>
          <w:szCs w:val="20"/>
          <w:color w:val="auto"/>
        </w:rPr>
        <w:t>transactions and matters involving the assets and business of the REIT, the Borrower or such Subsidiary, as the case may be; and (b) maintain such books of record and account in material conformity with all applicable requirements of any Governmental Authority having regulatory jurisdiction over the REIT, the Borrower or such Subsidiary, as the case may be.</w:t>
      </w:r>
    </w:p>
    <w:p>
      <w:pPr>
        <w:spacing w:after="0" w:line="202" w:lineRule="exact"/>
        <w:rPr>
          <w:sz w:val="20"/>
          <w:szCs w:val="20"/>
          <w:color w:val="auto"/>
        </w:rPr>
      </w:pPr>
    </w:p>
    <w:p>
      <w:pPr>
        <w:jc w:val="both"/>
        <w:ind w:firstLine="1199"/>
        <w:spacing w:after="0" w:line="278"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Inspection Rights</w:t>
      </w:r>
      <w:r>
        <w:rPr>
          <w:rFonts w:ascii="Arial" w:cs="Arial" w:eastAsia="Arial" w:hAnsi="Arial"/>
          <w:sz w:val="18"/>
          <w:szCs w:val="18"/>
          <w:color w:val="auto"/>
        </w:rPr>
        <w:t>. 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permitted to have its representatives present during any such discussions with its independent public accountants), all at the expense of the Borrower and at such reasonable times during normal business hours and as often as may be reasonably desired, upon reasonable advance notice to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that so long as no Event of Default has occurred and is continuing, (x) no more than one</w:t>
      </w:r>
    </w:p>
    <w:p>
      <w:pPr>
        <w:spacing w:after="0" w:line="1" w:lineRule="exact"/>
        <w:rPr>
          <w:sz w:val="20"/>
          <w:szCs w:val="20"/>
          <w:color w:val="auto"/>
        </w:rPr>
      </w:pPr>
    </w:p>
    <w:p>
      <w:pPr>
        <w:jc w:val="both"/>
        <w:spacing w:after="0" w:line="267" w:lineRule="auto"/>
        <w:tabs>
          <w:tab w:leader="none" w:pos="293" w:val="left"/>
        </w:tabs>
        <w:numPr>
          <w:ilvl w:val="0"/>
          <w:numId w:val="349"/>
        </w:numPr>
        <w:rPr>
          <w:rFonts w:ascii="Arial" w:cs="Arial" w:eastAsia="Arial" w:hAnsi="Arial"/>
          <w:sz w:val="19"/>
          <w:szCs w:val="19"/>
          <w:color w:val="auto"/>
        </w:rPr>
      </w:pPr>
      <w:r>
        <w:rPr>
          <w:rFonts w:ascii="Arial" w:cs="Arial" w:eastAsia="Arial" w:hAnsi="Arial"/>
          <w:sz w:val="19"/>
          <w:szCs w:val="19"/>
          <w:color w:val="auto"/>
        </w:rPr>
        <w:t xml:space="preserve">such visit and inspection by the Administrative Agent during any year shall be at the expense of the Borrower and (y) any such visit and inspection by a Lender shall be at the sole expense of such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when an Event of Default exists the Administrative Agent or any Lender (or any of their respective representatives or independent contractors) may do any of the foregoing at the expense of the Borrower at any time during normal business hours and without advance notice.</w:t>
      </w:r>
    </w:p>
    <w:p>
      <w:pPr>
        <w:spacing w:after="0" w:line="198" w:lineRule="exact"/>
        <w:rPr>
          <w:sz w:val="20"/>
          <w:szCs w:val="20"/>
          <w:color w:val="auto"/>
        </w:rPr>
      </w:pPr>
    </w:p>
    <w:p>
      <w:pPr>
        <w:jc w:val="both"/>
        <w:ind w:firstLine="1199"/>
        <w:spacing w:after="0" w:line="256" w:lineRule="auto"/>
        <w:rPr>
          <w:sz w:val="20"/>
          <w:szCs w:val="20"/>
          <w:color w:val="auto"/>
        </w:rPr>
      </w:pPr>
      <w:r>
        <w:rPr>
          <w:rFonts w:ascii="Arial" w:cs="Arial" w:eastAsia="Arial" w:hAnsi="Arial"/>
          <w:sz w:val="20"/>
          <w:szCs w:val="20"/>
          <w:color w:val="auto"/>
        </w:rPr>
        <w:t xml:space="preserve">6.11. </w:t>
      </w:r>
      <w:r>
        <w:rPr>
          <w:rFonts w:ascii="Arial" w:cs="Arial" w:eastAsia="Arial" w:hAnsi="Arial"/>
          <w:sz w:val="20"/>
          <w:szCs w:val="20"/>
          <w:u w:val="single" w:color="auto"/>
          <w:color w:val="auto"/>
        </w:rPr>
        <w:t>Use of Proceeds</w:t>
      </w:r>
      <w:r>
        <w:rPr>
          <w:rFonts w:ascii="Arial" w:cs="Arial" w:eastAsia="Arial" w:hAnsi="Arial"/>
          <w:sz w:val="20"/>
          <w:szCs w:val="20"/>
          <w:color w:val="auto"/>
        </w:rPr>
        <w:t xml:space="preserve">. Use the proceeds of the Credit Extensions solely for general corporate purposes, including refinancing existing Indebtedness, working capital, the payment of capital expenses, acquisitions and development and redevelopment of Portfolio Properties, and for Restricted Payments by the </w:t>
      </w:r>
      <w:r>
        <w:rPr>
          <w:rFonts w:ascii="Arial" w:cs="Arial" w:eastAsia="Arial" w:hAnsi="Arial"/>
          <w:sz w:val="20"/>
          <w:szCs w:val="20"/>
          <w:b w:val="1"/>
          <w:bCs w:val="1"/>
          <w:color w:val="0000FF"/>
        </w:rPr>
        <w:t>Borrower and the</w:t>
      </w:r>
      <w:r>
        <w:rPr>
          <w:rFonts w:ascii="Arial" w:cs="Arial" w:eastAsia="Arial" w:hAnsi="Arial"/>
          <w:sz w:val="20"/>
          <w:szCs w:val="20"/>
          <w:color w:val="auto"/>
        </w:rPr>
        <w:t xml:space="preserve"> REIT, in each case not in contravention of any Law or of any Loan Document.</w:t>
      </w:r>
    </w:p>
    <w:p>
      <w:pPr>
        <w:spacing w:after="0" w:line="205" w:lineRule="exact"/>
        <w:rPr>
          <w:sz w:val="20"/>
          <w:szCs w:val="20"/>
          <w:color w:val="auto"/>
        </w:rPr>
      </w:pPr>
    </w:p>
    <w:p>
      <w:pPr>
        <w:jc w:val="both"/>
        <w:ind w:firstLine="1199"/>
        <w:spacing w:after="0" w:line="279"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Additional Guarantors</w:t>
      </w:r>
      <w:r>
        <w:rPr>
          <w:rFonts w:ascii="Arial" w:cs="Arial" w:eastAsia="Arial" w:hAnsi="Arial"/>
          <w:sz w:val="18"/>
          <w:szCs w:val="18"/>
          <w:color w:val="auto"/>
        </w:rPr>
        <w:t xml:space="preserve">. With respect to (i) any Person that is or becomes a Subsidiary (other than an Excluded Subsidiary) of the Borrower after the </w:t>
      </w:r>
      <w:r>
        <w:rPr>
          <w:rFonts w:ascii="Arial" w:cs="Arial" w:eastAsia="Arial" w:hAnsi="Arial"/>
          <w:sz w:val="18"/>
          <w:szCs w:val="18"/>
          <w:color w:val="FF0000"/>
          <w:strike w:val="1"/>
        </w:rPr>
        <w:t>Closing</w:t>
      </w:r>
      <w:r>
        <w:rPr>
          <w:rFonts w:ascii="Arial" w:cs="Arial" w:eastAsia="Arial" w:hAnsi="Arial"/>
          <w:sz w:val="18"/>
          <w:szCs w:val="18"/>
          <w:b w:val="1"/>
          <w:bCs w:val="1"/>
          <w:u w:val="single" w:color="auto"/>
          <w:color w:val="0000FF"/>
          <w:highlight w:val="lightGray"/>
        </w:rPr>
        <w:t>Third Amendment Effective</w:t>
      </w:r>
      <w:r>
        <w:rPr>
          <w:rFonts w:ascii="Arial" w:cs="Arial" w:eastAsia="Arial" w:hAnsi="Arial"/>
          <w:sz w:val="18"/>
          <w:szCs w:val="18"/>
          <w:color w:val="auto"/>
        </w:rPr>
        <w:t xml:space="preserve"> Date, and/or (ii) any Subs</w:t>
      </w:r>
      <w:r>
        <w:rPr>
          <w:rFonts w:ascii="Arial" w:cs="Arial" w:eastAsia="Arial" w:hAnsi="Arial"/>
          <w:sz w:val="18"/>
          <w:szCs w:val="18"/>
          <w:u w:val="single" w:color="auto"/>
          <w:color w:val="auto"/>
          <w:highlight w:val="lightGray"/>
        </w:rPr>
        <w:t>idiary of the Borrower that ceases to be</w:t>
      </w:r>
      <w:r>
        <w:rPr>
          <w:rFonts w:ascii="Arial" w:cs="Arial" w:eastAsia="Arial" w:hAnsi="Arial"/>
          <w:sz w:val="18"/>
          <w:szCs w:val="18"/>
          <w:color w:val="auto"/>
        </w:rPr>
        <w:t xml:space="preserve"> </w:t>
      </w:r>
      <w:r>
        <w:rPr>
          <w:rFonts w:ascii="Arial" w:cs="Arial" w:eastAsia="Arial" w:hAnsi="Arial"/>
          <w:sz w:val="18"/>
          <w:szCs w:val="18"/>
          <w:u w:val="single" w:color="auto"/>
          <w:color w:val="auto"/>
          <w:highlight w:val="lightGray"/>
        </w:rPr>
        <w:t>an Excluded Subsidiary after the</w:t>
      </w:r>
      <w:r>
        <w:rPr>
          <w:rFonts w:ascii="Arial" w:cs="Arial" w:eastAsia="Arial" w:hAnsi="Arial"/>
          <w:sz w:val="18"/>
          <w:szCs w:val="18"/>
          <w:color w:val="auto"/>
          <w:highlight w:val="lightGray"/>
        </w:rPr>
        <w:t xml:space="preserve"> </w:t>
      </w:r>
      <w:r>
        <w:rPr>
          <w:rFonts w:ascii="Arial" w:cs="Arial" w:eastAsia="Arial" w:hAnsi="Arial"/>
          <w:sz w:val="18"/>
          <w:szCs w:val="18"/>
          <w:u w:val="single" w:color="auto"/>
          <w:color w:val="FF0000"/>
          <w:highlight w:val="lightGray"/>
          <w:strike w:val="1"/>
        </w:rPr>
        <w:t>Closing</w:t>
      </w:r>
      <w:r>
        <w:rPr>
          <w:rFonts w:ascii="Arial" w:cs="Arial" w:eastAsia="Arial" w:hAnsi="Arial"/>
          <w:sz w:val="18"/>
          <w:szCs w:val="18"/>
          <w:b w:val="1"/>
          <w:bCs w:val="1"/>
          <w:u w:val="single" w:color="auto"/>
          <w:color w:val="0000FF"/>
          <w:highlight w:val="lightGray"/>
        </w:rPr>
        <w:t>Third Amendment Effective</w:t>
      </w:r>
      <w:r>
        <w:rPr>
          <w:rFonts w:ascii="Arial" w:cs="Arial" w:eastAsia="Arial" w:hAnsi="Arial"/>
          <w:sz w:val="18"/>
          <w:szCs w:val="18"/>
          <w:color w:val="auto"/>
          <w:highlight w:val="lightGray"/>
        </w:rPr>
        <w:t xml:space="preserve"> </w:t>
      </w:r>
      <w:r>
        <w:rPr>
          <w:rFonts w:ascii="Arial" w:cs="Arial" w:eastAsia="Arial" w:hAnsi="Arial"/>
          <w:sz w:val="18"/>
          <w:szCs w:val="18"/>
          <w:color w:val="auto"/>
        </w:rPr>
        <w:t>Date, on or prior to such time that such Person becomes a Subsidiary</w:t>
      </w:r>
      <w:r>
        <w:rPr>
          <w:rFonts w:ascii="Arial" w:cs="Arial" w:eastAsia="Arial" w:hAnsi="Arial"/>
          <w:sz w:val="18"/>
          <w:szCs w:val="18"/>
          <w:color w:val="auto"/>
          <w:highlight w:val="lightGray"/>
        </w:rPr>
        <w:t xml:space="preserve"> </w:t>
      </w:r>
      <w:r>
        <w:rPr>
          <w:rFonts w:ascii="Arial" w:cs="Arial" w:eastAsia="Arial" w:hAnsi="Arial"/>
          <w:sz w:val="18"/>
          <w:szCs w:val="18"/>
          <w:color w:val="auto"/>
        </w:rPr>
        <w:t xml:space="preserve">(other than an Excluded Subsidiary) or ceases to be an Excluded Subsidiary, as applicable, unless the Exemption Conditions exist at such time with respect to such Person, (w) cause such Person to execute a joinder agreement to the Guaranty Agreement in form and substance reasonably satisfactory to the Administrative Agent, (x) deliver to the Administrative Agent (A) the items referenced in </w:t>
      </w:r>
      <w:r>
        <w:rPr>
          <w:rFonts w:ascii="Arial" w:cs="Arial" w:eastAsia="Arial" w:hAnsi="Arial"/>
          <w:sz w:val="18"/>
          <w:szCs w:val="18"/>
          <w:u w:val="single" w:color="auto"/>
          <w:color w:val="auto"/>
        </w:rPr>
        <w:t>Section 4.01(a)(</w:t>
      </w:r>
      <w:r>
        <w:rPr>
          <w:rFonts w:ascii="Arial" w:cs="Arial" w:eastAsia="Arial" w:hAnsi="Arial"/>
          <w:sz w:val="18"/>
          <w:szCs w:val="18"/>
          <w:u w:val="single" w:color="auto"/>
          <w:color w:val="FF0000"/>
          <w:strike w:val="1"/>
        </w:rPr>
        <w:t>iv</w:t>
      </w:r>
      <w:r>
        <w:rPr>
          <w:rFonts w:ascii="Arial" w:cs="Arial" w:eastAsia="Arial" w:hAnsi="Arial"/>
          <w:sz w:val="18"/>
          <w:szCs w:val="18"/>
          <w:b w:val="1"/>
          <w:bCs w:val="1"/>
          <w:u w:val="single" w:color="auto"/>
          <w:color w:val="0000FF"/>
          <w:highlight w:val="lightGray"/>
        </w:rPr>
        <w:t>iii</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w:t>
      </w:r>
      <w:r>
        <w:rPr>
          <w:rFonts w:ascii="Arial" w:cs="Arial" w:eastAsia="Arial" w:hAnsi="Arial"/>
          <w:sz w:val="18"/>
          <w:szCs w:val="18"/>
          <w:u w:val="single" w:color="auto"/>
          <w:color w:val="FF0000"/>
          <w:strike w:val="1"/>
        </w:rPr>
        <w:t>v</w:t>
      </w:r>
      <w:r>
        <w:rPr>
          <w:rFonts w:ascii="Arial" w:cs="Arial" w:eastAsia="Arial" w:hAnsi="Arial"/>
          <w:sz w:val="18"/>
          <w:szCs w:val="18"/>
          <w:b w:val="1"/>
          <w:bCs w:val="1"/>
          <w:u w:val="single" w:color="auto"/>
          <w:color w:val="0000FF"/>
          <w:highlight w:val="lightGray"/>
        </w:rPr>
        <w:t>iv</w:t>
      </w:r>
      <w:r>
        <w:rPr>
          <w:rFonts w:ascii="Arial" w:cs="Arial" w:eastAsia="Arial" w:hAnsi="Arial"/>
          <w:sz w:val="18"/>
          <w:szCs w:val="18"/>
          <w:u w:val="single" w:color="auto"/>
          <w:color w:val="auto"/>
        </w:rPr>
        <w:t>)</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with respect to such Person and (B) if reasonably requested by the Administrative Agent, a favorable opinion of counsel (which counsel shall be reasonably acceptable to the Administrative Agent), addressed to the Administrative Agent and each Lender, as to such matters concerning such Person and the Loan Documents to which such Person is a party as the Administrative Agent may reasonably request, (y) provide the Administrative Agent with the U.S. taxpayer identification for such Person (or the equivalent thereof, in the event such Person is not organized under the laws of the United States, any State thereof or the District of Columbia) and (z) provide the Administrative Agent and each Lender with all documentation and other information that the Administrative Agent or such Lender requests in order to comply with its obligations under applicable “know your customer” and anti-money laundering rules and regulations, including the Act, and the results of any such “know your customer” or similar investigation conducted by Administrative Agent or any Lender shall be satisfactory to Administrative Agent or such Lender in all respects.</w:t>
      </w:r>
    </w:p>
    <w:p>
      <w:pPr>
        <w:spacing w:after="0" w:line="188" w:lineRule="exact"/>
        <w:rPr>
          <w:sz w:val="20"/>
          <w:szCs w:val="20"/>
          <w:color w:val="auto"/>
        </w:rPr>
      </w:pPr>
    </w:p>
    <w:p>
      <w:pPr>
        <w:jc w:val="both"/>
        <w:ind w:firstLine="1199"/>
        <w:spacing w:after="0" w:line="293"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Compliance with Environmental Laws</w:t>
      </w:r>
      <w:r>
        <w:rPr>
          <w:rFonts w:ascii="Arial" w:cs="Arial" w:eastAsia="Arial" w:hAnsi="Arial"/>
          <w:sz w:val="18"/>
          <w:szCs w:val="18"/>
          <w:color w:val="auto"/>
        </w:rPr>
        <w:t xml:space="preserve">. Comply, and take commercially reasonable actions to cause all lessees and other Persons operating or occupying its properties to comply, </w:t>
      </w:r>
      <w:r>
        <w:rPr>
          <w:rFonts w:ascii="Arial" w:cs="Arial" w:eastAsia="Arial" w:hAnsi="Arial"/>
          <w:sz w:val="18"/>
          <w:szCs w:val="18"/>
          <w:color w:val="FF0000"/>
          <w:strike w:val="1"/>
        </w:rPr>
        <w:t>in all material respects,</w:t>
      </w:r>
      <w:r>
        <w:rPr>
          <w:rFonts w:ascii="Arial" w:cs="Arial" w:eastAsia="Arial" w:hAnsi="Arial"/>
          <w:sz w:val="18"/>
          <w:szCs w:val="18"/>
          <w:color w:val="auto"/>
        </w:rPr>
        <w:t xml:space="preserve"> with all applicable Environmental Laws and Environmental Permits</w:t>
      </w:r>
      <w:r>
        <w:rPr>
          <w:rFonts w:ascii="Arial" w:cs="Arial" w:eastAsia="Arial" w:hAnsi="Arial"/>
          <w:sz w:val="18"/>
          <w:szCs w:val="18"/>
          <w:color w:val="FF0000"/>
          <w:strike w:val="1"/>
        </w:rPr>
        <w:t>;</w:t>
      </w:r>
      <w:r>
        <w:rPr>
          <w:rFonts w:ascii="Arial" w:cs="Arial" w:eastAsia="Arial" w:hAnsi="Arial"/>
          <w:sz w:val="18"/>
          <w:szCs w:val="18"/>
          <w:b w:val="1"/>
          <w:bCs w:val="1"/>
          <w:u w:val="single" w:color="auto"/>
          <w:color w:val="0000FF"/>
          <w:highlight w:val="lightGray"/>
        </w:rPr>
        <w:t>, except to the extent the failure to comply could not reasonably be expected to have a Material Adverse Effect,</w:t>
      </w:r>
      <w:r>
        <w:rPr>
          <w:rFonts w:ascii="Arial" w:cs="Arial" w:eastAsia="Arial" w:hAnsi="Arial"/>
          <w:sz w:val="18"/>
          <w:szCs w:val="18"/>
          <w:color w:val="auto"/>
        </w:rPr>
        <w:t xml:space="preserve"> obtain and renew all Environmental Permits necessary for the operations at each of its properties, except as could not reasonably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795" w:right="239" w:bottom="1440" w:gutter="0" w:footer="0" w:header="0"/>
        </w:sectPr>
      </w:pPr>
    </w:p>
    <w:bookmarkStart w:id="306" w:name="page307"/>
    <w:bookmarkEnd w:id="306"/>
    <w:p>
      <w:pPr>
        <w:jc w:val="both"/>
        <w:spacing w:after="0" w:line="286" w:lineRule="auto"/>
        <w:rPr>
          <w:sz w:val="20"/>
          <w:szCs w:val="20"/>
          <w:color w:val="auto"/>
        </w:rPr>
      </w:pPr>
      <w:r>
        <w:rPr>
          <w:rFonts w:ascii="Arial" w:cs="Arial" w:eastAsia="Arial" w:hAnsi="Arial"/>
          <w:sz w:val="18"/>
          <w:szCs w:val="18"/>
          <w:color w:val="auto"/>
        </w:rPr>
        <w:t xml:space="preserve">be expected to have a Material Adverse Effect, at each of its other properties; and conduct any investigation, study, sampling and testing, and undertake any cleanup, response or other corrective action required under and in material compliance with Environmental Law to remediate all Hazardous Materials at, on, under or emanating from any of its properties, except as could not reasonably be expected to have a Material Adverse Effect, at each of its other properties;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the REIT nor any of its Subsidiaries shall be required to undertake any such cleanup, removal, remedial or other action to the extent that its obligation to do so is being contested in good faith and by proper proceedings and appropriate reserves are being maintained with respect to such circumstances in accordance with GAAP.</w:t>
      </w:r>
    </w:p>
    <w:p>
      <w:pPr>
        <w:spacing w:after="0" w:line="181" w:lineRule="exact"/>
        <w:rPr>
          <w:sz w:val="20"/>
          <w:szCs w:val="20"/>
          <w:color w:val="auto"/>
        </w:rPr>
      </w:pPr>
    </w:p>
    <w:p>
      <w:pPr>
        <w:jc w:val="both"/>
        <w:ind w:firstLine="1199"/>
        <w:spacing w:after="0" w:line="282"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Promptly upon request by the Administrative Agent, or any Lender through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and (ii) assure, convey, grant, assign, transfer, preserve, protect and confirm more effectively unto the Administrative Agent and the Lenders the rights granted or now or hereafter intended to be granted to them under any Loan Document or under any other instrument executed in connection with any Loan Document to which any Loan Party or any of its Subsidiaries is or is to be a party, and cause each of its Subsidiaries to do so.</w:t>
      </w:r>
    </w:p>
    <w:p>
      <w:pPr>
        <w:spacing w:after="0" w:line="190" w:lineRule="exact"/>
        <w:rPr>
          <w:sz w:val="20"/>
          <w:szCs w:val="20"/>
          <w:color w:val="auto"/>
        </w:rPr>
      </w:pPr>
    </w:p>
    <w:p>
      <w:pPr>
        <w:jc w:val="both"/>
        <w:ind w:firstLine="1199"/>
        <w:spacing w:after="0" w:line="272" w:lineRule="auto"/>
        <w:rPr>
          <w:sz w:val="20"/>
          <w:szCs w:val="20"/>
          <w:color w:val="auto"/>
        </w:rPr>
      </w:pPr>
      <w:r>
        <w:rPr>
          <w:rFonts w:ascii="Arial" w:cs="Arial" w:eastAsia="Arial" w:hAnsi="Arial"/>
          <w:sz w:val="20"/>
          <w:szCs w:val="20"/>
          <w:color w:val="auto"/>
        </w:rPr>
        <w:t xml:space="preserve">6.15. </w:t>
      </w:r>
      <w:r>
        <w:rPr>
          <w:rFonts w:ascii="Arial" w:cs="Arial" w:eastAsia="Arial" w:hAnsi="Arial"/>
          <w:sz w:val="20"/>
          <w:szCs w:val="20"/>
          <w:u w:val="single" w:color="auto"/>
          <w:color w:val="FF0000"/>
          <w:strike w:val="1"/>
        </w:rPr>
        <w:t>Maintenance of REIT Status;</w:t>
      </w:r>
      <w:r>
        <w:rPr>
          <w:rFonts w:ascii="Arial" w:cs="Arial" w:eastAsia="Arial" w:hAnsi="Arial"/>
          <w:sz w:val="20"/>
          <w:szCs w:val="20"/>
          <w:color w:val="auto"/>
        </w:rPr>
        <w:t xml:space="preserve"> </w:t>
      </w:r>
      <w:r>
        <w:rPr>
          <w:rFonts w:ascii="Arial" w:cs="Arial" w:eastAsia="Arial" w:hAnsi="Arial"/>
          <w:sz w:val="20"/>
          <w:szCs w:val="20"/>
          <w:u w:val="single" w:color="auto"/>
          <w:color w:val="auto"/>
        </w:rPr>
        <w:t>New York Stock Exchange Listing</w:t>
      </w:r>
      <w:r>
        <w:rPr>
          <w:rFonts w:ascii="Arial" w:cs="Arial" w:eastAsia="Arial" w:hAnsi="Arial"/>
          <w:sz w:val="20"/>
          <w:szCs w:val="20"/>
          <w:color w:val="auto"/>
        </w:rPr>
        <w:t xml:space="preserve">. The REIT will at all times </w:t>
      </w:r>
      <w:r>
        <w:rPr>
          <w:rFonts w:ascii="Arial" w:cs="Arial" w:eastAsia="Arial" w:hAnsi="Arial"/>
          <w:sz w:val="20"/>
          <w:szCs w:val="20"/>
          <w:color w:val="FF0000"/>
          <w:strike w:val="1"/>
        </w:rPr>
        <w:t>qualify for taxation as a</w:t>
      </w:r>
      <w:r>
        <w:rPr>
          <w:rFonts w:ascii="Arial" w:cs="Arial" w:eastAsia="Arial" w:hAnsi="Arial"/>
          <w:sz w:val="20"/>
          <w:szCs w:val="20"/>
          <w:color w:val="auto"/>
        </w:rPr>
        <w:t xml:space="preserve"> </w:t>
      </w:r>
      <w:r>
        <w:rPr>
          <w:rFonts w:ascii="Arial" w:cs="Arial" w:eastAsia="Arial" w:hAnsi="Arial"/>
          <w:sz w:val="20"/>
          <w:szCs w:val="20"/>
          <w:color w:val="FF0000"/>
          <w:strike w:val="1"/>
        </w:rPr>
        <w:t>Real Estate Investment Trust. The REIT will also at all times</w:t>
      </w:r>
      <w:r>
        <w:rPr>
          <w:rFonts w:ascii="Arial" w:cs="Arial" w:eastAsia="Arial" w:hAnsi="Arial"/>
          <w:sz w:val="20"/>
          <w:szCs w:val="20"/>
          <w:color w:val="FF0000"/>
        </w:rPr>
        <w:t xml:space="preserve"> </w:t>
      </w:r>
      <w:r>
        <w:rPr>
          <w:rFonts w:ascii="Arial" w:cs="Arial" w:eastAsia="Arial" w:hAnsi="Arial"/>
          <w:sz w:val="20"/>
          <w:szCs w:val="20"/>
          <w:color w:val="000000"/>
        </w:rPr>
        <w:t>be listed on the New York Stock Exchange.</w:t>
      </w:r>
    </w:p>
    <w:p>
      <w:pPr>
        <w:spacing w:after="0" w:line="191" w:lineRule="exact"/>
        <w:rPr>
          <w:sz w:val="20"/>
          <w:szCs w:val="20"/>
          <w:color w:val="auto"/>
        </w:rPr>
      </w:pPr>
    </w:p>
    <w:p>
      <w:pPr>
        <w:jc w:val="both"/>
        <w:ind w:firstLine="1199"/>
        <w:spacing w:after="0" w:line="251" w:lineRule="auto"/>
        <w:rPr>
          <w:sz w:val="20"/>
          <w:szCs w:val="20"/>
          <w:color w:val="auto"/>
        </w:rPr>
      </w:pPr>
      <w:r>
        <w:rPr>
          <w:rFonts w:ascii="Arial" w:cs="Arial" w:eastAsia="Arial" w:hAnsi="Arial"/>
          <w:sz w:val="20"/>
          <w:szCs w:val="20"/>
          <w:color w:val="auto"/>
        </w:rPr>
        <w:t xml:space="preserve">6.16. </w:t>
      </w:r>
      <w:r>
        <w:rPr>
          <w:rFonts w:ascii="Arial" w:cs="Arial" w:eastAsia="Arial" w:hAnsi="Arial"/>
          <w:sz w:val="20"/>
          <w:szCs w:val="20"/>
          <w:u w:val="single" w:color="auto"/>
          <w:color w:val="auto"/>
        </w:rPr>
        <w:t>Material Contracts</w:t>
      </w:r>
      <w:r>
        <w:rPr>
          <w:rFonts w:ascii="Arial" w:cs="Arial" w:eastAsia="Arial" w:hAnsi="Arial"/>
          <w:sz w:val="20"/>
          <w:szCs w:val="20"/>
          <w:color w:val="auto"/>
        </w:rPr>
        <w:t>. Perform and observe all the terms and provisions of each Material Contract to be performed or observed by it, maintain each such Material Contract in full force and effect, enforce each such Material Contract in accordance with its terms, take all such action to such end as may be from time to time requested by the Administrative Agent and, upon request of the Administrative Agent, make to each other party to each such Material Contract such demands and requests for information and reports or for action as any Loan Party or any of its Subsidiaries is entitled to make under such Material Contract, and cause each of its Subsidiaries to do so, except, in any case, where the failure to do so, either individually or in the aggregate, could not reasonably be expected to have a Material Adverse Effect.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NEGATIVE COVENANTS</w:t>
      </w:r>
    </w:p>
    <w:p>
      <w:pPr>
        <w:spacing w:after="0" w:line="229" w:lineRule="exact"/>
        <w:rPr>
          <w:sz w:val="20"/>
          <w:szCs w:val="20"/>
          <w:color w:val="auto"/>
        </w:rPr>
      </w:pPr>
    </w:p>
    <w:p>
      <w:pPr>
        <w:ind w:left="600" w:firstLine="600"/>
        <w:spacing w:after="0" w:line="329" w:lineRule="auto"/>
        <w:rPr>
          <w:sz w:val="20"/>
          <w:szCs w:val="20"/>
          <w:color w:val="auto"/>
        </w:rPr>
      </w:pPr>
      <w:r>
        <w:rPr>
          <w:rFonts w:ascii="Arial" w:cs="Arial" w:eastAsia="Arial" w:hAnsi="Arial"/>
          <w:sz w:val="18"/>
          <w:szCs w:val="18"/>
          <w:color w:val="auto"/>
        </w:rPr>
        <w:t>So long as any Lender shall have any Commitment hereunder, or any Loan or other Obligation hereunder shall remain unpaid or unsatisfied, the REIT and the Borrower shall not, nor shall they permit any of their respective Subsidiaries to, directly or indirectly:</w:t>
      </w:r>
    </w:p>
    <w:p>
      <w:pPr>
        <w:spacing w:after="0" w:line="144" w:lineRule="exact"/>
        <w:rPr>
          <w:sz w:val="20"/>
          <w:szCs w:val="20"/>
          <w:color w:val="auto"/>
        </w:rPr>
      </w:pPr>
    </w:p>
    <w:p>
      <w:pPr>
        <w:ind w:firstLine="1199"/>
        <w:spacing w:after="0" w:line="272" w:lineRule="auto"/>
        <w:rPr>
          <w:sz w:val="20"/>
          <w:szCs w:val="20"/>
          <w:color w:val="auto"/>
        </w:rPr>
      </w:pPr>
      <w:r>
        <w:rPr>
          <w:rFonts w:ascii="Arial" w:cs="Arial" w:eastAsia="Arial" w:hAnsi="Arial"/>
          <w:sz w:val="20"/>
          <w:szCs w:val="20"/>
          <w:color w:val="auto"/>
        </w:rPr>
        <w:t xml:space="preserve">7.01. </w:t>
      </w:r>
      <w:r>
        <w:rPr>
          <w:rFonts w:ascii="Arial" w:cs="Arial" w:eastAsia="Arial" w:hAnsi="Arial"/>
          <w:sz w:val="20"/>
          <w:szCs w:val="20"/>
          <w:u w:val="single" w:color="auto"/>
          <w:color w:val="auto"/>
        </w:rPr>
        <w:t>Liens</w:t>
      </w:r>
      <w:r>
        <w:rPr>
          <w:rFonts w:ascii="Arial" w:cs="Arial" w:eastAsia="Arial" w:hAnsi="Arial"/>
          <w:sz w:val="20"/>
          <w:szCs w:val="20"/>
          <w:color w:val="auto"/>
        </w:rPr>
        <w:t>. Create, incur, assume or suffer to exist any Lien upon any of its property, assets or revenues, whether now owned or hereafter acquired, other than the following:</w:t>
      </w:r>
    </w:p>
    <w:p>
      <w:pPr>
        <w:spacing w:after="0" w:line="191" w:lineRule="exact"/>
        <w:rPr>
          <w:sz w:val="20"/>
          <w:szCs w:val="20"/>
          <w:color w:val="auto"/>
        </w:rPr>
      </w:pPr>
    </w:p>
    <w:p>
      <w:pPr>
        <w:ind w:left="2020" w:hanging="821"/>
        <w:spacing w:after="0"/>
        <w:tabs>
          <w:tab w:leader="none" w:pos="2020" w:val="left"/>
        </w:tabs>
        <w:numPr>
          <w:ilvl w:val="0"/>
          <w:numId w:val="350"/>
        </w:numPr>
        <w:rPr>
          <w:rFonts w:ascii="Arial" w:cs="Arial" w:eastAsia="Arial" w:hAnsi="Arial"/>
          <w:sz w:val="20"/>
          <w:szCs w:val="20"/>
          <w:color w:val="auto"/>
        </w:rPr>
      </w:pPr>
      <w:r>
        <w:rPr>
          <w:rFonts w:ascii="Arial" w:cs="Arial" w:eastAsia="Arial" w:hAnsi="Arial"/>
          <w:sz w:val="20"/>
          <w:szCs w:val="20"/>
          <w:color w:val="auto"/>
        </w:rPr>
        <w:t>Liens pursuant to any Loan Document;</w:t>
      </w:r>
    </w:p>
    <w:p>
      <w:pPr>
        <w:spacing w:after="0" w:line="244" w:lineRule="exact"/>
        <w:rPr>
          <w:rFonts w:ascii="Arial" w:cs="Arial" w:eastAsia="Arial" w:hAnsi="Arial"/>
          <w:sz w:val="20"/>
          <w:szCs w:val="20"/>
          <w:color w:val="auto"/>
        </w:rPr>
      </w:pPr>
    </w:p>
    <w:p>
      <w:pPr>
        <w:ind w:left="600" w:firstLine="599"/>
        <w:spacing w:after="0" w:line="272" w:lineRule="auto"/>
        <w:tabs>
          <w:tab w:leader="none" w:pos="2032" w:val="left"/>
        </w:tabs>
        <w:numPr>
          <w:ilvl w:val="0"/>
          <w:numId w:val="350"/>
        </w:numPr>
        <w:rPr>
          <w:rFonts w:ascii="Arial" w:cs="Arial" w:eastAsia="Arial" w:hAnsi="Arial"/>
          <w:sz w:val="20"/>
          <w:szCs w:val="20"/>
          <w:color w:val="auto"/>
        </w:rPr>
      </w:pPr>
      <w:r>
        <w:rPr>
          <w:rFonts w:ascii="Arial" w:cs="Arial" w:eastAsia="Arial" w:hAnsi="Arial"/>
          <w:sz w:val="20"/>
          <w:szCs w:val="20"/>
          <w:color w:val="auto"/>
        </w:rPr>
        <w:t>Liens for taxes not yet due or Liens for taxes which are being contested in good faith and by appropriate proceedings diligently conducted (which proceedings have the effect of preventing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795" w:right="239" w:bottom="1440" w:gutter="0" w:footer="0" w:header="0"/>
        </w:sectPr>
      </w:pPr>
    </w:p>
    <w:bookmarkStart w:id="307" w:name="page308"/>
    <w:bookmarkEnd w:id="307"/>
    <w:p>
      <w:pPr>
        <w:spacing w:after="0" w:line="272" w:lineRule="auto"/>
        <w:rPr>
          <w:sz w:val="20"/>
          <w:szCs w:val="20"/>
          <w:color w:val="auto"/>
        </w:rPr>
      </w:pPr>
      <w:r>
        <w:rPr>
          <w:rFonts w:ascii="Arial" w:cs="Arial" w:eastAsia="Arial" w:hAnsi="Arial"/>
          <w:sz w:val="20"/>
          <w:szCs w:val="20"/>
          <w:color w:val="auto"/>
        </w:rPr>
        <w:t>the forfeiture or sale of the property or assets subject to any such Lien), if adequate reserves with respect thereto are maintained on the books of the applicable Person in accordance with GAAP;</w:t>
      </w:r>
    </w:p>
    <w:p>
      <w:pPr>
        <w:spacing w:after="0" w:line="191" w:lineRule="exact"/>
        <w:rPr>
          <w:sz w:val="20"/>
          <w:szCs w:val="20"/>
          <w:color w:val="auto"/>
        </w:rPr>
      </w:pPr>
    </w:p>
    <w:p>
      <w:pPr>
        <w:jc w:val="both"/>
        <w:ind w:firstLine="599"/>
        <w:spacing w:after="0" w:line="253" w:lineRule="auto"/>
        <w:tabs>
          <w:tab w:leader="none" w:pos="1421" w:val="left"/>
        </w:tabs>
        <w:numPr>
          <w:ilvl w:val="0"/>
          <w:numId w:val="351"/>
        </w:numPr>
        <w:rPr>
          <w:rFonts w:ascii="Arial" w:cs="Arial" w:eastAsia="Arial" w:hAnsi="Arial"/>
          <w:sz w:val="20"/>
          <w:szCs w:val="20"/>
          <w:color w:val="auto"/>
        </w:rPr>
      </w:pPr>
      <w:r>
        <w:rPr>
          <w:rFonts w:ascii="Arial" w:cs="Arial" w:eastAsia="Arial" w:hAnsi="Arial"/>
          <w:sz w:val="20"/>
          <w:szCs w:val="20"/>
          <w:color w:val="auto"/>
        </w:rPr>
        <w:t>carriers’, warehousemen’s, mechanics’, materialmen’s, repairmen’s or other like Liens arising in the ordinary course of business which are not overdue for a period of more than 30 days or which are being contested in good faith and by appropriate proceedings diligently conducted (which proceedings have the effect of preventing the forfeiture or sale of the property or assets subject to any such Lien), if adequate reserves with respect thereto are maintained on the books of the applicable Person in accordance with GAAP;</w:t>
      </w:r>
    </w:p>
    <w:p>
      <w:pPr>
        <w:spacing w:after="0" w:line="211" w:lineRule="exact"/>
        <w:rPr>
          <w:rFonts w:ascii="Arial" w:cs="Arial" w:eastAsia="Arial" w:hAnsi="Arial"/>
          <w:sz w:val="20"/>
          <w:szCs w:val="20"/>
          <w:color w:val="auto"/>
        </w:rPr>
      </w:pPr>
    </w:p>
    <w:p>
      <w:pPr>
        <w:ind w:firstLine="599"/>
        <w:spacing w:after="0" w:line="272" w:lineRule="auto"/>
        <w:tabs>
          <w:tab w:leader="none" w:pos="1432" w:val="left"/>
        </w:tabs>
        <w:numPr>
          <w:ilvl w:val="0"/>
          <w:numId w:val="351"/>
        </w:numPr>
        <w:rPr>
          <w:rFonts w:ascii="Arial" w:cs="Arial" w:eastAsia="Arial" w:hAnsi="Arial"/>
          <w:sz w:val="20"/>
          <w:szCs w:val="20"/>
          <w:color w:val="auto"/>
        </w:rPr>
      </w:pPr>
      <w:r>
        <w:rPr>
          <w:rFonts w:ascii="Arial" w:cs="Arial" w:eastAsia="Arial" w:hAnsi="Arial"/>
          <w:sz w:val="20"/>
          <w:szCs w:val="20"/>
          <w:color w:val="auto"/>
        </w:rPr>
        <w:t>pledges or deposits in the ordinary course of business in connection with workers’ compensation, unemployment insurance and other social security legislation, other than any Lien imposed by ERISA;</w:t>
      </w:r>
    </w:p>
    <w:p>
      <w:pPr>
        <w:spacing w:after="0" w:line="190" w:lineRule="exact"/>
        <w:rPr>
          <w:rFonts w:ascii="Arial" w:cs="Arial" w:eastAsia="Arial" w:hAnsi="Arial"/>
          <w:sz w:val="20"/>
          <w:szCs w:val="20"/>
          <w:color w:val="auto"/>
        </w:rPr>
      </w:pPr>
    </w:p>
    <w:p>
      <w:pPr>
        <w:ind w:firstLine="599"/>
        <w:spacing w:after="0" w:line="363" w:lineRule="auto"/>
        <w:tabs>
          <w:tab w:leader="none" w:pos="1421" w:val="left"/>
        </w:tabs>
        <w:numPr>
          <w:ilvl w:val="0"/>
          <w:numId w:val="351"/>
        </w:numPr>
        <w:rPr>
          <w:rFonts w:ascii="Arial" w:cs="Arial" w:eastAsia="Arial" w:hAnsi="Arial"/>
          <w:sz w:val="17"/>
          <w:szCs w:val="17"/>
          <w:color w:val="auto"/>
        </w:rPr>
      </w:pPr>
      <w:r>
        <w:rPr>
          <w:rFonts w:ascii="Arial" w:cs="Arial" w:eastAsia="Arial" w:hAnsi="Arial"/>
          <w:sz w:val="17"/>
          <w:szCs w:val="17"/>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120" w:lineRule="exact"/>
        <w:rPr>
          <w:rFonts w:ascii="Arial" w:cs="Arial" w:eastAsia="Arial" w:hAnsi="Arial"/>
          <w:sz w:val="17"/>
          <w:szCs w:val="17"/>
          <w:color w:val="auto"/>
        </w:rPr>
      </w:pPr>
    </w:p>
    <w:p>
      <w:pPr>
        <w:jc w:val="both"/>
        <w:ind w:firstLine="599"/>
        <w:spacing w:after="0" w:line="256" w:lineRule="auto"/>
        <w:tabs>
          <w:tab w:leader="none" w:pos="1399" w:val="left"/>
        </w:tabs>
        <w:numPr>
          <w:ilvl w:val="0"/>
          <w:numId w:val="351"/>
        </w:numPr>
        <w:rPr>
          <w:rFonts w:ascii="Arial" w:cs="Arial" w:eastAsia="Arial" w:hAnsi="Arial"/>
          <w:sz w:val="20"/>
          <w:szCs w:val="20"/>
          <w:color w:val="auto"/>
        </w:rPr>
      </w:pPr>
      <w:r>
        <w:rPr>
          <w:rFonts w:ascii="Arial" w:cs="Arial" w:eastAsia="Arial" w:hAnsi="Arial"/>
          <w:sz w:val="20"/>
          <w:szCs w:val="20"/>
          <w:color w:val="auto"/>
        </w:rPr>
        <w:t>easements, rights-of-way, restrictions, restrictive covenants, encroachments, protrusions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 and any replacement, extension or renewal of any such Lien;</w:t>
      </w:r>
    </w:p>
    <w:p>
      <w:pPr>
        <w:spacing w:after="0" w:line="205" w:lineRule="exact"/>
        <w:rPr>
          <w:rFonts w:ascii="Arial" w:cs="Arial" w:eastAsia="Arial" w:hAnsi="Arial"/>
          <w:sz w:val="20"/>
          <w:szCs w:val="20"/>
          <w:color w:val="auto"/>
        </w:rPr>
      </w:pPr>
    </w:p>
    <w:p>
      <w:pPr>
        <w:ind w:left="1440" w:hanging="841"/>
        <w:spacing w:after="0"/>
        <w:tabs>
          <w:tab w:leader="none" w:pos="1440" w:val="left"/>
        </w:tabs>
        <w:numPr>
          <w:ilvl w:val="0"/>
          <w:numId w:val="351"/>
        </w:numPr>
        <w:rPr>
          <w:rFonts w:ascii="Arial" w:cs="Arial" w:eastAsia="Arial" w:hAnsi="Arial"/>
          <w:sz w:val="19"/>
          <w:szCs w:val="19"/>
          <w:color w:val="auto"/>
        </w:rPr>
      </w:pPr>
      <w:r>
        <w:rPr>
          <w:rFonts w:ascii="Arial" w:cs="Arial" w:eastAsia="Arial" w:hAnsi="Arial"/>
          <w:sz w:val="19"/>
          <w:szCs w:val="19"/>
          <w:color w:val="auto"/>
        </w:rPr>
        <w:t xml:space="preserve">Liens securing judgments for the payment of money not constituting an Event of Default under </w:t>
      </w:r>
      <w:r>
        <w:rPr>
          <w:rFonts w:ascii="Arial" w:cs="Arial" w:eastAsia="Arial" w:hAnsi="Arial"/>
          <w:sz w:val="19"/>
          <w:szCs w:val="19"/>
          <w:u w:val="single" w:color="auto"/>
          <w:color w:val="auto"/>
        </w:rPr>
        <w:t>Section 8.01(h)</w:t>
      </w:r>
      <w:r>
        <w:rPr>
          <w:rFonts w:ascii="Arial" w:cs="Arial" w:eastAsia="Arial" w:hAnsi="Arial"/>
          <w:sz w:val="19"/>
          <w:szCs w:val="19"/>
          <w:color w:val="auto"/>
        </w:rPr>
        <w:t>;</w:t>
      </w:r>
    </w:p>
    <w:p>
      <w:pPr>
        <w:spacing w:after="0" w:line="256" w:lineRule="exact"/>
        <w:rPr>
          <w:rFonts w:ascii="Arial" w:cs="Arial" w:eastAsia="Arial" w:hAnsi="Arial"/>
          <w:sz w:val="19"/>
          <w:szCs w:val="19"/>
          <w:color w:val="auto"/>
        </w:rPr>
      </w:pPr>
    </w:p>
    <w:p>
      <w:pPr>
        <w:jc w:val="both"/>
        <w:ind w:firstLine="599"/>
        <w:spacing w:after="0" w:line="253" w:lineRule="auto"/>
        <w:tabs>
          <w:tab w:leader="none" w:pos="1432" w:val="left"/>
        </w:tabs>
        <w:numPr>
          <w:ilvl w:val="0"/>
          <w:numId w:val="351"/>
        </w:numPr>
        <w:rPr>
          <w:rFonts w:ascii="Arial" w:cs="Arial" w:eastAsia="Arial" w:hAnsi="Arial"/>
          <w:sz w:val="20"/>
          <w:szCs w:val="20"/>
          <w:color w:val="auto"/>
        </w:rPr>
      </w:pPr>
      <w:r>
        <w:rPr>
          <w:rFonts w:ascii="Arial" w:cs="Arial" w:eastAsia="Arial" w:hAnsi="Arial"/>
          <w:sz w:val="20"/>
          <w:szCs w:val="20"/>
          <w:color w:val="auto"/>
        </w:rPr>
        <w:t xml:space="preserve">The rights of tenants under leases and subleases of, and the rights of managers under management agreements in respect of, Portfolio Properties, in each case entered into in the ordinary course of business consistent with past practice of the REIT and its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leases and subleases contain market terms and conditions (excluding rent) </w:t>
      </w:r>
      <w:r>
        <w:rPr>
          <w:rFonts w:ascii="Arial" w:cs="Arial" w:eastAsia="Arial" w:hAnsi="Arial"/>
          <w:sz w:val="20"/>
          <w:szCs w:val="20"/>
          <w:b w:val="1"/>
          <w:bCs w:val="1"/>
          <w:u w:val="single" w:color="auto"/>
          <w:color w:val="0000FF"/>
          <w:highlight w:val="lightGray"/>
        </w:rPr>
        <w:t>as reasonably</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highlight w:val="lightGray"/>
        </w:rPr>
        <w:t>determined by the Borrower at the time such leases and subleases are entered into</w:t>
      </w:r>
      <w:r>
        <w:rPr>
          <w:rFonts w:ascii="Arial" w:cs="Arial" w:eastAsia="Arial" w:hAnsi="Arial"/>
          <w:sz w:val="20"/>
          <w:szCs w:val="20"/>
          <w:b w:val="1"/>
          <w:bCs w:val="1"/>
          <w:color w:val="0000FF"/>
          <w:highlight w:val="lightGray"/>
        </w:rPr>
        <w:t xml:space="preserve"> </w:t>
      </w:r>
      <w:r>
        <w:rPr>
          <w:rFonts w:ascii="Arial" w:cs="Arial" w:eastAsia="Arial" w:hAnsi="Arial"/>
          <w:sz w:val="20"/>
          <w:szCs w:val="20"/>
          <w:color w:val="000000"/>
        </w:rPr>
        <w:t>and (ii) such Liens do not secure any</w:t>
      </w:r>
      <w:r>
        <w:rPr>
          <w:rFonts w:ascii="Arial" w:cs="Arial" w:eastAsia="Arial" w:hAnsi="Arial"/>
          <w:sz w:val="20"/>
          <w:szCs w:val="20"/>
          <w:b w:val="1"/>
          <w:bCs w:val="1"/>
          <w:color w:val="0000FF"/>
          <w:highlight w:val="lightGray"/>
        </w:rPr>
        <w:t xml:space="preserve"> </w:t>
      </w:r>
      <w:r>
        <w:rPr>
          <w:rFonts w:ascii="Arial" w:cs="Arial" w:eastAsia="Arial" w:hAnsi="Arial"/>
          <w:sz w:val="20"/>
          <w:szCs w:val="20"/>
          <w:color w:val="000000"/>
        </w:rPr>
        <w:t>Indebtedness;</w:t>
      </w:r>
    </w:p>
    <w:p>
      <w:pPr>
        <w:spacing w:after="0" w:line="211" w:lineRule="exact"/>
        <w:rPr>
          <w:rFonts w:ascii="Arial" w:cs="Arial" w:eastAsia="Arial" w:hAnsi="Arial"/>
          <w:sz w:val="20"/>
          <w:szCs w:val="20"/>
          <w:color w:val="auto"/>
        </w:rPr>
      </w:pPr>
    </w:p>
    <w:p>
      <w:pPr>
        <w:jc w:val="both"/>
        <w:ind w:firstLine="599"/>
        <w:spacing w:after="0" w:line="268" w:lineRule="auto"/>
        <w:tabs>
          <w:tab w:leader="none" w:pos="1388" w:val="left"/>
        </w:tabs>
        <w:numPr>
          <w:ilvl w:val="0"/>
          <w:numId w:val="351"/>
        </w:numPr>
        <w:rPr>
          <w:rFonts w:ascii="Arial" w:cs="Arial" w:eastAsia="Arial" w:hAnsi="Arial"/>
          <w:sz w:val="19"/>
          <w:szCs w:val="19"/>
          <w:color w:val="auto"/>
        </w:rPr>
      </w:pPr>
      <w:r>
        <w:rPr>
          <w:rFonts w:ascii="Arial" w:cs="Arial" w:eastAsia="Arial" w:hAnsi="Arial"/>
          <w:sz w:val="19"/>
          <w:szCs w:val="19"/>
          <w:color w:val="auto"/>
        </w:rPr>
        <w:t xml:space="preserve">Liens encumbering assets of a Loan Party or Subsidiary thereof not otherwise permitted under this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Liens do not at any time encumber any Unencumbered Eligible Property, (ii) such Liens do not at any time encumber the Equity Interests of any Person who owns or ground leases an Unencumbered Eligible Property (or the Equity Interests of any direct or indirect Subsidiary of the Borrower that owns any Equity Interests in such Person) and (iii) after giving pro forma effect to the incurrence of any such Lien (and all Indebtedness and other obligations secured thereby), the Loan Parties are in compliance with the </w:t>
      </w:r>
      <w:r>
        <w:rPr>
          <w:rFonts w:ascii="Arial" w:cs="Arial" w:eastAsia="Arial" w:hAnsi="Arial"/>
          <w:sz w:val="19"/>
          <w:szCs w:val="19"/>
          <w:color w:val="FF0000"/>
          <w:strike w:val="1"/>
        </w:rPr>
        <w:t>financial</w:t>
      </w:r>
      <w:r>
        <w:rPr>
          <w:rFonts w:ascii="Arial" w:cs="Arial" w:eastAsia="Arial" w:hAnsi="Arial"/>
          <w:sz w:val="19"/>
          <w:szCs w:val="19"/>
          <w:color w:val="auto"/>
        </w:rPr>
        <w:t xml:space="preserve"> covenants contained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highlight w:val="lightGray"/>
        </w:rPr>
        <w:t>7.02(b) and Section</w:t>
      </w:r>
      <w:r>
        <w:rPr>
          <w:rFonts w:ascii="Arial" w:cs="Arial" w:eastAsia="Arial" w:hAnsi="Arial"/>
          <w:sz w:val="19"/>
          <w:szCs w:val="19"/>
          <w:color w:val="auto"/>
        </w:rPr>
        <w:t xml:space="preserve"> 7.11</w:t>
      </w:r>
      <w:r>
        <w:rPr>
          <w:rFonts w:ascii="Arial" w:cs="Arial" w:eastAsia="Arial" w:hAnsi="Arial"/>
          <w:sz w:val="19"/>
          <w:szCs w:val="19"/>
          <w:u w:val="single" w:color="auto"/>
          <w:color w:val="FF0000"/>
          <w:strike w:val="1"/>
        </w:rPr>
        <w:t>(a)</w:t>
      </w:r>
      <w:r>
        <w:rPr>
          <w:rFonts w:ascii="Arial" w:cs="Arial" w:eastAsia="Arial" w:hAnsi="Arial"/>
          <w:sz w:val="19"/>
          <w:szCs w:val="19"/>
          <w:color w:val="auto"/>
        </w:rPr>
        <w:t xml:space="preserve"> </w:t>
      </w:r>
      <w:r>
        <w:rPr>
          <w:rFonts w:ascii="Arial" w:cs="Arial" w:eastAsia="Arial" w:hAnsi="Arial"/>
          <w:sz w:val="19"/>
          <w:szCs w:val="19"/>
          <w:color w:val="FF0000"/>
          <w:strike w:val="1"/>
        </w:rPr>
        <w:t>through</w:t>
      </w:r>
      <w:r>
        <w:rPr>
          <w:rFonts w:ascii="Arial" w:cs="Arial" w:eastAsia="Arial" w:hAnsi="Arial"/>
          <w:sz w:val="19"/>
          <w:szCs w:val="19"/>
          <w:color w:val="auto"/>
        </w:rPr>
        <w:t xml:space="preserve"> </w:t>
      </w:r>
      <w:r>
        <w:rPr>
          <w:rFonts w:ascii="Arial" w:cs="Arial" w:eastAsia="Arial" w:hAnsi="Arial"/>
          <w:sz w:val="19"/>
          <w:szCs w:val="19"/>
          <w:u w:val="single" w:color="auto"/>
          <w:color w:val="FF0000"/>
          <w:strike w:val="1"/>
        </w:rPr>
        <w:t>(f)</w:t>
      </w:r>
      <w:r>
        <w:rPr>
          <w:rFonts w:ascii="Arial" w:cs="Arial" w:eastAsia="Arial" w:hAnsi="Arial"/>
          <w:sz w:val="19"/>
          <w:szCs w:val="19"/>
          <w:color w:val="auto"/>
        </w:rPr>
        <w:t>;</w:t>
      </w:r>
    </w:p>
    <w:p>
      <w:pPr>
        <w:spacing w:after="0" w:line="197" w:lineRule="exact"/>
        <w:rPr>
          <w:rFonts w:ascii="Arial" w:cs="Arial" w:eastAsia="Arial" w:hAnsi="Arial"/>
          <w:sz w:val="19"/>
          <w:szCs w:val="19"/>
          <w:color w:val="auto"/>
        </w:rPr>
      </w:pPr>
    </w:p>
    <w:p>
      <w:pPr>
        <w:jc w:val="both"/>
        <w:ind w:firstLine="599"/>
        <w:spacing w:after="0" w:line="270" w:lineRule="auto"/>
        <w:tabs>
          <w:tab w:leader="none" w:pos="1388" w:val="left"/>
        </w:tabs>
        <w:numPr>
          <w:ilvl w:val="0"/>
          <w:numId w:val="351"/>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under </w:t>
      </w:r>
      <w:r>
        <w:rPr>
          <w:rFonts w:ascii="Arial" w:cs="Arial" w:eastAsia="Arial" w:hAnsi="Arial"/>
          <w:sz w:val="19"/>
          <w:szCs w:val="19"/>
          <w:u w:val="single" w:color="auto"/>
          <w:color w:val="auto"/>
        </w:rPr>
        <w:t>Section 7.02(c)</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Liens do not at any time encumber any Unencumbered Eligible Property, (ii) such Liens do not at any time encumber the Equity Interests of any Person who owns or ground leases an Unencumbered Eligible Property (or the Equity Interests of any direct or indirect Subsidiary of the Borrower that owns any Equity Interests in such Person), (iii) in the case of any such Lien incurred by a Loan Party, such Lien does not encumber any property other than the property financed by such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-949960</wp:posOffset>
            </wp:positionV>
            <wp:extent cx="24892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8920" cy="7620"/>
                    </a:xfrm>
                    <a:prstGeom prst="rect">
                      <a:avLst/>
                    </a:prstGeom>
                    <a:noFill/>
                  </pic:spPr>
                </pic:pic>
              </a:graphicData>
            </a:graphic>
          </wp:anchor>
        </w:drawing>
      </w:r>
    </w:p>
    <w:p>
      <w:pPr>
        <w:spacing w:after="0" w:line="15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820"/>
          </w:cols>
          <w:pgMar w:left="840" w:top="795" w:right="239" w:bottom="1440" w:gutter="0" w:footer="0" w:header="0"/>
        </w:sectPr>
      </w:pPr>
    </w:p>
    <w:bookmarkStart w:id="308" w:name="page309"/>
    <w:bookmarkEnd w:id="308"/>
    <w:p>
      <w:pPr>
        <w:jc w:val="both"/>
        <w:ind w:left="1" w:hanging="1"/>
        <w:spacing w:after="0" w:line="280" w:lineRule="auto"/>
        <w:tabs>
          <w:tab w:leader="none" w:pos="354" w:val="left"/>
        </w:tabs>
        <w:numPr>
          <w:ilvl w:val="0"/>
          <w:numId w:val="352"/>
        </w:numPr>
        <w:rPr>
          <w:rFonts w:ascii="Arial" w:cs="Arial" w:eastAsia="Arial" w:hAnsi="Arial"/>
          <w:sz w:val="19"/>
          <w:szCs w:val="19"/>
          <w:color w:val="auto"/>
        </w:rPr>
      </w:pPr>
      <w:r>
        <w:rPr>
          <w:rFonts w:ascii="Arial" w:cs="Arial" w:eastAsia="Arial" w:hAnsi="Arial"/>
          <w:sz w:val="19"/>
          <w:szCs w:val="19"/>
          <w:color w:val="auto"/>
        </w:rPr>
        <w:t>in the case of any such Lien incurred by a Subsidiary that is not a Loan Party, such Lien does not encumber any property other than the property of such Subsidiary and (v) the Indebtedness secured thereby does not exceed the cost or fair market value of the property encumbered thereby (as of the date of the incurrence of such Indebtedness), whichever is lower;</w:t>
      </w:r>
    </w:p>
    <w:p>
      <w:pPr>
        <w:spacing w:after="0" w:line="184" w:lineRule="exact"/>
        <w:rPr>
          <w:rFonts w:ascii="Arial" w:cs="Arial" w:eastAsia="Arial" w:hAnsi="Arial"/>
          <w:sz w:val="19"/>
          <w:szCs w:val="19"/>
          <w:color w:val="auto"/>
        </w:rPr>
      </w:pPr>
    </w:p>
    <w:p>
      <w:pPr>
        <w:jc w:val="both"/>
        <w:ind w:left="1" w:firstLine="599"/>
        <w:spacing w:after="0" w:line="302" w:lineRule="auto"/>
        <w:tabs>
          <w:tab w:leader="none" w:pos="1433" w:val="left"/>
        </w:tabs>
        <w:numPr>
          <w:ilvl w:val="1"/>
          <w:numId w:val="352"/>
        </w:numPr>
        <w:rPr>
          <w:rFonts w:ascii="Arial" w:cs="Arial" w:eastAsia="Arial" w:hAnsi="Arial"/>
          <w:sz w:val="18"/>
          <w:szCs w:val="18"/>
          <w:color w:val="auto"/>
        </w:rPr>
      </w:pPr>
      <w:r>
        <w:rPr>
          <w:rFonts w:ascii="Arial" w:cs="Arial" w:eastAsia="Arial" w:hAnsi="Arial"/>
          <w:sz w:val="18"/>
          <w:szCs w:val="18"/>
          <w:color w:val="auto"/>
        </w:rPr>
        <w:t>All Liens with respect to any Portfolio Property (other than an Unencumbered Eligible Property) that are existing on the date such Portfolio Property is acquired or ground leased by a Subsidiary of the Borrower, to the extent such Liens are disclosed in the title report for such Portfolio Property received by such Subsidiary on or prior to the date of such acquisition or ground lease;</w:t>
      </w:r>
    </w:p>
    <w:p>
      <w:pPr>
        <w:spacing w:after="0" w:line="167" w:lineRule="exact"/>
        <w:rPr>
          <w:rFonts w:ascii="Arial" w:cs="Arial" w:eastAsia="Arial" w:hAnsi="Arial"/>
          <w:sz w:val="18"/>
          <w:szCs w:val="18"/>
          <w:color w:val="auto"/>
        </w:rPr>
      </w:pPr>
    </w:p>
    <w:p>
      <w:pPr>
        <w:ind w:left="1" w:firstLine="599"/>
        <w:spacing w:after="0" w:line="272" w:lineRule="auto"/>
        <w:tabs>
          <w:tab w:leader="none" w:pos="1388" w:val="left"/>
        </w:tabs>
        <w:numPr>
          <w:ilvl w:val="1"/>
          <w:numId w:val="352"/>
        </w:numPr>
        <w:rPr>
          <w:rFonts w:ascii="Arial" w:cs="Arial" w:eastAsia="Arial" w:hAnsi="Arial"/>
          <w:sz w:val="20"/>
          <w:szCs w:val="20"/>
          <w:color w:val="auto"/>
        </w:rPr>
      </w:pPr>
      <w:r>
        <w:rPr>
          <w:rFonts w:ascii="Arial" w:cs="Arial" w:eastAsia="Arial" w:hAnsi="Arial"/>
          <w:sz w:val="20"/>
          <w:szCs w:val="20"/>
          <w:color w:val="auto"/>
        </w:rPr>
        <w:t>in the case of Equity Interests of a Controlled Joint Venture, buy/sell rights with respect to such Equity Interests on customary terms and conditions;</w:t>
      </w:r>
    </w:p>
    <w:p>
      <w:pPr>
        <w:spacing w:after="0" w:line="184" w:lineRule="exact"/>
        <w:rPr>
          <w:rFonts w:ascii="Arial" w:cs="Arial" w:eastAsia="Arial" w:hAnsi="Arial"/>
          <w:sz w:val="20"/>
          <w:szCs w:val="20"/>
          <w:color w:val="auto"/>
        </w:rPr>
      </w:pPr>
    </w:p>
    <w:p>
      <w:pPr>
        <w:ind w:left="1481" w:hanging="881"/>
        <w:spacing w:after="0"/>
        <w:tabs>
          <w:tab w:leader="none" w:pos="1481" w:val="left"/>
        </w:tabs>
        <w:numPr>
          <w:ilvl w:val="1"/>
          <w:numId w:val="352"/>
        </w:numPr>
        <w:rPr>
          <w:rFonts w:ascii="Arial" w:cs="Arial" w:eastAsia="Arial" w:hAnsi="Arial"/>
          <w:sz w:val="20"/>
          <w:szCs w:val="20"/>
          <w:color w:val="auto"/>
        </w:rPr>
      </w:pPr>
      <w:r>
        <w:rPr>
          <w:rFonts w:ascii="Arial" w:cs="Arial" w:eastAsia="Arial" w:hAnsi="Arial"/>
          <w:sz w:val="20"/>
          <w:szCs w:val="20"/>
          <w:color w:val="auto"/>
        </w:rPr>
        <w:t xml:space="preserve">Liens existing on the </w:t>
      </w:r>
      <w:r>
        <w:rPr>
          <w:rFonts w:ascii="Arial" w:cs="Arial" w:eastAsia="Arial" w:hAnsi="Arial"/>
          <w:sz w:val="20"/>
          <w:szCs w:val="20"/>
          <w:color w:val="FF0000"/>
          <w:strike w:val="1"/>
        </w:rPr>
        <w:t>Closing</w:t>
      </w:r>
      <w:r>
        <w:rPr>
          <w:rFonts w:ascii="Arial" w:cs="Arial" w:eastAsia="Arial" w:hAnsi="Arial"/>
          <w:sz w:val="20"/>
          <w:szCs w:val="20"/>
          <w:b w:val="1"/>
          <w:bCs w:val="1"/>
          <w:u w:val="single" w:color="auto"/>
          <w:color w:val="0000FF"/>
          <w:highlight w:val="lightGray"/>
        </w:rPr>
        <w:t>Third Amendment Effective</w:t>
      </w:r>
      <w:r>
        <w:rPr>
          <w:rFonts w:ascii="Arial" w:cs="Arial" w:eastAsia="Arial" w:hAnsi="Arial"/>
          <w:sz w:val="20"/>
          <w:szCs w:val="20"/>
          <w:color w:val="auto"/>
        </w:rPr>
        <w:t xml:space="preserve"> Date and listed on </w:t>
      </w:r>
      <w:r>
        <w:rPr>
          <w:rFonts w:ascii="Arial" w:cs="Arial" w:eastAsia="Arial" w:hAnsi="Arial"/>
          <w:sz w:val="20"/>
          <w:szCs w:val="20"/>
          <w:u w:val="single" w:color="auto"/>
          <w:color w:val="auto"/>
        </w:rPr>
        <w:t>Schedule 7.01(m)</w:t>
      </w:r>
      <w:r>
        <w:rPr>
          <w:rFonts w:ascii="Arial" w:cs="Arial" w:eastAsia="Arial" w:hAnsi="Arial"/>
          <w:sz w:val="20"/>
          <w:szCs w:val="20"/>
          <w:color w:val="auto"/>
        </w:rPr>
        <w:t>;</w:t>
      </w:r>
    </w:p>
    <w:p>
      <w:pPr>
        <w:spacing w:after="0" w:line="250" w:lineRule="exact"/>
        <w:rPr>
          <w:rFonts w:ascii="Arial" w:cs="Arial" w:eastAsia="Arial" w:hAnsi="Arial"/>
          <w:sz w:val="20"/>
          <w:szCs w:val="20"/>
          <w:color w:val="auto"/>
        </w:rPr>
      </w:pPr>
    </w:p>
    <w:p>
      <w:pPr>
        <w:ind w:left="1" w:firstLine="599"/>
        <w:spacing w:after="0" w:line="272" w:lineRule="auto"/>
        <w:tabs>
          <w:tab w:leader="none" w:pos="1433" w:val="left"/>
        </w:tabs>
        <w:numPr>
          <w:ilvl w:val="1"/>
          <w:numId w:val="352"/>
        </w:numPr>
        <w:rPr>
          <w:rFonts w:ascii="Arial" w:cs="Arial" w:eastAsia="Arial" w:hAnsi="Arial"/>
          <w:sz w:val="20"/>
          <w:szCs w:val="20"/>
          <w:color w:val="auto"/>
        </w:rPr>
      </w:pPr>
      <w:r>
        <w:rPr>
          <w:rFonts w:ascii="Arial" w:cs="Arial" w:eastAsia="Arial" w:hAnsi="Arial"/>
          <w:sz w:val="20"/>
          <w:szCs w:val="20"/>
          <w:color w:val="auto"/>
        </w:rPr>
        <w:t>Liens and rights of setoff of banks and securities intermediaries in respect of deposit accounts and securities accounts maintained in the ordinary course of business; and</w:t>
      </w:r>
    </w:p>
    <w:p>
      <w:pPr>
        <w:spacing w:after="0" w:line="190" w:lineRule="exact"/>
        <w:rPr>
          <w:rFonts w:ascii="Arial" w:cs="Arial" w:eastAsia="Arial" w:hAnsi="Arial"/>
          <w:sz w:val="20"/>
          <w:szCs w:val="20"/>
          <w:color w:val="auto"/>
        </w:rPr>
      </w:pPr>
    </w:p>
    <w:p>
      <w:pPr>
        <w:jc w:val="both"/>
        <w:ind w:left="1" w:firstLine="599"/>
        <w:spacing w:after="0" w:line="293" w:lineRule="auto"/>
        <w:tabs>
          <w:tab w:leader="none" w:pos="1433" w:val="left"/>
        </w:tabs>
        <w:numPr>
          <w:ilvl w:val="1"/>
          <w:numId w:val="352"/>
        </w:numPr>
        <w:rPr>
          <w:rFonts w:ascii="Arial" w:cs="Arial" w:eastAsia="Arial" w:hAnsi="Arial"/>
          <w:sz w:val="18"/>
          <w:szCs w:val="18"/>
          <w:color w:val="auto"/>
        </w:rPr>
      </w:pPr>
      <w:r>
        <w:rPr>
          <w:rFonts w:ascii="Arial" w:cs="Arial" w:eastAsia="Arial" w:hAnsi="Arial"/>
          <w:sz w:val="18"/>
          <w:szCs w:val="18"/>
          <w:color w:val="auto"/>
        </w:rPr>
        <w:t xml:space="preserve">Permitted Pari Passu Encumbrances;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clauses of this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in no event shall any Liens (other than Permitted Judgment Liens, Permitted Pari Passu Encumbrances and Liens permitted by clauses (a), (b), (c), (f) and (h) above) encumber any Unencumbered Eligible Property </w:t>
      </w:r>
      <w:r>
        <w:rPr>
          <w:rFonts w:ascii="Arial" w:cs="Arial" w:eastAsia="Arial" w:hAnsi="Arial"/>
          <w:sz w:val="18"/>
          <w:szCs w:val="18"/>
          <w:b w:val="1"/>
          <w:bCs w:val="1"/>
          <w:u w:val="single" w:color="auto"/>
          <w:color w:val="0000FF"/>
          <w:highlight w:val="lightGray"/>
        </w:rPr>
        <w:t>or (other than Permitted Pari Passu Encumbrances and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highlight w:val="lightGray"/>
        </w:rPr>
        <w:t>Liens permitted by clauses (a), (b), (c) and (l) above) encumber the Equity Interests of any Direct Owner or Indirect Owner</w:t>
      </w:r>
      <w:r>
        <w:rPr>
          <w:rFonts w:ascii="Arial" w:cs="Arial" w:eastAsia="Arial" w:hAnsi="Arial"/>
          <w:sz w:val="18"/>
          <w:szCs w:val="18"/>
          <w:color w:val="000000"/>
        </w:rPr>
        <w:t>.</w:t>
      </w:r>
    </w:p>
    <w:p>
      <w:pPr>
        <w:spacing w:after="0" w:line="176" w:lineRule="exact"/>
        <w:rPr>
          <w:sz w:val="20"/>
          <w:szCs w:val="20"/>
          <w:color w:val="auto"/>
        </w:rPr>
      </w:pPr>
    </w:p>
    <w:p>
      <w:pPr>
        <w:ind w:left="601"/>
        <w:spacing w:after="0"/>
        <w:tabs>
          <w:tab w:leader="none" w:pos="1180" w:val="left"/>
        </w:tabs>
        <w:rPr>
          <w:sz w:val="20"/>
          <w:szCs w:val="20"/>
          <w:color w:val="auto"/>
        </w:rPr>
      </w:pPr>
      <w:r>
        <w:rPr>
          <w:rFonts w:ascii="Arial" w:cs="Arial" w:eastAsia="Arial" w:hAnsi="Arial"/>
          <w:sz w:val="20"/>
          <w:szCs w:val="20"/>
          <w:color w:val="auto"/>
        </w:rPr>
        <w:t>7.02.</w:t>
      </w:r>
      <w:r>
        <w:rPr>
          <w:sz w:val="20"/>
          <w:szCs w:val="20"/>
          <w:color w:val="auto"/>
        </w:rPr>
        <w:tab/>
      </w:r>
      <w:r>
        <w:rPr>
          <w:rFonts w:ascii="Arial" w:cs="Arial" w:eastAsia="Arial" w:hAnsi="Arial"/>
          <w:sz w:val="17"/>
          <w:szCs w:val="17"/>
          <w:u w:val="single" w:color="auto"/>
          <w:color w:val="auto"/>
        </w:rPr>
        <w:t>Indebtedness</w:t>
      </w:r>
      <w:r>
        <w:rPr>
          <w:rFonts w:ascii="Arial" w:cs="Arial" w:eastAsia="Arial" w:hAnsi="Arial"/>
          <w:sz w:val="17"/>
          <w:szCs w:val="17"/>
          <w:color w:val="auto"/>
        </w:rPr>
        <w:t>. Create, incur, assume or suffer to exist any Indebtedness, except:</w:t>
      </w:r>
    </w:p>
    <w:p>
      <w:pPr>
        <w:spacing w:after="0" w:line="245" w:lineRule="exact"/>
        <w:rPr>
          <w:sz w:val="20"/>
          <w:szCs w:val="20"/>
          <w:color w:val="auto"/>
        </w:rPr>
      </w:pPr>
    </w:p>
    <w:p>
      <w:pPr>
        <w:ind w:left="2021" w:hanging="822"/>
        <w:spacing w:after="0"/>
        <w:tabs>
          <w:tab w:leader="none" w:pos="2021" w:val="left"/>
        </w:tabs>
        <w:numPr>
          <w:ilvl w:val="0"/>
          <w:numId w:val="353"/>
        </w:numPr>
        <w:rPr>
          <w:rFonts w:ascii="Arial" w:cs="Arial" w:eastAsia="Arial" w:hAnsi="Arial"/>
          <w:sz w:val="20"/>
          <w:szCs w:val="20"/>
          <w:color w:val="auto"/>
        </w:rPr>
      </w:pPr>
      <w:r>
        <w:rPr>
          <w:rFonts w:ascii="Arial" w:cs="Arial" w:eastAsia="Arial" w:hAnsi="Arial"/>
          <w:sz w:val="20"/>
          <w:szCs w:val="20"/>
          <w:color w:val="auto"/>
        </w:rPr>
        <w:t>the Obligations;</w:t>
      </w:r>
    </w:p>
    <w:p>
      <w:pPr>
        <w:spacing w:after="0" w:line="244" w:lineRule="exact"/>
        <w:rPr>
          <w:rFonts w:ascii="Arial" w:cs="Arial" w:eastAsia="Arial" w:hAnsi="Arial"/>
          <w:sz w:val="20"/>
          <w:szCs w:val="20"/>
          <w:color w:val="auto"/>
        </w:rPr>
      </w:pPr>
    </w:p>
    <w:p>
      <w:pPr>
        <w:jc w:val="both"/>
        <w:ind w:left="601" w:firstLine="598"/>
        <w:spacing w:after="0" w:line="252" w:lineRule="auto"/>
        <w:tabs>
          <w:tab w:leader="none" w:pos="2033" w:val="left"/>
        </w:tabs>
        <w:numPr>
          <w:ilvl w:val="0"/>
          <w:numId w:val="353"/>
        </w:numPr>
        <w:rPr>
          <w:rFonts w:ascii="Arial" w:cs="Arial" w:eastAsia="Arial" w:hAnsi="Arial"/>
          <w:sz w:val="20"/>
          <w:szCs w:val="20"/>
          <w:color w:val="auto"/>
        </w:rPr>
      </w:pPr>
      <w:r>
        <w:rPr>
          <w:rFonts w:ascii="Arial" w:cs="Arial" w:eastAsia="Arial" w:hAnsi="Arial"/>
          <w:sz w:val="20"/>
          <w:szCs w:val="20"/>
          <w:color w:val="auto"/>
        </w:rPr>
        <w:t xml:space="preserve">in addition to Indebtedness permitted under clause (a) above, (i) Pari Passu Obligations, and (ii) (A) Secured Recourse Indebtedness </w:t>
      </w:r>
      <w:r>
        <w:rPr>
          <w:rFonts w:ascii="Arial" w:cs="Arial" w:eastAsia="Arial" w:hAnsi="Arial"/>
          <w:sz w:val="20"/>
          <w:szCs w:val="20"/>
          <w:color w:val="FF0000"/>
          <w:strike w:val="1"/>
        </w:rPr>
        <w:t>of</w:t>
      </w:r>
      <w:r>
        <w:rPr>
          <w:rFonts w:ascii="Arial" w:cs="Arial" w:eastAsia="Arial" w:hAnsi="Arial"/>
          <w:sz w:val="20"/>
          <w:szCs w:val="20"/>
          <w:b w:val="1"/>
          <w:bCs w:val="1"/>
          <w:u w:val="single" w:color="auto"/>
          <w:color w:val="0000FF"/>
          <w:highlight w:val="lightGray"/>
        </w:rPr>
        <w:t>owed by</w:t>
      </w:r>
      <w:r>
        <w:rPr>
          <w:rFonts w:ascii="Arial" w:cs="Arial" w:eastAsia="Arial" w:hAnsi="Arial"/>
          <w:sz w:val="20"/>
          <w:szCs w:val="20"/>
          <w:color w:val="auto"/>
        </w:rPr>
        <w:t xml:space="preserve"> the Borrower or any Guarantor </w:t>
      </w:r>
      <w:r>
        <w:rPr>
          <w:rFonts w:ascii="Arial" w:cs="Arial" w:eastAsia="Arial" w:hAnsi="Arial"/>
          <w:sz w:val="20"/>
          <w:szCs w:val="20"/>
          <w:color w:val="FF0000"/>
          <w:strike w:val="1"/>
        </w:rPr>
        <w:t>owing</w:t>
      </w:r>
      <w:r>
        <w:rPr>
          <w:rFonts w:ascii="Arial" w:cs="Arial" w:eastAsia="Arial" w:hAnsi="Arial"/>
          <w:sz w:val="20"/>
          <w:szCs w:val="20"/>
          <w:color w:val="auto"/>
        </w:rPr>
        <w:t xml:space="preserve"> to Persons that are not members of the Consolidated Group and (B) Recourse Indebtedness </w:t>
      </w:r>
      <w:r>
        <w:rPr>
          <w:rFonts w:ascii="Arial" w:cs="Arial" w:eastAsia="Arial" w:hAnsi="Arial"/>
          <w:sz w:val="20"/>
          <w:szCs w:val="20"/>
          <w:color w:val="FF0000"/>
          <w:strike w:val="1"/>
        </w:rPr>
        <w:t>of</w:t>
      </w:r>
      <w:r>
        <w:rPr>
          <w:rFonts w:ascii="Arial" w:cs="Arial" w:eastAsia="Arial" w:hAnsi="Arial"/>
          <w:sz w:val="20"/>
          <w:szCs w:val="20"/>
          <w:b w:val="1"/>
          <w:bCs w:val="1"/>
          <w:u w:val="single" w:color="auto"/>
          <w:color w:val="0000FF"/>
          <w:highlight w:val="lightGray"/>
        </w:rPr>
        <w:t>owed by</w:t>
      </w:r>
      <w:r>
        <w:rPr>
          <w:rFonts w:ascii="Arial" w:cs="Arial" w:eastAsia="Arial" w:hAnsi="Arial"/>
          <w:sz w:val="20"/>
          <w:szCs w:val="20"/>
          <w:color w:val="auto"/>
        </w:rPr>
        <w:t xml:space="preserve"> Subsidiaries of the Borrower that are not Guarantors </w:t>
      </w:r>
      <w:r>
        <w:rPr>
          <w:rFonts w:ascii="Arial" w:cs="Arial" w:eastAsia="Arial" w:hAnsi="Arial"/>
          <w:sz w:val="20"/>
          <w:szCs w:val="20"/>
          <w:color w:val="FF0000"/>
          <w:strike w:val="1"/>
        </w:rPr>
        <w:t>owing</w:t>
      </w:r>
      <w:r>
        <w:rPr>
          <w:rFonts w:ascii="Arial" w:cs="Arial" w:eastAsia="Arial" w:hAnsi="Arial"/>
          <w:sz w:val="20"/>
          <w:szCs w:val="20"/>
          <w:color w:val="auto"/>
        </w:rPr>
        <w:t xml:space="preserve"> to Persons that are not members of the Consolidated Group,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outstanding principal amount of all outstanding Indebtedness described in </w:t>
      </w:r>
      <w:r>
        <w:rPr>
          <w:rFonts w:ascii="Arial" w:cs="Arial" w:eastAsia="Arial" w:hAnsi="Arial"/>
          <w:sz w:val="20"/>
          <w:szCs w:val="20"/>
          <w:u w:val="single" w:color="auto"/>
          <w:color w:val="auto"/>
        </w:rPr>
        <w:t>clauses (ii)(A)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(ii)(B)</w:t>
      </w:r>
      <w:r>
        <w:rPr>
          <w:rFonts w:ascii="Arial" w:cs="Arial" w:eastAsia="Arial" w:hAnsi="Arial"/>
          <w:sz w:val="20"/>
          <w:szCs w:val="20"/>
          <w:color w:val="auto"/>
        </w:rPr>
        <w:t xml:space="preserve"> shall not at any time exceed fifteen percent (15%) of Total Asset Value at such time;</w:t>
      </w:r>
    </w:p>
    <w:p>
      <w:pPr>
        <w:spacing w:after="0" w:line="206" w:lineRule="exact"/>
        <w:rPr>
          <w:rFonts w:ascii="Arial" w:cs="Arial" w:eastAsia="Arial" w:hAnsi="Arial"/>
          <w:sz w:val="20"/>
          <w:szCs w:val="20"/>
          <w:color w:val="auto"/>
        </w:rPr>
      </w:pPr>
    </w:p>
    <w:p>
      <w:pPr>
        <w:jc w:val="both"/>
        <w:ind w:left="601" w:firstLine="598"/>
        <w:spacing w:after="0" w:line="263" w:lineRule="auto"/>
        <w:tabs>
          <w:tab w:leader="none" w:pos="2021" w:val="left"/>
        </w:tabs>
        <w:numPr>
          <w:ilvl w:val="0"/>
          <w:numId w:val="353"/>
        </w:numPr>
        <w:rPr>
          <w:rFonts w:ascii="Arial" w:cs="Arial" w:eastAsia="Arial" w:hAnsi="Arial"/>
          <w:sz w:val="20"/>
          <w:szCs w:val="20"/>
          <w:color w:val="auto"/>
        </w:rPr>
      </w:pPr>
      <w:r>
        <w:rPr>
          <w:rFonts w:ascii="Arial" w:cs="Arial" w:eastAsia="Arial" w:hAnsi="Arial"/>
          <w:sz w:val="20"/>
          <w:szCs w:val="20"/>
          <w:color w:val="auto"/>
        </w:rPr>
        <w:t xml:space="preserve">Non-Recourse Indebtedness </w:t>
      </w:r>
      <w:r>
        <w:rPr>
          <w:rFonts w:ascii="Arial" w:cs="Arial" w:eastAsia="Arial" w:hAnsi="Arial"/>
          <w:sz w:val="20"/>
          <w:szCs w:val="20"/>
          <w:color w:val="FF0000"/>
          <w:strike w:val="1"/>
        </w:rPr>
        <w:t>of</w:t>
      </w:r>
      <w:r>
        <w:rPr>
          <w:rFonts w:ascii="Arial" w:cs="Arial" w:eastAsia="Arial" w:hAnsi="Arial"/>
          <w:sz w:val="20"/>
          <w:szCs w:val="20"/>
          <w:b w:val="1"/>
          <w:bCs w:val="1"/>
          <w:u w:val="single" w:color="auto"/>
          <w:color w:val="0000FF"/>
          <w:highlight w:val="lightGray"/>
        </w:rPr>
        <w:t>owed by</w:t>
      </w:r>
      <w:r>
        <w:rPr>
          <w:rFonts w:ascii="Arial" w:cs="Arial" w:eastAsia="Arial" w:hAnsi="Arial"/>
          <w:sz w:val="20"/>
          <w:szCs w:val="20"/>
          <w:color w:val="auto"/>
        </w:rPr>
        <w:t xml:space="preserve"> the Loan Parties and their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after giving pro forma effect to the incurrence thereof, the Loan Parties are in compliance with the </w:t>
      </w:r>
      <w:r>
        <w:rPr>
          <w:rFonts w:ascii="Arial" w:cs="Arial" w:eastAsia="Arial" w:hAnsi="Arial"/>
          <w:sz w:val="20"/>
          <w:szCs w:val="20"/>
          <w:color w:val="FF0000"/>
          <w:strike w:val="1"/>
        </w:rPr>
        <w:t>financial</w:t>
      </w:r>
      <w:r>
        <w:rPr>
          <w:rFonts w:ascii="Arial" w:cs="Arial" w:eastAsia="Arial" w:hAnsi="Arial"/>
          <w:sz w:val="20"/>
          <w:szCs w:val="20"/>
          <w:color w:val="auto"/>
        </w:rPr>
        <w:t xml:space="preserve"> covenants contained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highlight w:val="lightGray"/>
        </w:rPr>
        <w:t>7.02(b) and Section</w:t>
      </w:r>
      <w:r>
        <w:rPr>
          <w:rFonts w:ascii="Arial" w:cs="Arial" w:eastAsia="Arial" w:hAnsi="Arial"/>
          <w:sz w:val="20"/>
          <w:szCs w:val="20"/>
          <w:b w:val="1"/>
          <w:bCs w:val="1"/>
          <w:color w:val="0000FF"/>
          <w:highlight w:val="lightGray"/>
        </w:rPr>
        <w:t xml:space="preserve"> </w:t>
      </w:r>
      <w:r>
        <w:rPr>
          <w:rFonts w:ascii="Arial" w:cs="Arial" w:eastAsia="Arial" w:hAnsi="Arial"/>
          <w:sz w:val="20"/>
          <w:szCs w:val="20"/>
          <w:color w:val="000000"/>
        </w:rPr>
        <w:t>7.11</w:t>
      </w:r>
      <w:r>
        <w:rPr>
          <w:rFonts w:ascii="Arial" w:cs="Arial" w:eastAsia="Arial" w:hAnsi="Arial"/>
          <w:sz w:val="20"/>
          <w:szCs w:val="20"/>
          <w:u w:val="single" w:color="auto"/>
          <w:color w:val="FF0000"/>
          <w:strike w:val="1"/>
        </w:rPr>
        <w:t>(a)</w:t>
      </w:r>
      <w:r>
        <w:rPr>
          <w:rFonts w:ascii="Arial" w:cs="Arial" w:eastAsia="Arial" w:hAnsi="Arial"/>
          <w:sz w:val="20"/>
          <w:szCs w:val="20"/>
          <w:b w:val="1"/>
          <w:bCs w:val="1"/>
          <w:color w:val="0000FF"/>
          <w:highlight w:val="lightGray"/>
        </w:rPr>
        <w:t xml:space="preserve"> </w:t>
      </w:r>
      <w:r>
        <w:rPr>
          <w:rFonts w:ascii="Arial" w:cs="Arial" w:eastAsia="Arial" w:hAnsi="Arial"/>
          <w:sz w:val="20"/>
          <w:szCs w:val="20"/>
          <w:color w:val="FF0000"/>
          <w:strike w:val="1"/>
        </w:rPr>
        <w:t>through</w:t>
      </w:r>
      <w:r>
        <w:rPr>
          <w:rFonts w:ascii="Arial" w:cs="Arial" w:eastAsia="Arial" w:hAnsi="Arial"/>
          <w:sz w:val="20"/>
          <w:szCs w:val="20"/>
          <w:b w:val="1"/>
          <w:bCs w:val="1"/>
          <w:color w:val="0000FF"/>
          <w:highlight w:val="lightGray"/>
        </w:rPr>
        <w:t xml:space="preserve"> </w:t>
      </w:r>
      <w:r>
        <w:rPr>
          <w:rFonts w:ascii="Arial" w:cs="Arial" w:eastAsia="Arial" w:hAnsi="Arial"/>
          <w:sz w:val="20"/>
          <w:szCs w:val="20"/>
          <w:u w:val="single" w:color="auto"/>
          <w:color w:val="FF0000"/>
          <w:strike w:val="1"/>
        </w:rPr>
        <w:t>(f)</w:t>
      </w:r>
      <w:r>
        <w:rPr>
          <w:rFonts w:ascii="Arial" w:cs="Arial" w:eastAsia="Arial" w:hAnsi="Arial"/>
          <w:sz w:val="20"/>
          <w:szCs w:val="20"/>
          <w:color w:val="000000"/>
        </w:rPr>
        <w:t>;</w:t>
      </w:r>
    </w:p>
    <w:p>
      <w:pPr>
        <w:spacing w:after="0" w:line="199" w:lineRule="exact"/>
        <w:rPr>
          <w:rFonts w:ascii="Arial" w:cs="Arial" w:eastAsia="Arial" w:hAnsi="Arial"/>
          <w:sz w:val="20"/>
          <w:szCs w:val="20"/>
          <w:color w:val="auto"/>
        </w:rPr>
      </w:pPr>
    </w:p>
    <w:p>
      <w:pPr>
        <w:jc w:val="both"/>
        <w:ind w:left="601" w:firstLine="598"/>
        <w:spacing w:after="0" w:line="273" w:lineRule="auto"/>
        <w:tabs>
          <w:tab w:leader="none" w:pos="2033" w:val="left"/>
        </w:tabs>
        <w:numPr>
          <w:ilvl w:val="0"/>
          <w:numId w:val="353"/>
        </w:numPr>
        <w:rPr>
          <w:rFonts w:ascii="Arial" w:cs="Arial" w:eastAsia="Arial" w:hAnsi="Arial"/>
          <w:sz w:val="19"/>
          <w:szCs w:val="19"/>
          <w:color w:val="auto"/>
        </w:rPr>
      </w:pPr>
      <w:r>
        <w:rPr>
          <w:rFonts w:ascii="Arial" w:cs="Arial" w:eastAsia="Arial" w:hAnsi="Arial"/>
          <w:sz w:val="19"/>
          <w:szCs w:val="19"/>
          <w:color w:val="auto"/>
        </w:rPr>
        <w:t xml:space="preserve">intercompany loans and advances to the extent </w:t>
      </w:r>
      <w:r>
        <w:rPr>
          <w:rFonts w:ascii="Arial" w:cs="Arial" w:eastAsia="Arial" w:hAnsi="Arial"/>
          <w:sz w:val="19"/>
          <w:szCs w:val="19"/>
          <w:color w:val="FF0000"/>
          <w:strike w:val="1"/>
        </w:rPr>
        <w:t>expressly</w:t>
      </w:r>
      <w:r>
        <w:rPr>
          <w:rFonts w:ascii="Arial" w:cs="Arial" w:eastAsia="Arial" w:hAnsi="Arial"/>
          <w:sz w:val="19"/>
          <w:szCs w:val="19"/>
          <w:color w:val="auto"/>
        </w:rPr>
        <w:t xml:space="preserve"> permitted under </w:t>
      </w:r>
      <w:r>
        <w:rPr>
          <w:rFonts w:ascii="Arial" w:cs="Arial" w:eastAsia="Arial" w:hAnsi="Arial"/>
          <w:sz w:val="19"/>
          <w:szCs w:val="19"/>
          <w:u w:val="single" w:color="auto"/>
          <w:color w:val="auto"/>
        </w:rPr>
        <w:t>Section 7.03</w:t>
      </w:r>
      <w:r>
        <w:rPr>
          <w:rFonts w:ascii="Arial" w:cs="Arial" w:eastAsia="Arial" w:hAnsi="Arial"/>
          <w:sz w:val="19"/>
          <w:szCs w:val="19"/>
          <w:u w:val="single" w:color="auto"/>
          <w:color w:val="FF0000"/>
          <w:strike w:val="1"/>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intercompany Indebtedness owed by any Loan Party shall be unsecured and subordinated in right of payment to the payment in full of the Obligations pursuant to the terms of any applicable promissory notes or an intercompany subordination agreement, in each case, in form and substance reasonably satisfactory to Administrative Agent;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1420495</wp:posOffset>
            </wp:positionH>
            <wp:positionV relativeFrom="paragraph">
              <wp:posOffset>-800735</wp:posOffset>
            </wp:positionV>
            <wp:extent cx="24892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8920" cy="7620"/>
                    </a:xfrm>
                    <a:prstGeom prst="rect">
                      <a:avLst/>
                    </a:prstGeom>
                    <a:noFill/>
                  </pic:spPr>
                </pic:pic>
              </a:graphicData>
            </a:graphic>
          </wp:anchor>
        </w:drawing>
      </w:r>
    </w:p>
    <w:p>
      <w:pPr>
        <w:spacing w:after="0" w:line="150" w:lineRule="exact"/>
        <w:rPr>
          <w:sz w:val="20"/>
          <w:szCs w:val="20"/>
          <w:color w:val="auto"/>
        </w:rPr>
      </w:pPr>
    </w:p>
    <w:p>
      <w:pPr>
        <w:ind w:left="4961"/>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821"/>
          </w:cols>
          <w:pgMar w:left="839" w:top="794" w:right="239" w:bottom="1440" w:gutter="0" w:footer="0" w:header="0"/>
        </w:sectPr>
      </w:pPr>
    </w:p>
    <w:bookmarkStart w:id="309" w:name="page310"/>
    <w:bookmarkEnd w:id="309"/>
    <w:p>
      <w:pPr>
        <w:ind w:left="2620" w:hanging="822"/>
        <w:spacing w:after="0"/>
        <w:tabs>
          <w:tab w:leader="none" w:pos="2620" w:val="left"/>
        </w:tabs>
        <w:numPr>
          <w:ilvl w:val="0"/>
          <w:numId w:val="354"/>
        </w:numPr>
        <w:rPr>
          <w:rFonts w:ascii="Arial" w:cs="Arial" w:eastAsia="Arial" w:hAnsi="Arial"/>
          <w:sz w:val="20"/>
          <w:szCs w:val="20"/>
          <w:color w:val="auto"/>
        </w:rPr>
      </w:pPr>
      <w:r>
        <w:rPr>
          <w:rFonts w:ascii="Arial" w:cs="Arial" w:eastAsia="Arial" w:hAnsi="Arial"/>
          <w:sz w:val="20"/>
          <w:szCs w:val="20"/>
          <w:color w:val="auto"/>
        </w:rPr>
        <w:t>the Guarantee by the Borrower or a Guarantor of Pari Passu Obligations.</w:t>
      </w:r>
    </w:p>
    <w:p>
      <w:pPr>
        <w:spacing w:after="0" w:line="239" w:lineRule="exact"/>
        <w:rPr>
          <w:sz w:val="20"/>
          <w:szCs w:val="20"/>
          <w:color w:val="auto"/>
        </w:rPr>
      </w:pPr>
    </w:p>
    <w:p>
      <w:pPr>
        <w:jc w:val="both"/>
        <w:ind w:firstLine="1199"/>
        <w:spacing w:after="0" w:line="290" w:lineRule="auto"/>
        <w:rPr>
          <w:sz w:val="20"/>
          <w:szCs w:val="20"/>
          <w:color w:val="auto"/>
        </w:rPr>
      </w:pPr>
      <w:r>
        <w:rPr>
          <w:rFonts w:ascii="Arial" w:cs="Arial" w:eastAsia="Arial" w:hAnsi="Arial"/>
          <w:sz w:val="18"/>
          <w:szCs w:val="18"/>
          <w:b w:val="1"/>
          <w:bCs w:val="1"/>
          <w:u w:val="single" w:color="auto"/>
          <w:color w:val="0000FF"/>
          <w:highlight w:val="lightGray"/>
        </w:rPr>
        <w:t xml:space="preserve">7.03. Investments. Make or allow any Investment unless (i) no Event of Default exists at the time of, or after giving effect to, the making of such Investment and (b) after giving effect to the making of such Investment, the REIT and the Borrower are in compliance, on a </w:t>
      </w:r>
      <w:r>
        <w:rPr>
          <w:rFonts w:ascii="Arial" w:cs="Arial" w:eastAsia="Arial" w:hAnsi="Arial"/>
          <w:sz w:val="18"/>
          <w:szCs w:val="18"/>
          <w:b w:val="1"/>
          <w:bCs w:val="1"/>
          <w:i w:val="1"/>
          <w:iCs w:val="1"/>
          <w:u w:val="single" w:color="auto"/>
          <w:color w:val="0000FF"/>
          <w:highlight w:val="lightGray"/>
        </w:rPr>
        <w:t>pro forma</w:t>
      </w:r>
      <w:r>
        <w:rPr>
          <w:rFonts w:ascii="Arial" w:cs="Arial" w:eastAsia="Arial" w:hAnsi="Arial"/>
          <w:sz w:val="18"/>
          <w:szCs w:val="18"/>
          <w:b w:val="1"/>
          <w:bCs w:val="1"/>
          <w:u w:val="single" w:color="auto"/>
          <w:color w:val="0000FF"/>
          <w:highlight w:val="lightGray"/>
        </w:rPr>
        <w:t xml:space="preserve"> basis, with the covenants contained in Section 7.02(b) and Section 7.11, such pro forma calculation to be made as of the last day of the fiscal quarter most recently ended prior to the date such Investment is made and for which financial statements have been delivered, or are required to be delivered pursuant to Section 6.01(a) or (b).</w:t>
      </w:r>
    </w:p>
    <w:p>
      <w:pPr>
        <w:spacing w:after="0" w:line="179" w:lineRule="exact"/>
        <w:rPr>
          <w:sz w:val="20"/>
          <w:szCs w:val="20"/>
          <w:color w:val="auto"/>
        </w:rPr>
      </w:pPr>
    </w:p>
    <w:p>
      <w:pPr>
        <w:ind w:left="1200"/>
        <w:spacing w:after="0"/>
        <w:rPr>
          <w:sz w:val="20"/>
          <w:szCs w:val="20"/>
          <w:color w:val="auto"/>
        </w:rPr>
      </w:pPr>
      <w:r>
        <w:rPr>
          <w:rFonts w:ascii="Arial" w:cs="Arial" w:eastAsia="Arial" w:hAnsi="Arial"/>
          <w:sz w:val="20"/>
          <w:szCs w:val="20"/>
          <w:color w:val="FF0000"/>
          <w:strike w:val="1"/>
        </w:rPr>
        <w:t xml:space="preserve">7.03. </w:t>
      </w:r>
      <w:r>
        <w:rPr>
          <w:rFonts w:ascii="Arial" w:cs="Arial" w:eastAsia="Arial" w:hAnsi="Arial"/>
          <w:sz w:val="20"/>
          <w:szCs w:val="20"/>
          <w:u w:val="single" w:color="auto"/>
          <w:color w:val="FF0000"/>
          <w:strike w:val="1"/>
        </w:rPr>
        <w:t>Investments</w:t>
      </w:r>
      <w:r>
        <w:rPr>
          <w:rFonts w:ascii="Arial" w:cs="Arial" w:eastAsia="Arial" w:hAnsi="Arial"/>
          <w:sz w:val="20"/>
          <w:szCs w:val="20"/>
          <w:color w:val="FF0000"/>
          <w:strike w:val="1"/>
        </w:rPr>
        <w:t>. Make or hold any Investments, except:</w:t>
      </w:r>
    </w:p>
    <w:p>
      <w:pPr>
        <w:spacing w:after="0" w:line="245" w:lineRule="exact"/>
        <w:rPr>
          <w:sz w:val="20"/>
          <w:szCs w:val="20"/>
          <w:color w:val="auto"/>
        </w:rPr>
      </w:pPr>
    </w:p>
    <w:p>
      <w:pPr>
        <w:ind w:left="1480" w:hanging="281"/>
        <w:spacing w:after="0"/>
        <w:tabs>
          <w:tab w:leader="none" w:pos="1480" w:val="left"/>
        </w:tabs>
        <w:numPr>
          <w:ilvl w:val="1"/>
          <w:numId w:val="355"/>
        </w:numPr>
        <w:rPr>
          <w:rFonts w:ascii="Arial" w:cs="Arial" w:eastAsia="Arial" w:hAnsi="Arial"/>
          <w:sz w:val="20"/>
          <w:szCs w:val="20"/>
          <w:color w:val="FF0000"/>
          <w:strike w:val="1"/>
        </w:rPr>
      </w:pPr>
      <w:r>
        <w:rPr>
          <w:rFonts w:ascii="Arial" w:cs="Arial" w:eastAsia="Arial" w:hAnsi="Arial"/>
          <w:sz w:val="20"/>
          <w:szCs w:val="20"/>
          <w:color w:val="FF0000"/>
          <w:strike w:val="1"/>
        </w:rPr>
        <w:t>Investments held by the REIT and its Subsidiaries in the form of cash or Cash Equivalents;</w:t>
      </w:r>
    </w:p>
    <w:p>
      <w:pPr>
        <w:spacing w:after="0" w:line="244" w:lineRule="exact"/>
        <w:rPr>
          <w:rFonts w:ascii="Arial" w:cs="Arial" w:eastAsia="Arial" w:hAnsi="Arial"/>
          <w:sz w:val="20"/>
          <w:szCs w:val="20"/>
          <w:color w:val="FF0000"/>
          <w:strike w:val="1"/>
        </w:rPr>
      </w:pPr>
    </w:p>
    <w:p>
      <w:pPr>
        <w:ind w:left="600" w:right="180" w:firstLine="599"/>
        <w:spacing w:after="0" w:line="284" w:lineRule="auto"/>
        <w:tabs>
          <w:tab w:leader="none" w:pos="1483" w:val="left"/>
        </w:tabs>
        <w:numPr>
          <w:ilvl w:val="1"/>
          <w:numId w:val="355"/>
        </w:numPr>
        <w:rPr>
          <w:rFonts w:ascii="Arial" w:cs="Arial" w:eastAsia="Arial" w:hAnsi="Arial"/>
          <w:sz w:val="18"/>
          <w:szCs w:val="18"/>
          <w:color w:val="FF0000"/>
          <w:strike w:val="1"/>
        </w:rPr>
      </w:pPr>
      <w:r>
        <w:rPr>
          <w:rFonts w:ascii="Arial" w:cs="Arial" w:eastAsia="Arial" w:hAnsi="Arial"/>
          <w:sz w:val="18"/>
          <w:szCs w:val="18"/>
          <w:color w:val="FF0000"/>
          <w:strike w:val="1"/>
        </w:rPr>
        <w:t>Investments of (i) the Borrower in any Guarantor, (ii) a Guarantor in the Borrower or any other Guarantor, (iii) the Borrower or a Guarantor, directly or indirectly, in any Unconsolidated Affiliate so long as, after giving effect to any such Investment,</w:t>
      </w:r>
    </w:p>
    <w:p>
      <w:pPr>
        <w:ind w:left="600" w:hanging="1"/>
        <w:spacing w:after="0" w:line="278" w:lineRule="auto"/>
        <w:tabs>
          <w:tab w:leader="none" w:pos="883" w:val="left"/>
        </w:tabs>
        <w:numPr>
          <w:ilvl w:val="0"/>
          <w:numId w:val="356"/>
        </w:numPr>
        <w:rPr>
          <w:rFonts w:ascii="Arial" w:cs="Arial" w:eastAsia="Arial" w:hAnsi="Arial"/>
          <w:sz w:val="18"/>
          <w:szCs w:val="18"/>
          <w:color w:val="FF0000"/>
          <w:strike w:val="1"/>
        </w:rPr>
      </w:pPr>
      <w:r>
        <w:rPr>
          <w:rFonts w:ascii="Arial" w:cs="Arial" w:eastAsia="Arial" w:hAnsi="Arial"/>
          <w:sz w:val="18"/>
          <w:szCs w:val="18"/>
          <w:color w:val="FF0000"/>
          <w:strike w:val="1"/>
        </w:rPr>
        <w:t xml:space="preserve">the Aggregate Unconsolidated Affiliate Investment Amount does not exceed 20% of the Total Asset Value at such time and (y) the Aggregate Unconsolidated Affiliate Investment Amount, when taken together with the Aggregate Real Estate Loan Investment Amount at such time, the Aggregate Construction Costs Investment Amount at such time, the Aggregate Unimproved Land Holdings Investment Amount at such time and the Aggregate Non-Loan Party Investment Amount at such time, does not exceed 25% of the Total Asset Value at such time, (iv) the Borrower or a Guarantor, directly or indirectly, in any Consolidated Subsidiary of the REIT that is not a Loan Party;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that if any such Investment is made prior to the consummation of a Permitted Subsidiary Guarantor Release, then after giving effect to such Investment, (x) the Aggregate Non-Loan Party Investment Amount does not exceed 20% of the Total Asset Value at such time and (y) the Aggregate Non-Loan Party Investment Amount, when taken together with the Aggregate Real Estate Loan Investment Amount at such time, the Aggregate Construction Costs Investment Amount at such time, the Aggregate Unimproved Land Holdings Investment Amount at such time and the Aggregate Unconsolidated Affiliate Investment Amount at such time, does not exceed 25% of the Total Asset Value at such time, or (v) any Subsidiary of the Borrower that is not a Loan Party in any other Subsidiary of the Borrower that is not a Loan Party;</w:t>
      </w:r>
    </w:p>
    <w:p>
      <w:pPr>
        <w:spacing w:after="0" w:line="191" w:lineRule="exact"/>
        <w:rPr>
          <w:rFonts w:ascii="Arial" w:cs="Arial" w:eastAsia="Arial" w:hAnsi="Arial"/>
          <w:sz w:val="18"/>
          <w:szCs w:val="18"/>
          <w:color w:val="FF0000"/>
          <w:strike w:val="1"/>
        </w:rPr>
      </w:pPr>
    </w:p>
    <w:p>
      <w:pPr>
        <w:ind w:left="600" w:right="300" w:firstLine="599"/>
        <w:spacing w:after="0" w:line="252" w:lineRule="auto"/>
        <w:tabs>
          <w:tab w:leader="none" w:pos="1471" w:val="left"/>
        </w:tabs>
        <w:numPr>
          <w:ilvl w:val="1"/>
          <w:numId w:val="356"/>
        </w:numPr>
        <w:rPr>
          <w:rFonts w:ascii="Arial" w:cs="Arial" w:eastAsia="Arial" w:hAnsi="Arial"/>
          <w:sz w:val="20"/>
          <w:szCs w:val="20"/>
          <w:color w:val="FF0000"/>
          <w:strike w:val="1"/>
        </w:rPr>
      </w:pPr>
      <w:r>
        <w:rPr>
          <w:rFonts w:ascii="Arial" w:cs="Arial" w:eastAsia="Arial" w:hAnsi="Arial"/>
          <w:sz w:val="20"/>
          <w:szCs w:val="20"/>
          <w:color w:val="FF0000"/>
          <w:strike w:val="1"/>
        </w:rPr>
        <w:t>Investments in unimproved land holdings so long as, after giving effect to any such Investment, (i) the Aggregate Unimproved Land Holdings Investment Amount does not exceed 5% of the Total Asset Value at such time and (ii) the Aggregate Unimproved Land Holdings Investment Amount, when taken together with the Aggregate Real Estate Loans Investment Amount at such time, the Aggregate Construction Costs Investment Amount at such time, the Aggregate Unconsolidated Affiliate Investment Amount at such time and the Aggregate Non-Loan Party Investment Amount at such time, does not exceed 25% of the Total Asset Value at such time;</w:t>
      </w:r>
    </w:p>
    <w:p>
      <w:pPr>
        <w:spacing w:after="0" w:line="212" w:lineRule="exact"/>
        <w:rPr>
          <w:rFonts w:ascii="Arial" w:cs="Arial" w:eastAsia="Arial" w:hAnsi="Arial"/>
          <w:sz w:val="20"/>
          <w:szCs w:val="20"/>
          <w:color w:val="FF0000"/>
          <w:strike w:val="1"/>
        </w:rPr>
      </w:pPr>
    </w:p>
    <w:p>
      <w:pPr>
        <w:ind w:left="600" w:firstLine="599"/>
        <w:spacing w:after="0" w:line="253" w:lineRule="auto"/>
        <w:tabs>
          <w:tab w:leader="none" w:pos="1483" w:val="left"/>
        </w:tabs>
        <w:numPr>
          <w:ilvl w:val="1"/>
          <w:numId w:val="356"/>
        </w:numPr>
        <w:rPr>
          <w:rFonts w:ascii="Arial" w:cs="Arial" w:eastAsia="Arial" w:hAnsi="Arial"/>
          <w:sz w:val="20"/>
          <w:szCs w:val="20"/>
          <w:color w:val="FF0000"/>
          <w:strike w:val="1"/>
        </w:rPr>
      </w:pPr>
      <w:r>
        <w:rPr>
          <w:rFonts w:ascii="Arial" w:cs="Arial" w:eastAsia="Arial" w:hAnsi="Arial"/>
          <w:sz w:val="20"/>
          <w:szCs w:val="20"/>
          <w:color w:val="FF0000"/>
          <w:strike w:val="1"/>
        </w:rPr>
        <w:t>Investments (whether originated or acquired by the REIT or a Subsidiary thereof) consisting of commercial mortgage loans and commercial real estate-related mezzanine loans so long as, after giving effect to any such Investment, (i) the Aggregate Real Estate Loan Investment Amount does not exceed 10% of the Total Asset Value at such time and (ii) the Aggregate Real Estate Loan Investment Amount, when taken together with the Aggregate Construction Costs Investment Amount at such time, the Aggregate Unimproved Land Holdings Investment Amount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795" w:right="239" w:bottom="1440" w:gutter="0" w:footer="0" w:header="0"/>
        </w:sectPr>
      </w:pPr>
    </w:p>
    <w:bookmarkStart w:id="310" w:name="page311"/>
    <w:bookmarkEnd w:id="310"/>
    <w:p>
      <w:pPr>
        <w:ind w:right="120"/>
        <w:spacing w:after="0" w:line="272" w:lineRule="auto"/>
        <w:rPr>
          <w:sz w:val="20"/>
          <w:szCs w:val="20"/>
          <w:color w:val="auto"/>
        </w:rPr>
      </w:pPr>
      <w:r>
        <w:rPr>
          <w:rFonts w:ascii="Arial" w:cs="Arial" w:eastAsia="Arial" w:hAnsi="Arial"/>
          <w:sz w:val="20"/>
          <w:szCs w:val="20"/>
          <w:color w:val="FF0000"/>
          <w:strike w:val="1"/>
        </w:rPr>
        <w:t>at such time, the Aggregate Unconsolidated Affiliate Investment Amount at such time and the Aggregate Non-Loan Party Investment Amount at such time, does not exceed 25% of the Total Asset Value at such time;</w:t>
      </w:r>
    </w:p>
    <w:p>
      <w:pPr>
        <w:spacing w:after="0" w:line="191" w:lineRule="exact"/>
        <w:rPr>
          <w:sz w:val="20"/>
          <w:szCs w:val="20"/>
          <w:color w:val="auto"/>
        </w:rPr>
      </w:pPr>
    </w:p>
    <w:p>
      <w:pPr>
        <w:ind w:right="180" w:firstLine="599"/>
        <w:spacing w:after="0" w:line="253" w:lineRule="auto"/>
        <w:tabs>
          <w:tab w:leader="none" w:pos="871" w:val="left"/>
        </w:tabs>
        <w:numPr>
          <w:ilvl w:val="0"/>
          <w:numId w:val="357"/>
        </w:numPr>
        <w:rPr>
          <w:rFonts w:ascii="Arial" w:cs="Arial" w:eastAsia="Arial" w:hAnsi="Arial"/>
          <w:sz w:val="20"/>
          <w:szCs w:val="20"/>
          <w:color w:val="FF0000"/>
          <w:strike w:val="1"/>
        </w:rPr>
      </w:pPr>
      <w:r>
        <w:rPr>
          <w:rFonts w:ascii="Arial" w:cs="Arial" w:eastAsia="Arial" w:hAnsi="Arial"/>
          <w:sz w:val="20"/>
          <w:szCs w:val="20"/>
          <w:color w:val="FF0000"/>
          <w:strike w:val="1"/>
        </w:rPr>
        <w:t>Investments in respect of costs to construct Portfolio Properties under development so long as, after giving effect to any such Investment, the Aggregate Construction Costs Investment Amount, when taken together with the Aggregate Real Estate Loan Investment Amount at such time, the Aggregate Unimproved Land Holdings Investment Amount at such time, the Aggregate Unconsolidated Affiliate Investment Amount at such time and the Aggregate Non-Loan Party Investment Amount at such time, does not exceed 25% of the Total Asset Value at such time;</w:t>
      </w:r>
    </w:p>
    <w:p>
      <w:pPr>
        <w:spacing w:after="0" w:line="211" w:lineRule="exact"/>
        <w:rPr>
          <w:rFonts w:ascii="Arial" w:cs="Arial" w:eastAsia="Arial" w:hAnsi="Arial"/>
          <w:sz w:val="20"/>
          <w:szCs w:val="20"/>
          <w:color w:val="FF0000"/>
          <w:strike w:val="1"/>
        </w:rPr>
      </w:pPr>
    </w:p>
    <w:p>
      <w:pPr>
        <w:jc w:val="both"/>
        <w:ind w:right="360" w:firstLine="599"/>
        <w:spacing w:after="0" w:line="260" w:lineRule="auto"/>
        <w:tabs>
          <w:tab w:leader="none" w:pos="849" w:val="left"/>
        </w:tabs>
        <w:numPr>
          <w:ilvl w:val="0"/>
          <w:numId w:val="357"/>
        </w:numPr>
        <w:rPr>
          <w:rFonts w:ascii="Arial" w:cs="Arial" w:eastAsia="Arial" w:hAnsi="Arial"/>
          <w:sz w:val="20"/>
          <w:szCs w:val="20"/>
          <w:color w:val="FF0000"/>
          <w:strike w:val="1"/>
        </w:rPr>
      </w:pPr>
      <w:r>
        <w:rPr>
          <w:rFonts w:ascii="Arial" w:cs="Arial" w:eastAsia="Arial" w:hAnsi="Arial"/>
          <w:sz w:val="20"/>
          <w:szCs w:val="20"/>
          <w:color w:val="FF0000"/>
          <w:strike w:val="1"/>
        </w:rPr>
        <w:t>Investments in income producing Portfolio Properties not constituting (i) Investments in unimproved land holdings, (ii) commercial mortgage loans and commercial real estate-related mezzanine loans or (iii) Investments in respect of costs to construct Portfolio Properties under development;</w:t>
      </w:r>
    </w:p>
    <w:p>
      <w:pPr>
        <w:spacing w:after="0" w:line="201" w:lineRule="exact"/>
        <w:rPr>
          <w:rFonts w:ascii="Arial" w:cs="Arial" w:eastAsia="Arial" w:hAnsi="Arial"/>
          <w:sz w:val="20"/>
          <w:szCs w:val="20"/>
          <w:color w:val="FF0000"/>
          <w:strike w:val="1"/>
        </w:rPr>
      </w:pPr>
    </w:p>
    <w:p>
      <w:pPr>
        <w:ind w:left="880" w:hanging="281"/>
        <w:spacing w:after="0"/>
        <w:tabs>
          <w:tab w:leader="none" w:pos="880" w:val="left"/>
        </w:tabs>
        <w:numPr>
          <w:ilvl w:val="0"/>
          <w:numId w:val="357"/>
        </w:numPr>
        <w:rPr>
          <w:rFonts w:ascii="Arial" w:cs="Arial" w:eastAsia="Arial" w:hAnsi="Arial"/>
          <w:sz w:val="20"/>
          <w:szCs w:val="20"/>
          <w:color w:val="FF0000"/>
          <w:strike w:val="1"/>
        </w:rPr>
      </w:pPr>
      <w:r>
        <w:rPr>
          <w:rFonts w:ascii="Arial" w:cs="Arial" w:eastAsia="Arial" w:hAnsi="Arial"/>
          <w:sz w:val="20"/>
          <w:szCs w:val="20"/>
          <w:color w:val="FF0000"/>
          <w:strike w:val="1"/>
        </w:rPr>
        <w:t>equity Investments owned as of the Closing Date in Subsidiaries;</w:t>
      </w:r>
    </w:p>
    <w:p>
      <w:pPr>
        <w:spacing w:after="0" w:line="244" w:lineRule="exact"/>
        <w:rPr>
          <w:rFonts w:ascii="Arial" w:cs="Arial" w:eastAsia="Arial" w:hAnsi="Arial"/>
          <w:sz w:val="20"/>
          <w:szCs w:val="20"/>
          <w:color w:val="FF0000"/>
          <w:strike w:val="1"/>
        </w:rPr>
      </w:pPr>
    </w:p>
    <w:p>
      <w:pPr>
        <w:ind w:right="300" w:firstLine="599"/>
        <w:spacing w:after="0" w:line="272" w:lineRule="auto"/>
        <w:tabs>
          <w:tab w:leader="none" w:pos="883" w:val="left"/>
        </w:tabs>
        <w:numPr>
          <w:ilvl w:val="0"/>
          <w:numId w:val="357"/>
        </w:numPr>
        <w:rPr>
          <w:rFonts w:ascii="Arial" w:cs="Arial" w:eastAsia="Arial" w:hAnsi="Arial"/>
          <w:sz w:val="20"/>
          <w:szCs w:val="20"/>
          <w:color w:val="FF0000"/>
          <w:strike w:val="1"/>
        </w:rPr>
      </w:pPr>
      <w:r>
        <w:rPr>
          <w:rFonts w:ascii="Arial" w:cs="Arial" w:eastAsia="Arial" w:hAnsi="Arial"/>
          <w:sz w:val="20"/>
          <w:szCs w:val="20"/>
          <w:color w:val="FF0000"/>
          <w:strike w:val="1"/>
        </w:rPr>
        <w:t>Investments consisting of deposits, prepayments and other credits to suppliers and extensions of trade credit made in the ordinary course of business consistent with the past practices of the Borrower and its Subsidiaries;</w:t>
      </w:r>
    </w:p>
    <w:p>
      <w:pPr>
        <w:spacing w:after="0" w:line="190" w:lineRule="exact"/>
        <w:rPr>
          <w:rFonts w:ascii="Arial" w:cs="Arial" w:eastAsia="Arial" w:hAnsi="Arial"/>
          <w:sz w:val="20"/>
          <w:szCs w:val="20"/>
          <w:color w:val="FF0000"/>
          <w:strike w:val="1"/>
        </w:rPr>
      </w:pPr>
    </w:p>
    <w:p>
      <w:pPr>
        <w:ind w:right="200" w:firstLine="599"/>
        <w:spacing w:after="0" w:line="272" w:lineRule="auto"/>
        <w:tabs>
          <w:tab w:leader="none" w:pos="838" w:val="left"/>
        </w:tabs>
        <w:numPr>
          <w:ilvl w:val="0"/>
          <w:numId w:val="357"/>
        </w:numPr>
        <w:rPr>
          <w:rFonts w:ascii="Arial" w:cs="Arial" w:eastAsia="Arial" w:hAnsi="Arial"/>
          <w:sz w:val="20"/>
          <w:szCs w:val="20"/>
          <w:color w:val="FF0000"/>
          <w:strike w:val="1"/>
        </w:rPr>
      </w:pPr>
      <w:r>
        <w:rPr>
          <w:rFonts w:ascii="Arial" w:cs="Arial" w:eastAsia="Arial" w:hAnsi="Arial"/>
          <w:sz w:val="20"/>
          <w:szCs w:val="20"/>
          <w:color w:val="FF0000"/>
          <w:strike w:val="1"/>
        </w:rPr>
        <w:t>loans and advances to employees of the REIT and its Subsidiaries made in the ordinary course of business in an aggregate principal amount not to exceed $1,000,000;</w:t>
      </w:r>
    </w:p>
    <w:p>
      <w:pPr>
        <w:spacing w:after="0" w:line="190" w:lineRule="exact"/>
        <w:rPr>
          <w:rFonts w:ascii="Arial" w:cs="Arial" w:eastAsia="Arial" w:hAnsi="Arial"/>
          <w:sz w:val="20"/>
          <w:szCs w:val="20"/>
          <w:color w:val="FF0000"/>
          <w:strike w:val="1"/>
        </w:rPr>
      </w:pPr>
    </w:p>
    <w:p>
      <w:pPr>
        <w:ind w:right="480" w:firstLine="599"/>
        <w:spacing w:after="0" w:line="299" w:lineRule="auto"/>
        <w:tabs>
          <w:tab w:leader="none" w:pos="838" w:val="left"/>
        </w:tabs>
        <w:numPr>
          <w:ilvl w:val="0"/>
          <w:numId w:val="357"/>
        </w:numPr>
        <w:rPr>
          <w:rFonts w:ascii="Arial" w:cs="Arial" w:eastAsia="Arial" w:hAnsi="Arial"/>
          <w:sz w:val="19"/>
          <w:szCs w:val="19"/>
          <w:color w:val="FF0000"/>
          <w:strike w:val="1"/>
        </w:rPr>
      </w:pPr>
      <w:r>
        <w:rPr>
          <w:rFonts w:ascii="Arial" w:cs="Arial" w:eastAsia="Arial" w:hAnsi="Arial"/>
          <w:sz w:val="19"/>
          <w:szCs w:val="19"/>
          <w:color w:val="FF0000"/>
          <w:strike w:val="1"/>
        </w:rPr>
        <w:t xml:space="preserve">Guarantees by the Borrower or a Guarantor of Indebtedness that such Person is permitted to incur as a primary obligor pursuant to </w:t>
      </w:r>
      <w:r>
        <w:rPr>
          <w:rFonts w:ascii="Arial" w:cs="Arial" w:eastAsia="Arial" w:hAnsi="Arial"/>
          <w:sz w:val="19"/>
          <w:szCs w:val="19"/>
          <w:u w:val="single" w:color="auto"/>
          <w:color w:val="FF0000"/>
          <w:strike w:val="1"/>
        </w:rPr>
        <w:t>Section 7.02</w:t>
      </w:r>
      <w:r>
        <w:rPr>
          <w:rFonts w:ascii="Arial" w:cs="Arial" w:eastAsia="Arial" w:hAnsi="Arial"/>
          <w:sz w:val="19"/>
          <w:szCs w:val="19"/>
          <w:color w:val="FF0000"/>
          <w:strike w:val="1"/>
        </w:rPr>
        <w:t xml:space="preserve">, and Investments existing on the date of this Agreement and set forth on </w:t>
      </w:r>
      <w:r>
        <w:rPr>
          <w:rFonts w:ascii="Arial" w:cs="Arial" w:eastAsia="Arial" w:hAnsi="Arial"/>
          <w:sz w:val="19"/>
          <w:szCs w:val="19"/>
          <w:u w:val="single" w:color="auto"/>
          <w:color w:val="FF0000"/>
          <w:strike w:val="1"/>
        </w:rPr>
        <w:t>Schedule 7.03</w:t>
      </w:r>
      <w:r>
        <w:rPr>
          <w:rFonts w:ascii="Arial" w:cs="Arial" w:eastAsia="Arial" w:hAnsi="Arial"/>
          <w:sz w:val="19"/>
          <w:szCs w:val="19"/>
          <w:color w:val="FF0000"/>
          <w:strike w:val="1"/>
        </w:rPr>
        <w:t>;</w:t>
      </w:r>
    </w:p>
    <w:p>
      <w:pPr>
        <w:spacing w:after="0" w:line="167" w:lineRule="exact"/>
        <w:rPr>
          <w:rFonts w:ascii="Arial" w:cs="Arial" w:eastAsia="Arial" w:hAnsi="Arial"/>
          <w:sz w:val="19"/>
          <w:szCs w:val="19"/>
          <w:color w:val="FF0000"/>
          <w:strike w:val="1"/>
        </w:rPr>
      </w:pPr>
    </w:p>
    <w:p>
      <w:pPr>
        <w:ind w:right="480" w:firstLine="599"/>
        <w:spacing w:after="0" w:line="272" w:lineRule="auto"/>
        <w:tabs>
          <w:tab w:leader="none" w:pos="883" w:val="left"/>
        </w:tabs>
        <w:numPr>
          <w:ilvl w:val="0"/>
          <w:numId w:val="357"/>
        </w:numPr>
        <w:rPr>
          <w:rFonts w:ascii="Arial" w:cs="Arial" w:eastAsia="Arial" w:hAnsi="Arial"/>
          <w:sz w:val="20"/>
          <w:szCs w:val="20"/>
          <w:color w:val="FF0000"/>
          <w:strike w:val="1"/>
        </w:rPr>
      </w:pPr>
      <w:r>
        <w:rPr>
          <w:rFonts w:ascii="Arial" w:cs="Arial" w:eastAsia="Arial" w:hAnsi="Arial"/>
          <w:sz w:val="20"/>
          <w:szCs w:val="20"/>
          <w:color w:val="FF0000"/>
          <w:strike w:val="1"/>
        </w:rPr>
        <w:t>Investments received in connection with the bankruptcy or reorganization of, or settlement of delinquent accounts and disputes with, customers and suppliers, in each case in the ordinary course of business;</w:t>
      </w:r>
    </w:p>
    <w:p>
      <w:pPr>
        <w:spacing w:after="0" w:line="190" w:lineRule="exact"/>
        <w:rPr>
          <w:rFonts w:ascii="Arial" w:cs="Arial" w:eastAsia="Arial" w:hAnsi="Arial"/>
          <w:sz w:val="20"/>
          <w:szCs w:val="20"/>
          <w:color w:val="FF0000"/>
          <w:strike w:val="1"/>
        </w:rPr>
      </w:pPr>
    </w:p>
    <w:p>
      <w:pPr>
        <w:ind w:right="120" w:firstLine="599"/>
        <w:spacing w:after="0" w:line="272" w:lineRule="auto"/>
        <w:tabs>
          <w:tab w:leader="none" w:pos="838" w:val="left"/>
        </w:tabs>
        <w:numPr>
          <w:ilvl w:val="0"/>
          <w:numId w:val="357"/>
        </w:numPr>
        <w:rPr>
          <w:rFonts w:ascii="Arial" w:cs="Arial" w:eastAsia="Arial" w:hAnsi="Arial"/>
          <w:sz w:val="20"/>
          <w:szCs w:val="20"/>
          <w:color w:val="FF0000"/>
          <w:strike w:val="1"/>
        </w:rPr>
      </w:pPr>
      <w:r>
        <w:rPr>
          <w:rFonts w:ascii="Arial" w:cs="Arial" w:eastAsia="Arial" w:hAnsi="Arial"/>
          <w:sz w:val="20"/>
          <w:szCs w:val="20"/>
          <w:color w:val="FF0000"/>
          <w:strike w:val="1"/>
        </w:rPr>
        <w:t xml:space="preserve">Investments consisting of debt securities, equity securities and other non-cash consideration received as consideration for a Disposition permitted by </w:t>
      </w:r>
      <w:r>
        <w:rPr>
          <w:rFonts w:ascii="Arial" w:cs="Arial" w:eastAsia="Arial" w:hAnsi="Arial"/>
          <w:sz w:val="20"/>
          <w:szCs w:val="20"/>
          <w:u w:val="single" w:color="auto"/>
          <w:color w:val="FF0000"/>
          <w:strike w:val="1"/>
        </w:rPr>
        <w:t>Section 7.05</w:t>
      </w:r>
      <w:r>
        <w:rPr>
          <w:rFonts w:ascii="Arial" w:cs="Arial" w:eastAsia="Arial" w:hAnsi="Arial"/>
          <w:sz w:val="20"/>
          <w:szCs w:val="20"/>
          <w:color w:val="FF0000"/>
          <w:strike w:val="1"/>
        </w:rPr>
        <w:t>;</w:t>
      </w:r>
    </w:p>
    <w:p>
      <w:pPr>
        <w:spacing w:after="0" w:line="190" w:lineRule="exact"/>
        <w:rPr>
          <w:rFonts w:ascii="Arial" w:cs="Arial" w:eastAsia="Arial" w:hAnsi="Arial"/>
          <w:sz w:val="20"/>
          <w:szCs w:val="20"/>
          <w:color w:val="FF0000"/>
          <w:strike w:val="1"/>
        </w:rPr>
      </w:pPr>
    </w:p>
    <w:p>
      <w:pPr>
        <w:ind w:right="140" w:firstLine="599"/>
        <w:spacing w:after="0" w:line="272" w:lineRule="auto"/>
        <w:tabs>
          <w:tab w:leader="none" w:pos="938" w:val="left"/>
        </w:tabs>
        <w:numPr>
          <w:ilvl w:val="0"/>
          <w:numId w:val="357"/>
        </w:numPr>
        <w:rPr>
          <w:rFonts w:ascii="Arial" w:cs="Arial" w:eastAsia="Arial" w:hAnsi="Arial"/>
          <w:sz w:val="20"/>
          <w:szCs w:val="20"/>
          <w:color w:val="FF0000"/>
          <w:strike w:val="1"/>
        </w:rPr>
      </w:pPr>
      <w:r>
        <w:rPr>
          <w:rFonts w:ascii="Arial" w:cs="Arial" w:eastAsia="Arial" w:hAnsi="Arial"/>
          <w:sz w:val="20"/>
          <w:szCs w:val="20"/>
          <w:color w:val="FF0000"/>
          <w:strike w:val="1"/>
        </w:rPr>
        <w:t xml:space="preserve">the acquisition of all of the Equity Interests of a Person that owns an income producing Portfolio Property so long as such Person becomes a Guarantor if required under </w:t>
      </w:r>
      <w:r>
        <w:rPr>
          <w:rFonts w:ascii="Arial" w:cs="Arial" w:eastAsia="Arial" w:hAnsi="Arial"/>
          <w:sz w:val="20"/>
          <w:szCs w:val="20"/>
          <w:u w:val="single" w:color="auto"/>
          <w:color w:val="FF0000"/>
          <w:strike w:val="1"/>
        </w:rPr>
        <w:t>Section 6.12</w:t>
      </w:r>
      <w:r>
        <w:rPr>
          <w:rFonts w:ascii="Arial" w:cs="Arial" w:eastAsia="Arial" w:hAnsi="Arial"/>
          <w:sz w:val="20"/>
          <w:szCs w:val="20"/>
          <w:color w:val="FF0000"/>
          <w:strike w:val="1"/>
        </w:rPr>
        <w:t>;</w:t>
      </w:r>
    </w:p>
    <w:p>
      <w:pPr>
        <w:spacing w:after="0" w:line="190" w:lineRule="exact"/>
        <w:rPr>
          <w:rFonts w:ascii="Arial" w:cs="Arial" w:eastAsia="Arial" w:hAnsi="Arial"/>
          <w:sz w:val="20"/>
          <w:szCs w:val="20"/>
          <w:color w:val="FF0000"/>
          <w:strike w:val="1"/>
        </w:rPr>
      </w:pPr>
    </w:p>
    <w:p>
      <w:pPr>
        <w:ind w:right="680" w:firstLine="599"/>
        <w:spacing w:after="0" w:line="272" w:lineRule="auto"/>
        <w:tabs>
          <w:tab w:leader="none" w:pos="883" w:val="left"/>
        </w:tabs>
        <w:numPr>
          <w:ilvl w:val="0"/>
          <w:numId w:val="357"/>
        </w:numPr>
        <w:rPr>
          <w:rFonts w:ascii="Arial" w:cs="Arial" w:eastAsia="Arial" w:hAnsi="Arial"/>
          <w:sz w:val="20"/>
          <w:szCs w:val="20"/>
          <w:color w:val="FF0000"/>
          <w:strike w:val="1"/>
        </w:rPr>
      </w:pPr>
      <w:r>
        <w:rPr>
          <w:rFonts w:ascii="Arial" w:cs="Arial" w:eastAsia="Arial" w:hAnsi="Arial"/>
          <w:sz w:val="20"/>
          <w:szCs w:val="20"/>
          <w:color w:val="FF0000"/>
          <w:strike w:val="1"/>
        </w:rPr>
        <w:t>other Investments not otherwise permitted hereunder in an aggregate amount not to exceed $10,000,000 at any time outstanding; and</w:t>
      </w:r>
    </w:p>
    <w:p>
      <w:pPr>
        <w:spacing w:after="0" w:line="190" w:lineRule="exact"/>
        <w:rPr>
          <w:rFonts w:ascii="Arial" w:cs="Arial" w:eastAsia="Arial" w:hAnsi="Arial"/>
          <w:sz w:val="20"/>
          <w:szCs w:val="20"/>
          <w:color w:val="FF0000"/>
          <w:strike w:val="1"/>
        </w:rPr>
      </w:pPr>
    </w:p>
    <w:p>
      <w:pPr>
        <w:ind w:firstLine="599"/>
        <w:spacing w:after="0" w:line="327" w:lineRule="auto"/>
        <w:tabs>
          <w:tab w:leader="none" w:pos="883" w:val="left"/>
        </w:tabs>
        <w:numPr>
          <w:ilvl w:val="0"/>
          <w:numId w:val="357"/>
        </w:numPr>
        <w:rPr>
          <w:rFonts w:ascii="Arial" w:cs="Arial" w:eastAsia="Arial" w:hAnsi="Arial"/>
          <w:sz w:val="17"/>
          <w:szCs w:val="17"/>
          <w:color w:val="FF0000"/>
          <w:strike w:val="1"/>
        </w:rPr>
      </w:pPr>
      <w:r>
        <w:rPr>
          <w:rFonts w:ascii="Arial" w:cs="Arial" w:eastAsia="Arial" w:hAnsi="Arial"/>
          <w:sz w:val="17"/>
          <w:szCs w:val="17"/>
          <w:color w:val="FF0000"/>
          <w:strike w:val="1"/>
        </w:rPr>
        <w:t xml:space="preserve">Investments in Swap Contracts permitted under </w:t>
      </w:r>
      <w:r>
        <w:rPr>
          <w:rFonts w:ascii="Arial" w:cs="Arial" w:eastAsia="Arial" w:hAnsi="Arial"/>
          <w:sz w:val="17"/>
          <w:szCs w:val="17"/>
          <w:u w:val="single" w:color="auto"/>
          <w:color w:val="FF0000"/>
          <w:strike w:val="1"/>
        </w:rPr>
        <w:t>Section 7.02</w:t>
      </w:r>
      <w:r>
        <w:rPr>
          <w:rFonts w:ascii="Arial" w:cs="Arial" w:eastAsia="Arial" w:hAnsi="Arial"/>
          <w:sz w:val="17"/>
          <w:szCs w:val="17"/>
          <w:color w:val="FF0000"/>
          <w:strike w:val="1"/>
        </w:rPr>
        <w:t xml:space="preserve"> entered into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w:t>
      </w:r>
    </w:p>
    <w:p>
      <w:pPr>
        <w:spacing w:after="0" w:line="36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800"/>
          </w:cols>
          <w:pgMar w:left="840" w:top="795" w:right="259" w:bottom="1440" w:gutter="0" w:footer="0" w:header="0"/>
        </w:sectPr>
      </w:pPr>
    </w:p>
    <w:bookmarkStart w:id="311" w:name="page312"/>
    <w:bookmarkEnd w:id="311"/>
    <w:p>
      <w:pPr>
        <w:jc w:val="both"/>
        <w:ind w:firstLine="1199"/>
        <w:spacing w:after="0" w:line="260" w:lineRule="auto"/>
        <w:rPr>
          <w:sz w:val="20"/>
          <w:szCs w:val="20"/>
          <w:color w:val="auto"/>
        </w:rPr>
      </w:pPr>
      <w:r>
        <w:rPr>
          <w:rFonts w:ascii="Arial" w:cs="Arial" w:eastAsia="Arial" w:hAnsi="Arial"/>
          <w:sz w:val="20"/>
          <w:szCs w:val="20"/>
          <w:color w:val="auto"/>
        </w:rPr>
        <w:t xml:space="preserve">7.04. </w:t>
      </w:r>
      <w:r>
        <w:rPr>
          <w:rFonts w:ascii="Arial" w:cs="Arial" w:eastAsia="Arial" w:hAnsi="Arial"/>
          <w:sz w:val="20"/>
          <w:szCs w:val="20"/>
          <w:u w:val="single" w:color="auto"/>
          <w:color w:val="auto"/>
        </w:rPr>
        <w:t>Fundamental Changes</w:t>
      </w:r>
      <w:r>
        <w:rPr>
          <w:rFonts w:ascii="Arial" w:cs="Arial" w:eastAsia="Arial" w:hAnsi="Arial"/>
          <w:sz w:val="20"/>
          <w:szCs w:val="20"/>
          <w:color w:val="auto"/>
        </w:rPr>
        <w:t>. Merge, dissolve, liquidate, consolidate with or into another Person, or Dispose of (whether in one transaction or in a series of transactions) all or substantially all of its assets (whether now owned or hereafter acquired) to or in favor of any Person, except that, so long as no Default exists or would result therefrom:</w:t>
      </w:r>
    </w:p>
    <w:p>
      <w:pPr>
        <w:spacing w:after="0" w:line="202" w:lineRule="exact"/>
        <w:rPr>
          <w:sz w:val="20"/>
          <w:szCs w:val="20"/>
          <w:color w:val="auto"/>
        </w:rPr>
      </w:pPr>
    </w:p>
    <w:p>
      <w:pPr>
        <w:jc w:val="both"/>
        <w:ind w:left="600" w:firstLine="599"/>
        <w:spacing w:after="0" w:line="256" w:lineRule="auto"/>
        <w:tabs>
          <w:tab w:leader="none" w:pos="2021" w:val="left"/>
        </w:tabs>
        <w:numPr>
          <w:ilvl w:val="0"/>
          <w:numId w:val="358"/>
        </w:numPr>
        <w:rPr>
          <w:rFonts w:ascii="Arial" w:cs="Arial" w:eastAsia="Arial" w:hAnsi="Arial"/>
          <w:sz w:val="20"/>
          <w:szCs w:val="20"/>
          <w:color w:val="auto"/>
        </w:rPr>
      </w:pPr>
      <w:r>
        <w:rPr>
          <w:rFonts w:ascii="Arial" w:cs="Arial" w:eastAsia="Arial" w:hAnsi="Arial"/>
          <w:sz w:val="20"/>
          <w:szCs w:val="20"/>
          <w:color w:val="auto"/>
        </w:rPr>
        <w:t xml:space="preserve">any Subsidiary of the Borrower may merge, liquidate or dissolve into, or consolidate with (i) 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be the continuing or surviving Person or (ii) any one or more other Subsidiaries of 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any Guarantor is merging with, liquidating into or consolidating with another Subsidiary of the Borrower that is not a Guarantor, </w:t>
      </w:r>
      <w:r>
        <w:rPr>
          <w:rFonts w:ascii="Arial" w:cs="Arial" w:eastAsia="Arial" w:hAnsi="Arial"/>
          <w:sz w:val="20"/>
          <w:szCs w:val="20"/>
          <w:color w:val="FF0000"/>
          <w:strike w:val="1"/>
        </w:rPr>
        <w:t>such Guarantor shall be</w:t>
      </w:r>
      <w:r>
        <w:rPr>
          <w:rFonts w:ascii="Arial" w:cs="Arial" w:eastAsia="Arial" w:hAnsi="Arial"/>
          <w:sz w:val="20"/>
          <w:szCs w:val="20"/>
          <w:color w:val="FF0000"/>
        </w:rPr>
        <w:t xml:space="preserve"> </w:t>
      </w:r>
      <w:r>
        <w:rPr>
          <w:rFonts w:ascii="Arial" w:cs="Arial" w:eastAsia="Arial" w:hAnsi="Arial"/>
          <w:sz w:val="20"/>
          <w:szCs w:val="20"/>
          <w:color w:val="000000"/>
        </w:rPr>
        <w:t>the continuing or surviving Person</w:t>
      </w:r>
      <w:r>
        <w:rPr>
          <w:rFonts w:ascii="Arial" w:cs="Arial" w:eastAsia="Arial" w:hAnsi="Arial"/>
          <w:sz w:val="20"/>
          <w:szCs w:val="20"/>
          <w:color w:val="FF0000"/>
        </w:rPr>
        <w:t xml:space="preserve"> </w:t>
      </w:r>
      <w:r>
        <w:rPr>
          <w:rFonts w:ascii="Arial" w:cs="Arial" w:eastAsia="Arial" w:hAnsi="Arial"/>
          <w:sz w:val="20"/>
          <w:szCs w:val="20"/>
          <w:b w:val="1"/>
          <w:bCs w:val="1"/>
          <w:u w:val="single" w:color="auto"/>
          <w:color w:val="0000FF"/>
          <w:highlight w:val="lightGray"/>
        </w:rPr>
        <w:t>shall be a Guarantor</w:t>
      </w:r>
      <w:r>
        <w:rPr>
          <w:rFonts w:ascii="Arial" w:cs="Arial" w:eastAsia="Arial" w:hAnsi="Arial"/>
          <w:sz w:val="20"/>
          <w:szCs w:val="20"/>
          <w:color w:val="000000"/>
        </w:rPr>
        <w:t>;</w:t>
      </w:r>
    </w:p>
    <w:p>
      <w:pPr>
        <w:spacing w:after="0" w:line="205" w:lineRule="exact"/>
        <w:rPr>
          <w:rFonts w:ascii="Arial" w:cs="Arial" w:eastAsia="Arial" w:hAnsi="Arial"/>
          <w:sz w:val="20"/>
          <w:szCs w:val="20"/>
          <w:color w:val="auto"/>
        </w:rPr>
      </w:pPr>
    </w:p>
    <w:p>
      <w:pPr>
        <w:jc w:val="both"/>
        <w:ind w:left="600" w:firstLine="599"/>
        <w:spacing w:after="0" w:line="260" w:lineRule="auto"/>
        <w:tabs>
          <w:tab w:leader="none" w:pos="2032" w:val="left"/>
        </w:tabs>
        <w:numPr>
          <w:ilvl w:val="0"/>
          <w:numId w:val="358"/>
        </w:numPr>
        <w:rPr>
          <w:rFonts w:ascii="Arial" w:cs="Arial" w:eastAsia="Arial" w:hAnsi="Arial"/>
          <w:sz w:val="20"/>
          <w:szCs w:val="20"/>
          <w:color w:val="auto"/>
        </w:rPr>
      </w:pPr>
      <w:r>
        <w:rPr>
          <w:rFonts w:ascii="Arial" w:cs="Arial" w:eastAsia="Arial" w:hAnsi="Arial"/>
          <w:sz w:val="20"/>
          <w:szCs w:val="20"/>
          <w:color w:val="auto"/>
        </w:rPr>
        <w:t xml:space="preserve">any Subsidiary of the Borrower may Dispose of all or substantially all of its assets (upon voluntary liquidation or otherwise) to the Borrower or to another Subsidiary of 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transferor in such a transaction is a Guarantor, then the transferee must either be the Borrower or a Guarantor; and</w:t>
      </w:r>
    </w:p>
    <w:p>
      <w:pPr>
        <w:spacing w:after="0" w:line="201" w:lineRule="exact"/>
        <w:rPr>
          <w:rFonts w:ascii="Arial" w:cs="Arial" w:eastAsia="Arial" w:hAnsi="Arial"/>
          <w:sz w:val="20"/>
          <w:szCs w:val="20"/>
          <w:color w:val="auto"/>
        </w:rPr>
      </w:pPr>
    </w:p>
    <w:p>
      <w:pPr>
        <w:ind w:left="2020" w:hanging="821"/>
        <w:spacing w:after="0"/>
        <w:tabs>
          <w:tab w:leader="none" w:pos="2020" w:val="left"/>
        </w:tabs>
        <w:numPr>
          <w:ilvl w:val="0"/>
          <w:numId w:val="358"/>
        </w:numPr>
        <w:rPr>
          <w:rFonts w:ascii="Arial" w:cs="Arial" w:eastAsia="Arial" w:hAnsi="Arial"/>
          <w:sz w:val="20"/>
          <w:szCs w:val="20"/>
          <w:color w:val="auto"/>
        </w:rPr>
      </w:pPr>
      <w:r>
        <w:rPr>
          <w:rFonts w:ascii="Arial" w:cs="Arial" w:eastAsia="Arial" w:hAnsi="Arial"/>
          <w:sz w:val="20"/>
          <w:szCs w:val="20"/>
          <w:color w:val="auto"/>
        </w:rPr>
        <w:t xml:space="preserve">Dispositions permitted by </w:t>
      </w:r>
      <w:r>
        <w:rPr>
          <w:rFonts w:ascii="Arial" w:cs="Arial" w:eastAsia="Arial" w:hAnsi="Arial"/>
          <w:sz w:val="20"/>
          <w:szCs w:val="20"/>
          <w:u w:val="single" w:color="auto"/>
          <w:color w:val="auto"/>
        </w:rPr>
        <w:t>Section 7.05(b)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w:t>
      </w:r>
      <w:r>
        <w:rPr>
          <w:rFonts w:ascii="Arial" w:cs="Arial" w:eastAsia="Arial" w:hAnsi="Arial"/>
          <w:sz w:val="20"/>
          <w:szCs w:val="20"/>
          <w:color w:val="auto"/>
        </w:rPr>
        <w:t xml:space="preserve"> shall be permitted.</w:t>
      </w:r>
    </w:p>
    <w:p>
      <w:pPr>
        <w:spacing w:after="0" w:line="245" w:lineRule="exact"/>
        <w:rPr>
          <w:sz w:val="20"/>
          <w:szCs w:val="20"/>
          <w:color w:val="auto"/>
        </w:rPr>
      </w:pPr>
    </w:p>
    <w:p>
      <w:pPr>
        <w:jc w:val="both"/>
        <w:ind w:firstLine="1199"/>
        <w:spacing w:after="0" w:line="270" w:lineRule="auto"/>
        <w:rPr>
          <w:sz w:val="20"/>
          <w:szCs w:val="20"/>
          <w:color w:val="auto"/>
        </w:rPr>
      </w:pPr>
      <w:r>
        <w:rPr>
          <w:rFonts w:ascii="Arial" w:cs="Arial" w:eastAsia="Arial" w:hAnsi="Arial"/>
          <w:sz w:val="19"/>
          <w:szCs w:val="19"/>
          <w:color w:val="auto"/>
        </w:rPr>
        <w:t xml:space="preserve">7.05. </w:t>
      </w:r>
      <w:r>
        <w:rPr>
          <w:rFonts w:ascii="Arial" w:cs="Arial" w:eastAsia="Arial" w:hAnsi="Arial"/>
          <w:sz w:val="19"/>
          <w:szCs w:val="19"/>
          <w:u w:val="single" w:color="auto"/>
          <w:color w:val="auto"/>
        </w:rPr>
        <w:t>Dispositions</w:t>
      </w:r>
      <w:r>
        <w:rPr>
          <w:rFonts w:ascii="Arial" w:cs="Arial" w:eastAsia="Arial" w:hAnsi="Arial"/>
          <w:sz w:val="19"/>
          <w:szCs w:val="19"/>
          <w:color w:val="auto"/>
        </w:rPr>
        <w:t xml:space="preserve">. Make any Disposition or enter into any agreement to make any Disposition, or, in the case of any Subsidiary of the Borrower, issue, sell or otherwise dispose of any of such Subsidiary’s Equity Interests to any Person, if (a) such Disposition is not permitted under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(b) such Disposition results in the Borrower or any Guarantor (other than the REIT) not being a </w:t>
      </w:r>
      <w:r>
        <w:rPr>
          <w:rFonts w:ascii="Arial" w:cs="Arial" w:eastAsia="Arial" w:hAnsi="Arial"/>
          <w:sz w:val="19"/>
          <w:szCs w:val="19"/>
          <w:color w:val="FF0000"/>
          <w:strike w:val="1"/>
        </w:rPr>
        <w:t>Wholly-Owned</w:t>
      </w:r>
      <w:r>
        <w:rPr>
          <w:rFonts w:ascii="Arial" w:cs="Arial" w:eastAsia="Arial" w:hAnsi="Arial"/>
          <w:sz w:val="19"/>
          <w:szCs w:val="19"/>
          <w:b w:val="1"/>
          <w:bCs w:val="1"/>
          <w:u w:val="single" w:color="auto"/>
          <w:color w:val="0000FF"/>
          <w:highlight w:val="lightGray"/>
        </w:rPr>
        <w:t>Wholly Owned</w:t>
      </w:r>
      <w:r>
        <w:rPr>
          <w:rFonts w:ascii="Arial" w:cs="Arial" w:eastAsia="Arial" w:hAnsi="Arial"/>
          <w:sz w:val="19"/>
          <w:szCs w:val="19"/>
          <w:color w:val="FF0000"/>
        </w:rPr>
        <w:t xml:space="preserve"> </w:t>
      </w:r>
      <w:r>
        <w:rPr>
          <w:rFonts w:ascii="Arial" w:cs="Arial" w:eastAsia="Arial" w:hAnsi="Arial"/>
          <w:sz w:val="19"/>
          <w:szCs w:val="19"/>
          <w:color w:val="000000"/>
        </w:rPr>
        <w:t>Subsidiary of the REIT or (c) after giving effect to such Disposition, the REIT and Borrower are not in compliance, on</w:t>
      </w:r>
      <w:r>
        <w:rPr>
          <w:rFonts w:ascii="Arial" w:cs="Arial" w:eastAsia="Arial" w:hAnsi="Arial"/>
          <w:sz w:val="19"/>
          <w:szCs w:val="19"/>
          <w:color w:val="FF0000"/>
        </w:rPr>
        <w:t xml:space="preserve"> </w:t>
      </w:r>
      <w:r>
        <w:rPr>
          <w:rFonts w:ascii="Arial" w:cs="Arial" w:eastAsia="Arial" w:hAnsi="Arial"/>
          <w:sz w:val="19"/>
          <w:szCs w:val="19"/>
          <w:color w:val="000000"/>
        </w:rPr>
        <w:t xml:space="preserve">a </w:t>
      </w:r>
      <w:r>
        <w:rPr>
          <w:rFonts w:ascii="Arial" w:cs="Arial" w:eastAsia="Arial" w:hAnsi="Arial"/>
          <w:sz w:val="19"/>
          <w:szCs w:val="19"/>
          <w:i w:val="1"/>
          <w:iCs w:val="1"/>
          <w:color w:val="000000"/>
        </w:rPr>
        <w:t>pro forma</w:t>
      </w:r>
      <w:r>
        <w:rPr>
          <w:rFonts w:ascii="Arial" w:cs="Arial" w:eastAsia="Arial" w:hAnsi="Arial"/>
          <w:sz w:val="19"/>
          <w:szCs w:val="19"/>
          <w:color w:val="000000"/>
        </w:rPr>
        <w:t xml:space="preserve"> basis, with the covenants contained in </w:t>
      </w:r>
      <w:r>
        <w:rPr>
          <w:rFonts w:ascii="Arial" w:cs="Arial" w:eastAsia="Arial" w:hAnsi="Arial"/>
          <w:sz w:val="19"/>
          <w:szCs w:val="19"/>
          <w:u w:val="single" w:color="auto"/>
          <w:color w:val="000000"/>
        </w:rPr>
        <w:t>Section</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highlight w:val="lightGray"/>
        </w:rPr>
        <w:t>7.02(b) and Section</w:t>
      </w:r>
      <w:r>
        <w:rPr>
          <w:rFonts w:ascii="Arial" w:cs="Arial" w:eastAsia="Arial" w:hAnsi="Arial"/>
          <w:sz w:val="19"/>
          <w:szCs w:val="19"/>
          <w:color w:val="000000"/>
        </w:rPr>
        <w:t xml:space="preserve"> 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-45720</wp:posOffset>
            </wp:positionV>
            <wp:extent cx="24892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48920" cy="7620"/>
                    </a:xfrm>
                    <a:prstGeom prst="rect">
                      <a:avLst/>
                    </a:prstGeom>
                    <a:noFill/>
                  </pic:spPr>
                </pic:pic>
              </a:graphicData>
            </a:graphic>
          </wp:anchor>
        </w:drawing>
      </w:r>
    </w:p>
    <w:p>
      <w:pPr>
        <w:spacing w:after="0" w:line="175" w:lineRule="exact"/>
        <w:rPr>
          <w:sz w:val="20"/>
          <w:szCs w:val="20"/>
          <w:color w:val="auto"/>
        </w:rPr>
      </w:pPr>
    </w:p>
    <w:p>
      <w:pPr>
        <w:jc w:val="both"/>
        <w:ind w:firstLine="1199"/>
        <w:spacing w:after="0" w:line="272" w:lineRule="auto"/>
        <w:rPr>
          <w:sz w:val="20"/>
          <w:szCs w:val="20"/>
          <w:color w:val="auto"/>
        </w:rPr>
      </w:pPr>
      <w:r>
        <w:rPr>
          <w:rFonts w:ascii="Arial" w:cs="Arial" w:eastAsia="Arial" w:hAnsi="Arial"/>
          <w:sz w:val="20"/>
          <w:szCs w:val="20"/>
          <w:color w:val="auto"/>
        </w:rPr>
        <w:t xml:space="preserve">7.06. </w:t>
      </w:r>
      <w:r>
        <w:rPr>
          <w:rFonts w:ascii="Arial" w:cs="Arial" w:eastAsia="Arial" w:hAnsi="Arial"/>
          <w:sz w:val="20"/>
          <w:szCs w:val="20"/>
          <w:u w:val="single" w:color="auto"/>
          <w:color w:val="auto"/>
        </w:rPr>
        <w:t>Restricted Payments</w:t>
      </w:r>
      <w:r>
        <w:rPr>
          <w:rFonts w:ascii="Arial" w:cs="Arial" w:eastAsia="Arial" w:hAnsi="Arial"/>
          <w:sz w:val="20"/>
          <w:szCs w:val="20"/>
          <w:color w:val="auto"/>
        </w:rPr>
        <w:t>. Declare or make, directly or indirectly, any Restricted Payment, or incur any obligation (contingent or otherwise) to do so, except that the following shall be permitted:</w:t>
      </w:r>
    </w:p>
    <w:p>
      <w:pPr>
        <w:spacing w:after="0" w:line="191" w:lineRule="exact"/>
        <w:rPr>
          <w:sz w:val="20"/>
          <w:szCs w:val="20"/>
          <w:color w:val="auto"/>
        </w:rPr>
      </w:pPr>
    </w:p>
    <w:p>
      <w:pPr>
        <w:jc w:val="both"/>
        <w:ind w:left="600" w:firstLine="599"/>
        <w:spacing w:after="0" w:line="293" w:lineRule="auto"/>
        <w:tabs>
          <w:tab w:leader="none" w:pos="2021"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each Subsidiary of the Borrower may (i) declare and make Restricted Payments to the Borrower and the Guarantors (other than the REIT), and (ii) declare and make Restricted Payments ratably to the holders of such Subsidiary’s Equity Interests according to their respective holdings of the type of Equity Interest in respect of which such Restricted Payment is being made </w:t>
      </w:r>
      <w:r>
        <w:rPr>
          <w:rFonts w:ascii="Arial" w:cs="Arial" w:eastAsia="Arial" w:hAnsi="Arial"/>
          <w:sz w:val="18"/>
          <w:szCs w:val="18"/>
          <w:b w:val="1"/>
          <w:bCs w:val="1"/>
          <w:u w:val="single" w:color="auto"/>
          <w:color w:val="0000FF"/>
          <w:highlight w:val="lightGray"/>
        </w:rPr>
        <w:t>so long</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highlight w:val="lightGray"/>
        </w:rPr>
        <w:t>as the Borrower (directly or through other Subsidiaries of the Borrower) receives its proportionate share thereof</w:t>
      </w:r>
      <w:r>
        <w:rPr>
          <w:rFonts w:ascii="Arial" w:cs="Arial" w:eastAsia="Arial" w:hAnsi="Arial"/>
          <w:sz w:val="18"/>
          <w:szCs w:val="18"/>
          <w:color w:val="000000"/>
        </w:rPr>
        <w:t>;</w:t>
      </w:r>
    </w:p>
    <w:p>
      <w:pPr>
        <w:spacing w:after="0" w:line="175" w:lineRule="exact"/>
        <w:rPr>
          <w:rFonts w:ascii="Arial" w:cs="Arial" w:eastAsia="Arial" w:hAnsi="Arial"/>
          <w:sz w:val="18"/>
          <w:szCs w:val="18"/>
          <w:color w:val="auto"/>
        </w:rPr>
      </w:pPr>
    </w:p>
    <w:p>
      <w:pPr>
        <w:jc w:val="both"/>
        <w:ind w:left="600" w:firstLine="599"/>
        <w:spacing w:after="0" w:line="256" w:lineRule="auto"/>
        <w:tabs>
          <w:tab w:leader="none" w:pos="2032" w:val="left"/>
        </w:tabs>
        <w:numPr>
          <w:ilvl w:val="0"/>
          <w:numId w:val="359"/>
        </w:numPr>
        <w:rPr>
          <w:rFonts w:ascii="Arial" w:cs="Arial" w:eastAsia="Arial" w:hAnsi="Arial"/>
          <w:sz w:val="20"/>
          <w:szCs w:val="20"/>
          <w:color w:val="auto"/>
        </w:rPr>
      </w:pPr>
      <w:r>
        <w:rPr>
          <w:rFonts w:ascii="Arial" w:cs="Arial" w:eastAsia="Arial" w:hAnsi="Arial"/>
          <w:sz w:val="20"/>
          <w:szCs w:val="20"/>
          <w:color w:val="auto"/>
        </w:rPr>
        <w:t>the REIT and each Subsidiary thereof may declare and make dividend payments or other distributions payable solely in the common stock or other common Equity Interests of such Person or its direct or indirect parent (and, to the extent constituting a dividend or distribution under applicable Laws, the issuance of common or preferred Equity Interests in connection with the conversion of any Indebtedness);</w:t>
      </w:r>
    </w:p>
    <w:p>
      <w:pPr>
        <w:spacing w:after="0" w:line="205" w:lineRule="exact"/>
        <w:rPr>
          <w:rFonts w:ascii="Arial" w:cs="Arial" w:eastAsia="Arial" w:hAnsi="Arial"/>
          <w:sz w:val="20"/>
          <w:szCs w:val="20"/>
          <w:color w:val="auto"/>
        </w:rPr>
      </w:pPr>
    </w:p>
    <w:p>
      <w:pPr>
        <w:jc w:val="both"/>
        <w:ind w:left="600" w:firstLine="599"/>
        <w:spacing w:after="0" w:line="252" w:lineRule="auto"/>
        <w:tabs>
          <w:tab w:leader="none" w:pos="2021" w:val="left"/>
        </w:tabs>
        <w:numPr>
          <w:ilvl w:val="0"/>
          <w:numId w:val="359"/>
        </w:numPr>
        <w:rPr>
          <w:rFonts w:ascii="Arial" w:cs="Arial" w:eastAsia="Arial" w:hAnsi="Arial"/>
          <w:sz w:val="20"/>
          <w:szCs w:val="20"/>
          <w:color w:val="auto"/>
        </w:rPr>
      </w:pPr>
      <w:r>
        <w:rPr>
          <w:rFonts w:ascii="Arial" w:cs="Arial" w:eastAsia="Arial" w:hAnsi="Arial"/>
          <w:sz w:val="20"/>
          <w:szCs w:val="20"/>
          <w:color w:val="auto"/>
        </w:rPr>
        <w:t>(i) the REIT and each Subsidiary thereof may purchase, redeem or otherwise acquire Equity Interests or warrants or options to obtain such Equity Interests issued by it with the proceeds received from the substantially concurrent issue of new shares of its or its direct or indirect parent’s common stock or other common Equity Interests, (ii) the REIT and/or the Borrower may purchase, redeem or otherwise acquire limited partnership interests of the Borrower held by a limited partner thereof in exchange for Equity Interests of the REIT so long as, after giving effect to any such purchase, redemption or other acquisition, a Change of Control does not occur and (iii) the Borrower may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795" w:right="239" w:bottom="1440" w:gutter="0" w:footer="0" w:header="0"/>
        </w:sectPr>
      </w:pPr>
    </w:p>
    <w:bookmarkStart w:id="312" w:name="page313"/>
    <w:bookmarkEnd w:id="312"/>
    <w:p>
      <w:pPr>
        <w:jc w:val="both"/>
        <w:ind w:left="600"/>
        <w:spacing w:after="0" w:line="260" w:lineRule="auto"/>
        <w:rPr>
          <w:sz w:val="20"/>
          <w:szCs w:val="20"/>
          <w:color w:val="auto"/>
        </w:rPr>
      </w:pPr>
      <w:r>
        <w:rPr>
          <w:rFonts w:ascii="Arial" w:cs="Arial" w:eastAsia="Arial" w:hAnsi="Arial"/>
          <w:sz w:val="20"/>
          <w:szCs w:val="20"/>
          <w:color w:val="auto"/>
        </w:rPr>
        <w:t xml:space="preserve">redeem limited partnership interests of the Borrower held by a limited partner thereof for cash to the extent such a redemption is required by the Borrower Limited Partnership Agreement; </w:t>
      </w:r>
      <w:r>
        <w:rPr>
          <w:rFonts w:ascii="Arial" w:cs="Arial" w:eastAsia="Arial" w:hAnsi="Arial"/>
          <w:sz w:val="20"/>
          <w:szCs w:val="20"/>
          <w:u w:val="single" w:color="auto"/>
          <w:color w:val="auto"/>
        </w:rPr>
        <w:t>provided</w:t>
      </w:r>
      <w:r>
        <w:rPr>
          <w:rFonts w:ascii="Arial" w:cs="Arial" w:eastAsia="Arial" w:hAnsi="Arial"/>
          <w:sz w:val="20"/>
          <w:szCs w:val="20"/>
          <w:color w:val="auto"/>
        </w:rPr>
        <w:t>, that the aggregate amount of cash paid for all such redemptions made pursuant to this clause (iii) shall not exceed $10,000,000;</w:t>
      </w:r>
    </w:p>
    <w:p>
      <w:pPr>
        <w:spacing w:after="0" w:line="202" w:lineRule="exact"/>
        <w:rPr>
          <w:sz w:val="20"/>
          <w:szCs w:val="20"/>
          <w:color w:val="auto"/>
        </w:rPr>
      </w:pPr>
    </w:p>
    <w:p>
      <w:pPr>
        <w:jc w:val="both"/>
        <w:ind w:left="600" w:firstLine="599"/>
        <w:spacing w:after="0" w:line="279" w:lineRule="auto"/>
        <w:tabs>
          <w:tab w:leader="none" w:pos="2032" w:val="left"/>
        </w:tabs>
        <w:numPr>
          <w:ilvl w:val="0"/>
          <w:numId w:val="360"/>
        </w:numPr>
        <w:rPr>
          <w:rFonts w:ascii="Arial" w:cs="Arial" w:eastAsia="Arial" w:hAnsi="Arial"/>
          <w:sz w:val="18"/>
          <w:szCs w:val="18"/>
          <w:color w:val="auto"/>
        </w:rPr>
      </w:pPr>
      <w:r>
        <w:rPr>
          <w:rFonts w:ascii="Arial" w:cs="Arial" w:eastAsia="Arial" w:hAnsi="Arial"/>
          <w:sz w:val="18"/>
          <w:szCs w:val="18"/>
          <w:color w:val="auto"/>
        </w:rPr>
        <w:t xml:space="preserve">the Borrower shall be permitted to declare and pay </w:t>
      </w:r>
      <w:r>
        <w:rPr>
          <w:rFonts w:ascii="Arial" w:cs="Arial" w:eastAsia="Arial" w:hAnsi="Arial"/>
          <w:sz w:val="18"/>
          <w:szCs w:val="18"/>
          <w:color w:val="FF0000"/>
          <w:strike w:val="1"/>
        </w:rPr>
        <w:t>pro rata dividends on its Equity Interests or make pro rata</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distributions with respect thereto, in an amount for any fiscal year of the Borrower equal to the greater of (i) 95% of Funds From Operations for such fiscal year and (ii) such amount that will result in the REIT receiving the necessary amount of funds required to be distributed to its equityholders in order for the REIT to (x) maintain its status as a Real Estate Investment Trust for federal and state income tax purposes and (y) avoid the payment of federal or state income or excise tax;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FF0000"/>
          <w:strike w:val="1"/>
        </w:rPr>
        <w:t>however</w:t>
      </w:r>
      <w:r>
        <w:rPr>
          <w:rFonts w:ascii="Arial" w:cs="Arial" w:eastAsia="Arial" w:hAnsi="Arial"/>
          <w:sz w:val="18"/>
          <w:szCs w:val="18"/>
          <w:color w:val="FF0000"/>
          <w:strike w:val="1"/>
        </w:rPr>
        <w:t>,</w:t>
      </w:r>
      <w:r>
        <w:rPr>
          <w:rFonts w:ascii="Arial" w:cs="Arial" w:eastAsia="Arial" w:hAnsi="Arial"/>
          <w:sz w:val="18"/>
          <w:szCs w:val="18"/>
          <w:b w:val="1"/>
          <w:bCs w:val="1"/>
          <w:u w:val="single" w:color="auto"/>
          <w:color w:val="0000FF"/>
          <w:highlight w:val="lightGray"/>
          <w:strike w:val="1"/>
        </w:rPr>
        <w:t>other Restricted</w:t>
      </w:r>
      <w:r>
        <w:rPr>
          <w:rFonts w:ascii="Arial" w:cs="Arial" w:eastAsia="Arial" w:hAnsi="Arial"/>
          <w:sz w:val="18"/>
          <w:szCs w:val="18"/>
          <w:color w:val="FF0000"/>
          <w:strike w:val="1"/>
        </w:rPr>
        <w:t xml:space="preserve"> </w:t>
      </w:r>
      <w:r>
        <w:rPr>
          <w:rFonts w:ascii="Arial" w:cs="Arial" w:eastAsia="Arial" w:hAnsi="Arial"/>
          <w:sz w:val="18"/>
          <w:szCs w:val="18"/>
          <w:b w:val="1"/>
          <w:bCs w:val="1"/>
          <w:u w:val="single" w:color="auto"/>
          <w:color w:val="0000FF"/>
          <w:highlight w:val="lightGray"/>
          <w:strike w:val="1"/>
        </w:rPr>
        <w:t>Payments; provided that, (i)</w:t>
      </w:r>
      <w:r>
        <w:rPr>
          <w:rFonts w:ascii="Arial" w:cs="Arial" w:eastAsia="Arial" w:hAnsi="Arial"/>
          <w:sz w:val="18"/>
          <w:szCs w:val="18"/>
          <w:b w:val="1"/>
          <w:bCs w:val="1"/>
          <w:color w:val="0000FF"/>
          <w:highlight w:val="lightGray"/>
          <w:strike w:val="1"/>
        </w:rPr>
        <w:t xml:space="preserve"> </w:t>
      </w:r>
      <w:r>
        <w:rPr>
          <w:rFonts w:ascii="Arial" w:cs="Arial" w:eastAsia="Arial" w:hAnsi="Arial"/>
          <w:sz w:val="18"/>
          <w:szCs w:val="18"/>
          <w:color w:val="000000"/>
          <w:strike w:val="1"/>
        </w:rPr>
        <w:t>if an Event of Default under</w:t>
      </w:r>
      <w:r>
        <w:rPr>
          <w:rFonts w:ascii="Arial" w:cs="Arial" w:eastAsia="Arial" w:hAnsi="Arial"/>
          <w:sz w:val="18"/>
          <w:szCs w:val="18"/>
          <w:b w:val="1"/>
          <w:bCs w:val="1"/>
          <w:color w:val="0000FF"/>
          <w:highlight w:val="lightGray"/>
          <w:strike w:val="1"/>
        </w:rPr>
        <w:t xml:space="preserve"> </w:t>
      </w:r>
      <w:r>
        <w:rPr>
          <w:rFonts w:ascii="Arial" w:cs="Arial" w:eastAsia="Arial" w:hAnsi="Arial"/>
          <w:sz w:val="18"/>
          <w:szCs w:val="18"/>
          <w:u w:val="single" w:color="auto"/>
          <w:color w:val="000000"/>
          <w:strike w:val="1"/>
        </w:rPr>
        <w:t>Section 8.01(a)</w:t>
      </w:r>
      <w:r>
        <w:rPr>
          <w:rFonts w:ascii="Arial" w:cs="Arial" w:eastAsia="Arial" w:hAnsi="Arial"/>
          <w:sz w:val="18"/>
          <w:szCs w:val="18"/>
          <w:b w:val="1"/>
          <w:bCs w:val="1"/>
          <w:color w:val="0000FF"/>
          <w:highlight w:val="lightGray"/>
          <w:strike w:val="1"/>
        </w:rPr>
        <w:t xml:space="preserve"> </w:t>
      </w:r>
      <w:r>
        <w:rPr>
          <w:rFonts w:ascii="Arial" w:cs="Arial" w:eastAsia="Arial" w:hAnsi="Arial"/>
          <w:sz w:val="18"/>
          <w:szCs w:val="18"/>
          <w:color w:val="000000"/>
          <w:strike w:val="1"/>
        </w:rPr>
        <w:t>shall have occurred and be continuing or would result</w:t>
      </w:r>
      <w:r>
        <w:rPr>
          <w:rFonts w:ascii="Arial" w:cs="Arial" w:eastAsia="Arial" w:hAnsi="Arial"/>
          <w:sz w:val="18"/>
          <w:szCs w:val="18"/>
          <w:b w:val="1"/>
          <w:bCs w:val="1"/>
          <w:color w:val="0000FF"/>
          <w:highlight w:val="lightGray"/>
          <w:strike w:val="1"/>
        </w:rPr>
        <w:t xml:space="preserve"> </w:t>
      </w:r>
      <w:r>
        <w:rPr>
          <w:rFonts w:ascii="Arial" w:cs="Arial" w:eastAsia="Arial" w:hAnsi="Arial"/>
          <w:sz w:val="18"/>
          <w:szCs w:val="18"/>
          <w:color w:val="000000"/>
          <w:strike w:val="1"/>
        </w:rPr>
        <w:t xml:space="preserve">therefrom, the </w:t>
      </w:r>
      <w:r>
        <w:rPr>
          <w:rFonts w:ascii="Arial" w:cs="Arial" w:eastAsia="Arial" w:hAnsi="Arial"/>
          <w:sz w:val="18"/>
          <w:szCs w:val="18"/>
          <w:color w:val="FF0000"/>
          <w:strike w:val="1"/>
        </w:rPr>
        <w:t>Borrower shall only be permitted</w:t>
      </w:r>
      <w:r>
        <w:rPr>
          <w:rFonts w:ascii="Arial" w:cs="Arial" w:eastAsia="Arial" w:hAnsi="Arial"/>
          <w:sz w:val="18"/>
          <w:szCs w:val="18"/>
          <w:b w:val="1"/>
          <w:bCs w:val="1"/>
          <w:u w:val="single" w:color="auto"/>
          <w:color w:val="0000FF"/>
          <w:highlight w:val="lightGray"/>
          <w:strike w:val="1"/>
        </w:rPr>
        <w:t>Borrower’s ability</w:t>
      </w:r>
      <w:r>
        <w:rPr>
          <w:rFonts w:ascii="Arial" w:cs="Arial" w:eastAsia="Arial" w:hAnsi="Arial"/>
          <w:sz w:val="18"/>
          <w:szCs w:val="18"/>
          <w:color w:val="000000"/>
          <w:strike w:val="1"/>
        </w:rPr>
        <w:t xml:space="preserve"> to declare and </w:t>
      </w:r>
      <w:r>
        <w:rPr>
          <w:rFonts w:ascii="Arial" w:cs="Arial" w:eastAsia="Arial" w:hAnsi="Arial"/>
          <w:sz w:val="18"/>
          <w:szCs w:val="18"/>
          <w:color w:val="FF0000"/>
          <w:strike w:val="1"/>
        </w:rPr>
        <w:t>pay</w:t>
      </w:r>
      <w:r>
        <w:rPr>
          <w:rFonts w:ascii="Arial" w:cs="Arial" w:eastAsia="Arial" w:hAnsi="Arial"/>
          <w:sz w:val="18"/>
          <w:szCs w:val="18"/>
          <w:b w:val="1"/>
          <w:bCs w:val="1"/>
          <w:u w:val="single" w:color="auto"/>
          <w:color w:val="0000FF"/>
          <w:highlight w:val="lightGray"/>
          <w:strike w:val="1"/>
        </w:rPr>
        <w:t>make cash Restricted Payments under this</w:t>
      </w:r>
      <w:r>
        <w:rPr>
          <w:rFonts w:ascii="Arial" w:cs="Arial" w:eastAsia="Arial" w:hAnsi="Arial"/>
          <w:sz w:val="18"/>
          <w:szCs w:val="18"/>
          <w:color w:val="000000"/>
          <w:strike w:val="1"/>
        </w:rPr>
        <w:t xml:space="preserve"> </w:t>
      </w:r>
      <w:r>
        <w:rPr>
          <w:rFonts w:ascii="Arial" w:cs="Arial" w:eastAsia="Arial" w:hAnsi="Arial"/>
          <w:sz w:val="18"/>
          <w:szCs w:val="18"/>
          <w:b w:val="1"/>
          <w:bCs w:val="1"/>
          <w:u w:val="single" w:color="auto"/>
          <w:color w:val="0000FF"/>
          <w:highlight w:val="lightGray"/>
          <w:strike w:val="1"/>
        </w:rPr>
        <w:t>clause (d) shall be limited to</w:t>
      </w:r>
      <w:r>
        <w:rPr>
          <w:rFonts w:ascii="Arial" w:cs="Arial" w:eastAsia="Arial" w:hAnsi="Arial"/>
          <w:sz w:val="18"/>
          <w:szCs w:val="18"/>
          <w:b w:val="1"/>
          <w:bCs w:val="1"/>
          <w:color w:val="0000FF"/>
          <w:highlight w:val="lightGray"/>
          <w:strike w:val="1"/>
        </w:rPr>
        <w:t xml:space="preserve"> </w:t>
      </w:r>
      <w:r>
        <w:rPr>
          <w:rFonts w:ascii="Arial" w:cs="Arial" w:eastAsia="Arial" w:hAnsi="Arial"/>
          <w:sz w:val="18"/>
          <w:szCs w:val="18"/>
          <w:color w:val="000000"/>
          <w:strike w:val="1"/>
        </w:rPr>
        <w:t>pro rata</w:t>
      </w:r>
      <w:r>
        <w:rPr>
          <w:rFonts w:ascii="Arial" w:cs="Arial" w:eastAsia="Arial" w:hAnsi="Arial"/>
          <w:sz w:val="18"/>
          <w:szCs w:val="18"/>
          <w:b w:val="1"/>
          <w:bCs w:val="1"/>
          <w:color w:val="0000FF"/>
          <w:highlight w:val="lightGray"/>
          <w:strike w:val="1"/>
        </w:rPr>
        <w:t xml:space="preserve"> </w:t>
      </w:r>
      <w:r>
        <w:rPr>
          <w:rFonts w:ascii="Arial" w:cs="Arial" w:eastAsia="Arial" w:hAnsi="Arial"/>
          <w:sz w:val="18"/>
          <w:szCs w:val="18"/>
          <w:b w:val="1"/>
          <w:bCs w:val="1"/>
          <w:u w:val="single" w:color="auto"/>
          <w:color w:val="0000FF"/>
          <w:highlight w:val="lightGray"/>
          <w:strike w:val="1"/>
        </w:rPr>
        <w:t>cash</w:t>
      </w:r>
      <w:r>
        <w:rPr>
          <w:rFonts w:ascii="Arial" w:cs="Arial" w:eastAsia="Arial" w:hAnsi="Arial"/>
          <w:sz w:val="18"/>
          <w:szCs w:val="18"/>
          <w:b w:val="1"/>
          <w:bCs w:val="1"/>
          <w:color w:val="0000FF"/>
          <w:highlight w:val="lightGray"/>
          <w:strike w:val="1"/>
        </w:rPr>
        <w:t xml:space="preserve"> </w:t>
      </w:r>
      <w:r>
        <w:rPr>
          <w:rFonts w:ascii="Arial" w:cs="Arial" w:eastAsia="Arial" w:hAnsi="Arial"/>
          <w:sz w:val="18"/>
          <w:szCs w:val="18"/>
          <w:color w:val="000000"/>
          <w:strike w:val="1"/>
        </w:rPr>
        <w:t>dividends on its Equity Interests</w:t>
      </w:r>
      <w:r>
        <w:rPr>
          <w:rFonts w:ascii="Arial" w:cs="Arial" w:eastAsia="Arial" w:hAnsi="Arial"/>
          <w:sz w:val="18"/>
          <w:szCs w:val="18"/>
          <w:b w:val="1"/>
          <w:bCs w:val="1"/>
          <w:color w:val="0000FF"/>
          <w:highlight w:val="lightGray"/>
          <w:strike w:val="1"/>
        </w:rPr>
        <w:t xml:space="preserve"> </w:t>
      </w:r>
      <w:r>
        <w:rPr>
          <w:rFonts w:ascii="Arial" w:cs="Arial" w:eastAsia="Arial" w:hAnsi="Arial"/>
          <w:sz w:val="18"/>
          <w:szCs w:val="18"/>
          <w:color w:val="FF0000"/>
          <w:strike w:val="1"/>
        </w:rPr>
        <w:t>or make</w:t>
      </w:r>
      <w:r>
        <w:rPr>
          <w:rFonts w:ascii="Arial" w:cs="Arial" w:eastAsia="Arial" w:hAnsi="Arial"/>
          <w:sz w:val="18"/>
          <w:szCs w:val="18"/>
          <w:b w:val="1"/>
          <w:bCs w:val="1"/>
          <w:u w:val="single" w:color="auto"/>
          <w:color w:val="0000FF"/>
          <w:highlight w:val="lightGray"/>
          <w:strike w:val="1"/>
        </w:rPr>
        <w:t>and</w:t>
      </w:r>
      <w:r>
        <w:rPr>
          <w:rFonts w:ascii="Arial" w:cs="Arial" w:eastAsia="Arial" w:hAnsi="Arial"/>
          <w:sz w:val="18"/>
          <w:szCs w:val="18"/>
          <w:b w:val="1"/>
          <w:bCs w:val="1"/>
          <w:color w:val="0000FF"/>
          <w:highlight w:val="lightGray"/>
          <w:strike w:val="1"/>
        </w:rPr>
        <w:t xml:space="preserve"> </w:t>
      </w:r>
      <w:r>
        <w:rPr>
          <w:rFonts w:ascii="Arial" w:cs="Arial" w:eastAsia="Arial" w:hAnsi="Arial"/>
          <w:sz w:val="18"/>
          <w:szCs w:val="18"/>
          <w:color w:val="000000"/>
          <w:strike w:val="1"/>
        </w:rPr>
        <w:t>pro rata</w:t>
      </w:r>
      <w:r>
        <w:rPr>
          <w:rFonts w:ascii="Arial" w:cs="Arial" w:eastAsia="Arial" w:hAnsi="Arial"/>
          <w:sz w:val="18"/>
          <w:szCs w:val="18"/>
          <w:b w:val="1"/>
          <w:bCs w:val="1"/>
          <w:color w:val="0000FF"/>
          <w:highlight w:val="lightGray"/>
          <w:strike w:val="1"/>
        </w:rPr>
        <w:t xml:space="preserve"> </w:t>
      </w:r>
      <w:r>
        <w:rPr>
          <w:rFonts w:ascii="Arial" w:cs="Arial" w:eastAsia="Arial" w:hAnsi="Arial"/>
          <w:sz w:val="18"/>
          <w:szCs w:val="18"/>
          <w:b w:val="1"/>
          <w:bCs w:val="1"/>
          <w:u w:val="single" w:color="auto"/>
          <w:color w:val="0000FF"/>
          <w:highlight w:val="lightGray"/>
          <w:strike w:val="1"/>
        </w:rPr>
        <w:t>cash</w:t>
      </w:r>
      <w:r>
        <w:rPr>
          <w:rFonts w:ascii="Arial" w:cs="Arial" w:eastAsia="Arial" w:hAnsi="Arial"/>
          <w:sz w:val="18"/>
          <w:szCs w:val="18"/>
          <w:b w:val="1"/>
          <w:bCs w:val="1"/>
          <w:color w:val="0000FF"/>
          <w:highlight w:val="lightGray"/>
          <w:strike w:val="1"/>
        </w:rPr>
        <w:t xml:space="preserve"> </w:t>
      </w:r>
      <w:r>
        <w:rPr>
          <w:rFonts w:ascii="Arial" w:cs="Arial" w:eastAsia="Arial" w:hAnsi="Arial"/>
          <w:sz w:val="18"/>
          <w:szCs w:val="18"/>
          <w:color w:val="000000"/>
          <w:strike w:val="1"/>
        </w:rPr>
        <w:t>distributions with respect</w:t>
      </w:r>
      <w:r>
        <w:rPr>
          <w:rFonts w:ascii="Arial" w:cs="Arial" w:eastAsia="Arial" w:hAnsi="Arial"/>
          <w:sz w:val="18"/>
          <w:szCs w:val="18"/>
          <w:b w:val="1"/>
          <w:bCs w:val="1"/>
          <w:color w:val="0000FF"/>
          <w:highlight w:val="lightGray"/>
          <w:strike w:val="1"/>
        </w:rPr>
        <w:t xml:space="preserve"> </w:t>
      </w:r>
      <w:r>
        <w:rPr>
          <w:rFonts w:ascii="Arial" w:cs="Arial" w:eastAsia="Arial" w:hAnsi="Arial"/>
          <w:sz w:val="18"/>
          <w:szCs w:val="18"/>
          <w:color w:val="000000"/>
          <w:strike w:val="1"/>
        </w:rPr>
        <w:t>thereto in an amount that will result in the REIT receiving the minimum amount of funds required to be distributed to its equityholders in order for the REIT to maintain its status as a Real Estate Investment Trust for federal and state income tax purposes</w:t>
      </w:r>
      <w:r>
        <w:rPr>
          <w:rFonts w:ascii="Arial" w:cs="Arial" w:eastAsia="Arial" w:hAnsi="Arial"/>
          <w:sz w:val="18"/>
          <w:szCs w:val="18"/>
          <w:color w:val="FF0000"/>
          <w:strike w:val="1"/>
        </w:rPr>
        <w:t>; and</w:t>
      </w:r>
      <w:r>
        <w:rPr>
          <w:rFonts w:ascii="Arial" w:cs="Arial" w:eastAsia="Arial" w:hAnsi="Arial"/>
          <w:sz w:val="18"/>
          <w:szCs w:val="18"/>
          <w:color w:val="000000"/>
          <w:strike w:val="1"/>
        </w:rPr>
        <w:t xml:space="preserve"> </w:t>
      </w:r>
      <w:r>
        <w:rPr>
          <w:rFonts w:ascii="Arial" w:cs="Arial" w:eastAsia="Arial" w:hAnsi="Arial"/>
          <w:sz w:val="18"/>
          <w:szCs w:val="18"/>
          <w:b w:val="1"/>
          <w:bCs w:val="1"/>
          <w:u w:val="single" w:color="auto"/>
          <w:color w:val="0000FF"/>
          <w:highlight w:val="lightGray"/>
          <w:strike w:val="1"/>
        </w:rPr>
        <w:t>and avoid</w:t>
      </w:r>
      <w:r>
        <w:rPr>
          <w:rFonts w:ascii="Arial" w:cs="Arial" w:eastAsia="Arial" w:hAnsi="Arial"/>
          <w:sz w:val="18"/>
          <w:szCs w:val="18"/>
          <w:color w:val="000000"/>
          <w:strike w:val="1"/>
        </w:rPr>
        <w:t xml:space="preserve"> </w:t>
      </w:r>
      <w:r>
        <w:rPr>
          <w:rFonts w:ascii="Arial" w:cs="Arial" w:eastAsia="Arial" w:hAnsi="Arial"/>
          <w:sz w:val="18"/>
          <w:szCs w:val="18"/>
          <w:b w:val="1"/>
          <w:bCs w:val="1"/>
          <w:u w:val="single" w:color="auto"/>
          <w:color w:val="0000FF"/>
          <w:highlight w:val="lightGray"/>
          <w:strike w:val="1"/>
        </w:rPr>
        <w:t>the payment of federal and state income taxes and excise taxes and (ii) the Borrower shall not be permitted to make cash Restricted Payments under this clause (d) following (1) the acceleration of the Obligations pursuant to Section 8.02 or (2) the occurrence of any Event of Default under Section 8.01(f) or (g) with respect to the Borrower or the REIT; and</w:t>
      </w:r>
    </w:p>
    <w:p>
      <w:pPr>
        <w:spacing w:after="0" w:line="194" w:lineRule="exact"/>
        <w:rPr>
          <w:rFonts w:ascii="Arial" w:cs="Arial" w:eastAsia="Arial" w:hAnsi="Arial"/>
          <w:sz w:val="18"/>
          <w:szCs w:val="18"/>
          <w:color w:val="auto"/>
        </w:rPr>
      </w:pPr>
    </w:p>
    <w:p>
      <w:pPr>
        <w:ind w:left="600" w:right="260" w:firstLine="599"/>
        <w:spacing w:after="0" w:line="272" w:lineRule="auto"/>
        <w:tabs>
          <w:tab w:leader="none" w:pos="2021" w:val="left"/>
        </w:tabs>
        <w:numPr>
          <w:ilvl w:val="0"/>
          <w:numId w:val="360"/>
        </w:numPr>
        <w:rPr>
          <w:rFonts w:ascii="Arial" w:cs="Arial" w:eastAsia="Arial" w:hAnsi="Arial"/>
          <w:sz w:val="20"/>
          <w:szCs w:val="20"/>
          <w:color w:val="auto"/>
        </w:rPr>
      </w:pPr>
      <w:r>
        <w:rPr>
          <w:rFonts w:ascii="Arial" w:cs="Arial" w:eastAsia="Arial" w:hAnsi="Arial"/>
          <w:sz w:val="20"/>
          <w:szCs w:val="20"/>
          <w:color w:val="auto"/>
        </w:rPr>
        <w:t xml:space="preserve">the REIT shall be permitted to dividend or distribute to the holders of its Equity Interests any amounts received by the REIT pursuant to </w:t>
      </w:r>
      <w:r>
        <w:rPr>
          <w:rFonts w:ascii="Arial" w:cs="Arial" w:eastAsia="Arial" w:hAnsi="Arial"/>
          <w:sz w:val="20"/>
          <w:szCs w:val="20"/>
          <w:u w:val="single" w:color="auto"/>
          <w:color w:val="auto"/>
        </w:rPr>
        <w:t>Section 7.06(d)</w:t>
      </w:r>
      <w:r>
        <w:rPr>
          <w:rFonts w:ascii="Arial" w:cs="Arial" w:eastAsia="Arial" w:hAnsi="Arial"/>
          <w:sz w:val="20"/>
          <w:szCs w:val="20"/>
          <w:color w:val="auto"/>
        </w:rPr>
        <w:t>.</w:t>
      </w:r>
    </w:p>
    <w:p>
      <w:pPr>
        <w:spacing w:after="0" w:line="191" w:lineRule="exact"/>
        <w:rPr>
          <w:sz w:val="20"/>
          <w:szCs w:val="20"/>
          <w:color w:val="auto"/>
        </w:rPr>
      </w:pPr>
    </w:p>
    <w:p>
      <w:pPr>
        <w:jc w:val="both"/>
        <w:ind w:firstLine="1199"/>
        <w:spacing w:after="0" w:line="260" w:lineRule="auto"/>
        <w:rPr>
          <w:sz w:val="20"/>
          <w:szCs w:val="20"/>
          <w:color w:val="auto"/>
        </w:rPr>
      </w:pPr>
      <w:r>
        <w:rPr>
          <w:rFonts w:ascii="Arial" w:cs="Arial" w:eastAsia="Arial" w:hAnsi="Arial"/>
          <w:sz w:val="20"/>
          <w:szCs w:val="20"/>
          <w:color w:val="auto"/>
        </w:rPr>
        <w:t xml:space="preserve">7.07. </w:t>
      </w:r>
      <w:r>
        <w:rPr>
          <w:rFonts w:ascii="Arial" w:cs="Arial" w:eastAsia="Arial" w:hAnsi="Arial"/>
          <w:sz w:val="20"/>
          <w:szCs w:val="20"/>
          <w:u w:val="single" w:color="auto"/>
          <w:color w:val="auto"/>
        </w:rPr>
        <w:t>Change in Nature of Business</w:t>
      </w:r>
      <w:r>
        <w:rPr>
          <w:rFonts w:ascii="Arial" w:cs="Arial" w:eastAsia="Arial" w:hAnsi="Arial"/>
          <w:sz w:val="20"/>
          <w:szCs w:val="20"/>
          <w:color w:val="auto"/>
        </w:rPr>
        <w:t xml:space="preserve">. Engage in any material line of business substantially different from those lines of business conducted by the REIT, the Borrower and their respective Subsidiaries on the </w:t>
      </w:r>
      <w:r>
        <w:rPr>
          <w:rFonts w:ascii="Arial" w:cs="Arial" w:eastAsia="Arial" w:hAnsi="Arial"/>
          <w:sz w:val="20"/>
          <w:szCs w:val="20"/>
          <w:color w:val="FF0000"/>
          <w:strike w:val="1"/>
        </w:rPr>
        <w:t>date hereof</w:t>
      </w:r>
      <w:r>
        <w:rPr>
          <w:rFonts w:ascii="Arial" w:cs="Arial" w:eastAsia="Arial" w:hAnsi="Arial"/>
          <w:sz w:val="20"/>
          <w:szCs w:val="20"/>
          <w:b w:val="1"/>
          <w:bCs w:val="1"/>
          <w:u w:val="single" w:color="auto"/>
          <w:color w:val="0000FF"/>
          <w:highlight w:val="lightGray"/>
        </w:rPr>
        <w:t>Third Amendment Effective Date</w:t>
      </w:r>
      <w:r>
        <w:rPr>
          <w:rFonts w:ascii="Arial" w:cs="Arial" w:eastAsia="Arial" w:hAnsi="Arial"/>
          <w:sz w:val="20"/>
          <w:szCs w:val="20"/>
          <w:color w:val="auto"/>
        </w:rPr>
        <w:t xml:space="preserve"> or any business substantially related or incidental thereto.</w:t>
      </w:r>
    </w:p>
    <w:p>
      <w:pPr>
        <w:spacing w:after="0" w:line="202" w:lineRule="exact"/>
        <w:rPr>
          <w:sz w:val="20"/>
          <w:szCs w:val="20"/>
          <w:color w:val="auto"/>
        </w:rPr>
      </w:pPr>
    </w:p>
    <w:p>
      <w:pPr>
        <w:jc w:val="both"/>
        <w:ind w:firstLine="1199"/>
        <w:spacing w:after="0" w:line="267" w:lineRule="auto"/>
        <w:rPr>
          <w:sz w:val="20"/>
          <w:szCs w:val="20"/>
          <w:color w:val="auto"/>
        </w:rPr>
      </w:pPr>
      <w:r>
        <w:rPr>
          <w:rFonts w:ascii="Arial" w:cs="Arial" w:eastAsia="Arial" w:hAnsi="Arial"/>
          <w:sz w:val="19"/>
          <w:szCs w:val="19"/>
          <w:color w:val="auto"/>
        </w:rPr>
        <w:t xml:space="preserve">7.08. </w:t>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 xml:space="preserve">. Enter into any transaction of any kind with any Affiliate of the REIT, whether or not in the ordinary course of business, other than on fair and reasonable terms substantially as favorable to the REIT or a Subsidiary thereof as would be obtainable by the REIT or such Subsidiary at the time in a comparable arm’s length transaction with a Person other than an Affiliate;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restriction shall not apply to (i) transactions between or among </w:t>
      </w:r>
      <w:r>
        <w:rPr>
          <w:rFonts w:ascii="Arial" w:cs="Arial" w:eastAsia="Arial" w:hAnsi="Arial"/>
          <w:sz w:val="19"/>
          <w:szCs w:val="19"/>
          <w:color w:val="FF0000"/>
          <w:strike w:val="1"/>
        </w:rPr>
        <w:t>the</w:t>
      </w:r>
      <w:r>
        <w:rPr>
          <w:rFonts w:ascii="Arial" w:cs="Arial" w:eastAsia="Arial" w:hAnsi="Arial"/>
          <w:sz w:val="19"/>
          <w:szCs w:val="19"/>
          <w:b w:val="1"/>
          <w:bCs w:val="1"/>
          <w:u w:val="single" w:color="auto"/>
          <w:color w:val="0000FF"/>
          <w:highlight w:val="lightGray"/>
        </w:rPr>
        <w:t>any</w:t>
      </w:r>
      <w:r>
        <w:rPr>
          <w:rFonts w:ascii="Arial" w:cs="Arial" w:eastAsia="Arial" w:hAnsi="Arial"/>
          <w:sz w:val="19"/>
          <w:szCs w:val="19"/>
          <w:color w:val="auto"/>
        </w:rPr>
        <w:t xml:space="preserve"> Loan </w:t>
      </w:r>
      <w:r>
        <w:rPr>
          <w:rFonts w:ascii="Arial" w:cs="Arial" w:eastAsia="Arial" w:hAnsi="Arial"/>
          <w:sz w:val="19"/>
          <w:szCs w:val="19"/>
          <w:color w:val="FF0000"/>
          <w:strike w:val="1"/>
        </w:rPr>
        <w:t>Parties</w:t>
      </w:r>
      <w:r>
        <w:rPr>
          <w:rFonts w:ascii="Arial" w:cs="Arial" w:eastAsia="Arial" w:hAnsi="Arial"/>
          <w:sz w:val="19"/>
          <w:szCs w:val="19"/>
          <w:b w:val="1"/>
          <w:bCs w:val="1"/>
          <w:u w:val="single" w:color="auto"/>
          <w:color w:val="0000FF"/>
          <w:highlight w:val="lightGray"/>
        </w:rPr>
        <w:t>Party and any Wholly Owned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highlight w:val="lightGray"/>
        </w:rPr>
        <w:t>Subsidiary</w:t>
      </w:r>
      <w:r>
        <w:rPr>
          <w:rFonts w:ascii="Arial" w:cs="Arial" w:eastAsia="Arial" w:hAnsi="Arial"/>
          <w:sz w:val="19"/>
          <w:szCs w:val="19"/>
          <w:color w:val="000000"/>
        </w:rPr>
        <w:t>, (ii) transactions between or among Subsidiaries that are not</w:t>
      </w:r>
      <w:r>
        <w:rPr>
          <w:rFonts w:ascii="Arial" w:cs="Arial" w:eastAsia="Arial" w:hAnsi="Arial"/>
          <w:sz w:val="19"/>
          <w:szCs w:val="19"/>
          <w:b w:val="1"/>
          <w:bCs w:val="1"/>
          <w:color w:val="0000FF"/>
          <w:highlight w:val="lightGray"/>
        </w:rPr>
        <w:t xml:space="preserve"> </w:t>
      </w:r>
      <w:r>
        <w:rPr>
          <w:rFonts w:ascii="Arial" w:cs="Arial" w:eastAsia="Arial" w:hAnsi="Arial"/>
          <w:sz w:val="19"/>
          <w:szCs w:val="19"/>
          <w:color w:val="FF0000"/>
          <w:strike w:val="1"/>
        </w:rPr>
        <w:t>Loan Parties, and at any time after the occurrence of the Permitted</w:t>
      </w:r>
      <w:r>
        <w:rPr>
          <w:rFonts w:ascii="Arial" w:cs="Arial" w:eastAsia="Arial" w:hAnsi="Arial"/>
          <w:sz w:val="19"/>
          <w:szCs w:val="19"/>
          <w:b w:val="1"/>
          <w:bCs w:val="1"/>
          <w:color w:val="0000FF"/>
          <w:highlight w:val="lightGray"/>
        </w:rPr>
        <w:t xml:space="preserve"> </w:t>
      </w:r>
      <w:r>
        <w:rPr>
          <w:rFonts w:ascii="Arial" w:cs="Arial" w:eastAsia="Arial" w:hAnsi="Arial"/>
          <w:sz w:val="19"/>
          <w:szCs w:val="19"/>
          <w:color w:val="FF0000"/>
          <w:strike w:val="1"/>
        </w:rPr>
        <w:t>Subsidiary Guarantor Release, transactions between or among the Loan Parties and</w:t>
      </w:r>
      <w:r>
        <w:rPr>
          <w:rFonts w:ascii="Arial" w:cs="Arial" w:eastAsia="Arial" w:hAnsi="Arial"/>
          <w:sz w:val="19"/>
          <w:szCs w:val="19"/>
          <w:color w:val="FF0000"/>
        </w:rPr>
        <w:t xml:space="preserve"> </w:t>
      </w:r>
      <w:r>
        <w:rPr>
          <w:rFonts w:ascii="Arial" w:cs="Arial" w:eastAsia="Arial" w:hAnsi="Arial"/>
          <w:sz w:val="19"/>
          <w:szCs w:val="19"/>
          <w:color w:val="000000"/>
        </w:rPr>
        <w:t>Wholly Owned Subsidiaries</w:t>
      </w:r>
      <w:r>
        <w:rPr>
          <w:rFonts w:ascii="Arial" w:cs="Arial" w:eastAsia="Arial" w:hAnsi="Arial"/>
          <w:sz w:val="19"/>
          <w:szCs w:val="19"/>
          <w:color w:val="FF0000"/>
        </w:rPr>
        <w:t xml:space="preserve"> </w:t>
      </w:r>
      <w:r>
        <w:rPr>
          <w:rFonts w:ascii="Arial" w:cs="Arial" w:eastAsia="Arial" w:hAnsi="Arial"/>
          <w:sz w:val="19"/>
          <w:szCs w:val="19"/>
          <w:color w:val="FF0000"/>
          <w:strike w:val="1"/>
        </w:rPr>
        <w:t>of any of the Loan Parties</w:t>
      </w:r>
      <w:r>
        <w:rPr>
          <w:rFonts w:ascii="Arial" w:cs="Arial" w:eastAsia="Arial" w:hAnsi="Arial"/>
          <w:sz w:val="19"/>
          <w:szCs w:val="19"/>
          <w:color w:val="FF0000"/>
        </w:rPr>
        <w:t xml:space="preserve"> </w:t>
      </w:r>
      <w:r>
        <w:rPr>
          <w:rFonts w:ascii="Arial" w:cs="Arial" w:eastAsia="Arial" w:hAnsi="Arial"/>
          <w:sz w:val="19"/>
          <w:szCs w:val="19"/>
          <w:color w:val="000000"/>
        </w:rPr>
        <w:t>and</w:t>
      </w:r>
      <w:r>
        <w:rPr>
          <w:rFonts w:ascii="Arial" w:cs="Arial" w:eastAsia="Arial" w:hAnsi="Arial"/>
          <w:sz w:val="19"/>
          <w:szCs w:val="19"/>
          <w:color w:val="FF0000"/>
        </w:rPr>
        <w:t xml:space="preserve"> </w:t>
      </w:r>
      <w:r>
        <w:rPr>
          <w:rFonts w:ascii="Arial" w:cs="Arial" w:eastAsia="Arial" w:hAnsi="Arial"/>
          <w:sz w:val="19"/>
          <w:szCs w:val="19"/>
          <w:color w:val="000000"/>
        </w:rPr>
        <w:t>(iii) Investments and Restricted Payments expressly permitted hereunder.</w:t>
      </w:r>
    </w:p>
    <w:p>
      <w:pPr>
        <w:spacing w:after="0" w:line="197" w:lineRule="exact"/>
        <w:rPr>
          <w:sz w:val="20"/>
          <w:szCs w:val="20"/>
          <w:color w:val="auto"/>
        </w:rPr>
      </w:pPr>
    </w:p>
    <w:p>
      <w:pPr>
        <w:jc w:val="both"/>
        <w:ind w:firstLine="1199"/>
        <w:spacing w:after="0" w:line="251" w:lineRule="auto"/>
        <w:rPr>
          <w:sz w:val="20"/>
          <w:szCs w:val="20"/>
          <w:color w:val="auto"/>
        </w:rPr>
      </w:pPr>
      <w:r>
        <w:rPr>
          <w:rFonts w:ascii="Arial" w:cs="Arial" w:eastAsia="Arial" w:hAnsi="Arial"/>
          <w:sz w:val="20"/>
          <w:szCs w:val="20"/>
          <w:color w:val="auto"/>
        </w:rPr>
        <w:t xml:space="preserve">7.09. </w:t>
      </w:r>
      <w:r>
        <w:rPr>
          <w:rFonts w:ascii="Arial" w:cs="Arial" w:eastAsia="Arial" w:hAnsi="Arial"/>
          <w:sz w:val="20"/>
          <w:szCs w:val="20"/>
          <w:u w:val="single" w:color="auto"/>
          <w:color w:val="auto"/>
        </w:rPr>
        <w:t>Burdensome Agreements</w:t>
      </w:r>
      <w:r>
        <w:rPr>
          <w:rFonts w:ascii="Arial" w:cs="Arial" w:eastAsia="Arial" w:hAnsi="Arial"/>
          <w:sz w:val="20"/>
          <w:szCs w:val="20"/>
          <w:color w:val="auto"/>
        </w:rPr>
        <w:t xml:space="preserve">. Enter into any Contractual Obligation (other than this Agreement or any other Loan Document) that limits the ability of (i) any Loan Party </w:t>
      </w:r>
      <w:r>
        <w:rPr>
          <w:rFonts w:ascii="Arial" w:cs="Arial" w:eastAsia="Arial" w:hAnsi="Arial"/>
          <w:sz w:val="20"/>
          <w:szCs w:val="20"/>
          <w:color w:val="FF0000"/>
          <w:strike w:val="1"/>
        </w:rPr>
        <w:t>(or, following a Permitted Subsidiary Guarantor Release, any Loan Party</w:t>
      </w:r>
      <w:r>
        <w:rPr>
          <w:rFonts w:ascii="Arial" w:cs="Arial" w:eastAsia="Arial" w:hAnsi="Arial"/>
          <w:sz w:val="20"/>
          <w:szCs w:val="20"/>
          <w:color w:val="auto"/>
        </w:rPr>
        <w:t xml:space="preserve"> or any Wholly Owned Subsidiary of the Borrower that is a Direct Owner or Indirect Owner of an Unencumbered Eligible Property</w:t>
      </w:r>
      <w:r>
        <w:rPr>
          <w:rFonts w:ascii="Arial" w:cs="Arial" w:eastAsia="Arial" w:hAnsi="Arial"/>
          <w:sz w:val="20"/>
          <w:szCs w:val="20"/>
          <w:color w:val="FF0000"/>
          <w:strike w:val="1"/>
        </w:rPr>
        <w:t>)</w:t>
      </w:r>
      <w:r>
        <w:rPr>
          <w:rFonts w:ascii="Arial" w:cs="Arial" w:eastAsia="Arial" w:hAnsi="Arial"/>
          <w:sz w:val="20"/>
          <w:szCs w:val="20"/>
          <w:color w:val="auto"/>
        </w:rPr>
        <w:t xml:space="preserve"> to make Restricted Payments to the REIT, the Borrower, any Guarantor or to otherwise transfer property to the Borrower or any Guarantor, (ii) the REIT or any other Guarantor to Guarantee the Indebtedness </w:t>
      </w:r>
      <w:r>
        <w:rPr>
          <w:rFonts w:ascii="Arial" w:cs="Arial" w:eastAsia="Arial" w:hAnsi="Arial"/>
          <w:sz w:val="20"/>
          <w:szCs w:val="20"/>
          <w:color w:val="FF0000"/>
          <w:strike w:val="1"/>
        </w:rPr>
        <w:t>of</w:t>
      </w:r>
      <w:r>
        <w:rPr>
          <w:rFonts w:ascii="Arial" w:cs="Arial" w:eastAsia="Arial" w:hAnsi="Arial"/>
          <w:sz w:val="20"/>
          <w:szCs w:val="20"/>
          <w:b w:val="1"/>
          <w:bCs w:val="1"/>
          <w:u w:val="single" w:color="auto"/>
          <w:color w:val="0000FF"/>
          <w:highlight w:val="lightGray"/>
        </w:rPr>
        <w:t>owed by</w:t>
      </w:r>
      <w:r>
        <w:rPr>
          <w:rFonts w:ascii="Arial" w:cs="Arial" w:eastAsia="Arial" w:hAnsi="Arial"/>
          <w:sz w:val="20"/>
          <w:szCs w:val="20"/>
          <w:color w:val="auto"/>
        </w:rPr>
        <w:t xml:space="preserve"> the Borrower under this Agreement or (iii) </w:t>
      </w:r>
      <w:r>
        <w:rPr>
          <w:rFonts w:ascii="Arial" w:cs="Arial" w:eastAsia="Arial" w:hAnsi="Arial"/>
          <w:sz w:val="20"/>
          <w:szCs w:val="20"/>
          <w:color w:val="FF0000"/>
          <w:strike w:val="1"/>
        </w:rPr>
        <w:t>any Loan Party (or, following a</w:t>
      </w:r>
      <w:r>
        <w:rPr>
          <w:rFonts w:ascii="Arial" w:cs="Arial" w:eastAsia="Arial" w:hAnsi="Arial"/>
          <w:sz w:val="20"/>
          <w:szCs w:val="20"/>
          <w:color w:val="auto"/>
        </w:rPr>
        <w:t xml:space="preserve"> </w:t>
      </w:r>
      <w:r>
        <w:rPr>
          <w:rFonts w:ascii="Arial" w:cs="Arial" w:eastAsia="Arial" w:hAnsi="Arial"/>
          <w:sz w:val="20"/>
          <w:szCs w:val="20"/>
          <w:color w:val="FF0000"/>
          <w:strike w:val="1"/>
        </w:rPr>
        <w:t>Permitted Subsidiary Guarantor Release,</w:t>
      </w:r>
      <w:r>
        <w:rPr>
          <w:rFonts w:ascii="Arial" w:cs="Arial" w:eastAsia="Arial" w:hAnsi="Arial"/>
          <w:sz w:val="20"/>
          <w:szCs w:val="20"/>
          <w:color w:val="FF0000"/>
        </w:rPr>
        <w:t xml:space="preserve"> </w:t>
      </w:r>
      <w:r>
        <w:rPr>
          <w:rFonts w:ascii="Arial" w:cs="Arial" w:eastAsia="Arial" w:hAnsi="Arial"/>
          <w:sz w:val="20"/>
          <w:szCs w:val="20"/>
          <w:color w:val="000000"/>
        </w:rPr>
        <w:t>any Loan Party or any Wholly Owned Subsidiary of the Borrower that is a Direct Owner or</w:t>
      </w:r>
      <w:r>
        <w:rPr>
          <w:rFonts w:ascii="Arial" w:cs="Arial" w:eastAsia="Arial" w:hAnsi="Arial"/>
          <w:sz w:val="20"/>
          <w:szCs w:val="20"/>
          <w:color w:val="FF0000"/>
        </w:rPr>
        <w:t xml:space="preserve"> </w:t>
      </w:r>
      <w:r>
        <w:rPr>
          <w:rFonts w:ascii="Arial" w:cs="Arial" w:eastAsia="Arial" w:hAnsi="Arial"/>
          <w:sz w:val="20"/>
          <w:szCs w:val="20"/>
          <w:b w:val="1"/>
          <w:bCs w:val="1"/>
          <w:u w:val="single" w:color="auto"/>
          <w:color w:val="0000FF"/>
          <w:highlight w:val="lightGray"/>
        </w:rPr>
        <w:t>an</w:t>
      </w:r>
      <w:r>
        <w:rPr>
          <w:rFonts w:ascii="Arial" w:cs="Arial" w:eastAsia="Arial" w:hAnsi="Arial"/>
          <w:sz w:val="20"/>
          <w:szCs w:val="20"/>
          <w:color w:val="FF0000"/>
        </w:rPr>
        <w:t xml:space="preserve"> </w:t>
      </w:r>
      <w:r>
        <w:rPr>
          <w:rFonts w:ascii="Arial" w:cs="Arial" w:eastAsia="Arial" w:hAnsi="Arial"/>
          <w:sz w:val="20"/>
          <w:szCs w:val="20"/>
          <w:color w:val="000000"/>
        </w:rPr>
        <w:t xml:space="preserve">Indirect Owner </w:t>
      </w:r>
      <w:r>
        <w:rPr>
          <w:rFonts w:ascii="Arial" w:cs="Arial" w:eastAsia="Arial" w:hAnsi="Arial"/>
          <w:sz w:val="20"/>
          <w:szCs w:val="20"/>
          <w:color w:val="FF0000"/>
          <w:strike w:val="1"/>
        </w:rPr>
        <w:t>of an Unencumbered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794" w:right="239" w:bottom="1440" w:gutter="0" w:footer="0" w:header="0"/>
        </w:sectPr>
      </w:pPr>
    </w:p>
    <w:bookmarkStart w:id="313" w:name="page314"/>
    <w:bookmarkEnd w:id="313"/>
    <w:p>
      <w:pPr>
        <w:jc w:val="both"/>
        <w:spacing w:after="0" w:line="265" w:lineRule="auto"/>
        <w:rPr>
          <w:sz w:val="20"/>
          <w:szCs w:val="20"/>
          <w:color w:val="auto"/>
        </w:rPr>
      </w:pPr>
      <w:r>
        <w:rPr>
          <w:rFonts w:ascii="Arial" w:cs="Arial" w:eastAsia="Arial" w:hAnsi="Arial"/>
          <w:sz w:val="19"/>
          <w:szCs w:val="19"/>
          <w:color w:val="FF0000"/>
          <w:strike w:val="1"/>
        </w:rPr>
        <w:t>Eligible Property)</w:t>
      </w:r>
      <w:r>
        <w:rPr>
          <w:rFonts w:ascii="Arial" w:cs="Arial" w:eastAsia="Arial" w:hAnsi="Arial"/>
          <w:sz w:val="19"/>
          <w:szCs w:val="19"/>
          <w:color w:val="FF0000"/>
        </w:rPr>
        <w:t xml:space="preserve"> </w:t>
      </w:r>
      <w:r>
        <w:rPr>
          <w:rFonts w:ascii="Arial" w:cs="Arial" w:eastAsia="Arial" w:hAnsi="Arial"/>
          <w:sz w:val="19"/>
          <w:szCs w:val="19"/>
          <w:color w:val="000000"/>
        </w:rPr>
        <w:t>to create, incur, assume or suffer to exist Liens on Unencumbered Eligible Properties or the Equity Interests of any</w:t>
      </w:r>
      <w:r>
        <w:rPr>
          <w:rFonts w:ascii="Arial" w:cs="Arial" w:eastAsia="Arial" w:hAnsi="Arial"/>
          <w:sz w:val="19"/>
          <w:szCs w:val="19"/>
          <w:color w:val="FF0000"/>
        </w:rPr>
        <w:t xml:space="preserve"> </w:t>
      </w:r>
      <w:r>
        <w:rPr>
          <w:rFonts w:ascii="Arial" w:cs="Arial" w:eastAsia="Arial" w:hAnsi="Arial"/>
          <w:sz w:val="19"/>
          <w:szCs w:val="19"/>
          <w:color w:val="FF0000"/>
          <w:strike w:val="1"/>
        </w:rPr>
        <w:t>Person</w:t>
      </w:r>
      <w:r>
        <w:rPr>
          <w:rFonts w:ascii="Arial" w:cs="Arial" w:eastAsia="Arial" w:hAnsi="Arial"/>
          <w:sz w:val="19"/>
          <w:szCs w:val="19"/>
          <w:color w:val="FF0000"/>
        </w:rPr>
        <w:t xml:space="preserve"> </w:t>
      </w:r>
      <w:r>
        <w:rPr>
          <w:rFonts w:ascii="Arial" w:cs="Arial" w:eastAsia="Arial" w:hAnsi="Arial"/>
          <w:sz w:val="19"/>
          <w:szCs w:val="19"/>
          <w:color w:val="FF0000"/>
          <w:strike w:val="1"/>
        </w:rPr>
        <w:t>that owns, or ground leases under an Eligible Ground Lease, an Unencumbered Eligible Property (or the Equity Interests of any Subsidiary of the Borrower that directly or indirectly owns any Equity Interests in such Person)</w:t>
      </w:r>
      <w:r>
        <w:rPr>
          <w:rFonts w:ascii="Arial" w:cs="Arial" w:eastAsia="Arial" w:hAnsi="Arial"/>
          <w:sz w:val="19"/>
          <w:szCs w:val="19"/>
          <w:b w:val="1"/>
          <w:bCs w:val="1"/>
          <w:u w:val="single" w:color="auto"/>
          <w:color w:val="0000FF"/>
          <w:highlight w:val="lightGray"/>
          <w:strike w:val="1"/>
        </w:rPr>
        <w:t>Direct Owner or Indirect Owner</w:t>
      </w:r>
      <w:r>
        <w:rPr>
          <w:rFonts w:ascii="Arial" w:cs="Arial" w:eastAsia="Arial" w:hAnsi="Arial"/>
          <w:sz w:val="19"/>
          <w:szCs w:val="19"/>
          <w:color w:val="000000"/>
          <w:strike w:val="1"/>
        </w:rPr>
        <w:t>;</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00"/>
          <w:strike w:val="1"/>
        </w:rPr>
        <w:t>provided</w:t>
      </w:r>
      <w:r>
        <w:rPr>
          <w:rFonts w:ascii="Arial" w:cs="Arial" w:eastAsia="Arial" w:hAnsi="Arial"/>
          <w:sz w:val="19"/>
          <w:szCs w:val="19"/>
          <w:color w:val="000000"/>
          <w:strike w:val="1"/>
        </w:rPr>
        <w:t>,</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00"/>
          <w:strike w:val="1"/>
        </w:rPr>
        <w:t>further</w:t>
      </w:r>
      <w:r>
        <w:rPr>
          <w:rFonts w:ascii="Arial" w:cs="Arial" w:eastAsia="Arial" w:hAnsi="Arial"/>
          <w:sz w:val="19"/>
          <w:szCs w:val="19"/>
          <w:color w:val="000000"/>
          <w:strike w:val="1"/>
        </w:rPr>
        <w:t>, that</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 xml:space="preserve">this </w:t>
      </w:r>
      <w:r>
        <w:rPr>
          <w:rFonts w:ascii="Arial" w:cs="Arial" w:eastAsia="Arial" w:hAnsi="Arial"/>
          <w:sz w:val="19"/>
          <w:szCs w:val="19"/>
          <w:u w:val="single" w:color="auto"/>
          <w:color w:val="000000"/>
          <w:strike w:val="1"/>
        </w:rPr>
        <w:t>Section 7.09</w:t>
      </w:r>
      <w:r>
        <w:rPr>
          <w:rFonts w:ascii="Arial" w:cs="Arial" w:eastAsia="Arial" w:hAnsi="Arial"/>
          <w:sz w:val="19"/>
          <w:szCs w:val="19"/>
          <w:color w:val="000000"/>
          <w:strike w:val="1"/>
        </w:rPr>
        <w:t xml:space="preserve"> shall not prohibit (1) </w:t>
      </w:r>
      <w:r>
        <w:rPr>
          <w:rFonts w:ascii="Arial" w:cs="Arial" w:eastAsia="Arial" w:hAnsi="Arial"/>
          <w:sz w:val="19"/>
          <w:szCs w:val="19"/>
          <w:color w:val="FF0000"/>
          <w:strike w:val="1"/>
        </w:rPr>
        <w:t>the restrictions on Liens, assignments and transfers of assets existing on the Closing Date and set forth</w:t>
      </w:r>
      <w:r>
        <w:rPr>
          <w:rFonts w:ascii="Arial" w:cs="Arial" w:eastAsia="Arial" w:hAnsi="Arial"/>
          <w:sz w:val="19"/>
          <w:szCs w:val="19"/>
          <w:color w:val="000000"/>
          <w:strike w:val="1"/>
        </w:rPr>
        <w:t xml:space="preserve"> </w:t>
      </w:r>
      <w:r>
        <w:rPr>
          <w:rFonts w:ascii="Arial" w:cs="Arial" w:eastAsia="Arial" w:hAnsi="Arial"/>
          <w:sz w:val="19"/>
          <w:szCs w:val="19"/>
          <w:color w:val="FF0000"/>
          <w:strike w:val="1"/>
        </w:rPr>
        <w:t xml:space="preserve">on </w:t>
      </w:r>
      <w:r>
        <w:rPr>
          <w:rFonts w:ascii="Arial" w:cs="Arial" w:eastAsia="Arial" w:hAnsi="Arial"/>
          <w:sz w:val="19"/>
          <w:szCs w:val="19"/>
          <w:u w:val="single" w:color="auto"/>
          <w:color w:val="FF0000"/>
          <w:strike w:val="1"/>
        </w:rPr>
        <w:t>Schedule 7.09</w:t>
      </w:r>
      <w:r>
        <w:rPr>
          <w:rFonts w:ascii="Arial" w:cs="Arial" w:eastAsia="Arial" w:hAnsi="Arial"/>
          <w:sz w:val="19"/>
          <w:szCs w:val="19"/>
          <w:color w:val="FF0000"/>
          <w:strike w:val="1"/>
        </w:rPr>
        <w:t xml:space="preserve">, (2) </w:t>
      </w:r>
      <w:r>
        <w:rPr>
          <w:rFonts w:ascii="Arial" w:cs="Arial" w:eastAsia="Arial" w:hAnsi="Arial"/>
          <w:sz w:val="19"/>
          <w:szCs w:val="19"/>
          <w:color w:val="000000"/>
          <w:strike w:val="1"/>
        </w:rPr>
        <w:t>Permitted Unencumbered Property Liens and (</w:t>
      </w:r>
      <w:r>
        <w:rPr>
          <w:rFonts w:ascii="Arial" w:cs="Arial" w:eastAsia="Arial" w:hAnsi="Arial"/>
          <w:sz w:val="19"/>
          <w:szCs w:val="19"/>
          <w:color w:val="FF0000"/>
          <w:strike w:val="1"/>
        </w:rPr>
        <w:t>3</w:t>
      </w:r>
      <w:r>
        <w:rPr>
          <w:rFonts w:ascii="Arial" w:cs="Arial" w:eastAsia="Arial" w:hAnsi="Arial"/>
          <w:sz w:val="19"/>
          <w:szCs w:val="19"/>
          <w:b w:val="1"/>
          <w:bCs w:val="1"/>
          <w:u w:val="single" w:color="auto"/>
          <w:color w:val="0000FF"/>
          <w:highlight w:val="lightGray"/>
          <w:strike w:val="1"/>
        </w:rPr>
        <w:t>2</w:t>
      </w:r>
      <w:r>
        <w:rPr>
          <w:rFonts w:ascii="Arial" w:cs="Arial" w:eastAsia="Arial" w:hAnsi="Arial"/>
          <w:sz w:val="19"/>
          <w:szCs w:val="19"/>
          <w:color w:val="000000"/>
          <w:strike w:val="1"/>
        </w:rPr>
        <w:t>) customary restrictions on Liens, assignments and transfers of assets</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contained in leases, licenses and other Contractual Obligations entered into in the ordinary course of business that (x) do not prevent the grant of a Lien on any Unencumbered Eligible Property to secure the Obligations, (y) would not prevent a mortgagee of an Unencumbered Eligible Property from transferring such Unencumbered Eligible Property in the event such mortgagee were to foreclose on its Lien on such Portfolio Property and (z) do not materially impair or interfere in the use or operations of such assets or the Administrative Agent’s and the Lenders’ rights and remedies under the Loan Documents.</w:t>
      </w:r>
    </w:p>
    <w:p>
      <w:pPr>
        <w:spacing w:after="0" w:line="198" w:lineRule="exact"/>
        <w:rPr>
          <w:sz w:val="20"/>
          <w:szCs w:val="20"/>
          <w:color w:val="auto"/>
        </w:rPr>
      </w:pPr>
    </w:p>
    <w:p>
      <w:pPr>
        <w:jc w:val="both"/>
        <w:ind w:firstLine="1199"/>
        <w:spacing w:after="0" w:line="280" w:lineRule="auto"/>
        <w:rPr>
          <w:sz w:val="20"/>
          <w:szCs w:val="20"/>
          <w:color w:val="auto"/>
        </w:rPr>
      </w:pPr>
      <w:r>
        <w:rPr>
          <w:rFonts w:ascii="Arial" w:cs="Arial" w:eastAsia="Arial" w:hAnsi="Arial"/>
          <w:sz w:val="19"/>
          <w:szCs w:val="19"/>
          <w:color w:val="auto"/>
        </w:rPr>
        <w:t xml:space="preserve">7.10. </w:t>
      </w:r>
      <w:r>
        <w:rPr>
          <w:rFonts w:ascii="Arial" w:cs="Arial" w:eastAsia="Arial" w:hAnsi="Arial"/>
          <w:sz w:val="19"/>
          <w:szCs w:val="19"/>
          <w:u w:val="single" w:color="auto"/>
          <w:color w:val="auto"/>
        </w:rPr>
        <w:t>Use of Proceeds</w:t>
      </w:r>
      <w:r>
        <w:rPr>
          <w:rFonts w:ascii="Arial" w:cs="Arial" w:eastAsia="Arial" w:hAnsi="Arial"/>
          <w:sz w:val="19"/>
          <w:szCs w:val="19"/>
          <w:color w:val="auto"/>
        </w:rPr>
        <w:t>. 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85" w:lineRule="exact"/>
        <w:rPr>
          <w:sz w:val="20"/>
          <w:szCs w:val="20"/>
          <w:color w:val="auto"/>
        </w:rPr>
      </w:pPr>
    </w:p>
    <w:p>
      <w:pPr>
        <w:ind w:left="1200"/>
        <w:spacing w:after="0"/>
        <w:tabs>
          <w:tab w:leader="none" w:pos="1780" w:val="left"/>
        </w:tabs>
        <w:rPr>
          <w:sz w:val="20"/>
          <w:szCs w:val="20"/>
          <w:color w:val="auto"/>
        </w:rPr>
      </w:pPr>
      <w:r>
        <w:rPr>
          <w:rFonts w:ascii="Arial" w:cs="Arial" w:eastAsia="Arial" w:hAnsi="Arial"/>
          <w:sz w:val="20"/>
          <w:szCs w:val="20"/>
          <w:color w:val="auto"/>
        </w:rPr>
        <w:t>7.11.</w:t>
      </w:r>
      <w:r>
        <w:rPr>
          <w:sz w:val="20"/>
          <w:szCs w:val="20"/>
          <w:color w:val="auto"/>
        </w:rPr>
        <w:tab/>
      </w:r>
      <w:r>
        <w:rPr>
          <w:rFonts w:ascii="Arial" w:cs="Arial" w:eastAsia="Arial" w:hAnsi="Arial"/>
          <w:sz w:val="17"/>
          <w:szCs w:val="17"/>
          <w:u w:val="single" w:color="auto"/>
          <w:color w:val="auto"/>
        </w:rPr>
        <w:t>Financial Covenants</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p>
    <w:p>
      <w:pPr>
        <w:spacing w:after="0" w:line="7" w:lineRule="exact"/>
        <w:rPr>
          <w:sz w:val="20"/>
          <w:szCs w:val="20"/>
          <w:color w:val="auto"/>
        </w:rPr>
      </w:pPr>
    </w:p>
    <w:p>
      <w:pPr>
        <w:jc w:val="both"/>
        <w:ind w:left="600" w:firstLine="599"/>
        <w:spacing w:after="0" w:line="250" w:lineRule="auto"/>
        <w:tabs>
          <w:tab w:leader="none" w:pos="1496" w:val="left"/>
        </w:tabs>
        <w:numPr>
          <w:ilvl w:val="0"/>
          <w:numId w:val="361"/>
        </w:numPr>
        <w:rPr>
          <w:rFonts w:ascii="Arial" w:cs="Arial" w:eastAsia="Arial" w:hAnsi="Arial"/>
          <w:sz w:val="20"/>
          <w:szCs w:val="20"/>
          <w:color w:val="FF0000"/>
          <w:strike w:val="1"/>
        </w:rPr>
      </w:pPr>
      <w:r>
        <w:rPr>
          <w:rFonts w:ascii="Arial" w:cs="Arial" w:eastAsia="Arial" w:hAnsi="Arial"/>
          <w:sz w:val="20"/>
          <w:szCs w:val="20"/>
          <w:u w:val="single" w:color="auto"/>
          <w:color w:val="FF0000"/>
          <w:strike w:val="1"/>
        </w:rPr>
        <w:t>Consolidated Tangible Net Worth</w:t>
      </w:r>
      <w:r>
        <w:rPr>
          <w:rFonts w:ascii="Arial" w:cs="Arial" w:eastAsia="Arial" w:hAnsi="Arial"/>
          <w:sz w:val="20"/>
          <w:szCs w:val="20"/>
          <w:color w:val="FF0000"/>
          <w:strike w:val="1"/>
        </w:rPr>
        <w:t>. Permit Consolidated Tangible Net Worth at any time to be less than the sum of (i)</w:t>
      </w:r>
      <w:r>
        <w:rPr>
          <w:rFonts w:ascii="Arial" w:cs="Arial" w:eastAsia="Arial" w:hAnsi="Arial"/>
          <w:sz w:val="20"/>
          <w:szCs w:val="20"/>
          <w:u w:val="single" w:color="auto"/>
          <w:color w:val="FF0000"/>
          <w:strike w:val="1"/>
        </w:rPr>
        <w:t xml:space="preserve"> </w:t>
      </w:r>
      <w:r>
        <w:rPr>
          <w:rFonts w:ascii="Arial" w:cs="Arial" w:eastAsia="Arial" w:hAnsi="Arial"/>
          <w:sz w:val="20"/>
          <w:szCs w:val="20"/>
          <w:color w:val="FF0000"/>
          <w:strike w:val="1"/>
        </w:rPr>
        <w:t>$854,316,000 and (ii) 75% of the Net Cash Proceeds received by the REIT from issuances and sales of Equity Interests of the REIT occurring after the Closing Date (other than any such Net Cash Proceeds received in connection with any dividend reinvestment program).</w:t>
      </w:r>
    </w:p>
    <w:p>
      <w:pPr>
        <w:spacing w:after="0" w:line="212" w:lineRule="exact"/>
        <w:rPr>
          <w:sz w:val="20"/>
          <w:szCs w:val="20"/>
          <w:color w:val="auto"/>
        </w:rPr>
      </w:pPr>
    </w:p>
    <w:p>
      <w:pPr>
        <w:ind w:left="2020" w:hanging="821"/>
        <w:spacing w:after="0"/>
        <w:tabs>
          <w:tab w:leader="none" w:pos="2020" w:val="left"/>
        </w:tabs>
        <w:numPr>
          <w:ilvl w:val="0"/>
          <w:numId w:val="362"/>
        </w:numPr>
        <w:rPr>
          <w:rFonts w:ascii="Arial" w:cs="Arial" w:eastAsia="Arial" w:hAnsi="Arial"/>
          <w:sz w:val="17"/>
          <w:szCs w:val="17"/>
          <w:color w:val="auto"/>
        </w:rPr>
      </w:pPr>
      <w:r>
        <w:rPr>
          <w:rFonts w:ascii="Arial" w:cs="Arial" w:eastAsia="Arial" w:hAnsi="Arial"/>
          <w:sz w:val="17"/>
          <w:szCs w:val="17"/>
          <w:color w:val="FF0000"/>
          <w:strike w:val="1"/>
        </w:rPr>
        <w:t>(b)</w:t>
      </w:r>
      <w:r>
        <w:rPr>
          <w:rFonts w:ascii="Arial" w:cs="Arial" w:eastAsia="Arial" w:hAnsi="Arial"/>
          <w:sz w:val="17"/>
          <w:szCs w:val="17"/>
          <w:color w:val="FF0000"/>
        </w:rPr>
        <w:t xml:space="preserve"> </w:t>
      </w:r>
      <w:r>
        <w:rPr>
          <w:rFonts w:ascii="Arial" w:cs="Arial" w:eastAsia="Arial" w:hAnsi="Arial"/>
          <w:sz w:val="17"/>
          <w:szCs w:val="17"/>
          <w:u w:val="single" w:color="auto"/>
          <w:color w:val="000000"/>
        </w:rPr>
        <w:t>Consolidated Secured Leverage Ratio</w:t>
      </w:r>
      <w:r>
        <w:rPr>
          <w:rFonts w:ascii="Arial" w:cs="Arial" w:eastAsia="Arial" w:hAnsi="Arial"/>
          <w:sz w:val="17"/>
          <w:szCs w:val="17"/>
          <w:color w:val="000000"/>
        </w:rPr>
        <w:t>. Permit the Consolidated Secured Leverage Ratio to be greater than 40% at</w:t>
      </w:r>
    </w:p>
    <w:p>
      <w:pPr>
        <w:spacing w:after="0" w:line="57"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20"/>
          <w:szCs w:val="20"/>
          <w:color w:val="auto"/>
        </w:rPr>
        <w:t>any time.</w:t>
      </w:r>
    </w:p>
    <w:p>
      <w:pPr>
        <w:spacing w:after="0" w:line="228" w:lineRule="exact"/>
        <w:rPr>
          <w:rFonts w:ascii="Arial" w:cs="Arial" w:eastAsia="Arial" w:hAnsi="Arial"/>
          <w:sz w:val="17"/>
          <w:szCs w:val="17"/>
          <w:color w:val="auto"/>
        </w:rPr>
      </w:pPr>
    </w:p>
    <w:p>
      <w:pPr>
        <w:ind w:left="2040" w:hanging="841"/>
        <w:spacing w:after="0"/>
        <w:tabs>
          <w:tab w:leader="none" w:pos="2040" w:val="left"/>
        </w:tabs>
        <w:numPr>
          <w:ilvl w:val="0"/>
          <w:numId w:val="362"/>
        </w:numPr>
        <w:rPr>
          <w:rFonts w:ascii="Arial" w:cs="Arial" w:eastAsia="Arial" w:hAnsi="Arial"/>
          <w:sz w:val="18"/>
          <w:szCs w:val="18"/>
          <w:color w:val="auto"/>
        </w:rPr>
      </w:pPr>
      <w:r>
        <w:rPr>
          <w:rFonts w:ascii="Arial" w:cs="Arial" w:eastAsia="Arial" w:hAnsi="Arial"/>
          <w:sz w:val="18"/>
          <w:szCs w:val="18"/>
          <w:color w:val="FF0000"/>
          <w:strike w:val="1"/>
        </w:rPr>
        <w:t>(c)</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Consolidated Total Leverage Ratio</w:t>
      </w:r>
      <w:r>
        <w:rPr>
          <w:rFonts w:ascii="Arial" w:cs="Arial" w:eastAsia="Arial" w:hAnsi="Arial"/>
          <w:sz w:val="18"/>
          <w:szCs w:val="18"/>
          <w:color w:val="000000"/>
        </w:rPr>
        <w:t>. Permit the Consolidated Total Leverage Ratio at any time to be greater than</w:t>
      </w:r>
    </w:p>
    <w:p>
      <w:pPr>
        <w:spacing w:after="0" w:line="46"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20"/>
          <w:szCs w:val="20"/>
          <w:color w:val="auto"/>
        </w:rPr>
        <w:t>60%.</w:t>
      </w:r>
    </w:p>
    <w:p>
      <w:pPr>
        <w:spacing w:after="0" w:line="228" w:lineRule="exact"/>
        <w:rPr>
          <w:rFonts w:ascii="Arial" w:cs="Arial" w:eastAsia="Arial" w:hAnsi="Arial"/>
          <w:sz w:val="18"/>
          <w:szCs w:val="18"/>
          <w:color w:val="auto"/>
        </w:rPr>
      </w:pPr>
    </w:p>
    <w:p>
      <w:pPr>
        <w:ind w:left="600" w:firstLine="599"/>
        <w:spacing w:after="0" w:line="272" w:lineRule="auto"/>
        <w:tabs>
          <w:tab w:leader="none" w:pos="2021" w:val="left"/>
        </w:tabs>
        <w:numPr>
          <w:ilvl w:val="0"/>
          <w:numId w:val="362"/>
        </w:numPr>
        <w:rPr>
          <w:rFonts w:ascii="Arial" w:cs="Arial" w:eastAsia="Arial" w:hAnsi="Arial"/>
          <w:sz w:val="20"/>
          <w:szCs w:val="20"/>
          <w:color w:val="auto"/>
        </w:rPr>
      </w:pPr>
      <w:r>
        <w:rPr>
          <w:rFonts w:ascii="Arial" w:cs="Arial" w:eastAsia="Arial" w:hAnsi="Arial"/>
          <w:sz w:val="20"/>
          <w:szCs w:val="20"/>
          <w:color w:val="FF0000"/>
          <w:strike w:val="1"/>
        </w:rPr>
        <w:t>(d)</w:t>
      </w:r>
      <w:r>
        <w:rPr>
          <w:rFonts w:ascii="Arial" w:cs="Arial" w:eastAsia="Arial" w:hAnsi="Arial"/>
          <w:sz w:val="20"/>
          <w:szCs w:val="20"/>
          <w:color w:val="FF0000"/>
        </w:rPr>
        <w:t xml:space="preserve"> </w:t>
      </w:r>
      <w:r>
        <w:rPr>
          <w:rFonts w:ascii="Arial" w:cs="Arial" w:eastAsia="Arial" w:hAnsi="Arial"/>
          <w:sz w:val="20"/>
          <w:szCs w:val="20"/>
          <w:u w:val="single" w:color="auto"/>
          <w:color w:val="000000"/>
        </w:rPr>
        <w:t>Consolidated Fixed Charge Coverage Ratio</w:t>
      </w:r>
      <w:r>
        <w:rPr>
          <w:rFonts w:ascii="Arial" w:cs="Arial" w:eastAsia="Arial" w:hAnsi="Arial"/>
          <w:sz w:val="20"/>
          <w:szCs w:val="20"/>
          <w:color w:val="000000"/>
        </w:rPr>
        <w:t>. Permit the Consolidated Fixed Charge Coverage Ratio as of the last</w:t>
      </w:r>
      <w:r>
        <w:rPr>
          <w:rFonts w:ascii="Arial" w:cs="Arial" w:eastAsia="Arial" w:hAnsi="Arial"/>
          <w:sz w:val="20"/>
          <w:szCs w:val="20"/>
          <w:color w:val="FF0000"/>
        </w:rPr>
        <w:t xml:space="preserve"> </w:t>
      </w:r>
      <w:r>
        <w:rPr>
          <w:rFonts w:ascii="Arial" w:cs="Arial" w:eastAsia="Arial" w:hAnsi="Arial"/>
          <w:sz w:val="20"/>
          <w:szCs w:val="20"/>
          <w:color w:val="000000"/>
        </w:rPr>
        <w:t>day of any fiscal quarter of the REIT to be less than 1.50 to 1.00.</w:t>
      </w:r>
    </w:p>
    <w:p>
      <w:pPr>
        <w:spacing w:after="0" w:line="190" w:lineRule="exact"/>
        <w:rPr>
          <w:rFonts w:ascii="Arial" w:cs="Arial" w:eastAsia="Arial" w:hAnsi="Arial"/>
          <w:sz w:val="20"/>
          <w:szCs w:val="20"/>
          <w:color w:val="auto"/>
        </w:rPr>
      </w:pPr>
    </w:p>
    <w:p>
      <w:pPr>
        <w:ind w:left="600" w:firstLine="599"/>
        <w:spacing w:after="0" w:line="272" w:lineRule="auto"/>
        <w:tabs>
          <w:tab w:leader="none" w:pos="2032" w:val="left"/>
        </w:tabs>
        <w:numPr>
          <w:ilvl w:val="0"/>
          <w:numId w:val="362"/>
        </w:numPr>
        <w:rPr>
          <w:rFonts w:ascii="Arial" w:cs="Arial" w:eastAsia="Arial" w:hAnsi="Arial"/>
          <w:sz w:val="20"/>
          <w:szCs w:val="20"/>
          <w:color w:val="auto"/>
        </w:rPr>
      </w:pPr>
      <w:r>
        <w:rPr>
          <w:rFonts w:ascii="Arial" w:cs="Arial" w:eastAsia="Arial" w:hAnsi="Arial"/>
          <w:sz w:val="20"/>
          <w:szCs w:val="20"/>
          <w:color w:val="FF0000"/>
          <w:strike w:val="1"/>
        </w:rPr>
        <w:t>(e)</w:t>
      </w:r>
      <w:r>
        <w:rPr>
          <w:rFonts w:ascii="Arial" w:cs="Arial" w:eastAsia="Arial" w:hAnsi="Arial"/>
          <w:sz w:val="20"/>
          <w:szCs w:val="20"/>
          <w:color w:val="FF0000"/>
        </w:rPr>
        <w:t xml:space="preserve"> </w:t>
      </w:r>
      <w:r>
        <w:rPr>
          <w:rFonts w:ascii="Arial" w:cs="Arial" w:eastAsia="Arial" w:hAnsi="Arial"/>
          <w:sz w:val="20"/>
          <w:szCs w:val="20"/>
          <w:u w:val="single" w:color="auto"/>
          <w:color w:val="000000"/>
        </w:rPr>
        <w:t>Consolidated Unsecured Interest Coverage Ratio</w:t>
      </w:r>
      <w:r>
        <w:rPr>
          <w:rFonts w:ascii="Arial" w:cs="Arial" w:eastAsia="Arial" w:hAnsi="Arial"/>
          <w:sz w:val="20"/>
          <w:szCs w:val="20"/>
          <w:color w:val="000000"/>
        </w:rPr>
        <w:t>. Permit the Consolidated Unsecured Interest Coverage Ratio as</w:t>
      </w:r>
      <w:r>
        <w:rPr>
          <w:rFonts w:ascii="Arial" w:cs="Arial" w:eastAsia="Arial" w:hAnsi="Arial"/>
          <w:sz w:val="20"/>
          <w:szCs w:val="20"/>
          <w:color w:val="FF0000"/>
        </w:rPr>
        <w:t xml:space="preserve"> </w:t>
      </w:r>
      <w:r>
        <w:rPr>
          <w:rFonts w:ascii="Arial" w:cs="Arial" w:eastAsia="Arial" w:hAnsi="Arial"/>
          <w:sz w:val="20"/>
          <w:szCs w:val="20"/>
          <w:color w:val="000000"/>
        </w:rPr>
        <w:t>of the last day of any fiscal quarter of the REIT to be less than 1.75 to 1.00.</w:t>
      </w:r>
    </w:p>
    <w:p>
      <w:pPr>
        <w:spacing w:after="0" w:line="190" w:lineRule="exact"/>
        <w:rPr>
          <w:rFonts w:ascii="Arial" w:cs="Arial" w:eastAsia="Arial" w:hAnsi="Arial"/>
          <w:sz w:val="20"/>
          <w:szCs w:val="20"/>
          <w:color w:val="auto"/>
        </w:rPr>
      </w:pPr>
    </w:p>
    <w:p>
      <w:pPr>
        <w:ind w:left="2020" w:hanging="821"/>
        <w:spacing w:after="0"/>
        <w:tabs>
          <w:tab w:leader="none" w:pos="2020" w:val="left"/>
        </w:tabs>
        <w:numPr>
          <w:ilvl w:val="0"/>
          <w:numId w:val="362"/>
        </w:numPr>
        <w:rPr>
          <w:rFonts w:ascii="Arial" w:cs="Arial" w:eastAsia="Arial" w:hAnsi="Arial"/>
          <w:sz w:val="18"/>
          <w:szCs w:val="18"/>
          <w:color w:val="auto"/>
        </w:rPr>
      </w:pPr>
      <w:r>
        <w:rPr>
          <w:rFonts w:ascii="Arial" w:cs="Arial" w:eastAsia="Arial" w:hAnsi="Arial"/>
          <w:sz w:val="18"/>
          <w:szCs w:val="18"/>
          <w:color w:val="FF0000"/>
          <w:strike w:val="1"/>
        </w:rPr>
        <w:t>(f)</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Consolidated Unsecured Leverage Ratio.</w:t>
      </w:r>
      <w:r>
        <w:rPr>
          <w:rFonts w:ascii="Arial" w:cs="Arial" w:eastAsia="Arial" w:hAnsi="Arial"/>
          <w:sz w:val="18"/>
          <w:szCs w:val="18"/>
          <w:color w:val="FF0000"/>
        </w:rPr>
        <w:t xml:space="preserve"> </w:t>
      </w:r>
      <w:r>
        <w:rPr>
          <w:rFonts w:ascii="Arial" w:cs="Arial" w:eastAsia="Arial" w:hAnsi="Arial"/>
          <w:sz w:val="18"/>
          <w:szCs w:val="18"/>
          <w:color w:val="000000"/>
        </w:rPr>
        <w:t>Permit the Consolidated Unsecured Leverage Ratio at any time to be</w:t>
      </w:r>
    </w:p>
    <w:p>
      <w:pPr>
        <w:spacing w:after="0" w:line="46"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20"/>
          <w:szCs w:val="20"/>
          <w:color w:val="auto"/>
        </w:rPr>
        <w:t>greater than 60%.</w:t>
      </w:r>
    </w:p>
    <w:p>
      <w:pPr>
        <w:spacing w:after="0" w:line="229" w:lineRule="exact"/>
        <w:rPr>
          <w:sz w:val="20"/>
          <w:szCs w:val="20"/>
          <w:color w:val="auto"/>
        </w:rPr>
      </w:pPr>
    </w:p>
    <w:p>
      <w:pPr>
        <w:jc w:val="both"/>
        <w:ind w:firstLine="1199"/>
        <w:spacing w:after="0" w:line="272" w:lineRule="auto"/>
        <w:rPr>
          <w:sz w:val="20"/>
          <w:szCs w:val="20"/>
          <w:color w:val="auto"/>
        </w:rPr>
      </w:pPr>
      <w:r>
        <w:rPr>
          <w:rFonts w:ascii="Arial" w:cs="Arial" w:eastAsia="Arial" w:hAnsi="Arial"/>
          <w:sz w:val="20"/>
          <w:szCs w:val="20"/>
          <w:color w:val="auto"/>
        </w:rPr>
        <w:t xml:space="preserve">7.12. </w:t>
      </w:r>
      <w:r>
        <w:rPr>
          <w:rFonts w:ascii="Arial" w:cs="Arial" w:eastAsia="Arial" w:hAnsi="Arial"/>
          <w:sz w:val="20"/>
          <w:szCs w:val="20"/>
          <w:u w:val="single" w:color="auto"/>
          <w:color w:val="auto"/>
        </w:rPr>
        <w:t>Accounting Changes</w:t>
      </w:r>
      <w:r>
        <w:rPr>
          <w:rFonts w:ascii="Arial" w:cs="Arial" w:eastAsia="Arial" w:hAnsi="Arial"/>
          <w:sz w:val="20"/>
          <w:szCs w:val="20"/>
          <w:color w:val="auto"/>
        </w:rPr>
        <w:t>. Make any change in (a) accounting policies or reporting practices, except as required or permitted by GAAP, or (b) fiscal year.</w:t>
      </w:r>
    </w:p>
    <w:p>
      <w:pPr>
        <w:spacing w:after="0" w:line="191" w:lineRule="exact"/>
        <w:rPr>
          <w:sz w:val="20"/>
          <w:szCs w:val="20"/>
          <w:color w:val="auto"/>
        </w:rPr>
      </w:pPr>
    </w:p>
    <w:p>
      <w:pPr>
        <w:jc w:val="both"/>
        <w:ind w:firstLine="1199"/>
        <w:spacing w:after="0" w:line="302"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Amendment, Waivers and Terminations of Certain Agreements</w:t>
      </w:r>
      <w:r>
        <w:rPr>
          <w:rFonts w:ascii="Arial" w:cs="Arial" w:eastAsia="Arial" w:hAnsi="Arial"/>
          <w:sz w:val="18"/>
          <w:szCs w:val="18"/>
          <w:color w:val="auto"/>
        </w:rPr>
        <w:t>. Directly or indirectly, consent to, approve, authorize or otherwise suffer or permit (a) any amendment, change, cancellation, termination or waiver in any respect of (i) the terms of any Organization Document of any Loan Party or any Subsidiary thereof that owns or ground leases an Unencumbered Eligible Property, other than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795" w:right="239" w:bottom="1440" w:gutter="0" w:footer="0" w:header="0"/>
        </w:sectPr>
      </w:pPr>
    </w:p>
    <w:bookmarkStart w:id="314" w:name="page315"/>
    <w:bookmarkEnd w:id="314"/>
    <w:p>
      <w:pPr>
        <w:jc w:val="both"/>
        <w:spacing w:after="0" w:line="251" w:lineRule="auto"/>
        <w:rPr>
          <w:sz w:val="20"/>
          <w:szCs w:val="20"/>
          <w:color w:val="auto"/>
        </w:rPr>
      </w:pPr>
      <w:r>
        <w:rPr>
          <w:rFonts w:ascii="Arial" w:cs="Arial" w:eastAsia="Arial" w:hAnsi="Arial"/>
          <w:sz w:val="20"/>
          <w:szCs w:val="20"/>
          <w:color w:val="auto"/>
        </w:rPr>
        <w:t xml:space="preserve">amendments, changes and modifications that are not adverse in any material respect to the REIT, any of the other Loan Parties, any Subsidiary thereof that owns or ground leases an Unencumbered Eligible Property, the Administrative Agent or the Lenders or (ii) the terms of any Contractual Obligation of any Loan Party or any Subsidiary thereof that owns or ground leases an Unencumbered Eligible Property, except as could not reasonably be expected to have a Material Adverse Effect or (b) any amendment, change or other modification in respect of the terms of the tax protection agreement set forth on </w:t>
      </w:r>
      <w:r>
        <w:rPr>
          <w:rFonts w:ascii="Arial" w:cs="Arial" w:eastAsia="Arial" w:hAnsi="Arial"/>
          <w:sz w:val="20"/>
          <w:szCs w:val="20"/>
          <w:u w:val="single" w:color="auto"/>
          <w:color w:val="auto"/>
        </w:rPr>
        <w:t>Schedule 5.11</w:t>
      </w:r>
      <w:r>
        <w:rPr>
          <w:rFonts w:ascii="Arial" w:cs="Arial" w:eastAsia="Arial" w:hAnsi="Arial"/>
          <w:sz w:val="20"/>
          <w:szCs w:val="20"/>
          <w:color w:val="auto"/>
        </w:rPr>
        <w:t>, other than amendments, changes and modifications that are not adverse to the REIT, any of the other Loan Parties, any Subsidiary thereof that owns or ground leases an Unencumbered Eligible Property, the Administrative Agent or the Lenders.</w:t>
      </w:r>
    </w:p>
    <w:p>
      <w:pPr>
        <w:spacing w:after="0" w:line="215" w:lineRule="exact"/>
        <w:rPr>
          <w:sz w:val="20"/>
          <w:szCs w:val="20"/>
          <w:color w:val="auto"/>
        </w:rPr>
      </w:pPr>
    </w:p>
    <w:p>
      <w:pPr>
        <w:jc w:val="both"/>
        <w:ind w:firstLine="1199"/>
        <w:spacing w:after="0" w:line="265" w:lineRule="auto"/>
        <w:rPr>
          <w:sz w:val="20"/>
          <w:szCs w:val="20"/>
          <w:color w:val="auto"/>
        </w:rPr>
      </w:pPr>
      <w:r>
        <w:rPr>
          <w:rFonts w:ascii="Arial" w:cs="Arial" w:eastAsia="Arial" w:hAnsi="Arial"/>
          <w:sz w:val="19"/>
          <w:szCs w:val="19"/>
          <w:color w:val="auto"/>
        </w:rPr>
        <w:t xml:space="preserve">7.14. </w:t>
      </w:r>
      <w:r>
        <w:rPr>
          <w:rFonts w:ascii="Arial" w:cs="Arial" w:eastAsia="Arial" w:hAnsi="Arial"/>
          <w:sz w:val="19"/>
          <w:szCs w:val="19"/>
          <w:u w:val="single" w:color="auto"/>
          <w:color w:val="auto"/>
        </w:rPr>
        <w:t>Tax Sharing and Indemnification Agreements</w:t>
      </w:r>
      <w:r>
        <w:rPr>
          <w:rFonts w:ascii="Arial" w:cs="Arial" w:eastAsia="Arial" w:hAnsi="Arial"/>
          <w:sz w:val="19"/>
          <w:szCs w:val="19"/>
          <w:color w:val="auto"/>
        </w:rPr>
        <w:t xml:space="preserve">. Enter into any tax sharing, tax indemnification or other similar agreement, except for the tax protection agreement existing on the </w:t>
      </w:r>
      <w:r>
        <w:rPr>
          <w:rFonts w:ascii="Arial" w:cs="Arial" w:eastAsia="Arial" w:hAnsi="Arial"/>
          <w:sz w:val="19"/>
          <w:szCs w:val="19"/>
          <w:color w:val="FF0000"/>
          <w:strike w:val="1"/>
        </w:rPr>
        <w:t>Closing</w:t>
      </w:r>
      <w:r>
        <w:rPr>
          <w:rFonts w:ascii="Arial" w:cs="Arial" w:eastAsia="Arial" w:hAnsi="Arial"/>
          <w:sz w:val="19"/>
          <w:szCs w:val="19"/>
          <w:b w:val="1"/>
          <w:bCs w:val="1"/>
          <w:u w:val="single" w:color="auto"/>
          <w:color w:val="0000FF"/>
          <w:highlight w:val="lightGray"/>
        </w:rPr>
        <w:t>Third Amendment Effective</w:t>
      </w:r>
      <w:r>
        <w:rPr>
          <w:rFonts w:ascii="Arial" w:cs="Arial" w:eastAsia="Arial" w:hAnsi="Arial"/>
          <w:sz w:val="19"/>
          <w:szCs w:val="19"/>
          <w:color w:val="auto"/>
        </w:rPr>
        <w:t xml:space="preserve"> Date and set forth on </w:t>
      </w:r>
      <w:r>
        <w:rPr>
          <w:rFonts w:ascii="Arial" w:cs="Arial" w:eastAsia="Arial" w:hAnsi="Arial"/>
          <w:sz w:val="19"/>
          <w:szCs w:val="19"/>
          <w:u w:val="single" w:color="auto"/>
          <w:color w:val="auto"/>
        </w:rPr>
        <w:t>Schedule 5.11</w:t>
      </w:r>
      <w:r>
        <w:rPr>
          <w:rFonts w:ascii="Arial" w:cs="Arial" w:eastAsia="Arial" w:hAnsi="Arial"/>
          <w:sz w:val="19"/>
          <w:szCs w:val="19"/>
          <w:color w:val="auto"/>
        </w:rPr>
        <w:t xml:space="preserve"> and any such other agreements entered into after the </w:t>
      </w:r>
      <w:r>
        <w:rPr>
          <w:rFonts w:ascii="Arial" w:cs="Arial" w:eastAsia="Arial" w:hAnsi="Arial"/>
          <w:sz w:val="19"/>
          <w:szCs w:val="19"/>
          <w:color w:val="FF0000"/>
          <w:strike w:val="1"/>
        </w:rPr>
        <w:t>Closing</w:t>
      </w:r>
      <w:r>
        <w:rPr>
          <w:rFonts w:ascii="Arial" w:cs="Arial" w:eastAsia="Arial" w:hAnsi="Arial"/>
          <w:sz w:val="19"/>
          <w:szCs w:val="19"/>
          <w:b w:val="1"/>
          <w:bCs w:val="1"/>
          <w:u w:val="single" w:color="auto"/>
          <w:color w:val="0000FF"/>
          <w:highlight w:val="lightGray"/>
        </w:rPr>
        <w:t>Third Amendment Effective</w:t>
      </w:r>
      <w:r>
        <w:rPr>
          <w:rFonts w:ascii="Arial" w:cs="Arial" w:eastAsia="Arial" w:hAnsi="Arial"/>
          <w:sz w:val="19"/>
          <w:szCs w:val="19"/>
          <w:color w:val="auto"/>
        </w:rPr>
        <w:t xml:space="preserve"> Date that (i) are not </w:t>
      </w:r>
      <w:r>
        <w:rPr>
          <w:rFonts w:ascii="Arial" w:cs="Arial" w:eastAsia="Arial" w:hAnsi="Arial"/>
          <w:sz w:val="19"/>
          <w:szCs w:val="19"/>
          <w:b w:val="1"/>
          <w:bCs w:val="1"/>
          <w:u w:val="single" w:color="auto"/>
          <w:color w:val="0000FF"/>
          <w:highlight w:val="lightGray"/>
        </w:rPr>
        <w:t>materially</w:t>
      </w:r>
      <w:r>
        <w:rPr>
          <w:rFonts w:ascii="Arial" w:cs="Arial" w:eastAsia="Arial" w:hAnsi="Arial"/>
          <w:sz w:val="19"/>
          <w:szCs w:val="19"/>
          <w:color w:val="auto"/>
        </w:rPr>
        <w:t xml:space="preserve"> more onerous on the Borrower than the agreement set forth on </w:t>
      </w:r>
      <w:r>
        <w:rPr>
          <w:rFonts w:ascii="Arial" w:cs="Arial" w:eastAsia="Arial" w:hAnsi="Arial"/>
          <w:sz w:val="19"/>
          <w:szCs w:val="19"/>
          <w:u w:val="single" w:color="auto"/>
          <w:color w:val="auto"/>
        </w:rPr>
        <w:t>Schedule 5.11</w:t>
      </w:r>
      <w:r>
        <w:rPr>
          <w:rFonts w:ascii="Arial" w:cs="Arial" w:eastAsia="Arial" w:hAnsi="Arial"/>
          <w:sz w:val="19"/>
          <w:szCs w:val="19"/>
          <w:color w:val="auto"/>
        </w:rPr>
        <w:t xml:space="preserve"> (as in effect on the </w:t>
      </w:r>
      <w:r>
        <w:rPr>
          <w:rFonts w:ascii="Arial" w:cs="Arial" w:eastAsia="Arial" w:hAnsi="Arial"/>
          <w:sz w:val="19"/>
          <w:szCs w:val="19"/>
          <w:color w:val="FF0000"/>
          <w:strike w:val="1"/>
        </w:rPr>
        <w:t>Closing</w:t>
      </w:r>
      <w:r>
        <w:rPr>
          <w:rFonts w:ascii="Arial" w:cs="Arial" w:eastAsia="Arial" w:hAnsi="Arial"/>
          <w:sz w:val="19"/>
          <w:szCs w:val="19"/>
          <w:b w:val="1"/>
          <w:bCs w:val="1"/>
          <w:u w:val="single" w:color="auto"/>
          <w:color w:val="0000FF"/>
          <w:highlight w:val="lightGray"/>
        </w:rPr>
        <w:t>Third Amendment Effective</w:t>
      </w:r>
      <w:r>
        <w:rPr>
          <w:rFonts w:ascii="Arial" w:cs="Arial" w:eastAsia="Arial" w:hAnsi="Arial"/>
          <w:sz w:val="19"/>
          <w:szCs w:val="19"/>
          <w:color w:val="auto"/>
        </w:rPr>
        <w:t xml:space="preserve"> Date) and (ii) do not have terms, provisions, covenants, obligations, indemnification provisions or remedies that are </w:t>
      </w:r>
      <w:r>
        <w:rPr>
          <w:rFonts w:ascii="Arial" w:cs="Arial" w:eastAsia="Arial" w:hAnsi="Arial"/>
          <w:sz w:val="19"/>
          <w:szCs w:val="19"/>
          <w:b w:val="1"/>
          <w:bCs w:val="1"/>
          <w:u w:val="single" w:color="auto"/>
          <w:color w:val="0000FF"/>
          <w:highlight w:val="lightGray"/>
        </w:rPr>
        <w:t>materially</w:t>
      </w:r>
      <w:r>
        <w:rPr>
          <w:rFonts w:ascii="Arial" w:cs="Arial" w:eastAsia="Arial" w:hAnsi="Arial"/>
          <w:sz w:val="19"/>
          <w:szCs w:val="19"/>
          <w:color w:val="auto"/>
        </w:rPr>
        <w:t xml:space="preserve"> more adverse to, or </w:t>
      </w:r>
      <w:r>
        <w:rPr>
          <w:rFonts w:ascii="Arial" w:cs="Arial" w:eastAsia="Arial" w:hAnsi="Arial"/>
          <w:sz w:val="19"/>
          <w:szCs w:val="19"/>
          <w:b w:val="1"/>
          <w:bCs w:val="1"/>
          <w:u w:val="single" w:color="auto"/>
          <w:color w:val="0000FF"/>
          <w:highlight w:val="lightGray"/>
        </w:rPr>
        <w:t>materially</w:t>
      </w:r>
      <w:r>
        <w:rPr>
          <w:rFonts w:ascii="Arial" w:cs="Arial" w:eastAsia="Arial" w:hAnsi="Arial"/>
          <w:sz w:val="19"/>
          <w:szCs w:val="19"/>
          <w:color w:val="auto"/>
        </w:rPr>
        <w:t xml:space="preserve"> more burdensome on, the Borrower than those contained in the agreement set forth on </w:t>
      </w:r>
      <w:r>
        <w:rPr>
          <w:rFonts w:ascii="Arial" w:cs="Arial" w:eastAsia="Arial" w:hAnsi="Arial"/>
          <w:sz w:val="19"/>
          <w:szCs w:val="19"/>
          <w:u w:val="single" w:color="auto"/>
          <w:color w:val="auto"/>
        </w:rPr>
        <w:t>Schedule 5.11</w:t>
      </w:r>
      <w:r>
        <w:rPr>
          <w:rFonts w:ascii="Arial" w:cs="Arial" w:eastAsia="Arial" w:hAnsi="Arial"/>
          <w:sz w:val="19"/>
          <w:szCs w:val="19"/>
          <w:color w:val="auto"/>
        </w:rPr>
        <w:t xml:space="preserve"> (as in effect on the </w:t>
      </w:r>
      <w:r>
        <w:rPr>
          <w:rFonts w:ascii="Arial" w:cs="Arial" w:eastAsia="Arial" w:hAnsi="Arial"/>
          <w:sz w:val="19"/>
          <w:szCs w:val="19"/>
          <w:color w:val="FF0000"/>
          <w:strike w:val="1"/>
        </w:rPr>
        <w:t>Closing</w:t>
      </w:r>
      <w:r>
        <w:rPr>
          <w:rFonts w:ascii="Arial" w:cs="Arial" w:eastAsia="Arial" w:hAnsi="Arial"/>
          <w:sz w:val="19"/>
          <w:szCs w:val="19"/>
          <w:b w:val="1"/>
          <w:bCs w:val="1"/>
          <w:u w:val="single" w:color="auto"/>
          <w:color w:val="0000FF"/>
          <w:highlight w:val="lightGray"/>
        </w:rPr>
        <w:t>Third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highlight w:val="lightGray"/>
        </w:rPr>
        <w:t>Amendment Effective</w:t>
      </w:r>
      <w:r>
        <w:rPr>
          <w:rFonts w:ascii="Arial" w:cs="Arial" w:eastAsia="Arial" w:hAnsi="Arial"/>
          <w:sz w:val="19"/>
          <w:szCs w:val="19"/>
          <w:b w:val="1"/>
          <w:bCs w:val="1"/>
          <w:color w:val="0000FF"/>
          <w:highlight w:val="lightGray"/>
        </w:rPr>
        <w:t xml:space="preserve"> </w:t>
      </w:r>
      <w:r>
        <w:rPr>
          <w:rFonts w:ascii="Arial" w:cs="Arial" w:eastAsia="Arial" w:hAnsi="Arial"/>
          <w:sz w:val="19"/>
          <w:szCs w:val="19"/>
          <w:color w:val="000000"/>
        </w:rPr>
        <w:t>Date);</w:t>
      </w:r>
      <w:r>
        <w:rPr>
          <w:rFonts w:ascii="Arial" w:cs="Arial" w:eastAsia="Arial" w:hAnsi="Arial"/>
          <w:sz w:val="19"/>
          <w:szCs w:val="19"/>
          <w:b w:val="1"/>
          <w:bCs w:val="1"/>
          <w:color w:val="0000FF"/>
          <w:highlight w:val="lightGray"/>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000000"/>
        </w:rPr>
        <w:t>, that in no event shall any Loan Party or Subsidiary thereof (other than the Borrower) (i) have any</w:t>
      </w:r>
      <w:r>
        <w:rPr>
          <w:rFonts w:ascii="Arial" w:cs="Arial" w:eastAsia="Arial" w:hAnsi="Arial"/>
          <w:sz w:val="19"/>
          <w:szCs w:val="19"/>
          <w:b w:val="1"/>
          <w:bCs w:val="1"/>
          <w:color w:val="0000FF"/>
          <w:highlight w:val="lightGray"/>
        </w:rPr>
        <w:t xml:space="preserve"> </w:t>
      </w:r>
      <w:r>
        <w:rPr>
          <w:rFonts w:ascii="Arial" w:cs="Arial" w:eastAsia="Arial" w:hAnsi="Arial"/>
          <w:sz w:val="19"/>
          <w:szCs w:val="19"/>
          <w:color w:val="000000"/>
        </w:rPr>
        <w:t>duties or obligations under any tax sharing, tax indemnification or other similar agreement or (ii) provide any Guarantee or other credit support of any kind with respect to any such agreement.</w:t>
      </w:r>
    </w:p>
    <w:p>
      <w:pPr>
        <w:spacing w:after="0" w:line="202" w:lineRule="exact"/>
        <w:rPr>
          <w:sz w:val="20"/>
          <w:szCs w:val="20"/>
          <w:color w:val="auto"/>
        </w:rPr>
      </w:pPr>
    </w:p>
    <w:p>
      <w:pPr>
        <w:jc w:val="both"/>
        <w:ind w:firstLine="1199"/>
        <w:spacing w:after="0" w:line="273" w:lineRule="auto"/>
        <w:rPr>
          <w:sz w:val="20"/>
          <w:szCs w:val="20"/>
          <w:color w:val="auto"/>
        </w:rPr>
      </w:pPr>
      <w:r>
        <w:rPr>
          <w:rFonts w:ascii="Arial" w:cs="Arial" w:eastAsia="Arial" w:hAnsi="Arial"/>
          <w:sz w:val="19"/>
          <w:szCs w:val="19"/>
          <w:color w:val="auto"/>
        </w:rPr>
        <w:t xml:space="preserve">7.15. </w:t>
      </w:r>
      <w:r>
        <w:rPr>
          <w:rFonts w:ascii="Arial" w:cs="Arial" w:eastAsia="Arial" w:hAnsi="Arial"/>
          <w:sz w:val="19"/>
          <w:szCs w:val="19"/>
          <w:u w:val="single" w:color="auto"/>
          <w:color w:val="auto"/>
        </w:rPr>
        <w:t>Sanctions; Anti-Corruption Laws</w:t>
      </w:r>
      <w:r>
        <w:rPr>
          <w:rFonts w:ascii="Arial" w:cs="Arial" w:eastAsia="Arial" w:hAnsi="Arial"/>
          <w:sz w:val="19"/>
          <w:szCs w:val="19"/>
          <w:color w:val="auto"/>
        </w:rPr>
        <w:t>. Request any Credit Extension, or use, and shall ensure that its Subsidiaries and its or their respective directors, officers, employees and agents shall not use, the proceeds of any Credit Extension (i) in furtherance of an offer, payment, promise to pay, or authorization of the payment or giving of money, or anything else of value, to any Person in violation of any Anti-Corruption Laws or (ii) in any manner that would result in the violation of any applicable Sanctions.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EVENTS OF DEFAULT AND REMEDIES</w:t>
      </w:r>
    </w:p>
    <w:p>
      <w:pPr>
        <w:spacing w:after="0" w:line="229" w:lineRule="exact"/>
        <w:rPr>
          <w:sz w:val="20"/>
          <w:szCs w:val="20"/>
          <w:color w:val="auto"/>
        </w:rPr>
      </w:pPr>
    </w:p>
    <w:p>
      <w:pPr>
        <w:ind w:left="1200"/>
        <w:spacing w:after="0"/>
        <w:tabs>
          <w:tab w:leader="none" w:pos="1780" w:val="left"/>
        </w:tabs>
        <w:rPr>
          <w:sz w:val="20"/>
          <w:szCs w:val="20"/>
          <w:color w:val="auto"/>
        </w:rPr>
      </w:pPr>
      <w:r>
        <w:rPr>
          <w:rFonts w:ascii="Arial" w:cs="Arial" w:eastAsia="Arial" w:hAnsi="Arial"/>
          <w:sz w:val="20"/>
          <w:szCs w:val="20"/>
          <w:color w:val="auto"/>
        </w:rPr>
        <w:t>8.01.</w:t>
      </w:r>
      <w:r>
        <w:rPr>
          <w:sz w:val="20"/>
          <w:szCs w:val="20"/>
          <w:color w:val="auto"/>
        </w:rPr>
        <w:tab/>
      </w:r>
      <w:r>
        <w:rPr>
          <w:rFonts w:ascii="Arial" w:cs="Arial" w:eastAsia="Arial" w:hAnsi="Arial"/>
          <w:sz w:val="18"/>
          <w:szCs w:val="18"/>
          <w:u w:val="single" w:color="auto"/>
          <w:color w:val="auto"/>
        </w:rPr>
        <w:t>Events of Default</w:t>
      </w:r>
      <w:r>
        <w:rPr>
          <w:rFonts w:ascii="Arial" w:cs="Arial" w:eastAsia="Arial" w:hAnsi="Arial"/>
          <w:sz w:val="18"/>
          <w:szCs w:val="18"/>
          <w:color w:val="auto"/>
        </w:rPr>
        <w:t>. Any of the following shall constitute an Event of Default:</w:t>
      </w:r>
    </w:p>
    <w:p>
      <w:pPr>
        <w:spacing w:after="0" w:line="245" w:lineRule="exact"/>
        <w:rPr>
          <w:sz w:val="20"/>
          <w:szCs w:val="20"/>
          <w:color w:val="auto"/>
        </w:rPr>
      </w:pPr>
    </w:p>
    <w:p>
      <w:pPr>
        <w:jc w:val="both"/>
        <w:ind w:left="600" w:right="200" w:firstLine="599"/>
        <w:spacing w:after="0" w:line="256" w:lineRule="auto"/>
        <w:tabs>
          <w:tab w:leader="none" w:pos="2021" w:val="left"/>
        </w:tabs>
        <w:numPr>
          <w:ilvl w:val="0"/>
          <w:numId w:val="363"/>
        </w:numPr>
        <w:rPr>
          <w:rFonts w:ascii="Arial" w:cs="Arial" w:eastAsia="Arial" w:hAnsi="Arial"/>
          <w:sz w:val="20"/>
          <w:szCs w:val="20"/>
          <w:color w:val="auto"/>
        </w:rPr>
      </w:pPr>
      <w:r>
        <w:rPr>
          <w:rFonts w:ascii="Arial" w:cs="Arial" w:eastAsia="Arial" w:hAnsi="Arial"/>
          <w:sz w:val="20"/>
          <w:szCs w:val="20"/>
          <w:u w:val="single" w:color="auto"/>
          <w:color w:val="auto"/>
        </w:rPr>
        <w:t>Non-Payment</w:t>
      </w:r>
      <w:r>
        <w:rPr>
          <w:rFonts w:ascii="Arial" w:cs="Arial" w:eastAsia="Arial" w:hAnsi="Arial"/>
          <w:sz w:val="20"/>
          <w:szCs w:val="20"/>
          <w:color w:val="auto"/>
        </w:rPr>
        <w:t>. The Borrower or any other Loan Party fails to (i) pay when and as required to be paid herein, any amount of principal of any Loan, or (ii) pay within three Business Days after the same becomes due, any interest on any Loan, the Prepayment Premium or any fee due hereunder, or (iii) pay within five Business Days after the same becomes due, any other amount payable hereunder or under any other Loan Document; or</w:t>
      </w:r>
    </w:p>
    <w:p>
      <w:pPr>
        <w:spacing w:after="0" w:line="205" w:lineRule="exact"/>
        <w:rPr>
          <w:rFonts w:ascii="Arial" w:cs="Arial" w:eastAsia="Arial" w:hAnsi="Arial"/>
          <w:sz w:val="20"/>
          <w:szCs w:val="20"/>
          <w:color w:val="auto"/>
        </w:rPr>
      </w:pPr>
    </w:p>
    <w:p>
      <w:pPr>
        <w:jc w:val="both"/>
        <w:ind w:left="600" w:firstLine="599"/>
        <w:spacing w:after="0" w:line="256" w:lineRule="auto"/>
        <w:tabs>
          <w:tab w:leader="none" w:pos="2032" w:val="left"/>
        </w:tabs>
        <w:numPr>
          <w:ilvl w:val="0"/>
          <w:numId w:val="363"/>
        </w:numPr>
        <w:rPr>
          <w:rFonts w:ascii="Arial" w:cs="Arial" w:eastAsia="Arial" w:hAnsi="Arial"/>
          <w:sz w:val="20"/>
          <w:szCs w:val="20"/>
          <w:color w:val="auto"/>
        </w:rPr>
      </w:pPr>
      <w:r>
        <w:rPr>
          <w:rFonts w:ascii="Arial" w:cs="Arial" w:eastAsia="Arial" w:hAnsi="Arial"/>
          <w:sz w:val="20"/>
          <w:szCs w:val="20"/>
          <w:color w:val="auto"/>
        </w:rPr>
        <w:t xml:space="preserve">The Borrower or the REIT fails to perform or observe any term, covenant or agreement contained in any of </w:t>
      </w:r>
      <w:r>
        <w:rPr>
          <w:rFonts w:ascii="Arial" w:cs="Arial" w:eastAsia="Arial" w:hAnsi="Arial"/>
          <w:sz w:val="20"/>
          <w:szCs w:val="20"/>
          <w:u w:val="single" w:color="auto"/>
          <w:color w:val="auto"/>
        </w:rPr>
        <w:t>Sections</w:t>
      </w:r>
      <w:r>
        <w:rPr>
          <w:rFonts w:ascii="Arial" w:cs="Arial" w:eastAsia="Arial" w:hAnsi="Arial"/>
          <w:sz w:val="20"/>
          <w:szCs w:val="20"/>
          <w:color w:val="auto"/>
        </w:rPr>
        <w:t xml:space="preserve"> </w:t>
      </w:r>
      <w:r>
        <w:rPr>
          <w:rFonts w:ascii="Arial" w:cs="Arial" w:eastAsia="Arial" w:hAnsi="Arial"/>
          <w:sz w:val="20"/>
          <w:szCs w:val="20"/>
          <w:u w:val="single" w:color="auto"/>
          <w:color w:val="auto"/>
        </w:rPr>
        <w:t>6.01</w:t>
      </w:r>
      <w:r>
        <w:rPr>
          <w:rFonts w:ascii="Arial" w:cs="Arial" w:eastAsia="Arial" w:hAnsi="Arial"/>
          <w:sz w:val="20"/>
          <w:szCs w:val="20"/>
          <w:b w:val="1"/>
          <w:bCs w:val="1"/>
          <w:u w:val="single" w:color="auto"/>
          <w:color w:val="0000FF"/>
          <w:highlight w:val="lightGray"/>
        </w:rPr>
        <w:t>(a), 6.01(b)</w:t>
      </w:r>
      <w:r>
        <w:rPr>
          <w:rFonts w:ascii="Arial" w:cs="Arial" w:eastAsia="Arial" w:hAnsi="Arial"/>
          <w:sz w:val="20"/>
          <w:szCs w:val="20"/>
          <w:color w:val="auto"/>
        </w:rPr>
        <w:t xml:space="preserve">, </w:t>
      </w:r>
      <w:r>
        <w:rPr>
          <w:rFonts w:ascii="Arial" w:cs="Arial" w:eastAsia="Arial" w:hAnsi="Arial"/>
          <w:sz w:val="20"/>
          <w:szCs w:val="20"/>
          <w:u w:val="single" w:color="auto"/>
          <w:color w:val="auto"/>
        </w:rPr>
        <w:t>6.02</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highlight w:val="lightGray"/>
        </w:rPr>
        <w:t>(other than 6.02(h))</w:t>
      </w:r>
      <w:r>
        <w:rPr>
          <w:rFonts w:ascii="Arial" w:cs="Arial" w:eastAsia="Arial" w:hAnsi="Arial"/>
          <w:sz w:val="20"/>
          <w:szCs w:val="20"/>
          <w:color w:val="auto"/>
        </w:rPr>
        <w:t xml:space="preserve">, </w:t>
      </w:r>
      <w:r>
        <w:rPr>
          <w:rFonts w:ascii="Arial" w:cs="Arial" w:eastAsia="Arial" w:hAnsi="Arial"/>
          <w:sz w:val="20"/>
          <w:szCs w:val="20"/>
          <w:u w:val="single" w:color="auto"/>
          <w:color w:val="auto"/>
        </w:rPr>
        <w:t>6.03</w:t>
      </w:r>
      <w:r>
        <w:rPr>
          <w:rFonts w:ascii="Arial" w:cs="Arial" w:eastAsia="Arial" w:hAnsi="Arial"/>
          <w:sz w:val="20"/>
          <w:szCs w:val="20"/>
          <w:color w:val="auto"/>
        </w:rPr>
        <w:t xml:space="preserve">, </w:t>
      </w:r>
      <w:r>
        <w:rPr>
          <w:rFonts w:ascii="Arial" w:cs="Arial" w:eastAsia="Arial" w:hAnsi="Arial"/>
          <w:sz w:val="20"/>
          <w:szCs w:val="20"/>
          <w:u w:val="single" w:color="auto"/>
          <w:color w:val="auto"/>
        </w:rPr>
        <w:t>6.05</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highlight w:val="lightGray"/>
        </w:rPr>
        <w:t>(with respect to the existence of the Borrower, the REIT, each Direct</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highlight w:val="lightGray"/>
        </w:rPr>
        <w:t>Owner and each Indirect Owner),</w:t>
      </w:r>
      <w:r>
        <w:rPr>
          <w:rFonts w:ascii="Arial" w:cs="Arial" w:eastAsia="Arial" w:hAnsi="Arial"/>
          <w:sz w:val="20"/>
          <w:szCs w:val="20"/>
          <w:b w:val="1"/>
          <w:bCs w:val="1"/>
          <w:color w:val="0000FF"/>
          <w:highlight w:val="lightGray"/>
        </w:rPr>
        <w:t xml:space="preserve"> </w:t>
      </w:r>
      <w:r>
        <w:rPr>
          <w:rFonts w:ascii="Arial" w:cs="Arial" w:eastAsia="Arial" w:hAnsi="Arial"/>
          <w:sz w:val="20"/>
          <w:szCs w:val="20"/>
          <w:u w:val="single" w:color="auto"/>
          <w:color w:val="000000"/>
        </w:rPr>
        <w:t>6.07</w:t>
      </w:r>
      <w:r>
        <w:rPr>
          <w:rFonts w:ascii="Arial" w:cs="Arial" w:eastAsia="Arial" w:hAnsi="Arial"/>
          <w:sz w:val="20"/>
          <w:szCs w:val="20"/>
          <w:color w:val="FF0000"/>
          <w:strike w:val="1"/>
        </w:rPr>
        <w:t>,</w:t>
      </w:r>
      <w:r>
        <w:rPr>
          <w:rFonts w:ascii="Arial" w:cs="Arial" w:eastAsia="Arial" w:hAnsi="Arial"/>
          <w:sz w:val="20"/>
          <w:szCs w:val="20"/>
          <w:b w:val="1"/>
          <w:bCs w:val="1"/>
          <w:color w:val="0000FF"/>
          <w:highlight w:val="lightGray"/>
        </w:rPr>
        <w:t xml:space="preserve"> </w:t>
      </w:r>
      <w:r>
        <w:rPr>
          <w:rFonts w:ascii="Arial" w:cs="Arial" w:eastAsia="Arial" w:hAnsi="Arial"/>
          <w:sz w:val="20"/>
          <w:szCs w:val="20"/>
          <w:b w:val="1"/>
          <w:bCs w:val="1"/>
          <w:u w:val="single" w:color="auto"/>
          <w:color w:val="0000FF"/>
          <w:highlight w:val="lightGray"/>
        </w:rPr>
        <w:t>or</w:t>
      </w:r>
      <w:r>
        <w:rPr>
          <w:rFonts w:ascii="Arial" w:cs="Arial" w:eastAsia="Arial" w:hAnsi="Arial"/>
          <w:sz w:val="20"/>
          <w:szCs w:val="20"/>
          <w:b w:val="1"/>
          <w:bCs w:val="1"/>
          <w:color w:val="0000FF"/>
          <w:highlight w:val="lightGray"/>
        </w:rPr>
        <w:t xml:space="preserve"> </w:t>
      </w:r>
      <w:r>
        <w:rPr>
          <w:rFonts w:ascii="Arial" w:cs="Arial" w:eastAsia="Arial" w:hAnsi="Arial"/>
          <w:sz w:val="20"/>
          <w:szCs w:val="20"/>
          <w:u w:val="single" w:color="auto"/>
          <w:color w:val="000000"/>
        </w:rPr>
        <w:t>6.11</w:t>
      </w:r>
      <w:r>
        <w:rPr>
          <w:rFonts w:ascii="Arial" w:cs="Arial" w:eastAsia="Arial" w:hAnsi="Arial"/>
          <w:sz w:val="20"/>
          <w:szCs w:val="20"/>
          <w:color w:val="000000"/>
        </w:rPr>
        <w:t>,</w:t>
      </w:r>
      <w:r>
        <w:rPr>
          <w:rFonts w:ascii="Arial" w:cs="Arial" w:eastAsia="Arial" w:hAnsi="Arial"/>
          <w:sz w:val="20"/>
          <w:szCs w:val="20"/>
          <w:b w:val="1"/>
          <w:bCs w:val="1"/>
          <w:color w:val="0000FF"/>
          <w:highlight w:val="lightGray"/>
        </w:rPr>
        <w:t xml:space="preserve"> </w:t>
      </w:r>
      <w:r>
        <w:rPr>
          <w:rFonts w:ascii="Arial" w:cs="Arial" w:eastAsia="Arial" w:hAnsi="Arial"/>
          <w:sz w:val="20"/>
          <w:szCs w:val="20"/>
          <w:u w:val="single" w:color="auto"/>
          <w:color w:val="FF0000"/>
          <w:strike w:val="1"/>
        </w:rPr>
        <w:t>6.15</w:t>
      </w:r>
      <w:r>
        <w:rPr>
          <w:rFonts w:ascii="Arial" w:cs="Arial" w:eastAsia="Arial" w:hAnsi="Arial"/>
          <w:sz w:val="20"/>
          <w:szCs w:val="20"/>
          <w:b w:val="1"/>
          <w:bCs w:val="1"/>
          <w:color w:val="0000FF"/>
          <w:highlight w:val="lightGray"/>
        </w:rPr>
        <w:t xml:space="preserve"> </w:t>
      </w:r>
      <w:r>
        <w:rPr>
          <w:rFonts w:ascii="Arial" w:cs="Arial" w:eastAsia="Arial" w:hAnsi="Arial"/>
          <w:sz w:val="20"/>
          <w:szCs w:val="20"/>
          <w:color w:val="000000"/>
        </w:rPr>
        <w:t>or</w:t>
      </w:r>
      <w:r>
        <w:rPr>
          <w:rFonts w:ascii="Arial" w:cs="Arial" w:eastAsia="Arial" w:hAnsi="Arial"/>
          <w:sz w:val="20"/>
          <w:szCs w:val="20"/>
          <w:b w:val="1"/>
          <w:bCs w:val="1"/>
          <w:color w:val="0000FF"/>
          <w:highlight w:val="lightGray"/>
        </w:rPr>
        <w:t xml:space="preserve"> </w:t>
      </w:r>
      <w:r>
        <w:rPr>
          <w:rFonts w:ascii="Arial" w:cs="Arial" w:eastAsia="Arial" w:hAnsi="Arial"/>
          <w:sz w:val="20"/>
          <w:szCs w:val="20"/>
          <w:u w:val="single" w:color="auto"/>
          <w:color w:val="000000"/>
        </w:rPr>
        <w:t>Article VII</w:t>
      </w:r>
      <w:r>
        <w:rPr>
          <w:rFonts w:ascii="Arial" w:cs="Arial" w:eastAsia="Arial" w:hAnsi="Arial"/>
          <w:sz w:val="20"/>
          <w:szCs w:val="20"/>
          <w:color w:val="000000"/>
        </w:rPr>
        <w:t>, or any of the Loan Parties fails to perform or observe any term,</w:t>
      </w:r>
      <w:r>
        <w:rPr>
          <w:rFonts w:ascii="Arial" w:cs="Arial" w:eastAsia="Arial" w:hAnsi="Arial"/>
          <w:sz w:val="20"/>
          <w:szCs w:val="20"/>
          <w:b w:val="1"/>
          <w:bCs w:val="1"/>
          <w:color w:val="0000FF"/>
          <w:highlight w:val="lightGray"/>
        </w:rPr>
        <w:t xml:space="preserve"> </w:t>
      </w:r>
      <w:r>
        <w:rPr>
          <w:rFonts w:ascii="Arial" w:cs="Arial" w:eastAsia="Arial" w:hAnsi="Arial"/>
          <w:sz w:val="20"/>
          <w:szCs w:val="20"/>
          <w:color w:val="000000"/>
        </w:rPr>
        <w:t>covenant or agreement contained in the Guaranty Agreement; or</w:t>
      </w:r>
    </w:p>
    <w:p>
      <w:pPr>
        <w:spacing w:after="0" w:line="205" w:lineRule="exact"/>
        <w:rPr>
          <w:rFonts w:ascii="Arial" w:cs="Arial" w:eastAsia="Arial" w:hAnsi="Arial"/>
          <w:sz w:val="20"/>
          <w:szCs w:val="20"/>
          <w:color w:val="auto"/>
        </w:rPr>
      </w:pPr>
    </w:p>
    <w:p>
      <w:pPr>
        <w:jc w:val="both"/>
        <w:ind w:left="600" w:firstLine="599"/>
        <w:spacing w:after="0" w:line="280" w:lineRule="auto"/>
        <w:tabs>
          <w:tab w:leader="none" w:pos="2021" w:val="left"/>
        </w:tabs>
        <w:numPr>
          <w:ilvl w:val="0"/>
          <w:numId w:val="363"/>
        </w:numPr>
        <w:rPr>
          <w:rFonts w:ascii="Arial" w:cs="Arial" w:eastAsia="Arial" w:hAnsi="Arial"/>
          <w:sz w:val="19"/>
          <w:szCs w:val="19"/>
          <w:color w:val="auto"/>
        </w:rPr>
      </w:pPr>
      <w:r>
        <w:rPr>
          <w:rFonts w:ascii="Arial" w:cs="Arial" w:eastAsia="Arial" w:hAnsi="Arial"/>
          <w:sz w:val="19"/>
          <w:szCs w:val="19"/>
          <w:u w:val="single" w:color="auto"/>
          <w:color w:val="auto"/>
        </w:rPr>
        <w:t>Other Defaults</w:t>
      </w:r>
      <w:r>
        <w:rPr>
          <w:rFonts w:ascii="Arial" w:cs="Arial" w:eastAsia="Arial" w:hAnsi="Arial"/>
          <w:sz w:val="19"/>
          <w:szCs w:val="19"/>
          <w:color w:val="auto"/>
        </w:rPr>
        <w:t xml:space="preserve">. Any Loan Party fails to perform or observe (i) the covenant set forth in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and such failure continues for ten (10) Business Days or (ii) any other covenant or agreement (not specified in </w:t>
      </w:r>
      <w:r>
        <w:rPr>
          <w:rFonts w:ascii="Arial" w:cs="Arial" w:eastAsia="Arial" w:hAnsi="Arial"/>
          <w:sz w:val="19"/>
          <w:szCs w:val="19"/>
          <w:u w:val="single" w:color="auto"/>
          <w:color w:val="auto"/>
        </w:rPr>
        <w:t>Section 8.01(a)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(c)(i)</w:t>
      </w:r>
      <w:r>
        <w:rPr>
          <w:rFonts w:ascii="Arial" w:cs="Arial" w:eastAsia="Arial" w:hAnsi="Arial"/>
          <w:sz w:val="19"/>
          <w:szCs w:val="19"/>
          <w:color w:val="auto"/>
        </w:rPr>
        <w:t xml:space="preserve"> above) contained in any Loan Document on its part to be performed or observed and such failure continues for 30 days; or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795" w:right="239" w:bottom="1440" w:gutter="0" w:footer="0" w:header="0"/>
        </w:sectPr>
      </w:pPr>
    </w:p>
    <w:bookmarkStart w:id="315" w:name="page316"/>
    <w:bookmarkEnd w:id="315"/>
    <w:p>
      <w:pPr>
        <w:jc w:val="both"/>
        <w:ind w:left="-599" w:firstLine="599"/>
        <w:spacing w:after="0" w:line="302" w:lineRule="auto"/>
        <w:tabs>
          <w:tab w:leader="none" w:pos="833"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warranty, certification or statement of fact made or deemed made by or on behalf of the Borrower or any other Loan Party herein, in any other Loan Document, or in any document delivered in connection herewith or therewith shall be incorrect or misleading in any material respect when made or deemed made; or</w:t>
      </w:r>
    </w:p>
    <w:p>
      <w:pPr>
        <w:spacing w:after="0" w:line="167" w:lineRule="exact"/>
        <w:rPr>
          <w:rFonts w:ascii="Arial" w:cs="Arial" w:eastAsia="Arial" w:hAnsi="Arial"/>
          <w:sz w:val="18"/>
          <w:szCs w:val="18"/>
          <w:color w:val="auto"/>
        </w:rPr>
      </w:pPr>
    </w:p>
    <w:p>
      <w:pPr>
        <w:jc w:val="both"/>
        <w:ind w:left="-599" w:firstLine="599"/>
        <w:spacing w:after="0" w:line="264" w:lineRule="auto"/>
        <w:tabs>
          <w:tab w:leader="none" w:pos="822" w:val="left"/>
        </w:tabs>
        <w:numPr>
          <w:ilvl w:val="0"/>
          <w:numId w:val="364"/>
        </w:numPr>
        <w:rPr>
          <w:rFonts w:ascii="Arial" w:cs="Arial" w:eastAsia="Arial" w:hAnsi="Arial"/>
          <w:sz w:val="19"/>
          <w:szCs w:val="19"/>
          <w:color w:val="auto"/>
        </w:rPr>
      </w:pPr>
      <w:r>
        <w:rPr>
          <w:rFonts w:ascii="Arial" w:cs="Arial" w:eastAsia="Arial" w:hAnsi="Arial"/>
          <w:sz w:val="19"/>
          <w:szCs w:val="19"/>
          <w:u w:val="single" w:color="auto"/>
          <w:color w:val="auto"/>
        </w:rPr>
        <w:t>Cross-Default</w:t>
      </w:r>
      <w:r>
        <w:rPr>
          <w:rFonts w:ascii="Arial" w:cs="Arial" w:eastAsia="Arial" w:hAnsi="Arial"/>
          <w:sz w:val="19"/>
          <w:szCs w:val="19"/>
          <w:color w:val="auto"/>
        </w:rPr>
        <w:t xml:space="preserve">. (i) Any Loan Party or any Subsidiary thereof (A) fails to make any payment when due (whether by scheduled maturity, required prepayment, acceleration, demand, or otherwise) in respect of (x) any Recourse Indebtedness (other than Indebtedness hereunder) having an aggregate principal amount (including undrawn committed or available amounts and including amounts owing to all creditors under any combined or syndicated credit arrangement) of more than $25,000,000, or (y) any Non-Recourse Indebtedness having an aggregate principal amount (including undrawn committed or available amounts and including amounts owing to all creditors under any combined or syndicated credit arrangement) of more than </w:t>
      </w:r>
      <w:r>
        <w:rPr>
          <w:rFonts w:ascii="Arial" w:cs="Arial" w:eastAsia="Arial" w:hAnsi="Arial"/>
          <w:sz w:val="19"/>
          <w:szCs w:val="19"/>
          <w:color w:val="FF0000"/>
          <w:strike w:val="1"/>
        </w:rPr>
        <w:t>the</w:t>
      </w:r>
      <w:r>
        <w:rPr>
          <w:rFonts w:ascii="Arial" w:cs="Arial" w:eastAsia="Arial" w:hAnsi="Arial"/>
          <w:sz w:val="19"/>
          <w:szCs w:val="19"/>
          <w:color w:val="auto"/>
        </w:rPr>
        <w:t xml:space="preserve"> $50,000,000 or (B) fails to observe or perform any other agreement or condition relating to any such Indebtedness or contained in any instrument or agreement evidencing, securing or relating thereto, or any other event occurs, the effect of which default or other event is to cause, or to permit the holder or holders of such Indebtedness (or a trustee or agent on behalf of such holder or holders)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cash collateral in respect thereof to be demanded; or</w:t>
      </w:r>
    </w:p>
    <w:p>
      <w:pPr>
        <w:spacing w:after="0" w:line="200" w:lineRule="exact"/>
        <w:rPr>
          <w:rFonts w:ascii="Arial" w:cs="Arial" w:eastAsia="Arial" w:hAnsi="Arial"/>
          <w:sz w:val="19"/>
          <w:szCs w:val="19"/>
          <w:color w:val="auto"/>
        </w:rPr>
      </w:pPr>
    </w:p>
    <w:p>
      <w:pPr>
        <w:jc w:val="both"/>
        <w:ind w:left="-599" w:firstLine="599"/>
        <w:spacing w:after="0" w:line="251" w:lineRule="auto"/>
        <w:tabs>
          <w:tab w:leader="none" w:pos="800" w:val="left"/>
        </w:tabs>
        <w:numPr>
          <w:ilvl w:val="0"/>
          <w:numId w:val="364"/>
        </w:numPr>
        <w:rPr>
          <w:rFonts w:ascii="Arial" w:cs="Arial" w:eastAsia="Arial" w:hAnsi="Arial"/>
          <w:sz w:val="20"/>
          <w:szCs w:val="20"/>
          <w:color w:val="auto"/>
        </w:rPr>
      </w:pPr>
      <w:r>
        <w:rPr>
          <w:rFonts w:ascii="Arial" w:cs="Arial" w:eastAsia="Arial" w:hAnsi="Arial"/>
          <w:sz w:val="20"/>
          <w:szCs w:val="20"/>
          <w:u w:val="single" w:color="auto"/>
          <w:color w:val="auto"/>
        </w:rPr>
        <w:t>Insolvency Proceedings, Etc</w:t>
      </w:r>
      <w:r>
        <w:rPr>
          <w:rFonts w:ascii="Arial" w:cs="Arial" w:eastAsia="Arial" w:hAnsi="Arial"/>
          <w:sz w:val="20"/>
          <w:szCs w:val="20"/>
          <w:color w:val="auto"/>
        </w:rPr>
        <w:t>. Any Loan Party or any Significant Subsidiary thereof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211" w:lineRule="exact"/>
        <w:rPr>
          <w:rFonts w:ascii="Arial" w:cs="Arial" w:eastAsia="Arial" w:hAnsi="Arial"/>
          <w:sz w:val="20"/>
          <w:szCs w:val="20"/>
          <w:color w:val="auto"/>
        </w:rPr>
      </w:pPr>
    </w:p>
    <w:p>
      <w:pPr>
        <w:jc w:val="both"/>
        <w:ind w:left="-599" w:firstLine="599"/>
        <w:spacing w:after="0" w:line="256" w:lineRule="auto"/>
        <w:tabs>
          <w:tab w:leader="none" w:pos="833" w:val="left"/>
        </w:tabs>
        <w:numPr>
          <w:ilvl w:val="0"/>
          <w:numId w:val="364"/>
        </w:numPr>
        <w:rPr>
          <w:rFonts w:ascii="Arial" w:cs="Arial" w:eastAsia="Arial" w:hAnsi="Arial"/>
          <w:sz w:val="20"/>
          <w:szCs w:val="20"/>
          <w:color w:val="auto"/>
        </w:rPr>
      </w:pPr>
      <w:r>
        <w:rPr>
          <w:rFonts w:ascii="Arial" w:cs="Arial" w:eastAsia="Arial" w:hAnsi="Arial"/>
          <w:sz w:val="20"/>
          <w:szCs w:val="20"/>
          <w:u w:val="single" w:color="auto"/>
          <w:color w:val="auto"/>
        </w:rPr>
        <w:t>Inability to Pay Debts; Attachment</w:t>
      </w:r>
      <w:r>
        <w:rPr>
          <w:rFonts w:ascii="Arial" w:cs="Arial" w:eastAsia="Arial" w:hAnsi="Arial"/>
          <w:sz w:val="20"/>
          <w:szCs w:val="20"/>
          <w:color w:val="auto"/>
        </w:rPr>
        <w:t>. (i) Any Loan Party or any Significant Subsidiary thereof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30 days after its issue or levy; or</w:t>
      </w:r>
    </w:p>
    <w:p>
      <w:pPr>
        <w:spacing w:after="0" w:line="205" w:lineRule="exact"/>
        <w:rPr>
          <w:rFonts w:ascii="Arial" w:cs="Arial" w:eastAsia="Arial" w:hAnsi="Arial"/>
          <w:sz w:val="20"/>
          <w:szCs w:val="20"/>
          <w:color w:val="auto"/>
        </w:rPr>
      </w:pPr>
    </w:p>
    <w:p>
      <w:pPr>
        <w:jc w:val="both"/>
        <w:ind w:left="-599" w:firstLine="599"/>
        <w:spacing w:after="0" w:line="284" w:lineRule="auto"/>
        <w:tabs>
          <w:tab w:leader="none" w:pos="833"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There is entered against any Loan Party or any Significant Subsidiary thereof (i) one or more final judgments or orders for the payment of money in an aggregate amount (as to all such judgments and orders) exceeding the Threshold Amount (to the extent not covered by independent third-party insurance as to which the insurer is rated at least “A” by A.M. Best Company, has been notified of the potential claim and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30 consecutive days during which a stay of enforcement of such judgment, by reason of a pending appeal or otherwise, is not in effect; or</w:t>
      </w:r>
    </w:p>
    <w:p>
      <w:pPr>
        <w:spacing w:after="0" w:line="161" w:lineRule="exact"/>
        <w:rPr>
          <w:sz w:val="20"/>
          <w:szCs w:val="20"/>
          <w:color w:val="auto"/>
        </w:rPr>
      </w:pPr>
    </w:p>
    <w:p>
      <w:pPr>
        <w:ind w:left="4361"/>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221"/>
          </w:cols>
          <w:pgMar w:left="1439" w:top="794" w:right="239" w:bottom="1440" w:gutter="0" w:footer="0" w:header="0"/>
        </w:sectPr>
      </w:pPr>
    </w:p>
    <w:bookmarkStart w:id="316" w:name="page317"/>
    <w:bookmarkEnd w:id="316"/>
    <w:p>
      <w:pPr>
        <w:jc w:val="both"/>
        <w:ind w:left="600" w:firstLine="599"/>
        <w:spacing w:after="0" w:line="282" w:lineRule="auto"/>
        <w:tabs>
          <w:tab w:leader="none" w:pos="1988"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An ERISA Event occurs with respect to a Pension Plan which has resulted or could reasonably be expected to result in liability of any Loan Party or any Subsidiary thereof to the Pension Plan or the PBGC in an aggregate amount in excess of the Threshold Amount, (ii) any Loan Party or any ERISA Affiliate fails to pay when due, after the expiration of any applicable grace period, any installment payment with respect to its withdrawal liability under Section 4201 of ERISA under a Multiemployer Plan in an aggregate amount in excess of the Threshold Amount, or (iii) an ERISA Event occurs with respect to a Multiemployer Plan which has resulted or could reasonably be expected to result in an annual liability of any Loan Party or any Subsidiary thereof to the Multiemployer Plan or the PBGC in an aggregate amount in excess of the Threshold Amount or which, in the context of such continuing annual liability, otherwise has, or could reasonably be expect to result in, a Material Adverse Effect; or</w:t>
      </w:r>
    </w:p>
    <w:p>
      <w:pPr>
        <w:spacing w:after="0" w:line="190" w:lineRule="exact"/>
        <w:rPr>
          <w:rFonts w:ascii="Arial" w:cs="Arial" w:eastAsia="Arial" w:hAnsi="Arial"/>
          <w:sz w:val="18"/>
          <w:szCs w:val="18"/>
          <w:color w:val="auto"/>
        </w:rPr>
      </w:pPr>
    </w:p>
    <w:p>
      <w:pPr>
        <w:jc w:val="both"/>
        <w:ind w:left="600" w:firstLine="599"/>
        <w:spacing w:after="0" w:line="270" w:lineRule="auto"/>
        <w:tabs>
          <w:tab w:leader="none" w:pos="1988" w:val="left"/>
        </w:tabs>
        <w:numPr>
          <w:ilvl w:val="0"/>
          <w:numId w:val="365"/>
        </w:numPr>
        <w:rPr>
          <w:rFonts w:ascii="Arial" w:cs="Arial" w:eastAsia="Arial" w:hAnsi="Arial"/>
          <w:sz w:val="19"/>
          <w:szCs w:val="19"/>
          <w:color w:val="auto"/>
        </w:rPr>
      </w:pPr>
      <w:r>
        <w:rPr>
          <w:rFonts w:ascii="Arial" w:cs="Arial" w:eastAsia="Arial" w:hAnsi="Arial"/>
          <w:sz w:val="19"/>
          <w:szCs w:val="19"/>
          <w:u w:val="single" w:color="auto"/>
          <w:color w:val="auto"/>
        </w:rPr>
        <w:t>Invalidity of Loan Documents</w:t>
      </w:r>
      <w:r>
        <w:rPr>
          <w:rFonts w:ascii="Arial" w:cs="Arial" w:eastAsia="Arial" w:hAnsi="Arial"/>
          <w:sz w:val="19"/>
          <w:szCs w:val="19"/>
          <w:color w:val="auto"/>
        </w:rPr>
        <w:t>. Any material provision of any Loan Document, at any time after its execution and delivery and for any reason other than as expressly permitted hereunder or thereunder or satisfaction in full of all the Obligations, ceases to be in full force and effect; or any Loan Party or any other Person contests in any manner the validity or enforceability of any provision of any Loan Document; or any Loan Party denies that it has any or further liability or obligation under any provision of any Loan Document, or purports to revoke, terminate or rescind any provision of any Loan Document; or</w:t>
      </w:r>
    </w:p>
    <w:p>
      <w:pPr>
        <w:spacing w:after="0" w:line="194" w:lineRule="exact"/>
        <w:rPr>
          <w:rFonts w:ascii="Arial" w:cs="Arial" w:eastAsia="Arial" w:hAnsi="Arial"/>
          <w:sz w:val="19"/>
          <w:szCs w:val="19"/>
          <w:color w:val="auto"/>
        </w:rPr>
      </w:pPr>
    </w:p>
    <w:p>
      <w:pPr>
        <w:ind w:left="2040" w:hanging="841"/>
        <w:spacing w:after="0"/>
        <w:tabs>
          <w:tab w:leader="none" w:pos="2040" w:val="left"/>
        </w:tabs>
        <w:numPr>
          <w:ilvl w:val="0"/>
          <w:numId w:val="365"/>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There occurs any Change of Control; or</w:t>
      </w:r>
    </w:p>
    <w:p>
      <w:pPr>
        <w:spacing w:after="0" w:line="244" w:lineRule="exact"/>
        <w:rPr>
          <w:rFonts w:ascii="Arial" w:cs="Arial" w:eastAsia="Arial" w:hAnsi="Arial"/>
          <w:sz w:val="20"/>
          <w:szCs w:val="20"/>
          <w:color w:val="auto"/>
        </w:rPr>
      </w:pPr>
    </w:p>
    <w:p>
      <w:pPr>
        <w:ind w:left="600" w:firstLine="599"/>
        <w:spacing w:after="0" w:line="272" w:lineRule="auto"/>
        <w:tabs>
          <w:tab w:leader="none" w:pos="1988" w:val="left"/>
        </w:tabs>
        <w:numPr>
          <w:ilvl w:val="0"/>
          <w:numId w:val="365"/>
        </w:numPr>
        <w:rPr>
          <w:rFonts w:ascii="Arial" w:cs="Arial" w:eastAsia="Arial" w:hAnsi="Arial"/>
          <w:sz w:val="20"/>
          <w:szCs w:val="20"/>
          <w:color w:val="auto"/>
        </w:rPr>
      </w:pPr>
      <w:r>
        <w:rPr>
          <w:rFonts w:ascii="Arial" w:cs="Arial" w:eastAsia="Arial" w:hAnsi="Arial"/>
          <w:sz w:val="20"/>
          <w:szCs w:val="20"/>
          <w:u w:val="single" w:color="auto"/>
          <w:color w:val="auto"/>
        </w:rPr>
        <w:t>REIT Status.</w:t>
      </w:r>
      <w:r>
        <w:rPr>
          <w:rFonts w:ascii="Arial" w:cs="Arial" w:eastAsia="Arial" w:hAnsi="Arial"/>
          <w:sz w:val="20"/>
          <w:szCs w:val="20"/>
          <w:color w:val="auto"/>
        </w:rPr>
        <w:t xml:space="preserve"> The REIT shall, for any reason, fail to maintain its status as a Real Estate Investment Trust, after taking into account any cure provisions set forth in the Code that are complied with by the REIT.</w:t>
      </w:r>
    </w:p>
    <w:p>
      <w:pPr>
        <w:spacing w:after="0" w:line="191" w:lineRule="exact"/>
        <w:rPr>
          <w:sz w:val="20"/>
          <w:szCs w:val="20"/>
          <w:color w:val="auto"/>
        </w:rPr>
      </w:pPr>
    </w:p>
    <w:p>
      <w:pPr>
        <w:ind w:firstLine="1199"/>
        <w:spacing w:after="0" w:line="272" w:lineRule="auto"/>
        <w:rPr>
          <w:sz w:val="20"/>
          <w:szCs w:val="20"/>
          <w:color w:val="auto"/>
        </w:rPr>
      </w:pPr>
      <w:r>
        <w:rPr>
          <w:rFonts w:ascii="Arial" w:cs="Arial" w:eastAsia="Arial" w:hAnsi="Arial"/>
          <w:sz w:val="20"/>
          <w:szCs w:val="20"/>
          <w:color w:val="auto"/>
        </w:rPr>
        <w:t xml:space="preserve">8.02. </w:t>
      </w:r>
      <w:r>
        <w:rPr>
          <w:rFonts w:ascii="Arial" w:cs="Arial" w:eastAsia="Arial" w:hAnsi="Arial"/>
          <w:sz w:val="20"/>
          <w:szCs w:val="20"/>
          <w:u w:val="single" w:color="auto"/>
          <w:color w:val="auto"/>
        </w:rPr>
        <w:t>Remedies upon Event of Default</w:t>
      </w:r>
      <w:r>
        <w:rPr>
          <w:rFonts w:ascii="Arial" w:cs="Arial" w:eastAsia="Arial" w:hAnsi="Arial"/>
          <w:sz w:val="20"/>
          <w:szCs w:val="20"/>
          <w:color w:val="auto"/>
        </w:rPr>
        <w:t>. If any Event of Default occurs and is continuing, the Administrative Agent shall, at the request of, or may, with the consent of, the Required Lenders, take any or all of the following actions:</w:t>
      </w:r>
    </w:p>
    <w:p>
      <w:pPr>
        <w:spacing w:after="0" w:line="191" w:lineRule="exact"/>
        <w:rPr>
          <w:sz w:val="20"/>
          <w:szCs w:val="20"/>
          <w:color w:val="auto"/>
        </w:rPr>
      </w:pPr>
    </w:p>
    <w:p>
      <w:pPr>
        <w:ind w:left="600" w:firstLine="599"/>
        <w:spacing w:after="0" w:line="272" w:lineRule="auto"/>
        <w:tabs>
          <w:tab w:leader="none" w:pos="2021" w:val="left"/>
        </w:tabs>
        <w:numPr>
          <w:ilvl w:val="0"/>
          <w:numId w:val="366"/>
        </w:numPr>
        <w:rPr>
          <w:rFonts w:ascii="Arial" w:cs="Arial" w:eastAsia="Arial" w:hAnsi="Arial"/>
          <w:sz w:val="20"/>
          <w:szCs w:val="20"/>
          <w:color w:val="auto"/>
        </w:rPr>
      </w:pPr>
      <w:r>
        <w:rPr>
          <w:rFonts w:ascii="Arial" w:cs="Arial" w:eastAsia="Arial" w:hAnsi="Arial"/>
          <w:sz w:val="20"/>
          <w:szCs w:val="20"/>
          <w:color w:val="auto"/>
        </w:rPr>
        <w:t>declare the commitment of each Lender to make Loans to be terminated, whereupon such commitments and obligation shall be terminated; and</w:t>
      </w:r>
    </w:p>
    <w:p>
      <w:pPr>
        <w:spacing w:after="0" w:line="190" w:lineRule="exact"/>
        <w:rPr>
          <w:rFonts w:ascii="Arial" w:cs="Arial" w:eastAsia="Arial" w:hAnsi="Arial"/>
          <w:sz w:val="20"/>
          <w:szCs w:val="20"/>
          <w:color w:val="auto"/>
        </w:rPr>
      </w:pPr>
    </w:p>
    <w:p>
      <w:pPr>
        <w:ind w:left="600" w:right="240" w:firstLine="599"/>
        <w:spacing w:after="0" w:line="266" w:lineRule="auto"/>
        <w:tabs>
          <w:tab w:leader="none" w:pos="2032" w:val="left"/>
        </w:tabs>
        <w:numPr>
          <w:ilvl w:val="0"/>
          <w:numId w:val="366"/>
        </w:numPr>
        <w:rPr>
          <w:rFonts w:ascii="Arial" w:cs="Arial" w:eastAsia="Arial" w:hAnsi="Arial"/>
          <w:sz w:val="19"/>
          <w:szCs w:val="19"/>
          <w:color w:val="auto"/>
        </w:rPr>
      </w:pPr>
      <w:r>
        <w:rPr>
          <w:rFonts w:ascii="Arial" w:cs="Arial" w:eastAsia="Arial" w:hAnsi="Arial"/>
          <w:sz w:val="19"/>
          <w:szCs w:val="19"/>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 w:lineRule="exact"/>
        <w:rPr>
          <w:rFonts w:ascii="Arial" w:cs="Arial" w:eastAsia="Arial" w:hAnsi="Arial"/>
          <w:sz w:val="19"/>
          <w:szCs w:val="19"/>
          <w:color w:val="auto"/>
        </w:rPr>
      </w:pPr>
    </w:p>
    <w:p>
      <w:pPr>
        <w:jc w:val="both"/>
        <w:ind w:left="600"/>
        <w:spacing w:after="0" w:line="250" w:lineRule="auto"/>
        <w:rPr>
          <w:rFonts w:ascii="Arial" w:cs="Arial" w:eastAsia="Arial" w:hAnsi="Arial"/>
          <w:sz w:val="19"/>
          <w:szCs w:val="19"/>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upon the occurrence of an actual or deemed entry of an order for relief with respect to the Borrower under the Bankruptcy Code of the United States, the obligation of each Lender to make Loans shall automatically terminate and the unpaid principal amount of all outstanding Loans and all interest and other amounts as aforesaid shall automatically become due and payable without further act of the Administrative Agent or any Lender.</w:t>
      </w:r>
    </w:p>
    <w:p>
      <w:pPr>
        <w:spacing w:after="0" w:line="212" w:lineRule="exact"/>
        <w:rPr>
          <w:sz w:val="20"/>
          <w:szCs w:val="20"/>
          <w:color w:val="auto"/>
        </w:rPr>
      </w:pPr>
    </w:p>
    <w:p>
      <w:pPr>
        <w:jc w:val="both"/>
        <w:ind w:firstLine="1199"/>
        <w:spacing w:after="0" w:line="280" w:lineRule="auto"/>
        <w:rPr>
          <w:sz w:val="20"/>
          <w:szCs w:val="20"/>
          <w:color w:val="auto"/>
        </w:rPr>
      </w:pPr>
      <w:r>
        <w:rPr>
          <w:rFonts w:ascii="Arial" w:cs="Arial" w:eastAsia="Arial" w:hAnsi="Arial"/>
          <w:sz w:val="19"/>
          <w:szCs w:val="19"/>
          <w:color w:val="auto"/>
        </w:rPr>
        <w:t xml:space="preserve">8.03. </w:t>
      </w:r>
      <w:r>
        <w:rPr>
          <w:rFonts w:ascii="Arial" w:cs="Arial" w:eastAsia="Arial" w:hAnsi="Arial"/>
          <w:sz w:val="19"/>
          <w:szCs w:val="19"/>
          <w:u w:val="single" w:color="auto"/>
          <w:color w:val="auto"/>
        </w:rPr>
        <w:t>Application of Funds</w:t>
      </w:r>
      <w:r>
        <w:rPr>
          <w:rFonts w:ascii="Arial" w:cs="Arial" w:eastAsia="Arial" w:hAnsi="Arial"/>
          <w:sz w:val="19"/>
          <w:szCs w:val="19"/>
          <w:color w:val="auto"/>
        </w:rPr>
        <w:t xml:space="preserve">. After the exercise of remedies provided for in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(or after the Loans have automatically become immediately due and payable as set forth in the proviso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any amounts received on account of the Obligations shall, subject to the provisions of </w:t>
      </w:r>
      <w:r>
        <w:rPr>
          <w:rFonts w:ascii="Arial" w:cs="Arial" w:eastAsia="Arial" w:hAnsi="Arial"/>
          <w:sz w:val="19"/>
          <w:szCs w:val="19"/>
          <w:u w:val="single" w:color="auto"/>
          <w:color w:val="auto"/>
        </w:rPr>
        <w:t>Section 2.19</w:t>
      </w:r>
      <w:r>
        <w:rPr>
          <w:rFonts w:ascii="Arial" w:cs="Arial" w:eastAsia="Arial" w:hAnsi="Arial"/>
          <w:sz w:val="19"/>
          <w:szCs w:val="19"/>
          <w:color w:val="auto"/>
        </w:rPr>
        <w:t>, be applied by the Administrative Agent in the following order: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795" w:right="239" w:bottom="1440" w:gutter="0" w:footer="0" w:header="0"/>
        </w:sectPr>
      </w:pPr>
    </w:p>
    <w:bookmarkStart w:id="317" w:name="page318"/>
    <w:bookmarkEnd w:id="317"/>
    <w:p>
      <w:pPr>
        <w:jc w:val="both"/>
        <w:ind w:left="1200" w:firstLine="599"/>
        <w:spacing w:after="0" w:line="260"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payable to the Administrative Agent in its capacity as such;</w:t>
      </w:r>
    </w:p>
    <w:p>
      <w:pPr>
        <w:spacing w:after="0" w:line="202" w:lineRule="exact"/>
        <w:rPr>
          <w:sz w:val="20"/>
          <w:szCs w:val="20"/>
          <w:color w:val="auto"/>
        </w:rPr>
      </w:pPr>
    </w:p>
    <w:p>
      <w:pPr>
        <w:jc w:val="both"/>
        <w:ind w:left="1200" w:firstLine="599"/>
        <w:spacing w:after="0" w:line="273" w:lineRule="auto"/>
        <w:rPr>
          <w:sz w:val="20"/>
          <w:szCs w:val="20"/>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payment of that portion of the Obligations constituting fees, the Prepayment Premium, indemnities and other amounts (other than principal and interest) payable to the Lenders (including fees, charges and disbursements of counsel to the respective Lenders) arising under the Loan Documents and amounts payable under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ratably among them in proportion to the respective amounts described in this clause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payable to them;</w:t>
      </w:r>
    </w:p>
    <w:p>
      <w:pPr>
        <w:spacing w:after="0" w:line="186" w:lineRule="exact"/>
        <w:rPr>
          <w:sz w:val="20"/>
          <w:szCs w:val="20"/>
          <w:color w:val="auto"/>
        </w:rPr>
      </w:pPr>
    </w:p>
    <w:p>
      <w:pPr>
        <w:jc w:val="both"/>
        <w:ind w:left="1200" w:firstLine="599"/>
        <w:spacing w:after="0" w:line="336" w:lineRule="auto"/>
        <w:rPr>
          <w:sz w:val="20"/>
          <w:szCs w:val="20"/>
          <w:color w:val="auto"/>
        </w:rPr>
      </w:pPr>
      <w:r>
        <w:rPr>
          <w:rFonts w:ascii="Arial" w:cs="Arial" w:eastAsia="Arial" w:hAnsi="Arial"/>
          <w:sz w:val="18"/>
          <w:szCs w:val="18"/>
          <w:b w:val="1"/>
          <w:bCs w:val="1"/>
          <w:u w:val="single" w:color="auto"/>
          <w:color w:val="0000FF"/>
          <w:highlight w:val="lightGray"/>
        </w:rPr>
        <w:t>Third, to payment of that portion of the Obligations constituting accrued and unpaid interest on the Loans, ratably among the Lenders in proportion to the respective amounts described in this clause Third payable to them,</w:t>
      </w:r>
    </w:p>
    <w:p>
      <w:pPr>
        <w:spacing w:after="0" w:line="132" w:lineRule="exact"/>
        <w:rPr>
          <w:sz w:val="20"/>
          <w:szCs w:val="20"/>
          <w:color w:val="auto"/>
        </w:rPr>
      </w:pPr>
    </w:p>
    <w:p>
      <w:pPr>
        <w:jc w:val="both"/>
        <w:ind w:left="1200" w:firstLine="599"/>
        <w:spacing w:after="0" w:line="279" w:lineRule="auto"/>
        <w:rPr>
          <w:sz w:val="20"/>
          <w:szCs w:val="20"/>
          <w:color w:val="auto"/>
        </w:rPr>
      </w:pPr>
      <w:r>
        <w:rPr>
          <w:rFonts w:ascii="Arial" w:cs="Arial" w:eastAsia="Arial" w:hAnsi="Arial"/>
          <w:sz w:val="20"/>
          <w:szCs w:val="20"/>
          <w:u w:val="single" w:color="auto"/>
          <w:color w:val="FF0000"/>
          <w:strike w:val="1"/>
        </w:rPr>
        <w:t>Third</w:t>
      </w:r>
      <w:r>
        <w:rPr>
          <w:rFonts w:ascii="Arial" w:cs="Arial" w:eastAsia="Arial" w:hAnsi="Arial"/>
          <w:sz w:val="20"/>
          <w:szCs w:val="20"/>
          <w:b w:val="1"/>
          <w:bCs w:val="1"/>
          <w:u w:val="single" w:color="auto"/>
          <w:color w:val="0000FF"/>
          <w:highlight w:val="lightGray"/>
        </w:rPr>
        <w:t>Fourth</w:t>
      </w:r>
      <w:r>
        <w:rPr>
          <w:rFonts w:ascii="Arial" w:cs="Arial" w:eastAsia="Arial" w:hAnsi="Arial"/>
          <w:sz w:val="20"/>
          <w:szCs w:val="20"/>
          <w:color w:val="000000"/>
        </w:rPr>
        <w:t>, to payment of that portion of the Obligations constituting unpaid principal of the Loans ratably among the</w:t>
      </w:r>
      <w:r>
        <w:rPr>
          <w:rFonts w:ascii="Arial" w:cs="Arial" w:eastAsia="Arial" w:hAnsi="Arial"/>
          <w:sz w:val="20"/>
          <w:szCs w:val="20"/>
          <w:color w:val="FF0000"/>
        </w:rPr>
        <w:t xml:space="preserve"> </w:t>
      </w:r>
      <w:r>
        <w:rPr>
          <w:rFonts w:ascii="Arial" w:cs="Arial" w:eastAsia="Arial" w:hAnsi="Arial"/>
          <w:sz w:val="20"/>
          <w:szCs w:val="20"/>
          <w:color w:val="000000"/>
        </w:rPr>
        <w:t xml:space="preserve">Lenders in proportion to the respective amounts described in this clause </w:t>
      </w:r>
      <w:r>
        <w:rPr>
          <w:rFonts w:ascii="Arial" w:cs="Arial" w:eastAsia="Arial" w:hAnsi="Arial"/>
          <w:sz w:val="20"/>
          <w:szCs w:val="20"/>
          <w:u w:val="single" w:color="auto"/>
          <w:color w:val="FF0000"/>
          <w:strike w:val="1"/>
        </w:rPr>
        <w:t>Third</w:t>
      </w:r>
      <w:r>
        <w:rPr>
          <w:rFonts w:ascii="Arial" w:cs="Arial" w:eastAsia="Arial" w:hAnsi="Arial"/>
          <w:sz w:val="20"/>
          <w:szCs w:val="20"/>
          <w:b w:val="1"/>
          <w:bCs w:val="1"/>
          <w:u w:val="single" w:color="auto"/>
          <w:color w:val="0000FF"/>
          <w:highlight w:val="lightGray"/>
        </w:rPr>
        <w:t>Fourth</w:t>
      </w:r>
      <w:r>
        <w:rPr>
          <w:rFonts w:ascii="Arial" w:cs="Arial" w:eastAsia="Arial" w:hAnsi="Arial"/>
          <w:sz w:val="20"/>
          <w:szCs w:val="20"/>
          <w:color w:val="000000"/>
        </w:rPr>
        <w:t xml:space="preserve"> held by them;</w:t>
      </w:r>
    </w:p>
    <w:p>
      <w:pPr>
        <w:spacing w:after="0" w:line="177" w:lineRule="exact"/>
        <w:rPr>
          <w:sz w:val="20"/>
          <w:szCs w:val="20"/>
          <w:color w:val="auto"/>
        </w:rPr>
      </w:pPr>
    </w:p>
    <w:p>
      <w:pPr>
        <w:jc w:val="both"/>
        <w:ind w:left="1200" w:firstLine="599"/>
        <w:spacing w:after="0" w:line="259" w:lineRule="auto"/>
        <w:rPr>
          <w:sz w:val="20"/>
          <w:szCs w:val="20"/>
          <w:color w:val="auto"/>
        </w:rPr>
      </w:pPr>
      <w:r>
        <w:rPr>
          <w:rFonts w:ascii="Arial" w:cs="Arial" w:eastAsia="Arial" w:hAnsi="Arial"/>
          <w:sz w:val="20"/>
          <w:szCs w:val="20"/>
          <w:u w:val="single" w:color="auto"/>
          <w:color w:val="FF0000"/>
          <w:strike w:val="1"/>
        </w:rPr>
        <w:t>Fourth</w:t>
      </w:r>
      <w:r>
        <w:rPr>
          <w:rFonts w:ascii="Arial" w:cs="Arial" w:eastAsia="Arial" w:hAnsi="Arial"/>
          <w:sz w:val="20"/>
          <w:szCs w:val="20"/>
          <w:b w:val="1"/>
          <w:bCs w:val="1"/>
          <w:u w:val="single" w:color="auto"/>
          <w:color w:val="0000FF"/>
          <w:highlight w:val="lightGray"/>
        </w:rPr>
        <w:t>Fifth</w:t>
      </w:r>
      <w:r>
        <w:rPr>
          <w:rFonts w:ascii="Arial" w:cs="Arial" w:eastAsia="Arial" w:hAnsi="Arial"/>
          <w:sz w:val="20"/>
          <w:szCs w:val="20"/>
          <w:color w:val="000000"/>
        </w:rPr>
        <w:t>, to the payment of any amounts remaining unpaid in respect of the Obligations (other than Obligations</w:t>
      </w:r>
      <w:r>
        <w:rPr>
          <w:rFonts w:ascii="Arial" w:cs="Arial" w:eastAsia="Arial" w:hAnsi="Arial"/>
          <w:sz w:val="20"/>
          <w:szCs w:val="20"/>
          <w:color w:val="FF0000"/>
        </w:rPr>
        <w:t xml:space="preserve"> </w:t>
      </w:r>
      <w:r>
        <w:rPr>
          <w:rFonts w:ascii="Arial" w:cs="Arial" w:eastAsia="Arial" w:hAnsi="Arial"/>
          <w:sz w:val="20"/>
          <w:szCs w:val="20"/>
          <w:u w:val="single" w:color="auto"/>
          <w:color w:val="000000"/>
        </w:rPr>
        <w:t>First</w:t>
      </w:r>
      <w:r>
        <w:rPr>
          <w:rFonts w:ascii="Arial" w:cs="Arial" w:eastAsia="Arial" w:hAnsi="Arial"/>
          <w:sz w:val="20"/>
          <w:szCs w:val="20"/>
          <w:color w:val="000000"/>
        </w:rPr>
        <w:t xml:space="preserve">, </w:t>
      </w:r>
      <w:r>
        <w:rPr>
          <w:rFonts w:ascii="Arial" w:cs="Arial" w:eastAsia="Arial" w:hAnsi="Arial"/>
          <w:sz w:val="20"/>
          <w:szCs w:val="20"/>
          <w:u w:val="single" w:color="auto"/>
          <w:color w:val="000000"/>
        </w:rPr>
        <w:t>Second</w:t>
      </w:r>
      <w:r>
        <w:rPr>
          <w:rFonts w:ascii="Arial" w:cs="Arial" w:eastAsia="Arial" w:hAnsi="Arial"/>
          <w:sz w:val="20"/>
          <w:szCs w:val="20"/>
          <w:color w:val="000000"/>
        </w:rPr>
        <w:t xml:space="preserve"> </w:t>
      </w:r>
      <w:r>
        <w:rPr>
          <w:rFonts w:ascii="Arial" w:cs="Arial" w:eastAsia="Arial" w:hAnsi="Arial"/>
          <w:sz w:val="20"/>
          <w:szCs w:val="20"/>
          <w:color w:val="FF0000"/>
          <w:strike w:val="1"/>
        </w:rPr>
        <w:t>or</w:t>
      </w:r>
      <w:r>
        <w:rPr>
          <w:rFonts w:ascii="Arial" w:cs="Arial" w:eastAsia="Arial" w:hAnsi="Arial"/>
          <w:sz w:val="20"/>
          <w:szCs w:val="20"/>
          <w:b w:val="1"/>
          <w:bCs w:val="1"/>
          <w:u w:val="single" w:color="auto"/>
          <w:color w:val="0000FF"/>
          <w:highlight w:val="lightGray"/>
        </w:rPr>
        <w:t>,</w:t>
      </w:r>
      <w:r>
        <w:rPr>
          <w:rFonts w:ascii="Arial" w:cs="Arial" w:eastAsia="Arial" w:hAnsi="Arial"/>
          <w:sz w:val="20"/>
          <w:szCs w:val="20"/>
          <w:color w:val="000000"/>
        </w:rPr>
        <w:t xml:space="preserve"> </w:t>
      </w:r>
      <w:r>
        <w:rPr>
          <w:rFonts w:ascii="Arial" w:cs="Arial" w:eastAsia="Arial" w:hAnsi="Arial"/>
          <w:sz w:val="20"/>
          <w:szCs w:val="20"/>
          <w:u w:val="single" w:color="auto"/>
          <w:color w:val="000000"/>
        </w:rPr>
        <w:t>Third</w:t>
      </w:r>
      <w:r>
        <w:rPr>
          <w:rFonts w:ascii="Arial" w:cs="Arial" w:eastAsia="Arial" w:hAnsi="Arial"/>
          <w:sz w:val="20"/>
          <w:szCs w:val="20"/>
          <w:color w:val="FF0000"/>
          <w:strike w:val="1"/>
        </w:rPr>
        <w:t>,</w:t>
      </w:r>
      <w:r>
        <w:rPr>
          <w:rFonts w:ascii="Arial" w:cs="Arial" w:eastAsia="Arial" w:hAnsi="Arial"/>
          <w:sz w:val="20"/>
          <w:szCs w:val="20"/>
          <w:color w:val="000000"/>
        </w:rPr>
        <w:t xml:space="preserve"> </w:t>
      </w:r>
      <w:r>
        <w:rPr>
          <w:rFonts w:ascii="Arial" w:cs="Arial" w:eastAsia="Arial" w:hAnsi="Arial"/>
          <w:sz w:val="20"/>
          <w:szCs w:val="20"/>
          <w:b w:val="1"/>
          <w:bCs w:val="1"/>
          <w:u w:val="single" w:color="auto"/>
          <w:color w:val="0000FF"/>
          <w:highlight w:val="lightGray"/>
        </w:rPr>
        <w:t>or Fourth</w:t>
      </w:r>
      <w:r>
        <w:rPr>
          <w:rFonts w:ascii="Arial" w:cs="Arial" w:eastAsia="Arial" w:hAnsi="Arial"/>
          <w:sz w:val="20"/>
          <w:szCs w:val="20"/>
          <w:color w:val="000000"/>
        </w:rPr>
        <w:t xml:space="preserve"> above); and</w:t>
      </w:r>
    </w:p>
    <w:p>
      <w:pPr>
        <w:jc w:val="both"/>
        <w:ind w:left="1200" w:firstLine="599"/>
        <w:spacing w:after="0" w:line="256" w:lineRule="auto"/>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the balance, if any, after all of the Obligations have been indefeasibly paid in full, to the Borrower or as otherwise required by Law.</w:t>
      </w:r>
    </w:p>
    <w:p>
      <w:pPr>
        <w:spacing w:after="0" w:line="205"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ARTICLE IX</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ADMINISTRATIVE AGENT</w:t>
      </w:r>
    </w:p>
    <w:p>
      <w:pPr>
        <w:spacing w:after="0" w:line="229" w:lineRule="exact"/>
        <w:rPr>
          <w:sz w:val="20"/>
          <w:szCs w:val="20"/>
          <w:color w:val="auto"/>
        </w:rPr>
      </w:pPr>
    </w:p>
    <w:p>
      <w:pPr>
        <w:jc w:val="both"/>
        <w:ind w:firstLine="1199"/>
        <w:spacing w:after="0" w:line="281" w:lineRule="auto"/>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u w:val="single" w:color="auto"/>
          <w:color w:val="auto"/>
        </w:rPr>
        <w:t>Appointment and Authority</w:t>
      </w:r>
      <w:r>
        <w:rPr>
          <w:rFonts w:ascii="Arial" w:cs="Arial" w:eastAsia="Arial" w:hAnsi="Arial"/>
          <w:sz w:val="18"/>
          <w:szCs w:val="18"/>
          <w:color w:val="auto"/>
        </w:rPr>
        <w:t xml:space="preserve">. Each of the Lenders hereby irrevocably appoints U.S. Bank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Except as expressly set forth in </w:t>
      </w:r>
      <w:r>
        <w:rPr>
          <w:rFonts w:ascii="Arial" w:cs="Arial" w:eastAsia="Arial" w:hAnsi="Arial"/>
          <w:sz w:val="18"/>
          <w:szCs w:val="18"/>
          <w:u w:val="single" w:color="auto"/>
          <w:color w:val="auto"/>
        </w:rPr>
        <w:t>Section 9.06(a)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the provisions of this Article are solely for the benefit of the Administrative Agent and the Lenders and neither </w:t>
      </w:r>
      <w:r>
        <w:rPr>
          <w:rFonts w:ascii="Arial" w:cs="Arial" w:eastAsia="Arial" w:hAnsi="Arial"/>
          <w:sz w:val="18"/>
          <w:szCs w:val="18"/>
          <w:color w:val="FF0000"/>
          <w:strike w:val="1"/>
        </w:rPr>
        <w:t>the Borrower nor</w:t>
      </w:r>
      <w:r>
        <w:rPr>
          <w:rFonts w:ascii="Arial" w:cs="Arial" w:eastAsia="Arial" w:hAnsi="Arial"/>
          <w:sz w:val="18"/>
          <w:szCs w:val="18"/>
          <w:color w:val="auto"/>
        </w:rPr>
        <w:t xml:space="preserve"> any </w:t>
      </w:r>
      <w:r>
        <w:rPr>
          <w:rFonts w:ascii="Arial" w:cs="Arial" w:eastAsia="Arial" w:hAnsi="Arial"/>
          <w:sz w:val="18"/>
          <w:szCs w:val="18"/>
          <w:color w:val="FF0000"/>
          <w:strike w:val="1"/>
        </w:rPr>
        <w:t>other</w:t>
      </w:r>
      <w:r>
        <w:rPr>
          <w:rFonts w:ascii="Arial" w:cs="Arial" w:eastAsia="Arial" w:hAnsi="Arial"/>
          <w:sz w:val="18"/>
          <w:szCs w:val="18"/>
          <w:color w:val="auto"/>
        </w:rPr>
        <w:t xml:space="preserve"> Loan Party </w:t>
      </w:r>
      <w:r>
        <w:rPr>
          <w:rFonts w:ascii="Arial" w:cs="Arial" w:eastAsia="Arial" w:hAnsi="Arial"/>
          <w:sz w:val="18"/>
          <w:szCs w:val="18"/>
          <w:b w:val="1"/>
          <w:bCs w:val="1"/>
          <w:u w:val="single" w:color="auto"/>
          <w:color w:val="0000FF"/>
          <w:highlight w:val="lightGray"/>
        </w:rPr>
        <w:t>nor any Subsidiary thereof</w:t>
      </w:r>
      <w:r>
        <w:rPr>
          <w:rFonts w:ascii="Arial" w:cs="Arial" w:eastAsia="Arial" w:hAnsi="Arial"/>
          <w:sz w:val="18"/>
          <w:szCs w:val="18"/>
          <w:color w:val="auto"/>
        </w:rPr>
        <w:t xml:space="preserve">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2" w:lineRule="exact"/>
        <w:rPr>
          <w:sz w:val="20"/>
          <w:szCs w:val="20"/>
          <w:color w:val="auto"/>
        </w:rPr>
      </w:pPr>
    </w:p>
    <w:p>
      <w:pPr>
        <w:jc w:val="both"/>
        <w:ind w:firstLine="1199"/>
        <w:spacing w:after="0" w:line="251" w:lineRule="auto"/>
        <w:rPr>
          <w:sz w:val="20"/>
          <w:szCs w:val="20"/>
          <w:color w:val="auto"/>
        </w:rPr>
      </w:pPr>
      <w:r>
        <w:rPr>
          <w:rFonts w:ascii="Arial" w:cs="Arial" w:eastAsia="Arial" w:hAnsi="Arial"/>
          <w:sz w:val="20"/>
          <w:szCs w:val="20"/>
          <w:color w:val="auto"/>
        </w:rPr>
        <w:t xml:space="preserve">9.02. </w:t>
      </w:r>
      <w:r>
        <w:rPr>
          <w:rFonts w:ascii="Arial" w:cs="Arial" w:eastAsia="Arial" w:hAnsi="Arial"/>
          <w:sz w:val="20"/>
          <w:szCs w:val="20"/>
          <w:u w:val="single" w:color="auto"/>
          <w:color w:val="auto"/>
        </w:rPr>
        <w:t>Rights as a Lender</w:t>
      </w:r>
      <w:r>
        <w:rPr>
          <w:rFonts w:ascii="Arial" w:cs="Arial" w:eastAsia="Arial" w:hAnsi="Arial"/>
          <w:sz w:val="20"/>
          <w:szCs w:val="20"/>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REIT or any Subsidiary or other Affiliate thereof as if such Person were not the Administrative Agent hereunder and without any duty to account therefor to the Lenders.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795" w:right="239" w:bottom="1440" w:gutter="0" w:footer="0" w:header="0"/>
        </w:sectPr>
      </w:pPr>
    </w:p>
    <w:bookmarkStart w:id="318" w:name="page319"/>
    <w:bookmarkEnd w:id="318"/>
    <w:p>
      <w:pPr>
        <w:jc w:val="both"/>
        <w:ind w:firstLine="1199"/>
        <w:spacing w:after="0" w:line="260" w:lineRule="auto"/>
        <w:rPr>
          <w:sz w:val="20"/>
          <w:szCs w:val="20"/>
          <w:color w:val="auto"/>
        </w:rPr>
      </w:pPr>
      <w:r>
        <w:rPr>
          <w:rFonts w:ascii="Arial" w:cs="Arial" w:eastAsia="Arial" w:hAnsi="Arial"/>
          <w:sz w:val="20"/>
          <w:szCs w:val="20"/>
          <w:color w:val="auto"/>
        </w:rPr>
        <w:t xml:space="preserve">9.03. </w:t>
      </w:r>
      <w:r>
        <w:rPr>
          <w:rFonts w:ascii="Arial" w:cs="Arial" w:eastAsia="Arial" w:hAnsi="Arial"/>
          <w:sz w:val="20"/>
          <w:szCs w:val="20"/>
          <w:u w:val="single" w:color="auto"/>
          <w:color w:val="auto"/>
        </w:rPr>
        <w:t>Exculpatory Provisions</w:t>
      </w:r>
      <w:r>
        <w:rPr>
          <w:rFonts w:ascii="Arial" w:cs="Arial" w:eastAsia="Arial" w:hAnsi="Arial"/>
          <w:sz w:val="20"/>
          <w:szCs w:val="20"/>
          <w:color w:val="auto"/>
        </w:rPr>
        <w:t>. 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202" w:lineRule="exact"/>
        <w:rPr>
          <w:sz w:val="20"/>
          <w:szCs w:val="20"/>
          <w:color w:val="auto"/>
        </w:rPr>
      </w:pPr>
    </w:p>
    <w:p>
      <w:pPr>
        <w:ind w:left="2020" w:hanging="821"/>
        <w:spacing w:after="0"/>
        <w:tabs>
          <w:tab w:leader="none" w:pos="2020" w:val="left"/>
        </w:tabs>
        <w:numPr>
          <w:ilvl w:val="0"/>
          <w:numId w:val="367"/>
        </w:numPr>
        <w:rPr>
          <w:rFonts w:ascii="Arial" w:cs="Arial" w:eastAsia="Arial" w:hAnsi="Arial"/>
          <w:sz w:val="19"/>
          <w:szCs w:val="19"/>
          <w:color w:val="auto"/>
        </w:rPr>
      </w:pPr>
      <w:r>
        <w:rPr>
          <w:rFonts w:ascii="Arial" w:cs="Arial" w:eastAsia="Arial" w:hAnsi="Arial"/>
          <w:sz w:val="19"/>
          <w:szCs w:val="19"/>
          <w:color w:val="auto"/>
        </w:rPr>
        <w:t>shall not be subject to any fiduciary or other implied duties, regardless of whether a Default has occurred and is</w:t>
      </w:r>
    </w:p>
    <w:p>
      <w:pPr>
        <w:spacing w:after="0" w:line="34" w:lineRule="exact"/>
        <w:rPr>
          <w:rFonts w:ascii="Arial" w:cs="Arial" w:eastAsia="Arial" w:hAnsi="Arial"/>
          <w:sz w:val="19"/>
          <w:szCs w:val="19"/>
          <w:color w:val="auto"/>
        </w:rPr>
      </w:pPr>
    </w:p>
    <w:p>
      <w:pPr>
        <w:ind w:left="600"/>
        <w:spacing w:after="0"/>
        <w:rPr>
          <w:rFonts w:ascii="Arial" w:cs="Arial" w:eastAsia="Arial" w:hAnsi="Arial"/>
          <w:sz w:val="19"/>
          <w:szCs w:val="19"/>
          <w:color w:val="auto"/>
        </w:rPr>
      </w:pPr>
      <w:r>
        <w:rPr>
          <w:rFonts w:ascii="Arial" w:cs="Arial" w:eastAsia="Arial" w:hAnsi="Arial"/>
          <w:sz w:val="20"/>
          <w:szCs w:val="20"/>
          <w:color w:val="auto"/>
        </w:rPr>
        <w:t>continuing;</w:t>
      </w:r>
    </w:p>
    <w:p>
      <w:pPr>
        <w:spacing w:after="0" w:line="228" w:lineRule="exact"/>
        <w:rPr>
          <w:rFonts w:ascii="Arial" w:cs="Arial" w:eastAsia="Arial" w:hAnsi="Arial"/>
          <w:sz w:val="19"/>
          <w:szCs w:val="19"/>
          <w:color w:val="auto"/>
        </w:rPr>
      </w:pPr>
    </w:p>
    <w:p>
      <w:pPr>
        <w:jc w:val="both"/>
        <w:ind w:left="600" w:firstLine="599"/>
        <w:spacing w:after="0" w:line="251" w:lineRule="auto"/>
        <w:tabs>
          <w:tab w:leader="none" w:pos="2032" w:val="left"/>
        </w:tabs>
        <w:numPr>
          <w:ilvl w:val="0"/>
          <w:numId w:val="367"/>
        </w:numPr>
        <w:rPr>
          <w:rFonts w:ascii="Arial" w:cs="Arial" w:eastAsia="Arial" w:hAnsi="Arial"/>
          <w:sz w:val="20"/>
          <w:szCs w:val="20"/>
          <w:color w:val="auto"/>
        </w:rPr>
      </w:pPr>
      <w:r>
        <w:rPr>
          <w:rFonts w:ascii="Arial" w:cs="Arial" w:eastAsia="Arial" w:hAnsi="Arial"/>
          <w:sz w:val="20"/>
          <w:szCs w:val="20"/>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211" w:lineRule="exact"/>
        <w:rPr>
          <w:rFonts w:ascii="Arial" w:cs="Arial" w:eastAsia="Arial" w:hAnsi="Arial"/>
          <w:sz w:val="20"/>
          <w:szCs w:val="20"/>
          <w:color w:val="auto"/>
        </w:rPr>
      </w:pPr>
    </w:p>
    <w:p>
      <w:pPr>
        <w:jc w:val="both"/>
        <w:ind w:left="600" w:firstLine="599"/>
        <w:spacing w:after="0" w:line="280" w:lineRule="auto"/>
        <w:tabs>
          <w:tab w:leader="none" w:pos="2021" w:val="left"/>
        </w:tabs>
        <w:numPr>
          <w:ilvl w:val="0"/>
          <w:numId w:val="367"/>
        </w:numPr>
        <w:rPr>
          <w:rFonts w:ascii="Arial" w:cs="Arial" w:eastAsia="Arial" w:hAnsi="Arial"/>
          <w:sz w:val="19"/>
          <w:szCs w:val="19"/>
          <w:color w:val="auto"/>
        </w:rPr>
      </w:pPr>
      <w:r>
        <w:rPr>
          <w:rFonts w:ascii="Arial" w:cs="Arial" w:eastAsia="Arial" w:hAnsi="Arial"/>
          <w:sz w:val="19"/>
          <w:szCs w:val="19"/>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84" w:lineRule="exact"/>
        <w:rPr>
          <w:rFonts w:ascii="Arial" w:cs="Arial" w:eastAsia="Arial" w:hAnsi="Arial"/>
          <w:sz w:val="19"/>
          <w:szCs w:val="19"/>
          <w:color w:val="auto"/>
        </w:rPr>
      </w:pPr>
    </w:p>
    <w:p>
      <w:pPr>
        <w:jc w:val="both"/>
        <w:ind w:left="600" w:firstLine="599"/>
        <w:spacing w:after="0" w:line="251" w:lineRule="auto"/>
        <w:tabs>
          <w:tab w:leader="none" w:pos="2032" w:val="left"/>
        </w:tabs>
        <w:numPr>
          <w:ilvl w:val="0"/>
          <w:numId w:val="367"/>
        </w:numPr>
        <w:rPr>
          <w:rFonts w:ascii="Arial" w:cs="Arial" w:eastAsia="Arial" w:hAnsi="Arial"/>
          <w:sz w:val="20"/>
          <w:szCs w:val="20"/>
          <w:color w:val="auto"/>
        </w:rPr>
      </w:pPr>
      <w:r>
        <w:rPr>
          <w:rFonts w:ascii="Arial" w:cs="Arial" w:eastAsia="Arial" w:hAnsi="Arial"/>
          <w:sz w:val="20"/>
          <w:szCs w:val="20"/>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20"/>
          <w:szCs w:val="20"/>
          <w:u w:val="single" w:color="auto"/>
          <w:color w:val="auto"/>
        </w:rPr>
        <w:t>Sections 10.01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8.02</w:t>
      </w:r>
      <w:r>
        <w:rPr>
          <w:rFonts w:ascii="Arial" w:cs="Arial" w:eastAsia="Arial" w:hAnsi="Arial"/>
          <w:sz w:val="20"/>
          <w:szCs w:val="20"/>
          <w:color w:val="auto"/>
        </w:rPr>
        <w:t>) or (ii) in the absence of its own gross negligence or willful misconduct, as determined by a court of competent jurisdiction by a final and nonappealable judgment. The Administrative Agent shall not be deemed to have knowledge of any Default, except for any default relating to the payment of principal of or interest on any Loan, unless and until notice describing such Default is given to the Administrative Agent by the Borrower or a Lender.</w:t>
      </w:r>
    </w:p>
    <w:p>
      <w:pPr>
        <w:spacing w:after="0" w:line="214" w:lineRule="exact"/>
        <w:rPr>
          <w:rFonts w:ascii="Arial" w:cs="Arial" w:eastAsia="Arial" w:hAnsi="Arial"/>
          <w:sz w:val="20"/>
          <w:szCs w:val="20"/>
          <w:color w:val="auto"/>
        </w:rPr>
      </w:pPr>
    </w:p>
    <w:p>
      <w:pPr>
        <w:jc w:val="both"/>
        <w:ind w:left="600" w:firstLine="599"/>
        <w:spacing w:after="0" w:line="267" w:lineRule="auto"/>
        <w:tabs>
          <w:tab w:leader="none" w:pos="2021" w:val="left"/>
        </w:tabs>
        <w:numPr>
          <w:ilvl w:val="0"/>
          <w:numId w:val="367"/>
        </w:numPr>
        <w:rPr>
          <w:rFonts w:ascii="Arial" w:cs="Arial" w:eastAsia="Arial" w:hAnsi="Arial"/>
          <w:sz w:val="19"/>
          <w:szCs w:val="19"/>
          <w:color w:val="auto"/>
        </w:rPr>
      </w:pPr>
      <w:r>
        <w:rPr>
          <w:rFonts w:ascii="Arial" w:cs="Arial" w:eastAsia="Arial" w:hAnsi="Arial"/>
          <w:sz w:val="19"/>
          <w:szCs w:val="19"/>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elsewhere herein, other than to confirm receipt of items expressly required to be delivered to the Administrative Agent.</w:t>
      </w:r>
    </w:p>
    <w:p>
      <w:pPr>
        <w:spacing w:after="0" w:line="197" w:lineRule="exact"/>
        <w:rPr>
          <w:sz w:val="20"/>
          <w:szCs w:val="20"/>
          <w:color w:val="auto"/>
        </w:rPr>
      </w:pPr>
    </w:p>
    <w:p>
      <w:pPr>
        <w:jc w:val="both"/>
        <w:ind w:firstLine="1199"/>
        <w:spacing w:after="0" w:line="253" w:lineRule="auto"/>
        <w:rPr>
          <w:sz w:val="20"/>
          <w:szCs w:val="20"/>
          <w:color w:val="auto"/>
        </w:rPr>
      </w:pPr>
      <w:r>
        <w:rPr>
          <w:rFonts w:ascii="Arial" w:cs="Arial" w:eastAsia="Arial" w:hAnsi="Arial"/>
          <w:sz w:val="20"/>
          <w:szCs w:val="20"/>
          <w:color w:val="auto"/>
        </w:rPr>
        <w:t xml:space="preserve">9.04. </w:t>
      </w:r>
      <w:r>
        <w:rPr>
          <w:rFonts w:ascii="Arial" w:cs="Arial" w:eastAsia="Arial" w:hAnsi="Arial"/>
          <w:sz w:val="20"/>
          <w:szCs w:val="20"/>
          <w:u w:val="single" w:color="auto"/>
          <w:color w:val="auto"/>
        </w:rPr>
        <w:t>Reliance by Administrative Agent</w:t>
      </w:r>
      <w:r>
        <w:rPr>
          <w:rFonts w:ascii="Arial" w:cs="Arial" w:eastAsia="Arial" w:hAnsi="Arial"/>
          <w:sz w:val="20"/>
          <w:szCs w:val="20"/>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795" w:right="239" w:bottom="1440" w:gutter="0" w:footer="0" w:header="0"/>
        </w:sectPr>
      </w:pPr>
    </w:p>
    <w:bookmarkStart w:id="319" w:name="page320"/>
    <w:bookmarkEnd w:id="319"/>
    <w:p>
      <w:pPr>
        <w:jc w:val="both"/>
        <w:spacing w:after="0" w:line="270" w:lineRule="auto"/>
        <w:rPr>
          <w:sz w:val="20"/>
          <w:szCs w:val="20"/>
          <w:color w:val="auto"/>
        </w:rPr>
      </w:pPr>
      <w:r>
        <w:rPr>
          <w:rFonts w:ascii="Arial" w:cs="Arial" w:eastAsia="Arial" w:hAnsi="Arial"/>
          <w:sz w:val="19"/>
          <w:szCs w:val="19"/>
          <w:color w:val="auto"/>
        </w:rPr>
        <w:t>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95" w:lineRule="exact"/>
        <w:rPr>
          <w:sz w:val="20"/>
          <w:szCs w:val="20"/>
          <w:color w:val="auto"/>
        </w:rPr>
      </w:pPr>
    </w:p>
    <w:p>
      <w:pPr>
        <w:jc w:val="both"/>
        <w:ind w:firstLine="1199"/>
        <w:spacing w:after="0" w:line="282" w:lineRule="auto"/>
        <w:rPr>
          <w:sz w:val="20"/>
          <w:szCs w:val="20"/>
          <w:color w:val="auto"/>
        </w:rPr>
      </w:pPr>
      <w:r>
        <w:rPr>
          <w:rFonts w:ascii="Arial" w:cs="Arial" w:eastAsia="Arial" w:hAnsi="Arial"/>
          <w:sz w:val="18"/>
          <w:szCs w:val="18"/>
          <w:color w:val="auto"/>
        </w:rPr>
        <w:t xml:space="preserve">9.05.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 appealable judgment that the Administrative Agent acted with gross negligence or willful misconduct in the selection of such sub-agents.</w:t>
      </w:r>
    </w:p>
    <w:p>
      <w:pPr>
        <w:spacing w:after="0" w:line="190" w:lineRule="exact"/>
        <w:rPr>
          <w:sz w:val="20"/>
          <w:szCs w:val="20"/>
          <w:color w:val="auto"/>
        </w:rPr>
      </w:pPr>
    </w:p>
    <w:p>
      <w:pPr>
        <w:ind w:left="1200"/>
        <w:spacing w:after="0"/>
        <w:tabs>
          <w:tab w:leader="none" w:pos="1780" w:val="left"/>
        </w:tabs>
        <w:rPr>
          <w:sz w:val="20"/>
          <w:szCs w:val="20"/>
          <w:color w:val="auto"/>
        </w:rPr>
      </w:pPr>
      <w:r>
        <w:rPr>
          <w:rFonts w:ascii="Arial" w:cs="Arial" w:eastAsia="Arial" w:hAnsi="Arial"/>
          <w:sz w:val="20"/>
          <w:szCs w:val="20"/>
          <w:color w:val="auto"/>
        </w:rPr>
        <w:t>9.06.</w:t>
      </w:r>
      <w:r>
        <w:rPr>
          <w:sz w:val="20"/>
          <w:szCs w:val="20"/>
          <w:color w:val="auto"/>
        </w:rPr>
        <w:tab/>
      </w:r>
      <w:r>
        <w:rPr>
          <w:rFonts w:ascii="Arial" w:cs="Arial" w:eastAsia="Arial" w:hAnsi="Arial"/>
          <w:sz w:val="18"/>
          <w:szCs w:val="18"/>
          <w:u w:val="single" w:color="auto"/>
          <w:color w:val="auto"/>
        </w:rPr>
        <w:t>Resignation of Administrative Agent</w:t>
      </w:r>
      <w:r>
        <w:rPr>
          <w:rFonts w:ascii="Arial" w:cs="Arial" w:eastAsia="Arial" w:hAnsi="Arial"/>
          <w:sz w:val="18"/>
          <w:szCs w:val="18"/>
          <w:color w:val="auto"/>
        </w:rPr>
        <w:t>.</w:t>
      </w:r>
    </w:p>
    <w:p>
      <w:pPr>
        <w:spacing w:after="0" w:line="245" w:lineRule="exact"/>
        <w:rPr>
          <w:sz w:val="20"/>
          <w:szCs w:val="20"/>
          <w:color w:val="auto"/>
        </w:rPr>
      </w:pPr>
    </w:p>
    <w:p>
      <w:pPr>
        <w:jc w:val="both"/>
        <w:ind w:left="600" w:firstLine="599"/>
        <w:spacing w:after="0" w:line="264" w:lineRule="auto"/>
        <w:tabs>
          <w:tab w:leader="none" w:pos="2021" w:val="left"/>
        </w:tabs>
        <w:numPr>
          <w:ilvl w:val="0"/>
          <w:numId w:val="368"/>
        </w:numPr>
        <w:rPr>
          <w:rFonts w:ascii="Arial" w:cs="Arial" w:eastAsia="Arial" w:hAnsi="Arial"/>
          <w:sz w:val="19"/>
          <w:szCs w:val="19"/>
          <w:color w:val="auto"/>
        </w:rPr>
      </w:pPr>
      <w:r>
        <w:rPr>
          <w:rFonts w:ascii="Arial" w:cs="Arial" w:eastAsia="Arial" w:hAnsi="Arial"/>
          <w:sz w:val="19"/>
          <w:szCs w:val="19"/>
          <w:color w:val="auto"/>
        </w:rPr>
        <w:t>The Administrative Agent may at any time give notice of its resignation to the Lenders and the Borrower. Upon receipt of any such notice of resignation, the Required Lenders shall have the right to appoint a successor, which shall be a bank with an office in the United States, or an Affiliate of any such bank with an office in the United States, and which successor agent shall be subject to the written consent of the Borrower unless an Event of Default has occurred and is continuing (which consent of the Borrower shall not be unreasonably withheld or delayed and shall be deemed given if the Borrower fails to respond within ten (10) Business Days). If no such successor shall have been so appointed by the Required Lenders (and approved by the Borrower, if applicable) and shall have accepted such appointment within 30 days after the retiring Administrative Agent gives notice of its resignation, (or such earlier day as shall be agreed by the Required Lenders) (the “</w:t>
      </w:r>
      <w:r>
        <w:rPr>
          <w:rFonts w:ascii="Arial" w:cs="Arial" w:eastAsia="Arial" w:hAnsi="Arial"/>
          <w:sz w:val="19"/>
          <w:szCs w:val="19"/>
          <w:u w:val="single" w:color="auto"/>
          <w:color w:val="auto"/>
        </w:rPr>
        <w:t>Resignation Effective Date</w:t>
      </w:r>
      <w:r>
        <w:rPr>
          <w:rFonts w:ascii="Arial" w:cs="Arial" w:eastAsia="Arial" w:hAnsi="Arial"/>
          <w:sz w:val="19"/>
          <w:szCs w:val="19"/>
          <w:color w:val="auto"/>
        </w:rPr>
        <w:t>”), then the retiring Administrative Agent may (but shall not be obligated to) on behalf of the Lenders appoint a successor Administrative Agent meeting the qualifications set forth above. Whether or not a successor has been appointed, such resignation shall become effective in accordance with such notice on the Resignation Effective Date.</w:t>
      </w:r>
    </w:p>
    <w:p>
      <w:pPr>
        <w:spacing w:after="0" w:line="203" w:lineRule="exact"/>
        <w:rPr>
          <w:rFonts w:ascii="Arial" w:cs="Arial" w:eastAsia="Arial" w:hAnsi="Arial"/>
          <w:sz w:val="19"/>
          <w:szCs w:val="19"/>
          <w:color w:val="auto"/>
        </w:rPr>
      </w:pPr>
    </w:p>
    <w:p>
      <w:pPr>
        <w:jc w:val="both"/>
        <w:ind w:left="600" w:firstLine="599"/>
        <w:spacing w:after="0" w:line="266" w:lineRule="auto"/>
        <w:tabs>
          <w:tab w:leader="none" w:pos="2032" w:val="left"/>
        </w:tabs>
        <w:numPr>
          <w:ilvl w:val="0"/>
          <w:numId w:val="368"/>
        </w:numPr>
        <w:rPr>
          <w:rFonts w:ascii="Arial" w:cs="Arial" w:eastAsia="Arial" w:hAnsi="Arial"/>
          <w:sz w:val="19"/>
          <w:szCs w:val="19"/>
          <w:color w:val="auto"/>
        </w:rPr>
      </w:pPr>
      <w:r>
        <w:rPr>
          <w:rFonts w:ascii="Arial" w:cs="Arial" w:eastAsia="Arial" w:hAnsi="Arial"/>
          <w:sz w:val="19"/>
          <w:szCs w:val="19"/>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with the written consent of the Borrower unless an Event of Default have occurred and is continuing (which consent of the Borrower shall not be unreasonably withheld or delayed and shall be deemed given if the Borrower fails to respond within ten (10) Business Days), appoint a successor. If no such successor shall have been so appointed by the Required Lenders (and approved by the Borrower, if applicable) and shall have accepted such appointment within 30 days (or such earlier day as shall be agreed by the Required Lenders) (the “</w:t>
      </w:r>
      <w:r>
        <w:rPr>
          <w:rFonts w:ascii="Arial" w:cs="Arial" w:eastAsia="Arial" w:hAnsi="Arial"/>
          <w:sz w:val="19"/>
          <w:szCs w:val="19"/>
          <w:u w:val="single" w:color="auto"/>
          <w:color w:val="auto"/>
        </w:rPr>
        <w:t>Removal Effective Date</w:t>
      </w:r>
      <w:r>
        <w:rPr>
          <w:rFonts w:ascii="Arial" w:cs="Arial" w:eastAsia="Arial" w:hAnsi="Arial"/>
          <w:sz w:val="19"/>
          <w:szCs w:val="19"/>
          <w:color w:val="auto"/>
        </w:rPr>
        <w:t>”), then such removal shall nonetheless become effective in accordance with such notice on the Removal Effective Date.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794" w:right="239" w:bottom="1440" w:gutter="0" w:footer="0" w:header="0"/>
        </w:sectPr>
      </w:pPr>
    </w:p>
    <w:bookmarkStart w:id="320" w:name="page321"/>
    <w:bookmarkEnd w:id="320"/>
    <w:p>
      <w:pPr>
        <w:jc w:val="both"/>
        <w:ind w:left="600" w:firstLine="599"/>
        <w:spacing w:after="0" w:line="239" w:lineRule="exact"/>
        <w:tabs>
          <w:tab w:leader="none" w:pos="2021" w:val="left"/>
        </w:tabs>
        <w:numPr>
          <w:ilvl w:val="0"/>
          <w:numId w:val="369"/>
        </w:numPr>
        <w:rPr>
          <w:rFonts w:ascii="Arial" w:cs="Arial" w:eastAsia="Arial" w:hAnsi="Arial"/>
          <w:sz w:val="18"/>
          <w:szCs w:val="18"/>
          <w:color w:val="auto"/>
        </w:rPr>
      </w:pPr>
      <w:r>
        <w:rPr>
          <w:rFonts w:ascii="Arial" w:cs="Arial" w:eastAsia="Arial" w:hAnsi="Arial"/>
          <w:sz w:val="18"/>
          <w:szCs w:val="18"/>
          <w:color w:val="auto"/>
        </w:rPr>
        <w:t xml:space="preserve">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under any of the Loan Documents, the retiring </w:t>
      </w:r>
      <w:r>
        <w:rPr>
          <w:rFonts w:ascii="Arial" w:cs="Arial" w:eastAsia="Arial" w:hAnsi="Arial"/>
          <w:sz w:val="18"/>
          <w:szCs w:val="18"/>
          <w:b w:val="1"/>
          <w:bCs w:val="1"/>
          <w:u w:val="single" w:color="auto"/>
          <w:color w:val="0000FF"/>
          <w:highlight w:val="lightGray"/>
        </w:rPr>
        <w:t>or removed</w:t>
      </w:r>
      <w:r>
        <w:rPr>
          <w:rFonts w:ascii="Arial" w:cs="Arial" w:eastAsia="Arial" w:hAnsi="Arial"/>
          <w:sz w:val="18"/>
          <w:szCs w:val="18"/>
          <w:color w:val="auto"/>
        </w:rPr>
        <w:t xml:space="preserve">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8"/>
          <w:szCs w:val="18"/>
          <w:u w:val="single" w:color="auto"/>
          <w:color w:val="auto"/>
        </w:rPr>
        <w:t>Section 3.01(g)</w:t>
      </w:r>
      <w:r>
        <w:rPr>
          <w:rFonts w:ascii="Arial" w:cs="Arial" w:eastAsia="Arial" w:hAnsi="Arial"/>
          <w:sz w:val="18"/>
          <w:szCs w:val="18"/>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shall continue in effect for the benefit of such retiring or removed Administrative Agent, its sub</w:t>
      </w:r>
      <w:r>
        <w:rPr>
          <w:rFonts w:ascii="MS PGothic" w:cs="MS PGothic" w:eastAsia="MS PGothic" w:hAnsi="MS PGothic"/>
          <w:sz w:val="18"/>
          <w:szCs w:val="18"/>
          <w:color w:val="auto"/>
        </w:rPr>
        <w:t>‑</w:t>
      </w:r>
      <w:r>
        <w:rPr>
          <w:rFonts w:ascii="Arial" w:cs="Arial" w:eastAsia="Arial" w:hAnsi="Arial"/>
          <w:sz w:val="18"/>
          <w:szCs w:val="18"/>
          <w:color w:val="auto"/>
        </w:rPr>
        <w:t xml:space="preserve">agents and their respective Related Parties in respect of any actions taken or omitted to be taken by any of them </w:t>
      </w:r>
      <w:r>
        <w:rPr>
          <w:rFonts w:ascii="Arial" w:cs="Arial" w:eastAsia="Arial" w:hAnsi="Arial"/>
          <w:sz w:val="18"/>
          <w:szCs w:val="18"/>
          <w:b w:val="1"/>
          <w:bCs w:val="1"/>
          <w:u w:val="single" w:color="auto"/>
          <w:color w:val="0000FF"/>
          <w:highlight w:val="lightGray"/>
        </w:rPr>
        <w:t>(i)</w:t>
      </w:r>
      <w:r>
        <w:rPr>
          <w:rFonts w:ascii="Arial" w:cs="Arial" w:eastAsia="Arial" w:hAnsi="Arial"/>
          <w:sz w:val="18"/>
          <w:szCs w:val="18"/>
          <w:color w:val="auto"/>
        </w:rPr>
        <w:t xml:space="preserve"> while the retiring or removed Administrative Agent was acting as Administrative Agent</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highlight w:val="lightGray"/>
        </w:rPr>
        <w:t>and (ii) after such</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highlight w:val="lightGray"/>
        </w:rPr>
        <w:t>resignation or removal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spacing w:after="0" w:line="222" w:lineRule="exact"/>
        <w:rPr>
          <w:sz w:val="20"/>
          <w:szCs w:val="20"/>
          <w:color w:val="auto"/>
        </w:rPr>
      </w:pPr>
    </w:p>
    <w:p>
      <w:pPr>
        <w:jc w:val="both"/>
        <w:ind w:firstLine="1199"/>
        <w:spacing w:after="0" w:line="251" w:lineRule="auto"/>
        <w:rPr>
          <w:sz w:val="20"/>
          <w:szCs w:val="20"/>
          <w:color w:val="auto"/>
        </w:rPr>
      </w:pPr>
      <w:r>
        <w:rPr>
          <w:rFonts w:ascii="Arial" w:cs="Arial" w:eastAsia="Arial" w:hAnsi="Arial"/>
          <w:sz w:val="20"/>
          <w:szCs w:val="20"/>
          <w:color w:val="auto"/>
        </w:rPr>
        <w:t xml:space="preserve">9.07. </w:t>
      </w:r>
      <w:r>
        <w:rPr>
          <w:rFonts w:ascii="Arial" w:cs="Arial" w:eastAsia="Arial" w:hAnsi="Arial"/>
          <w:sz w:val="20"/>
          <w:szCs w:val="20"/>
          <w:u w:val="single" w:color="auto"/>
          <w:color w:val="auto"/>
        </w:rPr>
        <w:t>Non-Reliance on Administrative Agent and Other Lenders</w:t>
      </w:r>
      <w:r>
        <w:rPr>
          <w:rFonts w:ascii="Arial" w:cs="Arial" w:eastAsia="Arial" w:hAnsi="Arial"/>
          <w:sz w:val="20"/>
          <w:szCs w:val="20"/>
          <w:color w:val="auto"/>
        </w:rPr>
        <w:t>. 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215" w:lineRule="exact"/>
        <w:rPr>
          <w:sz w:val="20"/>
          <w:szCs w:val="20"/>
          <w:color w:val="auto"/>
        </w:rPr>
      </w:pPr>
    </w:p>
    <w:p>
      <w:pPr>
        <w:jc w:val="both"/>
        <w:ind w:firstLine="1199"/>
        <w:spacing w:after="0" w:line="260" w:lineRule="auto"/>
        <w:rPr>
          <w:sz w:val="20"/>
          <w:szCs w:val="20"/>
          <w:color w:val="auto"/>
        </w:rPr>
      </w:pPr>
      <w:r>
        <w:rPr>
          <w:rFonts w:ascii="Arial" w:cs="Arial" w:eastAsia="Arial" w:hAnsi="Arial"/>
          <w:sz w:val="20"/>
          <w:szCs w:val="20"/>
          <w:color w:val="auto"/>
        </w:rPr>
        <w:t xml:space="preserve">9.08. </w:t>
      </w:r>
      <w:r>
        <w:rPr>
          <w:rFonts w:ascii="Arial" w:cs="Arial" w:eastAsia="Arial" w:hAnsi="Arial"/>
          <w:sz w:val="20"/>
          <w:szCs w:val="20"/>
          <w:u w:val="single" w:color="auto"/>
          <w:color w:val="auto"/>
        </w:rPr>
        <w:t>No Other Duties, Etc</w:t>
      </w:r>
      <w:r>
        <w:rPr>
          <w:rFonts w:ascii="Arial" w:cs="Arial" w:eastAsia="Arial" w:hAnsi="Arial"/>
          <w:sz w:val="20"/>
          <w:szCs w:val="20"/>
          <w:color w:val="auto"/>
        </w:rPr>
        <w:t>. Anything herein to the contrary notwithstanding, neither any Arranger nor the Syndication Agent listed on the cover page hereof shall have any powers, duties or responsibilities under this Agreement or any of the other Loan Documents, except in its capacity, as applicable, as the Administrative Agent or a Lender hereunder.</w:t>
      </w:r>
    </w:p>
    <w:p>
      <w:pPr>
        <w:spacing w:after="0" w:line="202" w:lineRule="exact"/>
        <w:rPr>
          <w:sz w:val="20"/>
          <w:szCs w:val="20"/>
          <w:color w:val="auto"/>
        </w:rPr>
      </w:pPr>
    </w:p>
    <w:p>
      <w:pPr>
        <w:jc w:val="both"/>
        <w:ind w:firstLine="1199"/>
        <w:spacing w:after="0" w:line="302" w:lineRule="auto"/>
        <w:rPr>
          <w:sz w:val="20"/>
          <w:szCs w:val="20"/>
          <w:color w:val="auto"/>
        </w:rPr>
      </w:pPr>
      <w:r>
        <w:rPr>
          <w:rFonts w:ascii="Arial" w:cs="Arial" w:eastAsia="Arial" w:hAnsi="Arial"/>
          <w:sz w:val="18"/>
          <w:szCs w:val="18"/>
          <w:color w:val="auto"/>
        </w:rPr>
        <w:t xml:space="preserve">9.09. </w:t>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 xml:space="preserve">. In case of the pendency of any proceeding under any Debtor Relief Law or any other judicial proceeding relative to any Loan Party </w:t>
      </w:r>
      <w:r>
        <w:rPr>
          <w:rFonts w:ascii="Arial" w:cs="Arial" w:eastAsia="Arial" w:hAnsi="Arial"/>
          <w:sz w:val="18"/>
          <w:szCs w:val="18"/>
          <w:b w:val="1"/>
          <w:bCs w:val="1"/>
          <w:u w:val="single" w:color="auto"/>
          <w:color w:val="0000FF"/>
          <w:highlight w:val="lightGray"/>
        </w:rPr>
        <w:t>or Subsidiary thereof</w:t>
      </w:r>
      <w:r>
        <w:rPr>
          <w:rFonts w:ascii="Arial" w:cs="Arial" w:eastAsia="Arial" w:hAnsi="Arial"/>
          <w:sz w:val="18"/>
          <w:szCs w:val="18"/>
          <w:color w:val="auto"/>
        </w:rPr>
        <w:t>, the Administrative Agent (irrespective of whether the principal of any Loan shall then be due and payable as herein expressed or by declaration or otherwise and irrespective of whether the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794" w:right="239" w:bottom="1440" w:gutter="0" w:footer="0" w:header="0"/>
        </w:sectPr>
      </w:pPr>
    </w:p>
    <w:bookmarkStart w:id="321" w:name="page322"/>
    <w:bookmarkEnd w:id="321"/>
    <w:p>
      <w:pPr>
        <w:spacing w:after="0" w:line="255" w:lineRule="auto"/>
        <w:rPr>
          <w:sz w:val="20"/>
          <w:szCs w:val="20"/>
          <w:color w:val="auto"/>
        </w:rPr>
      </w:pPr>
      <w:r>
        <w:rPr>
          <w:rFonts w:ascii="Arial" w:cs="Arial" w:eastAsia="Arial" w:hAnsi="Arial"/>
          <w:sz w:val="20"/>
          <w:szCs w:val="20"/>
          <w:color w:val="auto"/>
        </w:rPr>
        <w:t>Administrative Agent shall have made any demand on the Borrower) shall be entitled and empowered, by intervention in such proceeding or otherwise</w:t>
      </w:r>
      <w:r>
        <w:rPr>
          <w:rFonts w:ascii="Arial" w:cs="Arial" w:eastAsia="Arial" w:hAnsi="Arial"/>
          <w:sz w:val="20"/>
          <w:szCs w:val="20"/>
          <w:b w:val="1"/>
          <w:bCs w:val="1"/>
          <w:color w:val="0000FF"/>
        </w:rPr>
        <w:t>:</w:t>
      </w:r>
    </w:p>
    <w:p>
      <w:pPr>
        <w:spacing w:after="0" w:line="2" w:lineRule="exact"/>
        <w:rPr>
          <w:sz w:val="20"/>
          <w:szCs w:val="20"/>
          <w:color w:val="auto"/>
        </w:rPr>
      </w:pPr>
    </w:p>
    <w:p>
      <w:pPr>
        <w:jc w:val="both"/>
        <w:ind w:left="600" w:firstLine="599"/>
        <w:spacing w:after="0" w:line="284" w:lineRule="auto"/>
        <w:tabs>
          <w:tab w:leader="none" w:pos="2021" w:val="left"/>
        </w:tabs>
        <w:numPr>
          <w:ilvl w:val="0"/>
          <w:numId w:val="370"/>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 allowed in such judicial proceeding; and</w:t>
      </w:r>
    </w:p>
    <w:p>
      <w:pPr>
        <w:spacing w:after="0" w:line="183" w:lineRule="exact"/>
        <w:rPr>
          <w:rFonts w:ascii="Arial" w:cs="Arial" w:eastAsia="Arial" w:hAnsi="Arial"/>
          <w:sz w:val="18"/>
          <w:szCs w:val="18"/>
          <w:color w:val="auto"/>
        </w:rPr>
      </w:pPr>
    </w:p>
    <w:p>
      <w:pPr>
        <w:ind w:left="2040" w:hanging="841"/>
        <w:spacing w:after="0"/>
        <w:tabs>
          <w:tab w:leader="none" w:pos="204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w:t>
      </w:r>
    </w:p>
    <w:p>
      <w:pPr>
        <w:spacing w:after="0" w:line="46"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20"/>
          <w:szCs w:val="20"/>
          <w:color w:val="auto"/>
        </w:rPr>
        <w:t>same;</w:t>
      </w:r>
    </w:p>
    <w:p>
      <w:pPr>
        <w:spacing w:after="0" w:line="229" w:lineRule="exact"/>
        <w:rPr>
          <w:sz w:val="20"/>
          <w:szCs w:val="20"/>
          <w:color w:val="auto"/>
        </w:rPr>
      </w:pPr>
    </w:p>
    <w:p>
      <w:pPr>
        <w:jc w:val="both"/>
        <w:ind w:left="600"/>
        <w:spacing w:after="0" w:line="253" w:lineRule="auto"/>
        <w:rPr>
          <w:sz w:val="20"/>
          <w:szCs w:val="20"/>
          <w:color w:val="auto"/>
        </w:rPr>
      </w:pPr>
      <w:r>
        <w:rPr>
          <w:rFonts w:ascii="Arial" w:cs="Arial" w:eastAsia="Arial" w:hAnsi="Arial"/>
          <w:sz w:val="20"/>
          <w:szCs w:val="20"/>
          <w:color w:val="auto"/>
        </w:rPr>
        <w:t xml:space="preserve">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20"/>
          <w:szCs w:val="20"/>
          <w:u w:val="single" w:color="auto"/>
          <w:color w:val="auto"/>
        </w:rPr>
        <w:t>Sections 2.09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10.04</w:t>
      </w:r>
      <w:r>
        <w:rPr>
          <w:rFonts w:ascii="Arial" w:cs="Arial" w:eastAsia="Arial" w:hAnsi="Arial"/>
          <w:sz w:val="20"/>
          <w:szCs w:val="20"/>
          <w:color w:val="auto"/>
        </w:rPr>
        <w:t>.</w:t>
      </w:r>
    </w:p>
    <w:p>
      <w:pPr>
        <w:spacing w:after="0" w:line="212" w:lineRule="exact"/>
        <w:rPr>
          <w:sz w:val="20"/>
          <w:szCs w:val="20"/>
          <w:color w:val="auto"/>
        </w:rPr>
      </w:pPr>
    </w:p>
    <w:p>
      <w:pPr>
        <w:jc w:val="both"/>
        <w:ind w:left="600" w:firstLine="600"/>
        <w:spacing w:after="0" w:line="302"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or in any such proceeding.</w:t>
      </w:r>
    </w:p>
    <w:p>
      <w:pPr>
        <w:spacing w:after="0" w:line="168" w:lineRule="exact"/>
        <w:rPr>
          <w:sz w:val="20"/>
          <w:szCs w:val="20"/>
          <w:color w:val="auto"/>
        </w:rPr>
      </w:pPr>
    </w:p>
    <w:p>
      <w:pPr>
        <w:jc w:val="both"/>
        <w:ind w:firstLine="1199"/>
        <w:spacing w:after="0" w:line="288"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Guaranty Matters</w:t>
      </w:r>
      <w:r>
        <w:rPr>
          <w:rFonts w:ascii="Arial" w:cs="Arial" w:eastAsia="Arial" w:hAnsi="Arial"/>
          <w:sz w:val="18"/>
          <w:szCs w:val="18"/>
          <w:color w:val="auto"/>
        </w:rPr>
        <w:t xml:space="preserve">. Each of the Lenders irrevocably authorizes the Administrative Agent, at its option and in its discretion, to release any Guarantor that is a Subsidiary of the Borrower from its obligations under the Guaranty Agreement if </w:t>
      </w:r>
      <w:r>
        <w:rPr>
          <w:rFonts w:ascii="Arial" w:cs="Arial" w:eastAsia="Arial" w:hAnsi="Arial"/>
          <w:sz w:val="18"/>
          <w:szCs w:val="18"/>
          <w:b w:val="1"/>
          <w:bCs w:val="1"/>
          <w:u w:val="single" w:color="auto"/>
          <w:color w:val="0000FF"/>
          <w:highlight w:val="lightGray"/>
        </w:rPr>
        <w:t>such Person</w:t>
      </w:r>
      <w:r>
        <w:rPr>
          <w:rFonts w:ascii="Arial" w:cs="Arial" w:eastAsia="Arial" w:hAnsi="Arial"/>
          <w:sz w:val="18"/>
          <w:szCs w:val="18"/>
          <w:color w:val="auto"/>
        </w:rPr>
        <w:t xml:space="preserve"> (i) </w:t>
      </w:r>
      <w:r>
        <w:rPr>
          <w:rFonts w:ascii="Arial" w:cs="Arial" w:eastAsia="Arial" w:hAnsi="Arial"/>
          <w:sz w:val="18"/>
          <w:szCs w:val="18"/>
          <w:color w:val="FF0000"/>
          <w:strike w:val="1"/>
        </w:rPr>
        <w:t>such Person</w:t>
      </w:r>
      <w:r>
        <w:rPr>
          <w:rFonts w:ascii="Arial" w:cs="Arial" w:eastAsia="Arial" w:hAnsi="Arial"/>
          <w:sz w:val="18"/>
          <w:szCs w:val="18"/>
          <w:color w:val="FF0000"/>
        </w:rPr>
        <w:t xml:space="preserve"> </w:t>
      </w:r>
      <w:r>
        <w:rPr>
          <w:rFonts w:ascii="Arial" w:cs="Arial" w:eastAsia="Arial" w:hAnsi="Arial"/>
          <w:sz w:val="18"/>
          <w:szCs w:val="18"/>
          <w:color w:val="000000"/>
        </w:rPr>
        <w:t>ceases to be a Subsidiary as a result of a transaction permitted hereunder,</w:t>
      </w:r>
      <w:r>
        <w:rPr>
          <w:rFonts w:ascii="Arial" w:cs="Arial" w:eastAsia="Arial" w:hAnsi="Arial"/>
          <w:sz w:val="18"/>
          <w:szCs w:val="18"/>
          <w:color w:val="FF0000"/>
        </w:rPr>
        <w:t xml:space="preserve"> </w:t>
      </w:r>
      <w:r>
        <w:rPr>
          <w:rFonts w:ascii="Arial" w:cs="Arial" w:eastAsia="Arial" w:hAnsi="Arial"/>
          <w:sz w:val="18"/>
          <w:szCs w:val="18"/>
          <w:b w:val="1"/>
          <w:bCs w:val="1"/>
          <w:u w:val="single" w:color="auto"/>
          <w:color w:val="0000FF"/>
          <w:highlight w:val="lightGray"/>
        </w:rPr>
        <w:t>or</w:t>
      </w:r>
      <w:r>
        <w:rPr>
          <w:rFonts w:ascii="Arial" w:cs="Arial" w:eastAsia="Arial" w:hAnsi="Arial"/>
          <w:sz w:val="18"/>
          <w:szCs w:val="18"/>
          <w:color w:val="FF0000"/>
        </w:rPr>
        <w:t xml:space="preserve"> </w:t>
      </w:r>
      <w:r>
        <w:rPr>
          <w:rFonts w:ascii="Arial" w:cs="Arial" w:eastAsia="Arial" w:hAnsi="Arial"/>
          <w:sz w:val="18"/>
          <w:szCs w:val="18"/>
          <w:color w:val="000000"/>
        </w:rPr>
        <w:t>(ii)</w:t>
      </w:r>
      <w:r>
        <w:rPr>
          <w:rFonts w:ascii="Arial" w:cs="Arial" w:eastAsia="Arial" w:hAnsi="Arial"/>
          <w:sz w:val="18"/>
          <w:szCs w:val="18"/>
          <w:color w:val="FF0000"/>
        </w:rPr>
        <w:t xml:space="preserve"> </w:t>
      </w:r>
      <w:r>
        <w:rPr>
          <w:rFonts w:ascii="Arial" w:cs="Arial" w:eastAsia="Arial" w:hAnsi="Arial"/>
          <w:sz w:val="18"/>
          <w:szCs w:val="18"/>
          <w:color w:val="FF0000"/>
          <w:strike w:val="1"/>
        </w:rPr>
        <w:t>such Person</w:t>
      </w:r>
      <w:r>
        <w:rPr>
          <w:rFonts w:ascii="Arial" w:cs="Arial" w:eastAsia="Arial" w:hAnsi="Arial"/>
          <w:sz w:val="18"/>
          <w:szCs w:val="18"/>
          <w:color w:val="FF0000"/>
        </w:rPr>
        <w:t xml:space="preserve"> </w:t>
      </w:r>
      <w:r>
        <w:rPr>
          <w:rFonts w:ascii="Arial" w:cs="Arial" w:eastAsia="Arial" w:hAnsi="Arial"/>
          <w:sz w:val="18"/>
          <w:szCs w:val="18"/>
          <w:color w:val="000000"/>
        </w:rPr>
        <w:t>becomes an Excluded Subsidiary</w:t>
      </w:r>
      <w:r>
        <w:rPr>
          <w:rFonts w:ascii="Arial" w:cs="Arial" w:eastAsia="Arial" w:hAnsi="Arial"/>
          <w:sz w:val="18"/>
          <w:szCs w:val="18"/>
          <w:color w:val="FF0000"/>
        </w:rPr>
        <w:t xml:space="preserve"> </w:t>
      </w:r>
      <w:r>
        <w:rPr>
          <w:rFonts w:ascii="Arial" w:cs="Arial" w:eastAsia="Arial" w:hAnsi="Arial"/>
          <w:sz w:val="18"/>
          <w:szCs w:val="18"/>
          <w:b w:val="1"/>
          <w:bCs w:val="1"/>
          <w:u w:val="single" w:color="auto"/>
          <w:color w:val="0000FF"/>
          <w:highlight w:val="lightGray"/>
        </w:rPr>
        <w:t>or</w:t>
      </w:r>
      <w:r>
        <w:rPr>
          <w:rFonts w:ascii="Arial" w:cs="Arial" w:eastAsia="Arial" w:hAnsi="Arial"/>
          <w:sz w:val="18"/>
          <w:szCs w:val="18"/>
          <w:color w:val="FF0000"/>
        </w:rPr>
        <w:t xml:space="preserve"> </w:t>
      </w:r>
      <w:r>
        <w:rPr>
          <w:rFonts w:ascii="Arial" w:cs="Arial" w:eastAsia="Arial" w:hAnsi="Arial"/>
          <w:sz w:val="18"/>
          <w:szCs w:val="18"/>
          <w:b w:val="1"/>
          <w:bCs w:val="1"/>
          <w:u w:val="single" w:color="auto"/>
          <w:color w:val="0000FF"/>
          <w:highlight w:val="lightGray"/>
        </w:rPr>
        <w:t>satisfies the Exemption Condition</w:t>
      </w:r>
      <w:r>
        <w:rPr>
          <w:rFonts w:ascii="Arial" w:cs="Arial" w:eastAsia="Arial" w:hAnsi="Arial"/>
          <w:sz w:val="18"/>
          <w:szCs w:val="18"/>
          <w:b w:val="1"/>
          <w:bCs w:val="1"/>
          <w:color w:val="0000FF"/>
          <w:highlight w:val="lightGray"/>
        </w:rPr>
        <w:t xml:space="preserve"> </w:t>
      </w:r>
      <w:r>
        <w:rPr>
          <w:rFonts w:ascii="Arial" w:cs="Arial" w:eastAsia="Arial" w:hAnsi="Arial"/>
          <w:sz w:val="18"/>
          <w:szCs w:val="18"/>
          <w:color w:val="000000"/>
        </w:rPr>
        <w:t>as a result of a transaction permitted hereunder and in accordance with the terms hereof</w:t>
      </w:r>
      <w:r>
        <w:rPr>
          <w:rFonts w:ascii="Arial" w:cs="Arial" w:eastAsia="Arial" w:hAnsi="Arial"/>
          <w:sz w:val="18"/>
          <w:szCs w:val="18"/>
          <w:b w:val="1"/>
          <w:bCs w:val="1"/>
          <w:color w:val="0000FF"/>
          <w:highlight w:val="lightGray"/>
        </w:rPr>
        <w:t xml:space="preserve"> </w:t>
      </w:r>
      <w:r>
        <w:rPr>
          <w:rFonts w:ascii="Arial" w:cs="Arial" w:eastAsia="Arial" w:hAnsi="Arial"/>
          <w:sz w:val="18"/>
          <w:szCs w:val="18"/>
          <w:color w:val="FF0000"/>
          <w:strike w:val="1"/>
        </w:rPr>
        <w:t>or (ii) such</w:t>
      </w:r>
      <w:r>
        <w:rPr>
          <w:rFonts w:ascii="Arial" w:cs="Arial" w:eastAsia="Arial" w:hAnsi="Arial"/>
          <w:sz w:val="18"/>
          <w:szCs w:val="18"/>
          <w:b w:val="1"/>
          <w:bCs w:val="1"/>
          <w:color w:val="0000FF"/>
          <w:highlight w:val="lightGray"/>
        </w:rPr>
        <w:t xml:space="preserve"> </w:t>
      </w:r>
      <w:r>
        <w:rPr>
          <w:rFonts w:ascii="Arial" w:cs="Arial" w:eastAsia="Arial" w:hAnsi="Arial"/>
          <w:sz w:val="18"/>
          <w:szCs w:val="18"/>
          <w:color w:val="FF0000"/>
          <w:strike w:val="1"/>
        </w:rPr>
        <w:t>release is in connection with a Permitted Subsidiary Guarantor Release being consummated in accordance with</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Section 10.20</w:t>
      </w:r>
      <w:r>
        <w:rPr>
          <w:rFonts w:ascii="Arial" w:cs="Arial" w:eastAsia="Arial" w:hAnsi="Arial"/>
          <w:sz w:val="18"/>
          <w:szCs w:val="18"/>
          <w:color w:val="000000"/>
        </w:rPr>
        <w:t>.</w:t>
      </w:r>
    </w:p>
    <w:p>
      <w:pPr>
        <w:spacing w:after="0" w:line="182" w:lineRule="exact"/>
        <w:rPr>
          <w:sz w:val="20"/>
          <w:szCs w:val="20"/>
          <w:color w:val="auto"/>
        </w:rPr>
      </w:pPr>
    </w:p>
    <w:p>
      <w:pPr>
        <w:jc w:val="both"/>
        <w:ind w:left="600" w:firstLine="600"/>
        <w:spacing w:after="0" w:line="252" w:lineRule="auto"/>
        <w:rPr>
          <w:sz w:val="20"/>
          <w:szCs w:val="20"/>
          <w:color w:val="auto"/>
        </w:rPr>
      </w:pPr>
      <w:r>
        <w:rPr>
          <w:rFonts w:ascii="Arial" w:cs="Arial" w:eastAsia="Arial" w:hAnsi="Arial"/>
          <w:sz w:val="20"/>
          <w:szCs w:val="20"/>
          <w:color w:val="auto"/>
        </w:rPr>
        <w:t xml:space="preserve">Upon request by the Administrative Agent at any time, the Required Lenders will confirm in writing the Administrative Agent’s authority to release any Guarantor that is a Subsidiary of the REIT from its obligations under the Guaranty Agreement pursuant to this </w:t>
      </w:r>
      <w:r>
        <w:rPr>
          <w:rFonts w:ascii="Arial" w:cs="Arial" w:eastAsia="Arial" w:hAnsi="Arial"/>
          <w:sz w:val="20"/>
          <w:szCs w:val="20"/>
          <w:u w:val="single" w:color="auto"/>
          <w:color w:val="auto"/>
        </w:rPr>
        <w:t>Section 9.10</w:t>
      </w:r>
      <w:r>
        <w:rPr>
          <w:rFonts w:ascii="Arial" w:cs="Arial" w:eastAsia="Arial" w:hAnsi="Arial"/>
          <w:sz w:val="20"/>
          <w:szCs w:val="20"/>
          <w:color w:val="auto"/>
        </w:rPr>
        <w:t xml:space="preserve">. In each case as specified in this </w:t>
      </w:r>
      <w:r>
        <w:rPr>
          <w:rFonts w:ascii="Arial" w:cs="Arial" w:eastAsia="Arial" w:hAnsi="Arial"/>
          <w:sz w:val="20"/>
          <w:szCs w:val="20"/>
          <w:u w:val="single" w:color="auto"/>
          <w:color w:val="auto"/>
        </w:rPr>
        <w:t>Section 9.10</w:t>
      </w:r>
      <w:r>
        <w:rPr>
          <w:rFonts w:ascii="Arial" w:cs="Arial" w:eastAsia="Arial" w:hAnsi="Arial"/>
          <w:sz w:val="20"/>
          <w:szCs w:val="20"/>
          <w:color w:val="auto"/>
        </w:rPr>
        <w:t xml:space="preserve">, the Administrative Agent will, at the Borrower’s expense, execute and deliver to the applicable Loan Party such documents as such Loan Party may reasonably request to evidence the release of such Guarantor that is a Subsidiary of the REIT from its obligations under the Guaranty Agreement in accordance with the terms of the Loan Documents and this </w:t>
      </w:r>
      <w:r>
        <w:rPr>
          <w:rFonts w:ascii="Arial" w:cs="Arial" w:eastAsia="Arial" w:hAnsi="Arial"/>
          <w:sz w:val="20"/>
          <w:szCs w:val="20"/>
          <w:u w:val="single" w:color="auto"/>
          <w:color w:val="auto"/>
        </w:rPr>
        <w:t>Section 9.10</w:t>
      </w:r>
      <w:r>
        <w:rPr>
          <w:rFonts w:ascii="Arial" w:cs="Arial" w:eastAsia="Arial" w:hAnsi="Arial"/>
          <w:sz w:val="20"/>
          <w:szCs w:val="20"/>
          <w:color w:val="auto"/>
        </w:rPr>
        <w:t>.</w:t>
      </w:r>
    </w:p>
    <w:p>
      <w:pPr>
        <w:spacing w:after="0" w:line="206" w:lineRule="exact"/>
        <w:rPr>
          <w:sz w:val="20"/>
          <w:szCs w:val="20"/>
          <w:color w:val="auto"/>
        </w:rPr>
      </w:pPr>
    </w:p>
    <w:p>
      <w:pPr>
        <w:jc w:val="both"/>
        <w:ind w:firstLine="1199"/>
        <w:spacing w:after="0" w:line="295" w:lineRule="auto"/>
        <w:rPr>
          <w:sz w:val="20"/>
          <w:szCs w:val="20"/>
          <w:color w:val="auto"/>
        </w:rPr>
      </w:pPr>
      <w:r>
        <w:rPr>
          <w:rFonts w:ascii="Arial" w:cs="Arial" w:eastAsia="Arial" w:hAnsi="Arial"/>
          <w:sz w:val="18"/>
          <w:szCs w:val="18"/>
          <w:b w:val="1"/>
          <w:bCs w:val="1"/>
          <w:u w:val="single" w:color="auto"/>
          <w:color w:val="0000FF"/>
          <w:highlight w:val="lightGray"/>
        </w:rPr>
        <w:t>9.11. Lender Representations Regarding ERISA. (a) Each Lender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Borrower or any other Loan Party, that at least one of the following is and will be true: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795" w:right="239" w:bottom="1440" w:gutter="0" w:footer="0" w:header="0"/>
        </w:sectPr>
      </w:pPr>
    </w:p>
    <w:bookmarkStart w:id="322" w:name="page323"/>
    <w:bookmarkEnd w:id="322"/>
    <w:p>
      <w:pPr>
        <w:ind w:left="1" w:firstLine="598"/>
        <w:spacing w:after="0" w:line="279" w:lineRule="auto"/>
        <w:tabs>
          <w:tab w:leader="none" w:pos="1388" w:val="left"/>
        </w:tabs>
        <w:numPr>
          <w:ilvl w:val="1"/>
          <w:numId w:val="371"/>
        </w:numPr>
        <w:rPr>
          <w:rFonts w:ascii="Arial" w:cs="Arial" w:eastAsia="Arial" w:hAnsi="Arial"/>
          <w:sz w:val="20"/>
          <w:szCs w:val="20"/>
          <w:b w:val="1"/>
          <w:bCs w:val="1"/>
          <w:u w:val="single" w:color="auto"/>
          <w:color w:val="0000FF"/>
        </w:rPr>
      </w:pPr>
      <w:r>
        <w:rPr>
          <w:rFonts w:ascii="Arial" w:cs="Arial" w:eastAsia="Arial" w:hAnsi="Arial"/>
          <w:sz w:val="20"/>
          <w:szCs w:val="20"/>
          <w:b w:val="1"/>
          <w:bCs w:val="1"/>
          <w:u w:val="single" w:color="auto"/>
          <w:color w:val="0000FF"/>
          <w:highlight w:val="lightGray"/>
        </w:rPr>
        <w:t>such Lender is not using “plan assets” (within the meaning of 29 CFR § 2510.3-101, as modified by Section 3(42) of ERISA) of one or more Benefit Plans in connection with the Loans;</w:t>
      </w:r>
    </w:p>
    <w:p>
      <w:pPr>
        <w:spacing w:after="0" w:line="177" w:lineRule="exact"/>
        <w:rPr>
          <w:rFonts w:ascii="Arial" w:cs="Arial" w:eastAsia="Arial" w:hAnsi="Arial"/>
          <w:sz w:val="20"/>
          <w:szCs w:val="20"/>
          <w:b w:val="1"/>
          <w:bCs w:val="1"/>
          <w:u w:val="single" w:color="auto"/>
          <w:color w:val="0000FF"/>
        </w:rPr>
      </w:pPr>
    </w:p>
    <w:p>
      <w:pPr>
        <w:jc w:val="both"/>
        <w:ind w:left="1" w:firstLine="598"/>
        <w:spacing w:after="0" w:line="268" w:lineRule="auto"/>
        <w:tabs>
          <w:tab w:leader="none" w:pos="1444" w:val="left"/>
        </w:tabs>
        <w:numPr>
          <w:ilvl w:val="1"/>
          <w:numId w:val="371"/>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highlight w:val="lightGray"/>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and this Agreement;</w:t>
      </w:r>
    </w:p>
    <w:p>
      <w:pPr>
        <w:spacing w:after="0" w:line="190" w:lineRule="exact"/>
        <w:rPr>
          <w:rFonts w:ascii="Arial" w:cs="Arial" w:eastAsia="Arial" w:hAnsi="Arial"/>
          <w:sz w:val="19"/>
          <w:szCs w:val="19"/>
          <w:b w:val="1"/>
          <w:bCs w:val="1"/>
          <w:u w:val="single" w:color="auto"/>
          <w:color w:val="0000FF"/>
        </w:rPr>
      </w:pPr>
    </w:p>
    <w:p>
      <w:pPr>
        <w:jc w:val="both"/>
        <w:ind w:left="1" w:firstLine="598"/>
        <w:spacing w:after="0" w:line="285" w:lineRule="auto"/>
        <w:tabs>
          <w:tab w:leader="none" w:pos="1500" w:val="left"/>
        </w:tabs>
        <w:numPr>
          <w:ilvl w:val="1"/>
          <w:numId w:val="371"/>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highlight w:val="lightGray"/>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and this Agreement, (C) the entrance into, participation in, administration of and performance of the Loans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and this Agreement; or</w:t>
      </w:r>
    </w:p>
    <w:p>
      <w:pPr>
        <w:spacing w:after="0" w:line="177" w:lineRule="exact"/>
        <w:rPr>
          <w:rFonts w:ascii="Arial" w:cs="Arial" w:eastAsia="Arial" w:hAnsi="Arial"/>
          <w:sz w:val="18"/>
          <w:szCs w:val="18"/>
          <w:b w:val="1"/>
          <w:bCs w:val="1"/>
          <w:u w:val="single" w:color="auto"/>
          <w:color w:val="0000FF"/>
        </w:rPr>
      </w:pPr>
    </w:p>
    <w:p>
      <w:pPr>
        <w:ind w:left="1" w:firstLine="598"/>
        <w:spacing w:after="0" w:line="279" w:lineRule="auto"/>
        <w:tabs>
          <w:tab w:leader="none" w:pos="1488" w:val="left"/>
        </w:tabs>
        <w:numPr>
          <w:ilvl w:val="1"/>
          <w:numId w:val="371"/>
        </w:numPr>
        <w:rPr>
          <w:rFonts w:ascii="Arial" w:cs="Arial" w:eastAsia="Arial" w:hAnsi="Arial"/>
          <w:sz w:val="20"/>
          <w:szCs w:val="20"/>
          <w:b w:val="1"/>
          <w:bCs w:val="1"/>
          <w:u w:val="single" w:color="auto"/>
          <w:color w:val="0000FF"/>
        </w:rPr>
      </w:pPr>
      <w:r>
        <w:rPr>
          <w:rFonts w:ascii="Arial" w:cs="Arial" w:eastAsia="Arial" w:hAnsi="Arial"/>
          <w:sz w:val="20"/>
          <w:szCs w:val="20"/>
          <w:b w:val="1"/>
          <w:bCs w:val="1"/>
          <w:u w:val="single" w:color="auto"/>
          <w:color w:val="0000FF"/>
          <w:highlight w:val="lightGray"/>
        </w:rPr>
        <w:t>such other representation, warranty and covenant as may be agreed in writing between the Administrative Agent, in its sole discretion, and such Lender.</w:t>
      </w:r>
    </w:p>
    <w:p>
      <w:pPr>
        <w:spacing w:after="0" w:line="177" w:lineRule="exact"/>
        <w:rPr>
          <w:rFonts w:ascii="Arial" w:cs="Arial" w:eastAsia="Arial" w:hAnsi="Arial"/>
          <w:sz w:val="20"/>
          <w:szCs w:val="20"/>
          <w:b w:val="1"/>
          <w:bCs w:val="1"/>
          <w:u w:val="single" w:color="auto"/>
          <w:color w:val="0000FF"/>
        </w:rPr>
      </w:pPr>
    </w:p>
    <w:p>
      <w:pPr>
        <w:jc w:val="both"/>
        <w:ind w:left="-599" w:firstLine="599"/>
        <w:spacing w:after="0" w:line="269" w:lineRule="auto"/>
        <w:tabs>
          <w:tab w:leader="none" w:pos="532" w:val="left"/>
        </w:tabs>
        <w:numPr>
          <w:ilvl w:val="0"/>
          <w:numId w:val="372"/>
        </w:numPr>
        <w:rPr>
          <w:rFonts w:ascii="Arial" w:cs="Arial" w:eastAsia="Arial" w:hAnsi="Arial"/>
          <w:sz w:val="19"/>
          <w:szCs w:val="19"/>
          <w:b w:val="1"/>
          <w:bCs w:val="1"/>
          <w:u w:val="single" w:color="auto"/>
          <w:color w:val="0000FF"/>
          <w:highlight w:val="lightGray"/>
        </w:rPr>
      </w:pPr>
      <w:r>
        <w:rPr>
          <w:rFonts w:ascii="Arial" w:cs="Arial" w:eastAsia="Arial" w:hAnsi="Arial"/>
          <w:sz w:val="19"/>
          <w:szCs w:val="19"/>
          <w:b w:val="1"/>
          <w:bCs w:val="1"/>
          <w:u w:val="single" w:color="auto"/>
          <w:color w:val="0000FF"/>
        </w:rPr>
        <w:t xml:space="preserve">In addition, unless sub-clause (i) in the immediately preceding clause (a) is true with respect to a Lender or such </w:t>
      </w:r>
      <w:r>
        <w:rPr>
          <w:rFonts w:ascii="Arial" w:cs="Arial" w:eastAsia="Arial" w:hAnsi="Arial"/>
          <w:sz w:val="19"/>
          <w:szCs w:val="19"/>
          <w:b w:val="1"/>
          <w:bCs w:val="1"/>
          <w:u w:val="single" w:color="auto"/>
          <w:color w:val="0000FF"/>
          <w:highlight w:val="lightGray"/>
        </w:rPr>
        <w:t>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Borrower or any other Loan Party, that:</w:t>
      </w:r>
    </w:p>
    <w:p>
      <w:pPr>
        <w:spacing w:after="0" w:line="191" w:lineRule="exact"/>
        <w:rPr>
          <w:rFonts w:ascii="Arial" w:cs="Arial" w:eastAsia="Arial" w:hAnsi="Arial"/>
          <w:sz w:val="19"/>
          <w:szCs w:val="19"/>
          <w:b w:val="1"/>
          <w:bCs w:val="1"/>
          <w:u w:val="single" w:color="auto"/>
          <w:color w:val="0000FF"/>
          <w:highlight w:val="lightGray"/>
        </w:rPr>
      </w:pPr>
    </w:p>
    <w:p>
      <w:pPr>
        <w:jc w:val="both"/>
        <w:ind w:left="1" w:firstLine="598"/>
        <w:spacing w:after="0" w:line="283" w:lineRule="auto"/>
        <w:tabs>
          <w:tab w:leader="none" w:pos="1388" w:val="left"/>
        </w:tabs>
        <w:numPr>
          <w:ilvl w:val="1"/>
          <w:numId w:val="372"/>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highlight w:val="lightGray"/>
        </w:rPr>
        <w:t>none of the Administrative Agent or any of its Affiliates is a fiduciary with respect to the assets of such Lender (including in connection with the reservation or exercise of any rights by the Administrative Agent under this Agreement, any Loan Document or any documents related hereto or thereto);</w:t>
      </w:r>
    </w:p>
    <w:p>
      <w:pPr>
        <w:spacing w:after="0" w:line="176" w:lineRule="exact"/>
        <w:rPr>
          <w:rFonts w:ascii="Arial" w:cs="Arial" w:eastAsia="Arial" w:hAnsi="Arial"/>
          <w:sz w:val="19"/>
          <w:szCs w:val="19"/>
          <w:b w:val="1"/>
          <w:bCs w:val="1"/>
          <w:u w:val="single" w:color="auto"/>
          <w:color w:val="0000FF"/>
        </w:rPr>
      </w:pPr>
    </w:p>
    <w:p>
      <w:pPr>
        <w:jc w:val="both"/>
        <w:ind w:left="1" w:firstLine="598"/>
        <w:spacing w:after="0" w:line="255" w:lineRule="auto"/>
        <w:tabs>
          <w:tab w:leader="none" w:pos="1444" w:val="left"/>
        </w:tabs>
        <w:numPr>
          <w:ilvl w:val="1"/>
          <w:numId w:val="372"/>
        </w:numPr>
        <w:rPr>
          <w:rFonts w:ascii="Arial" w:cs="Arial" w:eastAsia="Arial" w:hAnsi="Arial"/>
          <w:sz w:val="20"/>
          <w:szCs w:val="20"/>
          <w:b w:val="1"/>
          <w:bCs w:val="1"/>
          <w:u w:val="single" w:color="auto"/>
          <w:color w:val="0000FF"/>
        </w:rPr>
      </w:pPr>
      <w:r>
        <w:rPr>
          <w:rFonts w:ascii="Arial" w:cs="Arial" w:eastAsia="Arial" w:hAnsi="Arial"/>
          <w:sz w:val="20"/>
          <w:szCs w:val="20"/>
          <w:b w:val="1"/>
          <w:bCs w:val="1"/>
          <w:u w:val="single" w:color="auto"/>
          <w:color w:val="0000FF"/>
          <w:highlight w:val="lightGray"/>
        </w:rPr>
        <w:t>the Person making the investment decision on behalf of such Lender with respect to the entrance into, participation in, administration of and performance of the Loans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-2567305</wp:posOffset>
            </wp:positionV>
            <wp:extent cx="6495415" cy="2857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95415" cy="285750"/>
                    </a:xfrm>
                    <a:prstGeom prst="rect">
                      <a:avLst/>
                    </a:prstGeom>
                    <a:noFill/>
                  </pic:spPr>
                </pic:pic>
              </a:graphicData>
            </a:graphic>
          </wp:anchor>
        </w:drawing>
      </w:r>
    </w:p>
    <w:p>
      <w:pPr>
        <w:spacing w:after="0" w:line="166" w:lineRule="exact"/>
        <w:rPr>
          <w:sz w:val="20"/>
          <w:szCs w:val="20"/>
          <w:color w:val="auto"/>
        </w:rPr>
      </w:pPr>
    </w:p>
    <w:p>
      <w:pPr>
        <w:ind w:left="4361"/>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221"/>
          </w:cols>
          <w:pgMar w:left="1439" w:top="789" w:right="239" w:bottom="1440" w:gutter="0" w:footer="0" w:header="0"/>
        </w:sectPr>
      </w:pPr>
    </w:p>
    <w:bookmarkStart w:id="323" w:name="page324"/>
    <w:bookmarkEnd w:id="323"/>
    <w:p>
      <w:pPr>
        <w:jc w:val="both"/>
        <w:ind w:left="1200" w:firstLine="598"/>
        <w:spacing w:after="0" w:line="258" w:lineRule="auto"/>
        <w:tabs>
          <w:tab w:leader="none" w:pos="2699" w:val="left"/>
        </w:tabs>
        <w:numPr>
          <w:ilvl w:val="1"/>
          <w:numId w:val="373"/>
        </w:numPr>
        <w:rPr>
          <w:rFonts w:ascii="Arial" w:cs="Arial" w:eastAsia="Arial" w:hAnsi="Arial"/>
          <w:sz w:val="20"/>
          <w:szCs w:val="20"/>
          <w:b w:val="1"/>
          <w:bCs w:val="1"/>
          <w:u w:val="single" w:color="auto"/>
          <w:color w:val="0000FF"/>
        </w:rPr>
      </w:pPr>
      <w:r>
        <w:rPr>
          <w:rFonts w:ascii="Arial" w:cs="Arial" w:eastAsia="Arial" w:hAnsi="Arial"/>
          <w:sz w:val="20"/>
          <w:szCs w:val="20"/>
          <w:b w:val="1"/>
          <w:bCs w:val="1"/>
          <w:u w:val="single" w:color="auto"/>
          <w:color w:val="0000FF"/>
          <w:highlight w:val="lightGray"/>
        </w:rPr>
        <w:t>the Person making the investment decision on behalf of such Lender with respect to the entrance into, participation in, administration of and performance of the Loans and this Agreement is capable of evaluating investment risks independently, both in general and with regard to particular transactions and investment strategies (including in respect of the Obligations);</w:t>
      </w:r>
    </w:p>
    <w:p>
      <w:pPr>
        <w:spacing w:after="0" w:line="197" w:lineRule="exact"/>
        <w:rPr>
          <w:rFonts w:ascii="Arial" w:cs="Arial" w:eastAsia="Arial" w:hAnsi="Arial"/>
          <w:sz w:val="20"/>
          <w:szCs w:val="20"/>
          <w:b w:val="1"/>
          <w:bCs w:val="1"/>
          <w:u w:val="single" w:color="auto"/>
          <w:color w:val="0000FF"/>
        </w:rPr>
      </w:pPr>
    </w:p>
    <w:p>
      <w:pPr>
        <w:jc w:val="both"/>
        <w:ind w:left="1200" w:firstLine="598"/>
        <w:spacing w:after="0" w:line="258" w:lineRule="auto"/>
        <w:tabs>
          <w:tab w:leader="none" w:pos="2687" w:val="left"/>
        </w:tabs>
        <w:numPr>
          <w:ilvl w:val="1"/>
          <w:numId w:val="373"/>
        </w:numPr>
        <w:rPr>
          <w:rFonts w:ascii="Arial" w:cs="Arial" w:eastAsia="Arial" w:hAnsi="Arial"/>
          <w:sz w:val="20"/>
          <w:szCs w:val="20"/>
          <w:b w:val="1"/>
          <w:bCs w:val="1"/>
          <w:u w:val="single" w:color="auto"/>
          <w:color w:val="0000FF"/>
        </w:rPr>
      </w:pPr>
      <w:r>
        <w:rPr>
          <w:rFonts w:ascii="Arial" w:cs="Arial" w:eastAsia="Arial" w:hAnsi="Arial"/>
          <w:sz w:val="20"/>
          <w:szCs w:val="20"/>
          <w:b w:val="1"/>
          <w:bCs w:val="1"/>
          <w:u w:val="single" w:color="auto"/>
          <w:color w:val="0000FF"/>
          <w:highlight w:val="lightGray"/>
        </w:rPr>
        <w:t>the Person making the investment decision on behalf of such Lender with respect to the entrance into, participation in, administration of and performance of the Loans and this Agreement is a fiduciary under ERISA or the Code, or both, with respect to the Loans and this Agreement and is responsible for exercising independent judgment in evaluating the transactions hereunder; and</w:t>
      </w:r>
    </w:p>
    <w:p>
      <w:pPr>
        <w:spacing w:after="0" w:line="197" w:lineRule="exact"/>
        <w:rPr>
          <w:rFonts w:ascii="Arial" w:cs="Arial" w:eastAsia="Arial" w:hAnsi="Arial"/>
          <w:sz w:val="20"/>
          <w:szCs w:val="20"/>
          <w:b w:val="1"/>
          <w:bCs w:val="1"/>
          <w:u w:val="single" w:color="auto"/>
          <w:color w:val="0000FF"/>
        </w:rPr>
      </w:pPr>
    </w:p>
    <w:p>
      <w:pPr>
        <w:ind w:left="1200" w:firstLine="598"/>
        <w:spacing w:after="0" w:line="306" w:lineRule="auto"/>
        <w:tabs>
          <w:tab w:leader="none" w:pos="2632" w:val="left"/>
        </w:tabs>
        <w:numPr>
          <w:ilvl w:val="1"/>
          <w:numId w:val="373"/>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highlight w:val="lightGray"/>
        </w:rPr>
        <w:t>no fee or other compensation is being paid directly to the Administrative Agent or any of its Affiliates for investment advice (as opposed to other services) in connection with the Loans or this Agreement.</w:t>
      </w:r>
    </w:p>
    <w:p>
      <w:pPr>
        <w:spacing w:after="0" w:line="154" w:lineRule="exact"/>
        <w:rPr>
          <w:rFonts w:ascii="Arial" w:cs="Arial" w:eastAsia="Arial" w:hAnsi="Arial"/>
          <w:sz w:val="19"/>
          <w:szCs w:val="19"/>
          <w:b w:val="1"/>
          <w:bCs w:val="1"/>
          <w:u w:val="single" w:color="auto"/>
          <w:color w:val="0000FF"/>
        </w:rPr>
      </w:pPr>
    </w:p>
    <w:p>
      <w:pPr>
        <w:jc w:val="both"/>
        <w:ind w:left="600" w:firstLine="899"/>
        <w:spacing w:after="0" w:line="265" w:lineRule="auto"/>
        <w:tabs>
          <w:tab w:leader="none" w:pos="2183" w:val="left"/>
        </w:tabs>
        <w:numPr>
          <w:ilvl w:val="0"/>
          <w:numId w:val="374"/>
        </w:numPr>
        <w:rPr>
          <w:rFonts w:ascii="Arial" w:cs="Arial" w:eastAsia="Arial" w:hAnsi="Arial"/>
          <w:sz w:val="19"/>
          <w:szCs w:val="19"/>
          <w:b w:val="1"/>
          <w:bCs w:val="1"/>
          <w:u w:val="single" w:color="auto"/>
          <w:color w:val="0000FF"/>
          <w:highlight w:val="lightGray"/>
        </w:rPr>
      </w:pPr>
      <w:r>
        <w:rPr>
          <w:rFonts w:ascii="Arial" w:cs="Arial" w:eastAsia="Arial" w:hAnsi="Arial"/>
          <w:sz w:val="19"/>
          <w:szCs w:val="19"/>
          <w:b w:val="1"/>
          <w:bCs w:val="1"/>
          <w:u w:val="single" w:color="auto"/>
          <w:color w:val="0000FF"/>
        </w:rPr>
        <w:t xml:space="preserve">The Administrative Agent hereby informs the Lenders that it is not undertaking to provide impartial </w:t>
      </w:r>
      <w:r>
        <w:rPr>
          <w:rFonts w:ascii="Arial" w:cs="Arial" w:eastAsia="Arial" w:hAnsi="Arial"/>
          <w:sz w:val="19"/>
          <w:szCs w:val="19"/>
          <w:b w:val="1"/>
          <w:bCs w:val="1"/>
          <w:u w:val="single" w:color="auto"/>
          <w:color w:val="0000FF"/>
          <w:highlight w:val="lightGray"/>
        </w:rPr>
        <w:t>investment advice, or to give advice in a fiduciary capacity, in connection with the transactions contemplated hereby, and that it has a financial interest in the transactions contemplated hereby in that such Person or an Affiliate thereof (i) may receive interest or other payments with respect to the Loans and this Agreement, (ii) may recognize a gain if it extended the Loans for an amount less than the amount being paid for an interest in the Loans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1148080</wp:posOffset>
            </wp:positionH>
            <wp:positionV relativeFrom="paragraph">
              <wp:posOffset>-1515110</wp:posOffset>
            </wp:positionV>
            <wp:extent cx="6101080" cy="134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01080" cy="134620"/>
                    </a:xfrm>
                    <a:prstGeom prst="rect">
                      <a:avLst/>
                    </a:prstGeom>
                    <a:noFill/>
                  </pic:spPr>
                </pic:pic>
              </a:graphicData>
            </a:graphic>
          </wp:anchor>
        </w:drawing>
      </w:r>
    </w:p>
    <w:p>
      <w:pPr>
        <w:spacing w:after="0" w:line="184" w:lineRule="exact"/>
        <w:rPr>
          <w:sz w:val="20"/>
          <w:szCs w:val="20"/>
          <w:color w:val="auto"/>
        </w:rPr>
      </w:pPr>
    </w:p>
    <w:p>
      <w:pPr>
        <w:jc w:val="center"/>
        <w:ind w:left="1200"/>
        <w:spacing w:after="0"/>
        <w:rPr>
          <w:sz w:val="20"/>
          <w:szCs w:val="20"/>
          <w:color w:val="auto"/>
        </w:rPr>
      </w:pPr>
      <w:r>
        <w:rPr>
          <w:rFonts w:ascii="Arial" w:cs="Arial" w:eastAsia="Arial" w:hAnsi="Arial"/>
          <w:sz w:val="20"/>
          <w:szCs w:val="20"/>
          <w:color w:val="auto"/>
        </w:rPr>
        <w:t>ARTICLE X</w:t>
      </w:r>
    </w:p>
    <w:p>
      <w:pPr>
        <w:spacing w:after="0" w:line="23" w:lineRule="exact"/>
        <w:rPr>
          <w:sz w:val="20"/>
          <w:szCs w:val="20"/>
          <w:color w:val="auto"/>
        </w:rPr>
      </w:pPr>
    </w:p>
    <w:p>
      <w:pPr>
        <w:jc w:val="center"/>
        <w:ind w:left="1200"/>
        <w:spacing w:after="0"/>
        <w:rPr>
          <w:sz w:val="20"/>
          <w:szCs w:val="20"/>
          <w:color w:val="auto"/>
        </w:rPr>
      </w:pPr>
      <w:r>
        <w:rPr>
          <w:rFonts w:ascii="Arial" w:cs="Arial" w:eastAsia="Arial" w:hAnsi="Arial"/>
          <w:sz w:val="20"/>
          <w:szCs w:val="20"/>
          <w:color w:val="auto"/>
        </w:rPr>
        <w:t>MISCELLANEOUS</w:t>
      </w:r>
    </w:p>
    <w:p>
      <w:pPr>
        <w:spacing w:after="0" w:line="229" w:lineRule="exact"/>
        <w:rPr>
          <w:sz w:val="20"/>
          <w:szCs w:val="20"/>
          <w:color w:val="auto"/>
        </w:rPr>
      </w:pPr>
    </w:p>
    <w:p>
      <w:pPr>
        <w:jc w:val="both"/>
        <w:ind w:firstLine="1199"/>
        <w:spacing w:after="0" w:line="253" w:lineRule="auto"/>
        <w:rPr>
          <w:sz w:val="20"/>
          <w:szCs w:val="20"/>
          <w:color w:val="auto"/>
        </w:rPr>
      </w:pPr>
      <w:r>
        <w:rPr>
          <w:rFonts w:ascii="Arial" w:cs="Arial" w:eastAsia="Arial" w:hAnsi="Arial"/>
          <w:sz w:val="20"/>
          <w:szCs w:val="20"/>
          <w:color w:val="auto"/>
        </w:rPr>
        <w:t xml:space="preserve">10.01 </w:t>
      </w:r>
      <w:r>
        <w:rPr>
          <w:rFonts w:ascii="Arial" w:cs="Arial" w:eastAsia="Arial" w:hAnsi="Arial"/>
          <w:sz w:val="20"/>
          <w:szCs w:val="20"/>
          <w:u w:val="single" w:color="auto"/>
          <w:color w:val="auto"/>
        </w:rPr>
        <w:t>Amendments, Etc</w:t>
      </w:r>
      <w:r>
        <w:rPr>
          <w:rFonts w:ascii="Arial" w:cs="Arial" w:eastAsia="Arial" w:hAnsi="Arial"/>
          <w:sz w:val="20"/>
          <w:szCs w:val="20"/>
          <w:color w:val="auto"/>
        </w:rPr>
        <w:t xml:space="preserve">.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such amendment, waiver or consent shall:</w:t>
      </w:r>
    </w:p>
    <w:p>
      <w:pPr>
        <w:spacing w:after="0" w:line="212" w:lineRule="exact"/>
        <w:rPr>
          <w:sz w:val="20"/>
          <w:szCs w:val="20"/>
          <w:color w:val="auto"/>
        </w:rPr>
      </w:pPr>
    </w:p>
    <w:p>
      <w:pPr>
        <w:ind w:left="2020" w:hanging="821"/>
        <w:spacing w:after="0"/>
        <w:tabs>
          <w:tab w:leader="none" w:pos="2020" w:val="left"/>
        </w:tabs>
        <w:numPr>
          <w:ilvl w:val="0"/>
          <w:numId w:val="375"/>
        </w:numPr>
        <w:rPr>
          <w:rFonts w:ascii="Arial" w:cs="Arial" w:eastAsia="Arial" w:hAnsi="Arial"/>
          <w:sz w:val="20"/>
          <w:szCs w:val="20"/>
          <w:color w:val="auto"/>
        </w:rPr>
      </w:pPr>
      <w:r>
        <w:rPr>
          <w:rFonts w:ascii="Arial" w:cs="Arial" w:eastAsia="Arial" w:hAnsi="Arial"/>
          <w:sz w:val="20"/>
          <w:szCs w:val="20"/>
          <w:color w:val="auto"/>
        </w:rPr>
        <w:t xml:space="preserve">waive any condition set forth in </w:t>
      </w:r>
      <w:r>
        <w:rPr>
          <w:rFonts w:ascii="Arial" w:cs="Arial" w:eastAsia="Arial" w:hAnsi="Arial"/>
          <w:sz w:val="20"/>
          <w:szCs w:val="20"/>
          <w:u w:val="single" w:color="auto"/>
          <w:color w:val="auto"/>
        </w:rPr>
        <w:t>Section 4.01</w:t>
      </w:r>
      <w:r>
        <w:rPr>
          <w:rFonts w:ascii="Arial" w:cs="Arial" w:eastAsia="Arial" w:hAnsi="Arial"/>
          <w:sz w:val="20"/>
          <w:szCs w:val="20"/>
          <w:color w:val="auto"/>
        </w:rPr>
        <w:t>, without the written consent of each Lender;</w:t>
      </w:r>
    </w:p>
    <w:p>
      <w:pPr>
        <w:spacing w:after="0" w:line="244" w:lineRule="exact"/>
        <w:rPr>
          <w:rFonts w:ascii="Arial" w:cs="Arial" w:eastAsia="Arial" w:hAnsi="Arial"/>
          <w:sz w:val="20"/>
          <w:szCs w:val="20"/>
          <w:color w:val="auto"/>
        </w:rPr>
      </w:pPr>
    </w:p>
    <w:p>
      <w:pPr>
        <w:ind w:left="2040" w:hanging="841"/>
        <w:spacing w:after="0"/>
        <w:tabs>
          <w:tab w:leader="none" w:pos="2040" w:val="left"/>
        </w:tabs>
        <w:numPr>
          <w:ilvl w:val="0"/>
          <w:numId w:val="375"/>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44" w:lineRule="exact"/>
        <w:rPr>
          <w:rFonts w:ascii="Arial" w:cs="Arial" w:eastAsia="Arial" w:hAnsi="Arial"/>
          <w:sz w:val="20"/>
          <w:szCs w:val="20"/>
          <w:color w:val="auto"/>
        </w:rPr>
      </w:pPr>
    </w:p>
    <w:p>
      <w:pPr>
        <w:jc w:val="both"/>
        <w:ind w:left="600" w:firstLine="599"/>
        <w:spacing w:after="0" w:line="280" w:lineRule="auto"/>
        <w:tabs>
          <w:tab w:leader="none" w:pos="2021" w:val="left"/>
        </w:tabs>
        <w:numPr>
          <w:ilvl w:val="0"/>
          <w:numId w:val="375"/>
        </w:numPr>
        <w:rPr>
          <w:rFonts w:ascii="Arial" w:cs="Arial" w:eastAsia="Arial" w:hAnsi="Arial"/>
          <w:sz w:val="19"/>
          <w:szCs w:val="19"/>
          <w:color w:val="auto"/>
        </w:rPr>
      </w:pPr>
      <w:r>
        <w:rPr>
          <w:rFonts w:ascii="Arial" w:cs="Arial" w:eastAsia="Arial" w:hAnsi="Arial"/>
          <w:sz w:val="19"/>
          <w:szCs w:val="19"/>
          <w:color w:val="auto"/>
        </w:rPr>
        <w:t xml:space="preserve">extend or increase the Commitment of any Lender (or reinstate any Commitment terminated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8.02</w:t>
      </w:r>
      <w:r>
        <w:rPr>
          <w:rFonts w:ascii="Arial" w:cs="Arial" w:eastAsia="Arial" w:hAnsi="Arial"/>
          <w:sz w:val="19"/>
          <w:szCs w:val="19"/>
          <w:color w:val="auto"/>
        </w:rPr>
        <w:t xml:space="preserve">) without the written consent of such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the waiver of any Default or any condition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shall not be deemed to be an extension or increase of the Commitment of any Lender;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789" w:right="239" w:bottom="1440" w:gutter="0" w:footer="0" w:header="0"/>
        </w:sectPr>
      </w:pPr>
    </w:p>
    <w:bookmarkStart w:id="324" w:name="page325"/>
    <w:bookmarkEnd w:id="324"/>
    <w:p>
      <w:pPr>
        <w:jc w:val="both"/>
        <w:ind w:firstLine="599"/>
        <w:spacing w:after="0" w:line="280" w:lineRule="auto"/>
        <w:tabs>
          <w:tab w:leader="none" w:pos="1432" w:val="left"/>
        </w:tabs>
        <w:numPr>
          <w:ilvl w:val="0"/>
          <w:numId w:val="376"/>
        </w:numPr>
        <w:rPr>
          <w:rFonts w:ascii="Arial" w:cs="Arial" w:eastAsia="Arial" w:hAnsi="Arial"/>
          <w:sz w:val="19"/>
          <w:szCs w:val="19"/>
          <w:color w:val="auto"/>
        </w:rPr>
      </w:pPr>
      <w:r>
        <w:rPr>
          <w:rFonts w:ascii="Arial" w:cs="Arial" w:eastAsia="Arial" w:hAnsi="Arial"/>
          <w:sz w:val="19"/>
          <w:szCs w:val="19"/>
          <w:color w:val="auto"/>
        </w:rPr>
        <w:t>postpone any date fixed by this Agreement or any other Loan Document for any payment (excluding mandatory prepayments) of principal, interest, fees, the Prepayment Premium or other amounts due to the Lenders (or any of them) hereunder or under such other Loan Document without the written consent of each Lender entitled to such payment;</w:t>
      </w:r>
    </w:p>
    <w:p>
      <w:pPr>
        <w:spacing w:after="0" w:line="178" w:lineRule="exact"/>
        <w:rPr>
          <w:rFonts w:ascii="Arial" w:cs="Arial" w:eastAsia="Arial" w:hAnsi="Arial"/>
          <w:sz w:val="19"/>
          <w:szCs w:val="19"/>
          <w:color w:val="auto"/>
        </w:rPr>
      </w:pPr>
    </w:p>
    <w:p>
      <w:pPr>
        <w:jc w:val="both"/>
        <w:ind w:firstLine="599"/>
        <w:spacing w:after="0" w:line="252" w:lineRule="auto"/>
        <w:tabs>
          <w:tab w:leader="none" w:pos="1421" w:val="left"/>
        </w:tabs>
        <w:numPr>
          <w:ilvl w:val="0"/>
          <w:numId w:val="376"/>
        </w:numPr>
        <w:rPr>
          <w:rFonts w:ascii="Arial" w:cs="Arial" w:eastAsia="Arial" w:hAnsi="Arial"/>
          <w:sz w:val="20"/>
          <w:szCs w:val="20"/>
          <w:color w:val="auto"/>
        </w:rPr>
      </w:pPr>
      <w:r>
        <w:rPr>
          <w:rFonts w:ascii="Arial" w:cs="Arial" w:eastAsia="Arial" w:hAnsi="Arial"/>
          <w:sz w:val="20"/>
          <w:szCs w:val="20"/>
          <w:color w:val="auto"/>
        </w:rPr>
        <w:t xml:space="preserve">reduce the principal of, or </w:t>
      </w:r>
      <w:r>
        <w:rPr>
          <w:rFonts w:ascii="Arial" w:cs="Arial" w:eastAsia="Arial" w:hAnsi="Arial"/>
          <w:sz w:val="20"/>
          <w:szCs w:val="20"/>
          <w:b w:val="1"/>
          <w:bCs w:val="1"/>
          <w:u w:val="single" w:color="auto"/>
          <w:color w:val="0000FF"/>
          <w:highlight w:val="lightGray"/>
        </w:rPr>
        <w:t>(except to the extent provided in Section 3.03(c))</w:t>
      </w:r>
      <w:r>
        <w:rPr>
          <w:rFonts w:ascii="Arial" w:cs="Arial" w:eastAsia="Arial" w:hAnsi="Arial"/>
          <w:sz w:val="20"/>
          <w:szCs w:val="20"/>
          <w:color w:val="auto"/>
        </w:rPr>
        <w:t xml:space="preserve"> the rate of interest specified herein on, any Loan or (subject to clause (ii) of the second proviso to this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any fees, the Prepayment Premium or other amounts payable hereunder or under any other Loan Document, without the written consent of each Lender entitled to such amount;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only the consent of the Required Lenders shall be necessary to amend (i) the definition of “Default Rate”, (ii) waive any obligation of the Borrower to pay interest at the Default Rate and (iii) any financial covenant hereunder (or any defined term used therein) even if the effect of such amendment would be to reduce the rate of interest on any Term Loan or to reduce any fee payable hereunder;</w:t>
      </w:r>
    </w:p>
    <w:p>
      <w:pPr>
        <w:spacing w:after="0" w:line="214" w:lineRule="exact"/>
        <w:rPr>
          <w:rFonts w:ascii="Arial" w:cs="Arial" w:eastAsia="Arial" w:hAnsi="Arial"/>
          <w:sz w:val="20"/>
          <w:szCs w:val="20"/>
          <w:color w:val="auto"/>
        </w:rPr>
      </w:pPr>
    </w:p>
    <w:p>
      <w:pPr>
        <w:jc w:val="both"/>
        <w:ind w:firstLine="599"/>
        <w:spacing w:after="0" w:line="280" w:lineRule="auto"/>
        <w:tabs>
          <w:tab w:leader="none" w:pos="1399" w:val="left"/>
        </w:tabs>
        <w:numPr>
          <w:ilvl w:val="0"/>
          <w:numId w:val="376"/>
        </w:numPr>
        <w:rPr>
          <w:rFonts w:ascii="Arial" w:cs="Arial" w:eastAsia="Arial" w:hAnsi="Arial"/>
          <w:sz w:val="19"/>
          <w:szCs w:val="19"/>
          <w:color w:val="auto"/>
        </w:rPr>
      </w:pPr>
      <w:r>
        <w:rPr>
          <w:rFonts w:ascii="Arial" w:cs="Arial" w:eastAsia="Arial" w:hAnsi="Arial"/>
          <w:sz w:val="19"/>
          <w:szCs w:val="19"/>
          <w:color w:val="auto"/>
        </w:rPr>
        <w:t xml:space="preserve">change any provision of this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or the definition of “Required Lenders” or “Appropriate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84" w:lineRule="exact"/>
        <w:rPr>
          <w:rFonts w:ascii="Arial" w:cs="Arial" w:eastAsia="Arial" w:hAnsi="Arial"/>
          <w:sz w:val="19"/>
          <w:szCs w:val="19"/>
          <w:color w:val="auto"/>
        </w:rPr>
      </w:pPr>
    </w:p>
    <w:p>
      <w:pPr>
        <w:jc w:val="both"/>
        <w:ind w:firstLine="599"/>
        <w:spacing w:after="0" w:line="265" w:lineRule="auto"/>
        <w:tabs>
          <w:tab w:leader="none" w:pos="1432" w:val="left"/>
        </w:tabs>
        <w:numPr>
          <w:ilvl w:val="0"/>
          <w:numId w:val="376"/>
        </w:numPr>
        <w:rPr>
          <w:rFonts w:ascii="Arial" w:cs="Arial" w:eastAsia="Arial" w:hAnsi="Arial"/>
          <w:sz w:val="19"/>
          <w:szCs w:val="19"/>
          <w:color w:val="auto"/>
        </w:rPr>
      </w:pPr>
      <w:r>
        <w:rPr>
          <w:rFonts w:ascii="Arial" w:cs="Arial" w:eastAsia="Arial" w:hAnsi="Arial"/>
          <w:sz w:val="19"/>
          <w:szCs w:val="19"/>
          <w:color w:val="auto"/>
        </w:rPr>
        <w:t xml:space="preserve">(i) change any of the terms or provisions in any Loan Document requiring pro rata payments, distributions, commitment reductions or sharing of payments without the consent of each Lender directly and adversely affected thereby or (ii) change (A) any provision of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in a manner that would alter the pro rata sharing of payments required thereby without the written consent of each Lender directly and adversely affected thereby or (B) the order of application of any reduction in Commitments or any prepayment of Loans from the application thereof set forth in the applicable provisions of </w:t>
      </w:r>
      <w:r>
        <w:rPr>
          <w:rFonts w:ascii="Arial" w:cs="Arial" w:eastAsia="Arial" w:hAnsi="Arial"/>
          <w:sz w:val="19"/>
          <w:szCs w:val="19"/>
          <w:u w:val="single" w:color="auto"/>
          <w:color w:val="auto"/>
        </w:rPr>
        <w:t>Section 2.05(b)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2.06(c)</w:t>
      </w:r>
      <w:r>
        <w:rPr>
          <w:rFonts w:ascii="Arial" w:cs="Arial" w:eastAsia="Arial" w:hAnsi="Arial"/>
          <w:sz w:val="19"/>
          <w:szCs w:val="19"/>
          <w:color w:val="auto"/>
        </w:rPr>
        <w:t xml:space="preserve"> in any manner that materially and adversely affects the Lenders without the written consent of each Lender, </w:t>
      </w:r>
      <w:r>
        <w:rPr>
          <w:rFonts w:ascii="Arial" w:cs="Arial" w:eastAsia="Arial" w:hAnsi="Arial"/>
          <w:sz w:val="19"/>
          <w:szCs w:val="19"/>
          <w:u w:val="single" w:color="auto"/>
          <w:color w:val="auto"/>
        </w:rPr>
        <w:t>provided</w:t>
      </w:r>
      <w:r>
        <w:rPr>
          <w:rFonts w:ascii="Arial" w:cs="Arial" w:eastAsia="Arial" w:hAnsi="Arial"/>
          <w:sz w:val="19"/>
          <w:szCs w:val="19"/>
          <w:color w:val="auto"/>
        </w:rPr>
        <w:t>, that in each case under clauses (g)(i) and (g)(ii) such terms and provisions may be amended with the consent of the Required Lenders on customary terms in connection with an “amend and extend” transaction, but only if all Lenders that consent to such “amend and extend” transaction are treated on a pro rata basis;</w:t>
      </w:r>
    </w:p>
    <w:p>
      <w:pPr>
        <w:spacing w:after="0" w:line="195" w:lineRule="exact"/>
        <w:rPr>
          <w:rFonts w:ascii="Arial" w:cs="Arial" w:eastAsia="Arial" w:hAnsi="Arial"/>
          <w:sz w:val="19"/>
          <w:szCs w:val="19"/>
          <w:color w:val="auto"/>
        </w:rPr>
      </w:pPr>
    </w:p>
    <w:p>
      <w:pPr>
        <w:ind w:right="40" w:firstLine="599"/>
        <w:spacing w:after="0" w:line="258" w:lineRule="auto"/>
        <w:tabs>
          <w:tab w:leader="none" w:pos="1432" w:val="left"/>
        </w:tabs>
        <w:numPr>
          <w:ilvl w:val="0"/>
          <w:numId w:val="376"/>
        </w:numPr>
        <w:rPr>
          <w:rFonts w:ascii="Arial" w:cs="Arial" w:eastAsia="Arial" w:hAnsi="Arial"/>
          <w:sz w:val="20"/>
          <w:szCs w:val="20"/>
          <w:color w:val="auto"/>
        </w:rPr>
      </w:pPr>
      <w:r>
        <w:rPr>
          <w:rFonts w:ascii="Arial" w:cs="Arial" w:eastAsia="Arial" w:hAnsi="Arial"/>
          <w:sz w:val="20"/>
          <w:szCs w:val="20"/>
          <w:color w:val="auto"/>
        </w:rPr>
        <w:t xml:space="preserve">release (i) the Borrower or </w:t>
      </w:r>
      <w:r>
        <w:rPr>
          <w:rFonts w:ascii="Arial" w:cs="Arial" w:eastAsia="Arial" w:hAnsi="Arial"/>
          <w:sz w:val="20"/>
          <w:szCs w:val="20"/>
          <w:color w:val="FF0000"/>
          <w:strike w:val="1"/>
        </w:rPr>
        <w:t>(ii)</w:t>
      </w:r>
      <w:r>
        <w:rPr>
          <w:rFonts w:ascii="Arial" w:cs="Arial" w:eastAsia="Arial" w:hAnsi="Arial"/>
          <w:sz w:val="20"/>
          <w:szCs w:val="20"/>
          <w:b w:val="1"/>
          <w:bCs w:val="1"/>
          <w:u w:val="single" w:color="auto"/>
          <w:color w:val="0000FF"/>
          <w:highlight w:val="lightGray"/>
        </w:rPr>
        <w:t>the REIT from its obligations under this Agreement or any other Loan Document</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highlight w:val="lightGray"/>
        </w:rPr>
        <w:t>or (ii) the</w:t>
      </w:r>
      <w:r>
        <w:rPr>
          <w:rFonts w:ascii="Arial" w:cs="Arial" w:eastAsia="Arial" w:hAnsi="Arial"/>
          <w:sz w:val="20"/>
          <w:szCs w:val="20"/>
          <w:b w:val="1"/>
          <w:bCs w:val="1"/>
          <w:color w:val="0000FF"/>
          <w:highlight w:val="lightGray"/>
        </w:rPr>
        <w:t xml:space="preserve"> </w:t>
      </w:r>
      <w:r>
        <w:rPr>
          <w:rFonts w:ascii="Arial" w:cs="Arial" w:eastAsia="Arial" w:hAnsi="Arial"/>
          <w:sz w:val="20"/>
          <w:szCs w:val="20"/>
          <w:color w:val="000000"/>
        </w:rPr>
        <w:t>Guarantors collectively constituting all or substantially all of the value of the Guaranty Agreement from its or their</w:t>
      </w:r>
      <w:r>
        <w:rPr>
          <w:rFonts w:ascii="Arial" w:cs="Arial" w:eastAsia="Arial" w:hAnsi="Arial"/>
          <w:sz w:val="20"/>
          <w:szCs w:val="20"/>
          <w:b w:val="1"/>
          <w:bCs w:val="1"/>
          <w:color w:val="0000FF"/>
          <w:highlight w:val="lightGray"/>
        </w:rPr>
        <w:t xml:space="preserve"> </w:t>
      </w:r>
      <w:r>
        <w:rPr>
          <w:rFonts w:ascii="Arial" w:cs="Arial" w:eastAsia="Arial" w:hAnsi="Arial"/>
          <w:sz w:val="20"/>
          <w:szCs w:val="20"/>
          <w:color w:val="000000"/>
        </w:rPr>
        <w:t>obligations under this Agreement or any other Loan Document, without the written consent of each Lender, except as expressly provided in the Loan Documents; or</w:t>
      </w:r>
    </w:p>
    <w:p>
      <w:pPr>
        <w:spacing w:after="0" w:line="203" w:lineRule="exact"/>
        <w:rPr>
          <w:rFonts w:ascii="Arial" w:cs="Arial" w:eastAsia="Arial" w:hAnsi="Arial"/>
          <w:sz w:val="20"/>
          <w:szCs w:val="20"/>
          <w:color w:val="auto"/>
        </w:rPr>
      </w:pPr>
    </w:p>
    <w:p>
      <w:pPr>
        <w:ind w:right="60" w:firstLine="599"/>
        <w:spacing w:after="0" w:line="272" w:lineRule="auto"/>
        <w:tabs>
          <w:tab w:leader="none" w:pos="1388" w:val="left"/>
        </w:tabs>
        <w:numPr>
          <w:ilvl w:val="0"/>
          <w:numId w:val="376"/>
        </w:numPr>
        <w:rPr>
          <w:rFonts w:ascii="Arial" w:cs="Arial" w:eastAsia="Arial" w:hAnsi="Arial"/>
          <w:sz w:val="20"/>
          <w:szCs w:val="20"/>
          <w:color w:val="auto"/>
        </w:rPr>
      </w:pPr>
      <w:r>
        <w:rPr>
          <w:rFonts w:ascii="Arial" w:cs="Arial" w:eastAsia="Arial" w:hAnsi="Arial"/>
          <w:sz w:val="20"/>
          <w:szCs w:val="20"/>
          <w:color w:val="auto"/>
        </w:rPr>
        <w:t>impose any greater restriction on the ability of any Lender to assign any of its rights or obligations hereunder without the written consent of each Lender;</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 no amendment, waiver or consent shall, unless in writing and signed by the Administrative Agent in addition to the Lenders required above, affect the rights or duties of the Administrative Agent under this Agreement or any other Loan Document; and (ii) the Fee Letter may be amended, or rights or privileges thereunder waived, in a writing executed only by the parties thereto. Notwithstanding anything to the contrary herein, </w:t>
      </w:r>
      <w:r>
        <w:rPr>
          <w:rFonts w:ascii="Arial" w:cs="Arial" w:eastAsia="Arial" w:hAnsi="Arial"/>
          <w:sz w:val="18"/>
          <w:szCs w:val="18"/>
          <w:b w:val="1"/>
          <w:bCs w:val="1"/>
          <w:u w:val="single" w:color="auto"/>
          <w:color w:val="0000FF"/>
          <w:highlight w:val="lightGray"/>
        </w:rPr>
        <w:t>(x)</w:t>
      </w:r>
      <w:r>
        <w:rPr>
          <w:rFonts w:ascii="Arial" w:cs="Arial" w:eastAsia="Arial" w:hAnsi="Arial"/>
          <w:sz w:val="18"/>
          <w:szCs w:val="18"/>
          <w:color w:val="auto"/>
        </w:rPr>
        <w:t xml:space="preserve">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w:t>
      </w:r>
    </w:p>
    <w:p>
      <w:pPr>
        <w:spacing w:after="0" w:line="15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820"/>
          </w:cols>
          <w:pgMar w:left="840" w:top="794" w:right="239" w:bottom="1440" w:gutter="0" w:footer="0" w:header="0"/>
        </w:sectPr>
      </w:pPr>
    </w:p>
    <w:bookmarkStart w:id="325" w:name="page326"/>
    <w:bookmarkEnd w:id="325"/>
    <w:p>
      <w:pPr>
        <w:jc w:val="both"/>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color w:val="FF0000"/>
          <w:strike w:val="1"/>
        </w:rPr>
        <w:t>x</w:t>
      </w:r>
      <w:r>
        <w:rPr>
          <w:rFonts w:ascii="Arial" w:cs="Arial" w:eastAsia="Arial" w:hAnsi="Arial"/>
          <w:sz w:val="19"/>
          <w:szCs w:val="19"/>
          <w:b w:val="1"/>
          <w:bCs w:val="1"/>
          <w:u w:val="single" w:color="auto"/>
          <w:color w:val="0000FF"/>
          <w:highlight w:val="lightGray"/>
        </w:rPr>
        <w:t>A</w:t>
      </w:r>
      <w:r>
        <w:rPr>
          <w:rFonts w:ascii="Arial" w:cs="Arial" w:eastAsia="Arial" w:hAnsi="Arial"/>
          <w:sz w:val="19"/>
          <w:szCs w:val="19"/>
          <w:color w:val="auto"/>
        </w:rPr>
        <w:t>) the Commitment of any Defaulting Lender may not be increased or extended without the consent of such Lender and (</w:t>
      </w:r>
      <w:r>
        <w:rPr>
          <w:rFonts w:ascii="Arial" w:cs="Arial" w:eastAsia="Arial" w:hAnsi="Arial"/>
          <w:sz w:val="19"/>
          <w:szCs w:val="19"/>
          <w:color w:val="FF0000"/>
          <w:strike w:val="1"/>
        </w:rPr>
        <w:t>y</w:t>
      </w:r>
      <w:r>
        <w:rPr>
          <w:rFonts w:ascii="Arial" w:cs="Arial" w:eastAsia="Arial" w:hAnsi="Arial"/>
          <w:sz w:val="19"/>
          <w:szCs w:val="19"/>
          <w:b w:val="1"/>
          <w:bCs w:val="1"/>
          <w:u w:val="single" w:color="auto"/>
          <w:color w:val="0000FF"/>
          <w:highlight w:val="lightGray"/>
        </w:rPr>
        <w:t>B</w:t>
      </w:r>
      <w:r>
        <w:rPr>
          <w:rFonts w:ascii="Arial" w:cs="Arial" w:eastAsia="Arial" w:hAnsi="Arial"/>
          <w:sz w:val="19"/>
          <w:szCs w:val="19"/>
          <w:color w:val="auto"/>
        </w:rPr>
        <w:t>) any waiver, amendment or modification requiring the consent of all Lenders or each affected Lender that by its terms affects any Defaulting Lender more adversely than other affected Lenders shall require the consent of such Defaulting Lender</w:t>
      </w:r>
      <w:r>
        <w:rPr>
          <w:rFonts w:ascii="Arial" w:cs="Arial" w:eastAsia="Arial" w:hAnsi="Arial"/>
          <w:sz w:val="19"/>
          <w:szCs w:val="19"/>
          <w:color w:val="FF0000"/>
          <w:strike w:val="1"/>
        </w:rPr>
        <w:t>.</w:t>
      </w:r>
      <w:r>
        <w:rPr>
          <w:rFonts w:ascii="Arial" w:cs="Arial" w:eastAsia="Arial" w:hAnsi="Arial"/>
          <w:sz w:val="19"/>
          <w:szCs w:val="19"/>
          <w:b w:val="1"/>
          <w:bCs w:val="1"/>
          <w:u w:val="single" w:color="auto"/>
          <w:color w:val="0000FF"/>
          <w:highlight w:val="lightGray"/>
        </w:rPr>
        <w:t>; and (y) the</w:t>
      </w:r>
    </w:p>
    <w:p>
      <w:pPr>
        <w:spacing w:after="0" w:line="2"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u w:val="single" w:color="auto"/>
          <w:color w:val="0000FF"/>
          <w:highlight w:val="lightGray"/>
        </w:rPr>
        <w:t>Administrative Agent and the Borrower may, with the consent of the other (but without the consent of any other Person), amend, modify or supplement this Agreement and any other Loan Document to (A) correct or cure any ambiguity, defect or inconsistency, or to correct any obvious error or any error or omission of an administrative or technical nature, if such amendment, modification or supplement does not adversely affect the rights of the Administrative Agent or any Lender and (B) to add a “Guarantor” in accordance with the applicable provisions of this Agreement and the other Loan Documents.</w:t>
      </w:r>
    </w:p>
    <w:p>
      <w:pPr>
        <w:spacing w:after="0" w:line="183" w:lineRule="exact"/>
        <w:rPr>
          <w:sz w:val="20"/>
          <w:szCs w:val="20"/>
          <w:color w:val="auto"/>
        </w:rPr>
      </w:pPr>
    </w:p>
    <w:p>
      <w:pPr>
        <w:jc w:val="both"/>
        <w:ind w:firstLine="600"/>
        <w:spacing w:after="0" w:line="282" w:lineRule="auto"/>
        <w:rPr>
          <w:sz w:val="20"/>
          <w:szCs w:val="20"/>
          <w:color w:val="auto"/>
        </w:rPr>
      </w:pPr>
      <w:r>
        <w:rPr>
          <w:rFonts w:ascii="Arial" w:cs="Arial" w:eastAsia="Arial" w:hAnsi="Arial"/>
          <w:sz w:val="18"/>
          <w:szCs w:val="18"/>
          <w:color w:val="auto"/>
        </w:rPr>
        <w:t>Notwithstanding any provision herein to the contrary, this Agreement may be amended with the written consent of the Required Lenders, the Administrative Agent, the Borrower and the other Loan Parties (i) to add one or more additional term loan facilities to this Agreement, and to permit the extensions of credit and all related obligations and liabilities arising in connection therewith from time to time outstanding to share ratably (or on a basis subordinated to the existing facilities hereunder) in the benefits of this Agreement and the other Loan Documents with the obligations and liabilities from time to time outstanding in respect of the existing facilities hereunder, and (ii) in connection with the foregoing, to permit, as deemed appropriate by the Administrative Agent and approved by the Required Lenders, the Lenders providing such additional credit facilities to participate in any required vote or action required to be approved by the Required Lenders or by any other number, percentage or class of Lenders hereunder.</w:t>
      </w:r>
    </w:p>
    <w:p>
      <w:pPr>
        <w:spacing w:after="0" w:line="190" w:lineRule="exact"/>
        <w:rPr>
          <w:sz w:val="20"/>
          <w:szCs w:val="20"/>
          <w:color w:val="auto"/>
        </w:rPr>
      </w:pPr>
    </w:p>
    <w:p>
      <w:pPr>
        <w:ind w:left="600"/>
        <w:spacing w:after="0"/>
        <w:tabs>
          <w:tab w:leader="none" w:pos="1280" w:val="left"/>
        </w:tabs>
        <w:rPr>
          <w:sz w:val="20"/>
          <w:szCs w:val="20"/>
          <w:color w:val="auto"/>
        </w:rPr>
      </w:pPr>
      <w:r>
        <w:rPr>
          <w:rFonts w:ascii="Arial" w:cs="Arial" w:eastAsia="Arial" w:hAnsi="Arial"/>
          <w:sz w:val="20"/>
          <w:szCs w:val="20"/>
          <w:color w:val="auto"/>
        </w:rPr>
        <w:t>10.02.</w:t>
      </w:r>
      <w:r>
        <w:rPr>
          <w:sz w:val="20"/>
          <w:szCs w:val="20"/>
          <w:color w:val="auto"/>
        </w:rPr>
        <w:tab/>
      </w:r>
      <w:r>
        <w:rPr>
          <w:rFonts w:ascii="Arial" w:cs="Arial" w:eastAsia="Arial" w:hAnsi="Arial"/>
          <w:sz w:val="18"/>
          <w:szCs w:val="18"/>
          <w:u w:val="single" w:color="auto"/>
          <w:color w:val="auto"/>
        </w:rPr>
        <w:t>Notices; Effectiveness; Electronic Communications</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70" w:lineRule="auto"/>
        <w:tabs>
          <w:tab w:leader="none" w:pos="1421" w:val="left"/>
        </w:tabs>
        <w:numPr>
          <w:ilvl w:val="0"/>
          <w:numId w:val="377"/>
        </w:numPr>
        <w:rPr>
          <w:rFonts w:ascii="Arial" w:cs="Arial" w:eastAsia="Arial" w:hAnsi="Arial"/>
          <w:sz w:val="19"/>
          <w:szCs w:val="19"/>
          <w:color w:val="auto"/>
        </w:rPr>
      </w:pPr>
      <w:r>
        <w:rPr>
          <w:rFonts w:ascii="Arial" w:cs="Arial" w:eastAsia="Arial" w:hAnsi="Arial"/>
          <w:sz w:val="19"/>
          <w:szCs w:val="19"/>
          <w:u w:val="single" w:color="auto"/>
          <w:color w:val="auto"/>
        </w:rPr>
        <w:t>Notices Generally</w:t>
      </w:r>
      <w:r>
        <w:rPr>
          <w:rFonts w:ascii="Arial" w:cs="Arial" w:eastAsia="Arial" w:hAnsi="Arial"/>
          <w:sz w:val="19"/>
          <w:szCs w:val="19"/>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or by electronic mail (subject to clause (b) below) as follows, and all notices and other communications expressly permitted hereunder to be given by telephone shall be made to the applicable telephone number, as follows:</w:t>
      </w:r>
    </w:p>
    <w:p>
      <w:pPr>
        <w:spacing w:after="0" w:line="194" w:lineRule="exact"/>
        <w:rPr>
          <w:rFonts w:ascii="Arial" w:cs="Arial" w:eastAsia="Arial" w:hAnsi="Arial"/>
          <w:sz w:val="19"/>
          <w:szCs w:val="19"/>
          <w:color w:val="auto"/>
        </w:rPr>
      </w:pPr>
    </w:p>
    <w:p>
      <w:pPr>
        <w:ind w:firstLine="1198"/>
        <w:spacing w:after="0" w:line="272" w:lineRule="auto"/>
        <w:tabs>
          <w:tab w:leader="none" w:pos="1904" w:val="left"/>
        </w:tabs>
        <w:numPr>
          <w:ilvl w:val="1"/>
          <w:numId w:val="377"/>
        </w:numPr>
        <w:rPr>
          <w:rFonts w:ascii="Arial" w:cs="Arial" w:eastAsia="Arial" w:hAnsi="Arial"/>
          <w:sz w:val="20"/>
          <w:szCs w:val="20"/>
          <w:color w:val="auto"/>
        </w:rPr>
      </w:pPr>
      <w:r>
        <w:rPr>
          <w:rFonts w:ascii="Arial" w:cs="Arial" w:eastAsia="Arial" w:hAnsi="Arial"/>
          <w:sz w:val="20"/>
          <w:szCs w:val="20"/>
          <w:color w:val="auto"/>
        </w:rPr>
        <w:t xml:space="preserve">if to a Loan Party or the Administrative Agent, to the address, facsimile number, electronic mail address or telephone number specified for such Person on </w:t>
      </w:r>
      <w:r>
        <w:rPr>
          <w:rFonts w:ascii="Arial" w:cs="Arial" w:eastAsia="Arial" w:hAnsi="Arial"/>
          <w:sz w:val="20"/>
          <w:szCs w:val="20"/>
          <w:u w:val="single" w:color="auto"/>
          <w:color w:val="auto"/>
        </w:rPr>
        <w:t>Schedule 10.02</w:t>
      </w:r>
      <w:r>
        <w:rPr>
          <w:rFonts w:ascii="Arial" w:cs="Arial" w:eastAsia="Arial" w:hAnsi="Arial"/>
          <w:sz w:val="20"/>
          <w:szCs w:val="20"/>
          <w:color w:val="auto"/>
        </w:rPr>
        <w:t>; and</w:t>
      </w:r>
    </w:p>
    <w:p>
      <w:pPr>
        <w:spacing w:after="0" w:line="190" w:lineRule="exact"/>
        <w:rPr>
          <w:rFonts w:ascii="Arial" w:cs="Arial" w:eastAsia="Arial" w:hAnsi="Arial"/>
          <w:sz w:val="20"/>
          <w:szCs w:val="20"/>
          <w:color w:val="auto"/>
        </w:rPr>
      </w:pPr>
    </w:p>
    <w:p>
      <w:pPr>
        <w:jc w:val="both"/>
        <w:ind w:firstLine="1198"/>
        <w:spacing w:after="0" w:line="256" w:lineRule="auto"/>
        <w:tabs>
          <w:tab w:leader="none" w:pos="1960" w:val="left"/>
        </w:tabs>
        <w:numPr>
          <w:ilvl w:val="1"/>
          <w:numId w:val="377"/>
        </w:numPr>
        <w:rPr>
          <w:rFonts w:ascii="Arial" w:cs="Arial" w:eastAsia="Arial" w:hAnsi="Arial"/>
          <w:sz w:val="20"/>
          <w:szCs w:val="20"/>
          <w:color w:val="auto"/>
        </w:rPr>
      </w:pPr>
      <w:r>
        <w:rPr>
          <w:rFonts w:ascii="Arial" w:cs="Arial" w:eastAsia="Arial" w:hAnsi="Arial"/>
          <w:sz w:val="20"/>
          <w:szCs w:val="20"/>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w:t>
      </w:r>
    </w:p>
    <w:p>
      <w:pPr>
        <w:spacing w:after="0" w:line="18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820"/>
          </w:cols>
          <w:pgMar w:left="840" w:top="789" w:right="239" w:bottom="1440" w:gutter="0" w:footer="0" w:header="0"/>
        </w:sectPr>
      </w:pPr>
    </w:p>
    <w:bookmarkStart w:id="326" w:name="page327"/>
    <w:bookmarkEnd w:id="326"/>
    <w:p>
      <w:pPr>
        <w:spacing w:after="0" w:line="272" w:lineRule="auto"/>
        <w:rPr>
          <w:sz w:val="20"/>
          <w:szCs w:val="20"/>
          <w:color w:val="auto"/>
        </w:rPr>
      </w:pPr>
      <w:r>
        <w:rPr>
          <w:rFonts w:ascii="Arial" w:cs="Arial" w:eastAsia="Arial" w:hAnsi="Arial"/>
          <w:sz w:val="20"/>
          <w:szCs w:val="20"/>
          <w:color w:val="auto"/>
        </w:rPr>
        <w:t>delivered through electronic communications to the extent provided in subsection (b) below shall be effective as provided in such subsection (b).</w:t>
      </w:r>
    </w:p>
    <w:p>
      <w:pPr>
        <w:spacing w:after="0" w:line="191" w:lineRule="exact"/>
        <w:rPr>
          <w:sz w:val="20"/>
          <w:szCs w:val="20"/>
          <w:color w:val="auto"/>
        </w:rPr>
      </w:pPr>
    </w:p>
    <w:p>
      <w:pPr>
        <w:jc w:val="both"/>
        <w:ind w:firstLine="599"/>
        <w:spacing w:after="0" w:line="251" w:lineRule="auto"/>
        <w:tabs>
          <w:tab w:leader="none" w:pos="1432" w:val="left"/>
        </w:tabs>
        <w:numPr>
          <w:ilvl w:val="0"/>
          <w:numId w:val="378"/>
        </w:numPr>
        <w:rPr>
          <w:rFonts w:ascii="Arial" w:cs="Arial" w:eastAsia="Arial" w:hAnsi="Arial"/>
          <w:sz w:val="20"/>
          <w:szCs w:val="20"/>
          <w:color w:val="auto"/>
        </w:rPr>
      </w:pPr>
      <w:r>
        <w:rPr>
          <w:rFonts w:ascii="Arial" w:cs="Arial" w:eastAsia="Arial" w:hAnsi="Arial"/>
          <w:sz w:val="20"/>
          <w:szCs w:val="20"/>
          <w:u w:val="single" w:color="auto"/>
          <w:color w:val="auto"/>
        </w:rPr>
        <w:t>Electronic Communications</w:t>
      </w:r>
      <w:r>
        <w:rPr>
          <w:rFonts w:ascii="Arial" w:cs="Arial" w:eastAsia="Arial" w:hAnsi="Arial"/>
          <w:sz w:val="20"/>
          <w:szCs w:val="20"/>
          <w:color w:val="auto"/>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apply to notices to any Lender pursuant to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if such Lender has notified the Administrative Agent that it is incapable of receiving notices under such Article by electronic communication. The Administrative Agent or the Borrower may each, in its discretion, agree to accept notices and other communications to it hereunder by electronic communications pursuant to procedures approved by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approval of such procedures may be limited to particular notices or communications.</w:t>
      </w:r>
    </w:p>
    <w:p>
      <w:pPr>
        <w:spacing w:after="0" w:line="215" w:lineRule="exact"/>
        <w:rPr>
          <w:sz w:val="20"/>
          <w:szCs w:val="20"/>
          <w:color w:val="auto"/>
        </w:rPr>
      </w:pPr>
    </w:p>
    <w:p>
      <w:pPr>
        <w:jc w:val="both"/>
        <w:ind w:firstLine="600"/>
        <w:spacing w:after="0" w:line="251" w:lineRule="auto"/>
        <w:rPr>
          <w:sz w:val="20"/>
          <w:szCs w:val="20"/>
          <w:color w:val="auto"/>
        </w:rPr>
      </w:pPr>
      <w:r>
        <w:rPr>
          <w:rFonts w:ascii="Arial" w:cs="Arial" w:eastAsia="Arial" w:hAnsi="Arial"/>
          <w:sz w:val="20"/>
          <w:szCs w:val="20"/>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both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(ii)</w:t>
      </w:r>
      <w:r>
        <w:rPr>
          <w:rFonts w:ascii="Arial" w:cs="Arial" w:eastAsia="Arial" w:hAnsi="Arial"/>
          <w:sz w:val="20"/>
          <w:szCs w:val="20"/>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212" w:lineRule="exact"/>
        <w:rPr>
          <w:sz w:val="20"/>
          <w:szCs w:val="20"/>
          <w:color w:val="auto"/>
        </w:rPr>
      </w:pPr>
    </w:p>
    <w:p>
      <w:pPr>
        <w:ind w:left="1420" w:hanging="821"/>
        <w:spacing w:after="0"/>
        <w:tabs>
          <w:tab w:leader="none" w:pos="1420" w:val="left"/>
        </w:tabs>
        <w:numPr>
          <w:ilvl w:val="0"/>
          <w:numId w:val="379"/>
        </w:numPr>
        <w:rPr>
          <w:rFonts w:ascii="Arial" w:cs="Arial" w:eastAsia="Arial" w:hAnsi="Arial"/>
          <w:sz w:val="19"/>
          <w:szCs w:val="19"/>
          <w:color w:val="auto"/>
        </w:rPr>
      </w:pPr>
      <w:r>
        <w:rPr>
          <w:rFonts w:ascii="Arial" w:cs="Arial" w:eastAsia="Arial" w:hAnsi="Arial"/>
          <w:sz w:val="19"/>
          <w:szCs w:val="19"/>
          <w:u w:val="single" w:color="auto"/>
          <w:color w:val="auto"/>
        </w:rPr>
        <w:t>The Platform</w:t>
      </w:r>
      <w:r>
        <w:rPr>
          <w:rFonts w:ascii="Arial" w:cs="Arial" w:eastAsia="Arial" w:hAnsi="Arial"/>
          <w:sz w:val="19"/>
          <w:szCs w:val="19"/>
          <w:color w:val="auto"/>
        </w:rPr>
        <w:t>. THE PLATFORM IS PROVIDED “AS IS” AND “AS AVAILABLE.” THE AGENT PARTIES (AS</w:t>
      </w:r>
    </w:p>
    <w:p>
      <w:pPr>
        <w:spacing w:after="0" w:line="34" w:lineRule="exact"/>
        <w:rPr>
          <w:rFonts w:ascii="Arial" w:cs="Arial" w:eastAsia="Arial" w:hAnsi="Arial"/>
          <w:sz w:val="19"/>
          <w:szCs w:val="19"/>
          <w:color w:val="auto"/>
        </w:rPr>
      </w:pPr>
    </w:p>
    <w:p>
      <w:pPr>
        <w:jc w:val="both"/>
        <w:spacing w:after="0" w:line="262" w:lineRule="auto"/>
        <w:rPr>
          <w:rFonts w:ascii="Arial" w:cs="Arial" w:eastAsia="Arial" w:hAnsi="Arial"/>
          <w:sz w:val="19"/>
          <w:szCs w:val="19"/>
          <w:color w:val="auto"/>
        </w:rPr>
      </w:pPr>
      <w:r>
        <w:rPr>
          <w:rFonts w:ascii="Arial" w:cs="Arial" w:eastAsia="Arial" w:hAnsi="Arial"/>
          <w:sz w:val="19"/>
          <w:szCs w:val="19"/>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THE AGENT PARTIES IN CONNECTION WITH THE BORROWER MATERIALS OR THE PLATFORM. In no event shall the Administrative Agent or any of its Related Parties (collectively, the “</w:t>
      </w:r>
      <w:r>
        <w:rPr>
          <w:rFonts w:ascii="Arial" w:cs="Arial" w:eastAsia="Arial" w:hAnsi="Arial"/>
          <w:sz w:val="19"/>
          <w:szCs w:val="19"/>
          <w:u w:val="single" w:color="auto"/>
          <w:color w:val="auto"/>
        </w:rPr>
        <w:t>Agent Parties</w:t>
      </w:r>
      <w:r>
        <w:rPr>
          <w:rFonts w:ascii="Arial" w:cs="Arial" w:eastAsia="Arial" w:hAnsi="Arial"/>
          <w:sz w:val="19"/>
          <w:szCs w:val="19"/>
          <w:color w:val="auto"/>
        </w:rPr>
        <w:t xml:space="preserve">”) have any liability to any Loan Party </w:t>
      </w:r>
      <w:r>
        <w:rPr>
          <w:rFonts w:ascii="Arial" w:cs="Arial" w:eastAsia="Arial" w:hAnsi="Arial"/>
          <w:sz w:val="19"/>
          <w:szCs w:val="19"/>
          <w:b w:val="1"/>
          <w:bCs w:val="1"/>
          <w:u w:val="single" w:color="auto"/>
          <w:color w:val="0000FF"/>
          <w:highlight w:val="lightGray"/>
        </w:rPr>
        <w:t>or Subsidiary thereof</w:t>
      </w:r>
      <w:r>
        <w:rPr>
          <w:rFonts w:ascii="Arial" w:cs="Arial" w:eastAsia="Arial" w:hAnsi="Arial"/>
          <w:sz w:val="19"/>
          <w:szCs w:val="19"/>
          <w:color w:val="auto"/>
        </w:rPr>
        <w:t xml:space="preserve">, any Lender or any other Person for losses, claims, damages, liabilities or expenses of any kind (whether in tort, contract or otherwise) arising out of any Loan Party’s or the Administrative Agent’s transmission of Borrower Materials through the Internet. In addition, in no event shall any Agent Party have any liability to any Loan Party </w:t>
      </w:r>
      <w:r>
        <w:rPr>
          <w:rFonts w:ascii="Arial" w:cs="Arial" w:eastAsia="Arial" w:hAnsi="Arial"/>
          <w:sz w:val="19"/>
          <w:szCs w:val="19"/>
          <w:b w:val="1"/>
          <w:bCs w:val="1"/>
          <w:u w:val="single" w:color="auto"/>
          <w:color w:val="0000FF"/>
          <w:highlight w:val="lightGray"/>
        </w:rPr>
        <w:t>or any Subsidiary thereof</w:t>
      </w:r>
      <w:r>
        <w:rPr>
          <w:rFonts w:ascii="Arial" w:cs="Arial" w:eastAsia="Arial" w:hAnsi="Arial"/>
          <w:sz w:val="19"/>
          <w:szCs w:val="19"/>
          <w:color w:val="auto"/>
        </w:rPr>
        <w:t>, any Lender or any other Person for indirect, special, incidental, consequential or punitive damages (as opposed to direct or actual damages).</w:t>
      </w:r>
    </w:p>
    <w:p>
      <w:pPr>
        <w:spacing w:after="0" w:line="208" w:lineRule="exact"/>
        <w:rPr>
          <w:rFonts w:ascii="Arial" w:cs="Arial" w:eastAsia="Arial" w:hAnsi="Arial"/>
          <w:sz w:val="19"/>
          <w:szCs w:val="19"/>
          <w:color w:val="auto"/>
        </w:rPr>
      </w:pPr>
    </w:p>
    <w:p>
      <w:pPr>
        <w:jc w:val="both"/>
        <w:ind w:firstLine="599"/>
        <w:spacing w:after="0" w:line="286" w:lineRule="auto"/>
        <w:tabs>
          <w:tab w:leader="none" w:pos="1432" w:val="left"/>
        </w:tabs>
        <w:numPr>
          <w:ilvl w:val="0"/>
          <w:numId w:val="379"/>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Each of the REIT, the Borrower and the Administrative Agent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w:t>
      </w:r>
    </w:p>
    <w:p>
      <w:pPr>
        <w:spacing w:after="0" w:line="15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820"/>
          </w:cols>
          <w:pgMar w:left="840" w:top="795" w:right="239" w:bottom="1440" w:gutter="0" w:footer="0" w:header="0"/>
        </w:sectPr>
      </w:pPr>
    </w:p>
    <w:bookmarkStart w:id="327" w:name="page328"/>
    <w:bookmarkEnd w:id="327"/>
    <w:p>
      <w:pPr>
        <w:jc w:val="both"/>
        <w:ind w:left="600"/>
        <w:spacing w:after="0" w:line="252" w:lineRule="auto"/>
        <w:rPr>
          <w:sz w:val="20"/>
          <w:szCs w:val="20"/>
          <w:color w:val="auto"/>
        </w:rPr>
      </w:pPr>
      <w:r>
        <w:rPr>
          <w:rFonts w:ascii="Arial" w:cs="Arial" w:eastAsia="Arial" w:hAnsi="Arial"/>
          <w:sz w:val="20"/>
          <w:szCs w:val="20"/>
          <w:color w:val="auto"/>
        </w:rPr>
        <w:t>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212" w:lineRule="exact"/>
        <w:rPr>
          <w:sz w:val="20"/>
          <w:szCs w:val="20"/>
          <w:color w:val="auto"/>
        </w:rPr>
      </w:pPr>
    </w:p>
    <w:p>
      <w:pPr>
        <w:jc w:val="both"/>
        <w:ind w:left="600" w:firstLine="599"/>
        <w:spacing w:after="0" w:line="284" w:lineRule="auto"/>
        <w:tabs>
          <w:tab w:leader="none" w:pos="2021" w:val="left"/>
        </w:tabs>
        <w:numPr>
          <w:ilvl w:val="1"/>
          <w:numId w:val="380"/>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and Lenders</w:t>
      </w:r>
      <w:r>
        <w:rPr>
          <w:rFonts w:ascii="Arial" w:cs="Arial" w:eastAsia="Arial" w:hAnsi="Arial"/>
          <w:sz w:val="18"/>
          <w:szCs w:val="18"/>
          <w:color w:val="auto"/>
        </w:rPr>
        <w:t>. The Administrative Agent and the Lenders shall be entitled to rely and act upon any notices (including telephonic or electronic Loan Notices) purportedly given by or on behalf of a Loan Party even if</w:t>
      </w:r>
    </w:p>
    <w:p>
      <w:pPr>
        <w:jc w:val="both"/>
        <w:ind w:left="600" w:hanging="1"/>
        <w:spacing w:after="0" w:line="249" w:lineRule="auto"/>
        <w:tabs>
          <w:tab w:leader="none" w:pos="848" w:val="left"/>
        </w:tabs>
        <w:numPr>
          <w:ilvl w:val="0"/>
          <w:numId w:val="381"/>
        </w:numPr>
        <w:rPr>
          <w:rFonts w:ascii="Arial" w:cs="Arial" w:eastAsia="Arial" w:hAnsi="Arial"/>
          <w:sz w:val="20"/>
          <w:szCs w:val="20"/>
          <w:color w:val="auto"/>
        </w:rPr>
      </w:pPr>
      <w:r>
        <w:rPr>
          <w:rFonts w:ascii="Arial" w:cs="Arial" w:eastAsia="Arial" w:hAnsi="Arial"/>
          <w:sz w:val="20"/>
          <w:szCs w:val="20"/>
          <w:color w:val="auto"/>
        </w:rPr>
        <w:t>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spacing w:after="0" w:line="214" w:lineRule="exact"/>
        <w:rPr>
          <w:sz w:val="20"/>
          <w:szCs w:val="20"/>
          <w:color w:val="auto"/>
        </w:rPr>
      </w:pPr>
    </w:p>
    <w:p>
      <w:pPr>
        <w:jc w:val="both"/>
        <w:ind w:firstLine="1199"/>
        <w:spacing w:after="0" w:line="252" w:lineRule="auto"/>
        <w:rPr>
          <w:sz w:val="20"/>
          <w:szCs w:val="20"/>
          <w:color w:val="auto"/>
        </w:rPr>
      </w:pPr>
      <w:r>
        <w:rPr>
          <w:rFonts w:ascii="Arial" w:cs="Arial" w:eastAsia="Arial" w:hAnsi="Arial"/>
          <w:sz w:val="20"/>
          <w:szCs w:val="20"/>
          <w:color w:val="auto"/>
        </w:rPr>
        <w:t xml:space="preserve">10.03. </w:t>
      </w:r>
      <w:r>
        <w:rPr>
          <w:rFonts w:ascii="Arial" w:cs="Arial" w:eastAsia="Arial" w:hAnsi="Arial"/>
          <w:sz w:val="20"/>
          <w:szCs w:val="20"/>
          <w:u w:val="single" w:color="auto"/>
          <w:color w:val="auto"/>
        </w:rPr>
        <w:t>No Waiver; Cumulative Remedies; Enforcement</w:t>
      </w:r>
      <w:r>
        <w:rPr>
          <w:rFonts w:ascii="Arial" w:cs="Arial" w:eastAsia="Arial" w:hAnsi="Arial"/>
          <w:sz w:val="20"/>
          <w:szCs w:val="20"/>
          <w:color w:val="auto"/>
        </w:rPr>
        <w:t>.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212" w:lineRule="exact"/>
        <w:rPr>
          <w:sz w:val="20"/>
          <w:szCs w:val="20"/>
          <w:color w:val="auto"/>
        </w:rPr>
      </w:pPr>
    </w:p>
    <w:p>
      <w:pPr>
        <w:jc w:val="both"/>
        <w:ind w:firstLine="599"/>
        <w:spacing w:after="0" w:line="280" w:lineRule="auto"/>
        <w:rPr>
          <w:sz w:val="20"/>
          <w:szCs w:val="20"/>
          <w:color w:val="auto"/>
        </w:rPr>
      </w:pPr>
      <w:r>
        <w:rPr>
          <w:rFonts w:ascii="Arial" w:cs="Arial" w:eastAsia="Arial" w:hAnsi="Arial"/>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for the benefit of all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(c) any Lender from filing proofs of claim or appearing and filing pleadings on its own behalf during the pendency of a proceeding relative to any Loan Party </w:t>
      </w:r>
      <w:r>
        <w:rPr>
          <w:rFonts w:ascii="Arial" w:cs="Arial" w:eastAsia="Arial" w:hAnsi="Arial"/>
          <w:sz w:val="18"/>
          <w:szCs w:val="18"/>
          <w:b w:val="1"/>
          <w:bCs w:val="1"/>
          <w:u w:val="single" w:color="auto"/>
          <w:color w:val="0000FF"/>
          <w:highlight w:val="lightGray"/>
        </w:rPr>
        <w:t>or Subsidiary thereof</w:t>
      </w:r>
      <w:r>
        <w:rPr>
          <w:rFonts w:ascii="Arial" w:cs="Arial" w:eastAsia="Arial" w:hAnsi="Arial"/>
          <w:sz w:val="18"/>
          <w:szCs w:val="18"/>
          <w:color w:val="auto"/>
        </w:rPr>
        <w:t xml:space="preserve"> under any Debtor Relief Law;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(ii) in addition to the matters set forth in clauses (b) and (c) of the preceding proviso and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187" w:lineRule="exact"/>
        <w:rPr>
          <w:sz w:val="20"/>
          <w:szCs w:val="20"/>
          <w:color w:val="auto"/>
        </w:rPr>
      </w:pPr>
    </w:p>
    <w:p>
      <w:pPr>
        <w:ind w:left="1200"/>
        <w:spacing w:after="0"/>
        <w:tabs>
          <w:tab w:leader="none" w:pos="1880" w:val="left"/>
        </w:tabs>
        <w:rPr>
          <w:sz w:val="20"/>
          <w:szCs w:val="20"/>
          <w:color w:val="auto"/>
        </w:rPr>
      </w:pPr>
      <w:r>
        <w:rPr>
          <w:rFonts w:ascii="Arial" w:cs="Arial" w:eastAsia="Arial" w:hAnsi="Arial"/>
          <w:sz w:val="20"/>
          <w:szCs w:val="20"/>
          <w:color w:val="auto"/>
        </w:rPr>
        <w:t>10.04.</w:t>
      </w:r>
      <w:r>
        <w:rPr>
          <w:sz w:val="20"/>
          <w:szCs w:val="20"/>
          <w:color w:val="auto"/>
        </w:rPr>
        <w:tab/>
      </w:r>
      <w:r>
        <w:rPr>
          <w:rFonts w:ascii="Arial" w:cs="Arial" w:eastAsia="Arial" w:hAnsi="Arial"/>
          <w:sz w:val="18"/>
          <w:szCs w:val="18"/>
          <w:u w:val="single" w:color="auto"/>
          <w:color w:val="auto"/>
        </w:rPr>
        <w:t>Expenses; Indemnity; Damage Waiver.</w:t>
      </w:r>
    </w:p>
    <w:p>
      <w:pPr>
        <w:spacing w:after="0" w:line="245" w:lineRule="exact"/>
        <w:rPr>
          <w:sz w:val="20"/>
          <w:szCs w:val="20"/>
          <w:color w:val="auto"/>
        </w:rPr>
      </w:pPr>
    </w:p>
    <w:p>
      <w:pPr>
        <w:jc w:val="both"/>
        <w:ind w:left="600" w:firstLine="599"/>
        <w:spacing w:after="0" w:line="260" w:lineRule="auto"/>
        <w:tabs>
          <w:tab w:leader="none" w:pos="2021" w:val="left"/>
        </w:tabs>
        <w:numPr>
          <w:ilvl w:val="0"/>
          <w:numId w:val="382"/>
        </w:numPr>
        <w:rPr>
          <w:rFonts w:ascii="Arial" w:cs="Arial" w:eastAsia="Arial" w:hAnsi="Arial"/>
          <w:sz w:val="20"/>
          <w:szCs w:val="20"/>
          <w:color w:val="auto"/>
        </w:rPr>
      </w:pPr>
      <w:r>
        <w:rPr>
          <w:rFonts w:ascii="Arial" w:cs="Arial" w:eastAsia="Arial" w:hAnsi="Arial"/>
          <w:sz w:val="20"/>
          <w:szCs w:val="20"/>
          <w:u w:val="single" w:color="auto"/>
          <w:color w:val="auto"/>
        </w:rPr>
        <w:t>Costs and Expenses</w:t>
      </w:r>
      <w:r>
        <w:rPr>
          <w:rFonts w:ascii="Arial" w:cs="Arial" w:eastAsia="Arial" w:hAnsi="Arial"/>
          <w:sz w:val="20"/>
          <w:szCs w:val="20"/>
          <w:color w:val="auto"/>
        </w:rPr>
        <w:t>. The Borrower shall pay (i) all reasonable and documented out-of-pocket expenses incurred by the Administrative Agent and its respective Affiliates (including the reasonable and documented fees, charges and disbursements of counsel for the Administrative Agent),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795" w:right="239" w:bottom="1440" w:gutter="0" w:footer="0" w:header="0"/>
        </w:sectPr>
      </w:pPr>
    </w:p>
    <w:bookmarkStart w:id="328" w:name="page329"/>
    <w:bookmarkEnd w:id="328"/>
    <w:p>
      <w:pPr>
        <w:jc w:val="both"/>
        <w:ind w:left="1"/>
        <w:spacing w:after="0" w:line="278" w:lineRule="auto"/>
        <w:rPr>
          <w:sz w:val="20"/>
          <w:szCs w:val="20"/>
          <w:color w:val="auto"/>
        </w:rPr>
      </w:pPr>
      <w:r>
        <w:rPr>
          <w:rFonts w:ascii="Arial" w:cs="Arial" w:eastAsia="Arial" w:hAnsi="Arial"/>
          <w:sz w:val="18"/>
          <w:szCs w:val="18"/>
          <w:color w:val="auto"/>
        </w:rPr>
        <w:t xml:space="preserve">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fees and expenses of counsel of the Administrative Agent payable under this clause (i) shall be limited to one primary counsel, one specialty counsel in each specialty, </w:t>
      </w:r>
      <w:r>
        <w:rPr>
          <w:rFonts w:ascii="Arial" w:cs="Arial" w:eastAsia="Arial" w:hAnsi="Arial"/>
          <w:sz w:val="18"/>
          <w:szCs w:val="18"/>
          <w:b w:val="1"/>
          <w:bCs w:val="1"/>
          <w:u w:val="single" w:color="auto"/>
          <w:color w:val="0000FF"/>
          <w:highlight w:val="lightGray"/>
        </w:rPr>
        <w:t>and</w:t>
      </w:r>
      <w:r>
        <w:rPr>
          <w:rFonts w:ascii="Arial" w:cs="Arial" w:eastAsia="Arial" w:hAnsi="Arial"/>
          <w:sz w:val="18"/>
          <w:szCs w:val="18"/>
          <w:color w:val="auto"/>
        </w:rPr>
        <w:t xml:space="preserve"> one local counsel in each local jurisdiction, and </w:t>
      </w:r>
      <w:r>
        <w:rPr>
          <w:rFonts w:ascii="Arial" w:cs="Arial" w:eastAsia="Arial" w:hAnsi="Arial"/>
          <w:sz w:val="18"/>
          <w:szCs w:val="18"/>
          <w:color w:val="FF0000"/>
          <w:strike w:val="1"/>
        </w:rPr>
        <w:t>one or more conflicts counsels if one or more</w:t>
      </w:r>
      <w:r>
        <w:rPr>
          <w:rFonts w:ascii="Arial" w:cs="Arial" w:eastAsia="Arial" w:hAnsi="Arial"/>
          <w:sz w:val="18"/>
          <w:szCs w:val="18"/>
          <w:color w:val="auto"/>
        </w:rPr>
        <w:t xml:space="preserve"> </w:t>
      </w:r>
      <w:r>
        <w:rPr>
          <w:rFonts w:ascii="Arial" w:cs="Arial" w:eastAsia="Arial" w:hAnsi="Arial"/>
          <w:sz w:val="18"/>
          <w:szCs w:val="18"/>
          <w:color w:val="FF0000"/>
          <w:strike w:val="1"/>
        </w:rPr>
        <w:t>conflicts</w:t>
      </w:r>
      <w:r>
        <w:rPr>
          <w:rFonts w:ascii="Arial" w:cs="Arial" w:eastAsia="Arial" w:hAnsi="Arial"/>
          <w:sz w:val="18"/>
          <w:szCs w:val="18"/>
          <w:b w:val="1"/>
          <w:bCs w:val="1"/>
          <w:u w:val="single" w:color="auto"/>
          <w:color w:val="0000FF"/>
          <w:highlight w:val="lightGray"/>
        </w:rPr>
        <w:t>solely in the event of a conflict</w:t>
      </w:r>
      <w:r>
        <w:rPr>
          <w:rFonts w:ascii="Arial" w:cs="Arial" w:eastAsia="Arial" w:hAnsi="Arial"/>
          <w:sz w:val="18"/>
          <w:szCs w:val="18"/>
          <w:color w:val="FF0000"/>
        </w:rPr>
        <w:t xml:space="preserve"> </w:t>
      </w:r>
      <w:r>
        <w:rPr>
          <w:rFonts w:ascii="Arial" w:cs="Arial" w:eastAsia="Arial" w:hAnsi="Arial"/>
          <w:sz w:val="18"/>
          <w:szCs w:val="18"/>
          <w:color w:val="000000"/>
        </w:rPr>
        <w:t>of interest</w:t>
      </w:r>
      <w:r>
        <w:rPr>
          <w:rFonts w:ascii="Arial" w:cs="Arial" w:eastAsia="Arial" w:hAnsi="Arial"/>
          <w:sz w:val="18"/>
          <w:szCs w:val="18"/>
          <w:color w:val="FF0000"/>
        </w:rPr>
        <w:t xml:space="preserve"> </w:t>
      </w:r>
      <w:r>
        <w:rPr>
          <w:rFonts w:ascii="Arial" w:cs="Arial" w:eastAsia="Arial" w:hAnsi="Arial"/>
          <w:sz w:val="18"/>
          <w:szCs w:val="18"/>
          <w:color w:val="FF0000"/>
          <w:strike w:val="1"/>
        </w:rPr>
        <w:t>arise</w:t>
      </w:r>
      <w:r>
        <w:rPr>
          <w:rFonts w:ascii="Arial" w:cs="Arial" w:eastAsia="Arial" w:hAnsi="Arial"/>
          <w:sz w:val="18"/>
          <w:szCs w:val="18"/>
          <w:b w:val="1"/>
          <w:bCs w:val="1"/>
          <w:u w:val="single" w:color="auto"/>
          <w:color w:val="0000FF"/>
          <w:highlight w:val="lightGray"/>
        </w:rPr>
        <w:t>, one additional counsel for each group of similarly affected Persons</w:t>
      </w:r>
      <w:r>
        <w:rPr>
          <w:rFonts w:ascii="Arial" w:cs="Arial" w:eastAsia="Arial" w:hAnsi="Arial"/>
          <w:sz w:val="18"/>
          <w:szCs w:val="18"/>
          <w:color w:val="FF0000"/>
        </w:rPr>
        <w:t xml:space="preserve"> </w:t>
      </w:r>
      <w:r>
        <w:rPr>
          <w:rFonts w:ascii="Arial" w:cs="Arial" w:eastAsia="Arial" w:hAnsi="Arial"/>
          <w:sz w:val="18"/>
          <w:szCs w:val="18"/>
          <w:color w:val="000000"/>
        </w:rPr>
        <w:t>and</w:t>
      </w:r>
    </w:p>
    <w:p>
      <w:pPr>
        <w:spacing w:after="0" w:line="1" w:lineRule="exact"/>
        <w:rPr>
          <w:sz w:val="20"/>
          <w:szCs w:val="20"/>
          <w:color w:val="auto"/>
        </w:rPr>
      </w:pPr>
    </w:p>
    <w:p>
      <w:pPr>
        <w:jc w:val="both"/>
        <w:ind w:left="1" w:hanging="1"/>
        <w:spacing w:after="0" w:line="262" w:lineRule="auto"/>
        <w:tabs>
          <w:tab w:leader="none" w:pos="307" w:val="left"/>
        </w:tabs>
        <w:numPr>
          <w:ilvl w:val="0"/>
          <w:numId w:val="383"/>
        </w:numPr>
        <w:rPr>
          <w:rFonts w:ascii="Arial" w:cs="Arial" w:eastAsia="Arial" w:hAnsi="Arial"/>
          <w:sz w:val="19"/>
          <w:szCs w:val="19"/>
          <w:color w:val="auto"/>
        </w:rPr>
      </w:pPr>
      <w:r>
        <w:rPr>
          <w:rFonts w:ascii="Arial" w:cs="Arial" w:eastAsia="Arial" w:hAnsi="Arial"/>
          <w:sz w:val="19"/>
          <w:szCs w:val="19"/>
          <w:color w:val="auto"/>
        </w:rPr>
        <w:t xml:space="preserve">all out-of-pocket expenses incurred by the Administrative Agent or any Lender (including the fees, charges and disbursements of any counsel for the Administrative Agent or any Lender), </w:t>
      </w:r>
      <w:r>
        <w:rPr>
          <w:rFonts w:ascii="Arial" w:cs="Arial" w:eastAsia="Arial" w:hAnsi="Arial"/>
          <w:sz w:val="19"/>
          <w:szCs w:val="19"/>
          <w:color w:val="FF0000"/>
          <w:strike w:val="1"/>
        </w:rPr>
        <w:t>and shall pay all fees and time charges for attorneys who may be employees</w:t>
      </w:r>
      <w:r>
        <w:rPr>
          <w:rFonts w:ascii="Arial" w:cs="Arial" w:eastAsia="Arial" w:hAnsi="Arial"/>
          <w:sz w:val="19"/>
          <w:szCs w:val="19"/>
          <w:color w:val="auto"/>
        </w:rPr>
        <w:t xml:space="preserve"> </w:t>
      </w:r>
      <w:r>
        <w:rPr>
          <w:rFonts w:ascii="Arial" w:cs="Arial" w:eastAsia="Arial" w:hAnsi="Arial"/>
          <w:sz w:val="19"/>
          <w:szCs w:val="19"/>
          <w:color w:val="FF0000"/>
          <w:strike w:val="1"/>
        </w:rPr>
        <w:t>of the Administrative Agent or any Lender,</w:t>
      </w:r>
      <w:r>
        <w:rPr>
          <w:rFonts w:ascii="Arial" w:cs="Arial" w:eastAsia="Arial" w:hAnsi="Arial"/>
          <w:sz w:val="19"/>
          <w:szCs w:val="19"/>
          <w:color w:val="FF0000"/>
        </w:rPr>
        <w:t xml:space="preserve"> </w:t>
      </w:r>
      <w:r>
        <w:rPr>
          <w:rFonts w:ascii="Arial" w:cs="Arial" w:eastAsia="Arial" w:hAnsi="Arial"/>
          <w:sz w:val="19"/>
          <w:szCs w:val="19"/>
          <w:color w:val="000000"/>
        </w:rPr>
        <w:t>in connection with the enforcement or protection of its rights (A) in connection with this</w:t>
      </w:r>
      <w:r>
        <w:rPr>
          <w:rFonts w:ascii="Arial" w:cs="Arial" w:eastAsia="Arial" w:hAnsi="Arial"/>
          <w:sz w:val="19"/>
          <w:szCs w:val="19"/>
          <w:color w:val="FF0000"/>
        </w:rPr>
        <w:t xml:space="preserve"> </w:t>
      </w:r>
      <w:r>
        <w:rPr>
          <w:rFonts w:ascii="Arial" w:cs="Arial" w:eastAsia="Arial" w:hAnsi="Arial"/>
          <w:sz w:val="19"/>
          <w:szCs w:val="19"/>
          <w:color w:val="000000"/>
        </w:rPr>
        <w:t xml:space="preserve">Agreement and the other Loan Documents, including its rights under this Section, or (B) in connection with Loans made, including all such out-of-pocket expenses incurred during any workout, restructuring or negotiations in respect of such Loans;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(x) the fees and expenses of counsel of the Lenders payable under this clause (ii) shall be limited to one primary counsel, one specialty counsel in each specialty, </w:t>
      </w:r>
      <w:r>
        <w:rPr>
          <w:rFonts w:ascii="Arial" w:cs="Arial" w:eastAsia="Arial" w:hAnsi="Arial"/>
          <w:sz w:val="19"/>
          <w:szCs w:val="19"/>
          <w:b w:val="1"/>
          <w:bCs w:val="1"/>
          <w:u w:val="single" w:color="auto"/>
          <w:color w:val="0000FF"/>
          <w:highlight w:val="lightGray"/>
        </w:rPr>
        <w:t>and</w:t>
      </w:r>
      <w:r>
        <w:rPr>
          <w:rFonts w:ascii="Arial" w:cs="Arial" w:eastAsia="Arial" w:hAnsi="Arial"/>
          <w:sz w:val="19"/>
          <w:szCs w:val="19"/>
          <w:color w:val="000000"/>
        </w:rPr>
        <w:t xml:space="preserve"> one local counsel in each local jurisdiction, and </w:t>
      </w:r>
      <w:r>
        <w:rPr>
          <w:rFonts w:ascii="Arial" w:cs="Arial" w:eastAsia="Arial" w:hAnsi="Arial"/>
          <w:sz w:val="19"/>
          <w:szCs w:val="19"/>
          <w:color w:val="FF0000"/>
          <w:strike w:val="1"/>
        </w:rPr>
        <w:t>one or more conflicts counsels if one or more</w:t>
      </w:r>
      <w:r>
        <w:rPr>
          <w:rFonts w:ascii="Arial" w:cs="Arial" w:eastAsia="Arial" w:hAnsi="Arial"/>
          <w:sz w:val="19"/>
          <w:szCs w:val="19"/>
          <w:color w:val="000000"/>
        </w:rPr>
        <w:t xml:space="preserve"> </w:t>
      </w:r>
      <w:r>
        <w:rPr>
          <w:rFonts w:ascii="Arial" w:cs="Arial" w:eastAsia="Arial" w:hAnsi="Arial"/>
          <w:sz w:val="19"/>
          <w:szCs w:val="19"/>
          <w:color w:val="FF0000"/>
          <w:strike w:val="1"/>
        </w:rPr>
        <w:t>conflicts</w:t>
      </w:r>
      <w:r>
        <w:rPr>
          <w:rFonts w:ascii="Arial" w:cs="Arial" w:eastAsia="Arial" w:hAnsi="Arial"/>
          <w:sz w:val="19"/>
          <w:szCs w:val="19"/>
          <w:b w:val="1"/>
          <w:bCs w:val="1"/>
          <w:u w:val="single" w:color="auto"/>
          <w:color w:val="0000FF"/>
          <w:highlight w:val="lightGray"/>
        </w:rPr>
        <w:t>solely in the event of a conflict</w:t>
      </w:r>
      <w:r>
        <w:rPr>
          <w:rFonts w:ascii="Arial" w:cs="Arial" w:eastAsia="Arial" w:hAnsi="Arial"/>
          <w:sz w:val="19"/>
          <w:szCs w:val="19"/>
          <w:color w:val="FF0000"/>
        </w:rPr>
        <w:t xml:space="preserve"> </w:t>
      </w:r>
      <w:r>
        <w:rPr>
          <w:rFonts w:ascii="Arial" w:cs="Arial" w:eastAsia="Arial" w:hAnsi="Arial"/>
          <w:sz w:val="19"/>
          <w:szCs w:val="19"/>
          <w:color w:val="000000"/>
        </w:rPr>
        <w:t>of interest</w:t>
      </w:r>
      <w:r>
        <w:rPr>
          <w:rFonts w:ascii="Arial" w:cs="Arial" w:eastAsia="Arial" w:hAnsi="Arial"/>
          <w:sz w:val="19"/>
          <w:szCs w:val="19"/>
          <w:color w:val="FF0000"/>
        </w:rPr>
        <w:t xml:space="preserve"> </w:t>
      </w:r>
      <w:r>
        <w:rPr>
          <w:rFonts w:ascii="Arial" w:cs="Arial" w:eastAsia="Arial" w:hAnsi="Arial"/>
          <w:sz w:val="19"/>
          <w:szCs w:val="19"/>
          <w:color w:val="FF0000"/>
          <w:strike w:val="1"/>
        </w:rPr>
        <w:t>arise</w:t>
      </w:r>
      <w:r>
        <w:rPr>
          <w:rFonts w:ascii="Arial" w:cs="Arial" w:eastAsia="Arial" w:hAnsi="Arial"/>
          <w:sz w:val="19"/>
          <w:szCs w:val="19"/>
          <w:b w:val="1"/>
          <w:bCs w:val="1"/>
          <w:u w:val="single" w:color="auto"/>
          <w:color w:val="0000FF"/>
          <w:highlight w:val="lightGray"/>
        </w:rPr>
        <w:t>, one additional counsel for each group of similarly situated affected</w:t>
      </w:r>
      <w:r>
        <w:rPr>
          <w:rFonts w:ascii="Arial" w:cs="Arial" w:eastAsia="Arial" w:hAnsi="Arial"/>
          <w:sz w:val="19"/>
          <w:szCs w:val="19"/>
          <w:color w:val="FF0000"/>
        </w:rPr>
        <w:t xml:space="preserve"> </w:t>
      </w:r>
      <w:r>
        <w:rPr>
          <w:rFonts w:ascii="Arial" w:cs="Arial" w:eastAsia="Arial" w:hAnsi="Arial"/>
          <w:sz w:val="19"/>
          <w:szCs w:val="19"/>
          <w:b w:val="1"/>
          <w:bCs w:val="1"/>
          <w:u w:val="single" w:color="auto"/>
          <w:color w:val="0000FF"/>
          <w:highlight w:val="lightGray"/>
        </w:rPr>
        <w:t>Lenders</w:t>
      </w:r>
      <w:r>
        <w:rPr>
          <w:rFonts w:ascii="Arial" w:cs="Arial" w:eastAsia="Arial" w:hAnsi="Arial"/>
          <w:sz w:val="19"/>
          <w:szCs w:val="19"/>
          <w:b w:val="1"/>
          <w:bCs w:val="1"/>
          <w:color w:val="0000FF"/>
          <w:highlight w:val="lightGray"/>
        </w:rPr>
        <w:t xml:space="preserve"> </w:t>
      </w:r>
      <w:r>
        <w:rPr>
          <w:rFonts w:ascii="Arial" w:cs="Arial" w:eastAsia="Arial" w:hAnsi="Arial"/>
          <w:sz w:val="19"/>
          <w:szCs w:val="19"/>
          <w:color w:val="000000"/>
        </w:rPr>
        <w:t>and (y) the fees and expenses of counsel of the Administrative Agent payable under this clause (ii) shall be limited to one</w:t>
      </w:r>
      <w:r>
        <w:rPr>
          <w:rFonts w:ascii="Arial" w:cs="Arial" w:eastAsia="Arial" w:hAnsi="Arial"/>
          <w:sz w:val="19"/>
          <w:szCs w:val="19"/>
          <w:b w:val="1"/>
          <w:bCs w:val="1"/>
          <w:color w:val="0000FF"/>
          <w:highlight w:val="lightGray"/>
        </w:rPr>
        <w:t xml:space="preserve"> </w:t>
      </w:r>
      <w:r>
        <w:rPr>
          <w:rFonts w:ascii="Arial" w:cs="Arial" w:eastAsia="Arial" w:hAnsi="Arial"/>
          <w:sz w:val="19"/>
          <w:szCs w:val="19"/>
          <w:color w:val="000000"/>
        </w:rPr>
        <w:t>primary counsel, one specialty counsel in each specialty</w:t>
      </w:r>
      <w:r>
        <w:rPr>
          <w:rFonts w:ascii="Arial" w:cs="Arial" w:eastAsia="Arial" w:hAnsi="Arial"/>
          <w:sz w:val="19"/>
          <w:szCs w:val="19"/>
          <w:color w:val="FF0000"/>
          <w:strike w:val="1"/>
        </w:rPr>
        <w:t>,</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highlight w:val="lightGray"/>
        </w:rPr>
        <w:t>and</w:t>
      </w:r>
      <w:r>
        <w:rPr>
          <w:rFonts w:ascii="Arial" w:cs="Arial" w:eastAsia="Arial" w:hAnsi="Arial"/>
          <w:sz w:val="19"/>
          <w:szCs w:val="19"/>
          <w:color w:val="000000"/>
        </w:rPr>
        <w:t xml:space="preserve"> one local counsel in each local jurisdiction</w:t>
      </w:r>
      <w:r>
        <w:rPr>
          <w:rFonts w:ascii="Arial" w:cs="Arial" w:eastAsia="Arial" w:hAnsi="Arial"/>
          <w:sz w:val="19"/>
          <w:szCs w:val="19"/>
          <w:color w:val="FF0000"/>
          <w:strike w:val="1"/>
        </w:rPr>
        <w:t>, and one or more conflicts</w:t>
      </w:r>
      <w:r>
        <w:rPr>
          <w:rFonts w:ascii="Arial" w:cs="Arial" w:eastAsia="Arial" w:hAnsi="Arial"/>
          <w:sz w:val="19"/>
          <w:szCs w:val="19"/>
          <w:color w:val="000000"/>
        </w:rPr>
        <w:t xml:space="preserve"> </w:t>
      </w:r>
      <w:r>
        <w:rPr>
          <w:rFonts w:ascii="Arial" w:cs="Arial" w:eastAsia="Arial" w:hAnsi="Arial"/>
          <w:sz w:val="19"/>
          <w:szCs w:val="19"/>
          <w:color w:val="FF0000"/>
          <w:strike w:val="1"/>
        </w:rPr>
        <w:t>counsels if one or more conflicts of interest arise</w:t>
      </w:r>
      <w:r>
        <w:rPr>
          <w:rFonts w:ascii="Arial" w:cs="Arial" w:eastAsia="Arial" w:hAnsi="Arial"/>
          <w:sz w:val="19"/>
          <w:szCs w:val="19"/>
          <w:color w:val="000000"/>
        </w:rPr>
        <w:t>.</w:t>
      </w:r>
    </w:p>
    <w:p>
      <w:pPr>
        <w:spacing w:after="0" w:line="208" w:lineRule="exact"/>
        <w:rPr>
          <w:rFonts w:ascii="Arial" w:cs="Arial" w:eastAsia="Arial" w:hAnsi="Arial"/>
          <w:sz w:val="19"/>
          <w:szCs w:val="19"/>
          <w:color w:val="auto"/>
        </w:rPr>
      </w:pPr>
    </w:p>
    <w:p>
      <w:pPr>
        <w:jc w:val="both"/>
        <w:ind w:left="1" w:firstLine="599"/>
        <w:spacing w:after="0" w:line="278" w:lineRule="auto"/>
        <w:tabs>
          <w:tab w:leader="none" w:pos="1433" w:val="left"/>
        </w:tabs>
        <w:numPr>
          <w:ilvl w:val="1"/>
          <w:numId w:val="383"/>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w:t>
      </w:r>
      <w:r>
        <w:rPr>
          <w:rFonts w:ascii="Arial" w:cs="Arial" w:eastAsia="Arial" w:hAnsi="Arial"/>
          <w:sz w:val="18"/>
          <w:szCs w:val="18"/>
          <w:color w:val="auto"/>
        </w:rPr>
        <w:t>. The Borrower shall indemnify the Administrative Agent (and any sub-agent thereof), the Arrangers, each Lender,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against, and hold each Indemnitee harmless from, any and all losses, claims, damages, liabilities and related expenses (including the fees, charges and disbursements of one primary counsel, one specialty counsel in each specialty</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highlight w:val="lightGray"/>
        </w:rPr>
        <w:t>and</w:t>
      </w:r>
      <w:r>
        <w:rPr>
          <w:rFonts w:ascii="Arial" w:cs="Arial" w:eastAsia="Arial" w:hAnsi="Arial"/>
          <w:sz w:val="18"/>
          <w:szCs w:val="18"/>
          <w:color w:val="auto"/>
        </w:rPr>
        <w:t xml:space="preserve"> one local counsel in each local jurisdiction </w:t>
      </w:r>
      <w:r>
        <w:rPr>
          <w:rFonts w:ascii="Arial" w:cs="Arial" w:eastAsia="Arial" w:hAnsi="Arial"/>
          <w:sz w:val="18"/>
          <w:szCs w:val="18"/>
          <w:color w:val="FF0000"/>
          <w:strike w:val="1"/>
        </w:rPr>
        <w:t>and one or more conflicts counsels if one or more conflicts</w:t>
      </w:r>
      <w:r>
        <w:rPr>
          <w:rFonts w:ascii="Arial" w:cs="Arial" w:eastAsia="Arial" w:hAnsi="Arial"/>
          <w:sz w:val="18"/>
          <w:szCs w:val="18"/>
          <w:b w:val="1"/>
          <w:bCs w:val="1"/>
          <w:u w:val="single" w:color="auto"/>
          <w:color w:val="0000FF"/>
          <w:highlight w:val="lightGray"/>
        </w:rPr>
        <w:t>for all Indemnitees, taken as a whole and solely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highlight w:val="lightGray"/>
        </w:rPr>
        <w:t>in the event of a conflict</w:t>
      </w:r>
      <w:r>
        <w:rPr>
          <w:rFonts w:ascii="Arial" w:cs="Arial" w:eastAsia="Arial" w:hAnsi="Arial"/>
          <w:sz w:val="18"/>
          <w:szCs w:val="18"/>
          <w:b w:val="1"/>
          <w:bCs w:val="1"/>
          <w:color w:val="0000FF"/>
          <w:highlight w:val="lightGray"/>
        </w:rPr>
        <w:t xml:space="preserve"> </w:t>
      </w:r>
      <w:r>
        <w:rPr>
          <w:rFonts w:ascii="Arial" w:cs="Arial" w:eastAsia="Arial" w:hAnsi="Arial"/>
          <w:sz w:val="18"/>
          <w:szCs w:val="18"/>
          <w:color w:val="000000"/>
        </w:rPr>
        <w:t>of interest</w:t>
      </w:r>
      <w:r>
        <w:rPr>
          <w:rFonts w:ascii="Arial" w:cs="Arial" w:eastAsia="Arial" w:hAnsi="Arial"/>
          <w:sz w:val="18"/>
          <w:szCs w:val="18"/>
          <w:b w:val="1"/>
          <w:bCs w:val="1"/>
          <w:color w:val="0000FF"/>
          <w:highlight w:val="lightGray"/>
        </w:rPr>
        <w:t xml:space="preserve"> </w:t>
      </w:r>
      <w:r>
        <w:rPr>
          <w:rFonts w:ascii="Arial" w:cs="Arial" w:eastAsia="Arial" w:hAnsi="Arial"/>
          <w:sz w:val="18"/>
          <w:szCs w:val="18"/>
          <w:color w:val="FF0000"/>
          <w:strike w:val="1"/>
        </w:rPr>
        <w:t>arise</w:t>
      </w:r>
      <w:r>
        <w:rPr>
          <w:rFonts w:ascii="Arial" w:cs="Arial" w:eastAsia="Arial" w:hAnsi="Arial"/>
          <w:sz w:val="18"/>
          <w:szCs w:val="18"/>
          <w:b w:val="1"/>
          <w:bCs w:val="1"/>
          <w:color w:val="0000FF"/>
          <w:highlight w:val="lightGray"/>
        </w:rPr>
        <w:t>, one additional counsel for each group of similarly situated affected Indemnitees</w:t>
      </w:r>
      <w:r>
        <w:rPr>
          <w:rFonts w:ascii="Arial" w:cs="Arial" w:eastAsia="Arial" w:hAnsi="Arial"/>
          <w:sz w:val="18"/>
          <w:szCs w:val="18"/>
          <w:color w:val="000000"/>
        </w:rPr>
        <w:t>),</w:t>
      </w:r>
      <w:r>
        <w:rPr>
          <w:rFonts w:ascii="Arial" w:cs="Arial" w:eastAsia="Arial" w:hAnsi="Arial"/>
          <w:sz w:val="18"/>
          <w:szCs w:val="18"/>
          <w:b w:val="1"/>
          <w:bCs w:val="1"/>
          <w:color w:val="0000FF"/>
          <w:highlight w:val="lightGray"/>
        </w:rPr>
        <w:t xml:space="preserve"> </w:t>
      </w:r>
      <w:r>
        <w:rPr>
          <w:rFonts w:ascii="Arial" w:cs="Arial" w:eastAsia="Arial" w:hAnsi="Arial"/>
          <w:sz w:val="18"/>
          <w:szCs w:val="18"/>
          <w:color w:val="000000"/>
        </w:rPr>
        <w:t xml:space="preserve">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8"/>
          <w:szCs w:val="18"/>
          <w:u w:val="single" w:color="auto"/>
          <w:color w:val="000000"/>
        </w:rPr>
        <w:t>Section 3.01</w:t>
      </w:r>
      <w:r>
        <w:rPr>
          <w:rFonts w:ascii="Arial" w:cs="Arial" w:eastAsia="Arial" w:hAnsi="Arial"/>
          <w:sz w:val="18"/>
          <w:szCs w:val="18"/>
          <w:color w:val="000000"/>
        </w:rPr>
        <w:t xml:space="preserve">), (ii) any Loan or the use or proposed use of the proceeds therefrom, (iii) any actual or alleged presence or Release of Hazardous Materials at, on, under or emanating from any property owned, leased or operated by the REIT, the Borrower or any of their respective Subsidiaries, or any Environmental Liability related in any way to the REIT, the Borrower or any of their respective Subsidiaries, or (iv) any actual or prospective claim, litigation, investigation or proceeding relating to any of the foregoing, whether based on contract, tort or any other theory, whether brought by a third party or by the REIT </w:t>
      </w:r>
      <w:r>
        <w:rPr>
          <w:rFonts w:ascii="Arial" w:cs="Arial" w:eastAsia="Arial" w:hAnsi="Arial"/>
          <w:sz w:val="18"/>
          <w:szCs w:val="18"/>
          <w:color w:val="FF0000"/>
          <w:strike w:val="1"/>
        </w:rPr>
        <w:t>or</w:t>
      </w:r>
      <w:r>
        <w:rPr>
          <w:rFonts w:ascii="Arial" w:cs="Arial" w:eastAsia="Arial" w:hAnsi="Arial"/>
          <w:sz w:val="18"/>
          <w:szCs w:val="18"/>
          <w:b w:val="1"/>
          <w:bCs w:val="1"/>
          <w:color w:val="0000FF"/>
        </w:rPr>
        <w:t>,</w:t>
      </w:r>
      <w:r>
        <w:rPr>
          <w:rFonts w:ascii="Arial" w:cs="Arial" w:eastAsia="Arial" w:hAnsi="Arial"/>
          <w:sz w:val="18"/>
          <w:szCs w:val="18"/>
          <w:color w:val="000000"/>
        </w:rPr>
        <w:t xml:space="preserve"> any other Loan Party </w:t>
      </w:r>
      <w:r>
        <w:rPr>
          <w:rFonts w:ascii="Arial" w:cs="Arial" w:eastAsia="Arial" w:hAnsi="Arial"/>
          <w:sz w:val="18"/>
          <w:szCs w:val="18"/>
          <w:color w:val="FF0000"/>
          <w:strike w:val="1"/>
        </w:rPr>
        <w:t>or any of the REIT’s or such Loan Party’s</w:t>
      </w:r>
      <w:r>
        <w:rPr>
          <w:rFonts w:ascii="Arial" w:cs="Arial" w:eastAsia="Arial" w:hAnsi="Arial"/>
          <w:sz w:val="18"/>
          <w:szCs w:val="18"/>
          <w:b w:val="1"/>
          <w:bCs w:val="1"/>
          <w:u w:val="single" w:color="auto"/>
          <w:color w:val="0000FF"/>
          <w:highlight w:val="lightGray"/>
        </w:rPr>
        <w:t>, any</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highlight w:val="lightGray"/>
        </w:rPr>
        <w:t>Subsidiary thereof or any such Person’s</w:t>
      </w:r>
      <w:r>
        <w:rPr>
          <w:rFonts w:ascii="Arial" w:cs="Arial" w:eastAsia="Arial" w:hAnsi="Arial"/>
          <w:sz w:val="18"/>
          <w:szCs w:val="18"/>
          <w:b w:val="1"/>
          <w:bCs w:val="1"/>
          <w:color w:val="0000FF"/>
          <w:highlight w:val="lightGray"/>
        </w:rPr>
        <w:t xml:space="preserve"> </w:t>
      </w:r>
      <w:r>
        <w:rPr>
          <w:rFonts w:ascii="Arial" w:cs="Arial" w:eastAsia="Arial" w:hAnsi="Arial"/>
          <w:sz w:val="18"/>
          <w:szCs w:val="18"/>
          <w:color w:val="000000"/>
        </w:rPr>
        <w:t>directors, shareholders or creditors, and regardless of whether any Indemnitee is a party</w:t>
      </w:r>
      <w:r>
        <w:rPr>
          <w:rFonts w:ascii="Arial" w:cs="Arial" w:eastAsia="Arial" w:hAnsi="Arial"/>
          <w:sz w:val="18"/>
          <w:szCs w:val="18"/>
          <w:b w:val="1"/>
          <w:bCs w:val="1"/>
          <w:color w:val="0000FF"/>
          <w:highlight w:val="lightGray"/>
        </w:rPr>
        <w:t xml:space="preserve"> </w:t>
      </w:r>
      <w:r>
        <w:rPr>
          <w:rFonts w:ascii="Arial" w:cs="Arial" w:eastAsia="Arial" w:hAnsi="Arial"/>
          <w:sz w:val="18"/>
          <w:szCs w:val="18"/>
          <w:color w:val="000000"/>
        </w:rPr>
        <w:t xml:space="preserve">thereto;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such indemnity shall not, as to any Indemnitee, be available to the extent that such losses, claims, damages, liabilities or related expenses are determined by a court of competent jurisdiction by final and nonappealable</w:t>
      </w:r>
    </w:p>
    <w:p>
      <w:pPr>
        <w:spacing w:after="0" w:line="166" w:lineRule="exact"/>
        <w:rPr>
          <w:sz w:val="20"/>
          <w:szCs w:val="20"/>
          <w:color w:val="auto"/>
        </w:rPr>
      </w:pPr>
    </w:p>
    <w:p>
      <w:pPr>
        <w:ind w:left="4961"/>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821"/>
          </w:cols>
          <w:pgMar w:left="839" w:top="795" w:right="239" w:bottom="1440" w:gutter="0" w:footer="0" w:header="0"/>
        </w:sectPr>
      </w:pPr>
    </w:p>
    <w:bookmarkStart w:id="329" w:name="page330"/>
    <w:bookmarkEnd w:id="329"/>
    <w:p>
      <w:pPr>
        <w:jc w:val="both"/>
        <w:ind w:left="1"/>
        <w:spacing w:after="0" w:line="283" w:lineRule="auto"/>
        <w:rPr>
          <w:sz w:val="20"/>
          <w:szCs w:val="20"/>
          <w:color w:val="auto"/>
        </w:rPr>
      </w:pPr>
      <w:r>
        <w:rPr>
          <w:rFonts w:ascii="Arial" w:cs="Arial" w:eastAsia="Arial" w:hAnsi="Arial"/>
          <w:sz w:val="18"/>
          <w:szCs w:val="18"/>
          <w:color w:val="auto"/>
        </w:rPr>
        <w:t xml:space="preserve">judgment to have resulted from </w:t>
      </w:r>
      <w:r>
        <w:rPr>
          <w:rFonts w:ascii="Arial" w:cs="Arial" w:eastAsia="Arial" w:hAnsi="Arial"/>
          <w:sz w:val="18"/>
          <w:szCs w:val="18"/>
          <w:b w:val="1"/>
          <w:bCs w:val="1"/>
          <w:u w:val="single" w:color="auto"/>
          <w:color w:val="0000FF"/>
          <w:highlight w:val="lightGray"/>
        </w:rPr>
        <w:t>(x)</w:t>
      </w:r>
      <w:r>
        <w:rPr>
          <w:rFonts w:ascii="Arial" w:cs="Arial" w:eastAsia="Arial" w:hAnsi="Arial"/>
          <w:sz w:val="18"/>
          <w:szCs w:val="18"/>
          <w:color w:val="auto"/>
        </w:rPr>
        <w:t xml:space="preserve"> the gross negligence or willful misconduct of such Indemnitee or any of its Related Indemnified Persons </w:t>
      </w:r>
      <w:r>
        <w:rPr>
          <w:rFonts w:ascii="Arial" w:cs="Arial" w:eastAsia="Arial" w:hAnsi="Arial"/>
          <w:sz w:val="18"/>
          <w:szCs w:val="18"/>
          <w:b w:val="1"/>
          <w:bCs w:val="1"/>
          <w:u w:val="single" w:color="auto"/>
          <w:color w:val="0000FF"/>
          <w:highlight w:val="lightGray"/>
        </w:rPr>
        <w:t>(y) a material breach in bad faith of this Agreement or any other Loan Document by such Indemnitee or any of its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highlight w:val="lightGray"/>
        </w:rPr>
        <w:t>Related Indemnified Persons or (z) a dispute among Indemnitees or their Related Indemnified Persons other than any claims</w:t>
      </w:r>
    </w:p>
    <w:p>
      <w:pPr>
        <w:spacing w:after="0" w:line="2" w:lineRule="exact"/>
        <w:rPr>
          <w:sz w:val="20"/>
          <w:szCs w:val="20"/>
          <w:color w:val="auto"/>
        </w:rPr>
      </w:pPr>
    </w:p>
    <w:p>
      <w:pPr>
        <w:jc w:val="both"/>
        <w:ind w:left="1" w:hanging="1"/>
        <w:spacing w:after="0" w:line="278" w:lineRule="auto"/>
        <w:tabs>
          <w:tab w:leader="none" w:pos="351" w:val="left"/>
        </w:tabs>
        <w:numPr>
          <w:ilvl w:val="0"/>
          <w:numId w:val="384"/>
        </w:numPr>
        <w:rPr>
          <w:rFonts w:ascii="Arial" w:cs="Arial" w:eastAsia="Arial" w:hAnsi="Arial"/>
          <w:sz w:val="18"/>
          <w:szCs w:val="18"/>
          <w:b w:val="1"/>
          <w:bCs w:val="1"/>
          <w:u w:val="single" w:color="auto"/>
          <w:color w:val="0000FF"/>
          <w:highlight w:val="lightGray"/>
        </w:rPr>
      </w:pPr>
      <w:r>
        <w:rPr>
          <w:rFonts w:ascii="Arial" w:cs="Arial" w:eastAsia="Arial" w:hAnsi="Arial"/>
          <w:sz w:val="18"/>
          <w:szCs w:val="18"/>
          <w:b w:val="1"/>
          <w:bCs w:val="1"/>
          <w:u w:val="single" w:color="auto"/>
          <w:color w:val="0000FF"/>
          <w:highlight w:val="lightGray"/>
        </w:rPr>
        <w:t>arising out of any act or omission of any Loan Party or any of their respective Affiliates or (B) a dispute solely among Indemnitees and not involving any act or omission of any Loan Party or any of their respective Affiliates (other than, with respect to the Administrative Agent, any Arranger or any other agent or arranger under the Loan Documents, any dispute involving such Person in its capacity or in fulfilling its role as such, except to the extent of such Person’s gross negligence or willful misconduct as determined by a court of competent jurisdiction by final and nonappealable judgment)</w:t>
      </w:r>
      <w:r>
        <w:rPr>
          <w:rFonts w:ascii="Arial" w:cs="Arial" w:eastAsia="Arial" w:hAnsi="Arial"/>
          <w:sz w:val="18"/>
          <w:szCs w:val="18"/>
          <w:color w:val="000000"/>
        </w:rPr>
        <w:t>. Without limiting</w:t>
      </w:r>
      <w:r>
        <w:rPr>
          <w:rFonts w:ascii="Arial" w:cs="Arial" w:eastAsia="Arial" w:hAnsi="Arial"/>
          <w:sz w:val="18"/>
          <w:szCs w:val="18"/>
          <w:b w:val="1"/>
          <w:bCs w:val="1"/>
          <w:color w:val="0000FF"/>
          <w:highlight w:val="lightGray"/>
        </w:rPr>
        <w:t xml:space="preserve"> </w:t>
      </w:r>
      <w:r>
        <w:rPr>
          <w:rFonts w:ascii="Arial" w:cs="Arial" w:eastAsia="Arial" w:hAnsi="Arial"/>
          <w:sz w:val="18"/>
          <w:szCs w:val="18"/>
          <w:color w:val="000000"/>
        </w:rPr>
        <w:t xml:space="preserve">the provisions of </w:t>
      </w:r>
      <w:r>
        <w:rPr>
          <w:rFonts w:ascii="Arial" w:cs="Arial" w:eastAsia="Arial" w:hAnsi="Arial"/>
          <w:sz w:val="18"/>
          <w:szCs w:val="18"/>
          <w:u w:val="single" w:color="auto"/>
          <w:color w:val="000000"/>
        </w:rPr>
        <w:t>Section 3.01(c)</w:t>
      </w:r>
      <w:r>
        <w:rPr>
          <w:rFonts w:ascii="Arial" w:cs="Arial" w:eastAsia="Arial" w:hAnsi="Arial"/>
          <w:sz w:val="18"/>
          <w:szCs w:val="18"/>
          <w:color w:val="000000"/>
        </w:rPr>
        <w:t xml:space="preserve">, this </w:t>
      </w:r>
      <w:r>
        <w:rPr>
          <w:rFonts w:ascii="Arial" w:cs="Arial" w:eastAsia="Arial" w:hAnsi="Arial"/>
          <w:sz w:val="18"/>
          <w:szCs w:val="18"/>
          <w:u w:val="single" w:color="auto"/>
          <w:color w:val="000000"/>
        </w:rPr>
        <w:t>Section 10.4(b)</w:t>
      </w:r>
      <w:r>
        <w:rPr>
          <w:rFonts w:ascii="Arial" w:cs="Arial" w:eastAsia="Arial" w:hAnsi="Arial"/>
          <w:sz w:val="18"/>
          <w:szCs w:val="18"/>
          <w:color w:val="000000"/>
        </w:rPr>
        <w:t xml:space="preserve"> shall not apply with respect to Taxes (including, without limitation, Taxes covered by </w:t>
      </w:r>
      <w:r>
        <w:rPr>
          <w:rFonts w:ascii="Arial" w:cs="Arial" w:eastAsia="Arial" w:hAnsi="Arial"/>
          <w:sz w:val="18"/>
          <w:szCs w:val="18"/>
          <w:u w:val="single" w:color="auto"/>
          <w:color w:val="000000"/>
        </w:rPr>
        <w:t>Section 3.01</w:t>
      </w:r>
      <w:r>
        <w:rPr>
          <w:rFonts w:ascii="Arial" w:cs="Arial" w:eastAsia="Arial" w:hAnsi="Arial"/>
          <w:sz w:val="18"/>
          <w:szCs w:val="18"/>
          <w:color w:val="000000"/>
        </w:rPr>
        <w:t>) other than any Taxes that represent losses, claims, damages, etc. arising from any non-Tax claim. For purposes of this Section 10.04(b), a “</w:t>
      </w:r>
      <w:r>
        <w:rPr>
          <w:rFonts w:ascii="Arial" w:cs="Arial" w:eastAsia="Arial" w:hAnsi="Arial"/>
          <w:sz w:val="18"/>
          <w:szCs w:val="18"/>
          <w:u w:val="single" w:color="auto"/>
          <w:color w:val="000000"/>
        </w:rPr>
        <w:t>Related Indemnified Person</w:t>
      </w:r>
      <w:r>
        <w:rPr>
          <w:rFonts w:ascii="Arial" w:cs="Arial" w:eastAsia="Arial" w:hAnsi="Arial"/>
          <w:sz w:val="18"/>
          <w:szCs w:val="18"/>
          <w:color w:val="000000"/>
        </w:rPr>
        <w:t>” of an Indemnitee means (1) any controlling person or controlled Affiliate of such Indemnitee, (2) the respective directors, officers, or employees of such Indemnitee or any of its controlling persons or controlled Affiliates and (3) the respective agents of such Indemnitee or any of its controlling persons or controlled Affiliates, in the case of this clause (3), acting at the instructions of such Indemnitee, controlling person or such controlled Affiliate; provided that each reference to a controlled Affiliate or controlling person in this sentence pertains to a controlled Affiliate or controlling person involved in the performance of the Indemnitee’s obligations under the Facility.</w:t>
      </w:r>
    </w:p>
    <w:p>
      <w:pPr>
        <w:spacing w:after="0" w:line="189" w:lineRule="exact"/>
        <w:rPr>
          <w:rFonts w:ascii="Arial" w:cs="Arial" w:eastAsia="Arial" w:hAnsi="Arial"/>
          <w:sz w:val="18"/>
          <w:szCs w:val="18"/>
          <w:b w:val="1"/>
          <w:bCs w:val="1"/>
          <w:u w:val="single" w:color="auto"/>
          <w:color w:val="0000FF"/>
          <w:highlight w:val="lightGray"/>
        </w:rPr>
      </w:pPr>
    </w:p>
    <w:p>
      <w:pPr>
        <w:jc w:val="both"/>
        <w:ind w:left="1" w:firstLine="599"/>
        <w:spacing w:after="0" w:line="250" w:lineRule="auto"/>
        <w:tabs>
          <w:tab w:leader="none" w:pos="1421" w:val="left"/>
        </w:tabs>
        <w:numPr>
          <w:ilvl w:val="1"/>
          <w:numId w:val="384"/>
        </w:numPr>
        <w:rPr>
          <w:rFonts w:ascii="Arial" w:cs="Arial" w:eastAsia="Arial" w:hAnsi="Arial"/>
          <w:sz w:val="20"/>
          <w:szCs w:val="20"/>
          <w:color w:val="auto"/>
        </w:rPr>
      </w:pPr>
      <w:r>
        <w:rPr>
          <w:rFonts w:ascii="Arial" w:cs="Arial" w:eastAsia="Arial" w:hAnsi="Arial"/>
          <w:sz w:val="20"/>
          <w:szCs w:val="20"/>
          <w:u w:val="single" w:color="auto"/>
          <w:color w:val="auto"/>
        </w:rPr>
        <w:t>Reimbursement by Lenders</w:t>
      </w:r>
      <w:r>
        <w:rPr>
          <w:rFonts w:ascii="Arial" w:cs="Arial" w:eastAsia="Arial" w:hAnsi="Arial"/>
          <w:sz w:val="20"/>
          <w:szCs w:val="20"/>
          <w:color w:val="auto"/>
        </w:rPr>
        <w:t xml:space="preserve">. To the extent that the Borrower for any reason fails to indefeasibly pay any amount required under subsection (a) or (b) of this Section to be paid by it to the Administrative Agent (or any sub-agent thereof), any Arranger or any Related Party of any of the foregoing (and without limiting the obligation of the Borrower to do so), each Lender severally agrees to pay to the Administrative Agent (or any such sub-agent), such Arranger or such Related Party, as the case may be, such Lender’s Applicable Percentage of such unpaid amount (determined as of the time that the applicable unreimbursed expense or indemnity payment is sought);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unreimbursed expense or indemnified loss, claim, damage, liability or related expense, as the case may be, was incurred by or asserted against the Administrative Agent (or any such sub-agent) or any Arranger in its capacity as such, or against any Related Party of any of the foregoing acting for the Administrative Agent (or any such sub-agent) or any Arranger in connection with such capacity. The obligations of the Lenders under this subsection (c) are subject to the provisions of </w:t>
      </w:r>
      <w:r>
        <w:rPr>
          <w:rFonts w:ascii="Arial" w:cs="Arial" w:eastAsia="Arial" w:hAnsi="Arial"/>
          <w:sz w:val="20"/>
          <w:szCs w:val="20"/>
          <w:u w:val="single" w:color="auto"/>
          <w:color w:val="auto"/>
        </w:rPr>
        <w:t>Section 2.12(d)</w:t>
      </w:r>
      <w:r>
        <w:rPr>
          <w:rFonts w:ascii="Arial" w:cs="Arial" w:eastAsia="Arial" w:hAnsi="Arial"/>
          <w:sz w:val="20"/>
          <w:szCs w:val="20"/>
          <w:color w:val="auto"/>
        </w:rPr>
        <w:t>.</w:t>
      </w:r>
    </w:p>
    <w:p>
      <w:pPr>
        <w:spacing w:after="0" w:line="214" w:lineRule="exact"/>
        <w:rPr>
          <w:rFonts w:ascii="Arial" w:cs="Arial" w:eastAsia="Arial" w:hAnsi="Arial"/>
          <w:sz w:val="20"/>
          <w:szCs w:val="20"/>
          <w:color w:val="auto"/>
        </w:rPr>
      </w:pPr>
    </w:p>
    <w:p>
      <w:pPr>
        <w:jc w:val="both"/>
        <w:ind w:left="1" w:firstLine="599"/>
        <w:spacing w:after="0" w:line="280" w:lineRule="auto"/>
        <w:tabs>
          <w:tab w:leader="none" w:pos="1433" w:val="left"/>
        </w:tabs>
        <w:numPr>
          <w:ilvl w:val="1"/>
          <w:numId w:val="384"/>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fullest extent permitted by applicable law, </w:t>
      </w:r>
      <w:r>
        <w:rPr>
          <w:rFonts w:ascii="Arial" w:cs="Arial" w:eastAsia="Arial" w:hAnsi="Arial"/>
          <w:sz w:val="18"/>
          <w:szCs w:val="18"/>
          <w:color w:val="FF0000"/>
          <w:strike w:val="1"/>
        </w:rPr>
        <w:t>none of the REIT, the</w:t>
      </w:r>
      <w:r>
        <w:rPr>
          <w:rFonts w:ascii="Arial" w:cs="Arial" w:eastAsia="Arial" w:hAnsi="Arial"/>
          <w:sz w:val="18"/>
          <w:szCs w:val="18"/>
          <w:color w:val="auto"/>
        </w:rPr>
        <w:t xml:space="preserve"> </w:t>
      </w:r>
      <w:r>
        <w:rPr>
          <w:rFonts w:ascii="Arial" w:cs="Arial" w:eastAsia="Arial" w:hAnsi="Arial"/>
          <w:sz w:val="18"/>
          <w:szCs w:val="18"/>
          <w:color w:val="FF0000"/>
          <w:strike w:val="1"/>
        </w:rPr>
        <w:t>Borrower nor any Subsidiary thereof</w:t>
      </w:r>
      <w:r>
        <w:rPr>
          <w:rFonts w:ascii="Arial" w:cs="Arial" w:eastAsia="Arial" w:hAnsi="Arial"/>
          <w:sz w:val="18"/>
          <w:szCs w:val="18"/>
          <w:b w:val="1"/>
          <w:bCs w:val="1"/>
          <w:u w:val="single" w:color="auto"/>
          <w:color w:val="0000FF"/>
          <w:highlight w:val="lightGray"/>
        </w:rPr>
        <w:t>no party hereto</w:t>
      </w:r>
      <w:r>
        <w:rPr>
          <w:rFonts w:ascii="Arial" w:cs="Arial" w:eastAsia="Arial" w:hAnsi="Arial"/>
          <w:sz w:val="18"/>
          <w:szCs w:val="18"/>
          <w:color w:val="FF0000"/>
        </w:rPr>
        <w:t xml:space="preserve"> </w:t>
      </w:r>
      <w:r>
        <w:rPr>
          <w:rFonts w:ascii="Arial" w:cs="Arial" w:eastAsia="Arial" w:hAnsi="Arial"/>
          <w:sz w:val="18"/>
          <w:szCs w:val="18"/>
          <w:color w:val="000000"/>
        </w:rPr>
        <w:t>shall assert, and</w:t>
      </w:r>
      <w:r>
        <w:rPr>
          <w:rFonts w:ascii="Arial" w:cs="Arial" w:eastAsia="Arial" w:hAnsi="Arial"/>
          <w:sz w:val="18"/>
          <w:szCs w:val="18"/>
          <w:color w:val="FF0000"/>
        </w:rPr>
        <w:t xml:space="preserve"> </w:t>
      </w:r>
      <w:r>
        <w:rPr>
          <w:rFonts w:ascii="Arial" w:cs="Arial" w:eastAsia="Arial" w:hAnsi="Arial"/>
          <w:sz w:val="18"/>
          <w:szCs w:val="18"/>
          <w:color w:val="FF0000"/>
          <w:strike w:val="1"/>
        </w:rPr>
        <w:t>the REIT and the Borrower</w:t>
      </w:r>
      <w:r>
        <w:rPr>
          <w:rFonts w:ascii="Arial" w:cs="Arial" w:eastAsia="Arial" w:hAnsi="Arial"/>
          <w:sz w:val="18"/>
          <w:szCs w:val="18"/>
          <w:color w:val="FF0000"/>
        </w:rPr>
        <w:t xml:space="preserve"> </w:t>
      </w:r>
      <w:r>
        <w:rPr>
          <w:rFonts w:ascii="Arial" w:cs="Arial" w:eastAsia="Arial" w:hAnsi="Arial"/>
          <w:sz w:val="18"/>
          <w:szCs w:val="18"/>
          <w:color w:val="000000"/>
        </w:rPr>
        <w:t>each</w:t>
      </w:r>
      <w:r>
        <w:rPr>
          <w:rFonts w:ascii="Arial" w:cs="Arial" w:eastAsia="Arial" w:hAnsi="Arial"/>
          <w:sz w:val="18"/>
          <w:szCs w:val="18"/>
          <w:color w:val="FF0000"/>
        </w:rPr>
        <w:t xml:space="preserve"> </w:t>
      </w:r>
      <w:r>
        <w:rPr>
          <w:rFonts w:ascii="Arial" w:cs="Arial" w:eastAsia="Arial" w:hAnsi="Arial"/>
          <w:sz w:val="18"/>
          <w:szCs w:val="18"/>
          <w:b w:val="1"/>
          <w:bCs w:val="1"/>
          <w:u w:val="single" w:color="auto"/>
          <w:color w:val="0000FF"/>
          <w:highlight w:val="lightGray"/>
        </w:rPr>
        <w:t>party hereto</w:t>
      </w:r>
      <w:r>
        <w:rPr>
          <w:rFonts w:ascii="Arial" w:cs="Arial" w:eastAsia="Arial" w:hAnsi="Arial"/>
          <w:sz w:val="18"/>
          <w:szCs w:val="18"/>
          <w:color w:val="FF0000"/>
        </w:rPr>
        <w:t xml:space="preserve"> </w:t>
      </w:r>
      <w:r>
        <w:rPr>
          <w:rFonts w:ascii="Arial" w:cs="Arial" w:eastAsia="Arial" w:hAnsi="Arial"/>
          <w:sz w:val="18"/>
          <w:szCs w:val="18"/>
          <w:color w:val="000000"/>
        </w:rPr>
        <w:t>hereby waives,</w:t>
      </w:r>
      <w:r>
        <w:rPr>
          <w:rFonts w:ascii="Arial" w:cs="Arial" w:eastAsia="Arial" w:hAnsi="Arial"/>
          <w:sz w:val="18"/>
          <w:szCs w:val="18"/>
          <w:color w:val="FF0000"/>
        </w:rPr>
        <w:t xml:space="preserve"> </w:t>
      </w:r>
      <w:r>
        <w:rPr>
          <w:rFonts w:ascii="Arial" w:cs="Arial" w:eastAsia="Arial" w:hAnsi="Arial"/>
          <w:sz w:val="18"/>
          <w:szCs w:val="18"/>
          <w:color w:val="000000"/>
        </w:rPr>
        <w:t xml:space="preserve">and acknowledges that no other Person shall have, any claim against any </w:t>
      </w:r>
      <w:r>
        <w:rPr>
          <w:rFonts w:ascii="Arial" w:cs="Arial" w:eastAsia="Arial" w:hAnsi="Arial"/>
          <w:sz w:val="18"/>
          <w:szCs w:val="18"/>
          <w:color w:val="FF0000"/>
          <w:strike w:val="1"/>
        </w:rPr>
        <w:t>Indemnitee</w:t>
      </w:r>
      <w:r>
        <w:rPr>
          <w:rFonts w:ascii="Arial" w:cs="Arial" w:eastAsia="Arial" w:hAnsi="Arial"/>
          <w:sz w:val="18"/>
          <w:szCs w:val="18"/>
          <w:b w:val="1"/>
          <w:bCs w:val="1"/>
          <w:u w:val="single" w:color="auto"/>
          <w:color w:val="0000FF"/>
          <w:highlight w:val="lightGray"/>
        </w:rPr>
        <w:t>other party hereto or any of their respective</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highlight w:val="lightGray"/>
        </w:rPr>
        <w:t>Related Parties</w:t>
      </w:r>
      <w:r>
        <w:rPr>
          <w:rFonts w:ascii="Arial" w:cs="Arial" w:eastAsia="Arial" w:hAnsi="Arial"/>
          <w:sz w:val="18"/>
          <w:szCs w:val="18"/>
          <w:color w:val="000000"/>
        </w:rPr>
        <w:t>, on any theory of liability, for special, indirect, consequential or punitive damages (as opposed to direct or actual</w:t>
      </w:r>
      <w:r>
        <w:rPr>
          <w:rFonts w:ascii="Arial" w:cs="Arial" w:eastAsia="Arial" w:hAnsi="Arial"/>
          <w:sz w:val="18"/>
          <w:szCs w:val="18"/>
          <w:b w:val="1"/>
          <w:bCs w:val="1"/>
          <w:color w:val="0000FF"/>
          <w:highlight w:val="lightGray"/>
        </w:rPr>
        <w:t xml:space="preserve"> </w:t>
      </w:r>
      <w:r>
        <w:rPr>
          <w:rFonts w:ascii="Arial" w:cs="Arial" w:eastAsia="Arial" w:hAnsi="Arial"/>
          <w:sz w:val="18"/>
          <w:szCs w:val="18"/>
          <w:color w:val="000000"/>
        </w:rPr>
        <w:t>damages) arising out of, in connection with, or as a result of, this Agreement, any other Loan Document or any agreement or instrument contemplated hereby, the transactions contemplated hereby or thereby, any Loan or the use of the proceeds thereof</w:t>
      </w:r>
      <w:r>
        <w:rPr>
          <w:rFonts w:ascii="Arial" w:cs="Arial" w:eastAsia="Arial" w:hAnsi="Arial"/>
          <w:sz w:val="18"/>
          <w:szCs w:val="18"/>
          <w:b w:val="1"/>
          <w:bCs w:val="1"/>
          <w:u w:val="single" w:color="auto"/>
          <w:color w:val="0000FF"/>
          <w:highlight w:val="lightGray"/>
        </w:rPr>
        <w:t>,</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highlight w:val="lightGray"/>
        </w:rPr>
        <w:t>provided that the foregoing waiver shall not limit the Borrower’s obligations under Section 10.04(b) with respect to third-party claims against any Indemnitee</w:t>
      </w:r>
      <w:r>
        <w:rPr>
          <w:rFonts w:ascii="Arial" w:cs="Arial" w:eastAsia="Arial" w:hAnsi="Arial"/>
          <w:sz w:val="18"/>
          <w:szCs w:val="18"/>
          <w:color w:val="000000"/>
        </w:rPr>
        <w:t>. No Indemnitee referred to in subsection (b) above shall be liable for any damages arising from the</w:t>
      </w:r>
      <w:r>
        <w:rPr>
          <w:rFonts w:ascii="Arial" w:cs="Arial" w:eastAsia="Arial" w:hAnsi="Arial"/>
          <w:sz w:val="18"/>
          <w:szCs w:val="18"/>
          <w:b w:val="1"/>
          <w:bCs w:val="1"/>
          <w:color w:val="0000FF"/>
          <w:highlight w:val="lightGray"/>
        </w:rPr>
        <w:t xml:space="preserve"> </w:t>
      </w:r>
      <w:r>
        <w:rPr>
          <w:rFonts w:ascii="Arial" w:cs="Arial" w:eastAsia="Arial" w:hAnsi="Arial"/>
          <w:sz w:val="18"/>
          <w:szCs w:val="18"/>
          <w:color w:val="000000"/>
        </w:rPr>
        <w:t>use by others of any information or other materials distributed to such party by such Indemnitee through telecommunications, electronic or other information transmission systems in connection with this Agreement or the other Loan Documents or the transactions contemplated hereby or thereby other than for direct or actual damages resulting</w:t>
      </w:r>
    </w:p>
    <w:p>
      <w:pPr>
        <w:spacing w:after="0" w:line="169" w:lineRule="exact"/>
        <w:rPr>
          <w:sz w:val="20"/>
          <w:szCs w:val="20"/>
          <w:color w:val="auto"/>
        </w:rPr>
      </w:pPr>
    </w:p>
    <w:p>
      <w:pPr>
        <w:ind w:left="4961"/>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821"/>
          </w:cols>
          <w:pgMar w:left="839" w:top="789" w:right="239" w:bottom="1440" w:gutter="0" w:footer="0" w:header="0"/>
        </w:sectPr>
      </w:pPr>
    </w:p>
    <w:bookmarkStart w:id="330" w:name="page331"/>
    <w:bookmarkEnd w:id="330"/>
    <w:p>
      <w:pPr>
        <w:ind w:left="600"/>
        <w:spacing w:after="0" w:line="272" w:lineRule="auto"/>
        <w:rPr>
          <w:sz w:val="20"/>
          <w:szCs w:val="20"/>
          <w:color w:val="auto"/>
        </w:rPr>
      </w:pPr>
      <w:r>
        <w:rPr>
          <w:rFonts w:ascii="Arial" w:cs="Arial" w:eastAsia="Arial" w:hAnsi="Arial"/>
          <w:sz w:val="20"/>
          <w:szCs w:val="20"/>
          <w:color w:val="auto"/>
        </w:rPr>
        <w:t>from the gross negligence or willful misconduct of such Indemnitee as determined by a final and nonappealable judgment of a court of competent jurisdiction.</w:t>
      </w:r>
    </w:p>
    <w:p>
      <w:pPr>
        <w:spacing w:after="0" w:line="191" w:lineRule="exact"/>
        <w:rPr>
          <w:sz w:val="20"/>
          <w:szCs w:val="20"/>
          <w:color w:val="auto"/>
        </w:rPr>
      </w:pPr>
    </w:p>
    <w:p>
      <w:pPr>
        <w:ind w:left="2020" w:hanging="821"/>
        <w:spacing w:after="0"/>
        <w:tabs>
          <w:tab w:leader="none" w:pos="2020" w:val="left"/>
        </w:tabs>
        <w:numPr>
          <w:ilvl w:val="0"/>
          <w:numId w:val="385"/>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All amounts due under this Section shall be payable not later than ten Business Days after demand</w:t>
      </w:r>
    </w:p>
    <w:p>
      <w:pPr>
        <w:spacing w:after="0" w:line="34" w:lineRule="exact"/>
        <w:rPr>
          <w:rFonts w:ascii="Arial" w:cs="Arial" w:eastAsia="Arial" w:hAnsi="Arial"/>
          <w:sz w:val="19"/>
          <w:szCs w:val="19"/>
          <w:color w:val="auto"/>
        </w:rPr>
      </w:pPr>
    </w:p>
    <w:p>
      <w:pPr>
        <w:ind w:left="600"/>
        <w:spacing w:after="0"/>
        <w:rPr>
          <w:rFonts w:ascii="Arial" w:cs="Arial" w:eastAsia="Arial" w:hAnsi="Arial"/>
          <w:sz w:val="19"/>
          <w:szCs w:val="19"/>
          <w:color w:val="auto"/>
        </w:rPr>
      </w:pPr>
      <w:r>
        <w:rPr>
          <w:rFonts w:ascii="Arial" w:cs="Arial" w:eastAsia="Arial" w:hAnsi="Arial"/>
          <w:sz w:val="20"/>
          <w:szCs w:val="20"/>
          <w:color w:val="auto"/>
        </w:rPr>
        <w:t>therefor.</w:t>
      </w:r>
    </w:p>
    <w:p>
      <w:pPr>
        <w:spacing w:after="0" w:line="228" w:lineRule="exact"/>
        <w:rPr>
          <w:rFonts w:ascii="Arial" w:cs="Arial" w:eastAsia="Arial" w:hAnsi="Arial"/>
          <w:sz w:val="19"/>
          <w:szCs w:val="19"/>
          <w:color w:val="auto"/>
        </w:rPr>
      </w:pPr>
    </w:p>
    <w:p>
      <w:pPr>
        <w:jc w:val="both"/>
        <w:ind w:left="600" w:firstLine="599"/>
        <w:spacing w:after="0" w:line="260" w:lineRule="auto"/>
        <w:tabs>
          <w:tab w:leader="none" w:pos="1999" w:val="left"/>
        </w:tabs>
        <w:numPr>
          <w:ilvl w:val="0"/>
          <w:numId w:val="385"/>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The agreements in this Section and the indemnity provisions of </w:t>
      </w:r>
      <w:r>
        <w:rPr>
          <w:rFonts w:ascii="Arial" w:cs="Arial" w:eastAsia="Arial" w:hAnsi="Arial"/>
          <w:sz w:val="20"/>
          <w:szCs w:val="20"/>
          <w:u w:val="single" w:color="auto"/>
          <w:color w:val="auto"/>
        </w:rPr>
        <w:t>Section 10.02(e)</w:t>
      </w:r>
      <w:r>
        <w:rPr>
          <w:rFonts w:ascii="Arial" w:cs="Arial" w:eastAsia="Arial" w:hAnsi="Arial"/>
          <w:sz w:val="20"/>
          <w:szCs w:val="20"/>
          <w:color w:val="auto"/>
        </w:rPr>
        <w:t xml:space="preserve"> shall survive the resignation or removal of the Administrative Agent, the replacement of any Lender, the termination of the </w:t>
      </w:r>
      <w:r>
        <w:rPr>
          <w:rFonts w:ascii="Arial" w:cs="Arial" w:eastAsia="Arial" w:hAnsi="Arial"/>
          <w:sz w:val="20"/>
          <w:szCs w:val="20"/>
          <w:color w:val="FF0000"/>
          <w:strike w:val="1"/>
        </w:rPr>
        <w:t>Aggregate</w:t>
      </w:r>
      <w:r>
        <w:rPr>
          <w:rFonts w:ascii="Arial" w:cs="Arial" w:eastAsia="Arial" w:hAnsi="Arial"/>
          <w:sz w:val="20"/>
          <w:szCs w:val="20"/>
          <w:color w:val="auto"/>
        </w:rPr>
        <w:t xml:space="preserve"> Commitments and the repayment, satisfaction or discharge of all the other Obligations.</w:t>
      </w:r>
    </w:p>
    <w:p>
      <w:pPr>
        <w:spacing w:after="0" w:line="202" w:lineRule="exact"/>
        <w:rPr>
          <w:sz w:val="20"/>
          <w:szCs w:val="20"/>
          <w:color w:val="auto"/>
        </w:rPr>
      </w:pPr>
    </w:p>
    <w:p>
      <w:pPr>
        <w:jc w:val="both"/>
        <w:ind w:firstLine="1199"/>
        <w:spacing w:after="0" w:line="281" w:lineRule="auto"/>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u w:val="single" w:color="auto"/>
          <w:color w:val="auto"/>
        </w:rPr>
        <w:t>Payments Set Aside</w:t>
      </w:r>
      <w:r>
        <w:rPr>
          <w:rFonts w:ascii="Arial" w:cs="Arial" w:eastAsia="Arial" w:hAnsi="Arial"/>
          <w:sz w:val="18"/>
          <w:szCs w:val="18"/>
          <w:color w:val="auto"/>
        </w:rPr>
        <w:t xml:space="preserve">. To the extent that any payment by or on behalf of any Loan Party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thereon from the date of such demand to the date such payment is made at a rate per annum equal to the Federal Funds Rate from time to time in effect. The obligations of the Lenders under clause (b) of the preceding sentence shall survive the payment in full of the Obligations and the termination of this Agreement.</w:t>
      </w:r>
    </w:p>
    <w:p>
      <w:pPr>
        <w:spacing w:after="0" w:line="187" w:lineRule="exact"/>
        <w:rPr>
          <w:sz w:val="20"/>
          <w:szCs w:val="20"/>
          <w:color w:val="auto"/>
        </w:rPr>
      </w:pPr>
    </w:p>
    <w:p>
      <w:pPr>
        <w:ind w:left="1200"/>
        <w:spacing w:after="0"/>
        <w:tabs>
          <w:tab w:leader="none" w:pos="1880" w:val="left"/>
        </w:tabs>
        <w:rPr>
          <w:sz w:val="20"/>
          <w:szCs w:val="20"/>
          <w:color w:val="auto"/>
        </w:rPr>
      </w:pPr>
      <w:r>
        <w:rPr>
          <w:rFonts w:ascii="Arial" w:cs="Arial" w:eastAsia="Arial" w:hAnsi="Arial"/>
          <w:sz w:val="20"/>
          <w:szCs w:val="20"/>
          <w:color w:val="auto"/>
        </w:rPr>
        <w:t>10.06.</w:t>
      </w:r>
      <w:r>
        <w:rPr>
          <w:sz w:val="20"/>
          <w:szCs w:val="20"/>
          <w:color w:val="auto"/>
        </w:rPr>
        <w:tab/>
      </w:r>
      <w:r>
        <w:rPr>
          <w:rFonts w:ascii="Arial" w:cs="Arial" w:eastAsia="Arial" w:hAnsi="Arial"/>
          <w:sz w:val="17"/>
          <w:szCs w:val="17"/>
          <w:u w:val="single" w:color="auto"/>
          <w:color w:val="auto"/>
        </w:rPr>
        <w:t>Successors and Assigns</w:t>
      </w:r>
      <w:r>
        <w:rPr>
          <w:rFonts w:ascii="Arial" w:cs="Arial" w:eastAsia="Arial" w:hAnsi="Arial"/>
          <w:sz w:val="17"/>
          <w:szCs w:val="17"/>
          <w:color w:val="auto"/>
        </w:rPr>
        <w:t>.</w:t>
      </w:r>
    </w:p>
    <w:p>
      <w:pPr>
        <w:spacing w:after="0" w:line="245" w:lineRule="exact"/>
        <w:rPr>
          <w:sz w:val="20"/>
          <w:szCs w:val="20"/>
          <w:color w:val="auto"/>
        </w:rPr>
      </w:pPr>
    </w:p>
    <w:p>
      <w:pPr>
        <w:jc w:val="both"/>
        <w:ind w:left="600" w:firstLine="599"/>
        <w:spacing w:after="0" w:line="281" w:lineRule="auto"/>
        <w:tabs>
          <w:tab w:leader="none" w:pos="2021"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Successors and Assigns Generally</w:t>
      </w:r>
      <w:r>
        <w:rPr>
          <w:rFonts w:ascii="Arial" w:cs="Arial" w:eastAsia="Arial" w:hAnsi="Arial"/>
          <w:sz w:val="18"/>
          <w:szCs w:val="18"/>
          <w:color w:val="auto"/>
        </w:rPr>
        <w:t xml:space="preserve">. The provisions of this Agreement shall be binding upon and inure to the benefit of the parties hereto and their respective successors and assigns permitted hereby, except that neither the REIT nor the Borrower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8"/>
          <w:szCs w:val="18"/>
          <w:u w:val="single" w:color="auto"/>
          <w:color w:val="auto"/>
        </w:rPr>
        <w:t>Section 10.06(b)</w:t>
      </w:r>
      <w:r>
        <w:rPr>
          <w:rFonts w:ascii="Arial" w:cs="Arial" w:eastAsia="Arial" w:hAnsi="Arial"/>
          <w:sz w:val="18"/>
          <w:szCs w:val="18"/>
          <w:color w:val="auto"/>
        </w:rPr>
        <w:t xml:space="preserve">, (ii) by way of participation in accordance with the provisions of </w:t>
      </w:r>
      <w:r>
        <w:rPr>
          <w:rFonts w:ascii="Arial" w:cs="Arial" w:eastAsia="Arial" w:hAnsi="Arial"/>
          <w:sz w:val="18"/>
          <w:szCs w:val="18"/>
          <w:u w:val="single" w:color="auto"/>
          <w:color w:val="auto"/>
        </w:rPr>
        <w:t>Section 10.06(d)</w:t>
      </w:r>
      <w:r>
        <w:rPr>
          <w:rFonts w:ascii="Arial" w:cs="Arial" w:eastAsia="Arial" w:hAnsi="Arial"/>
          <w:sz w:val="18"/>
          <w:szCs w:val="18"/>
          <w:color w:val="auto"/>
        </w:rPr>
        <w:t xml:space="preserve"> or (iii) by way of pledge or assignment of a security interest subject to the restrictions of </w:t>
      </w:r>
      <w:r>
        <w:rPr>
          <w:rFonts w:ascii="Arial" w:cs="Arial" w:eastAsia="Arial" w:hAnsi="Arial"/>
          <w:sz w:val="18"/>
          <w:szCs w:val="18"/>
          <w:u w:val="single" w:color="auto"/>
          <w:color w:val="auto"/>
        </w:rPr>
        <w:t>Section 10.06(e)</w:t>
      </w:r>
      <w:r>
        <w:rPr>
          <w:rFonts w:ascii="Arial" w:cs="Arial" w:eastAsia="Arial" w:hAnsi="Arial"/>
          <w:sz w:val="18"/>
          <w:szCs w:val="18"/>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and the Lenders) any legal or equitable right, remedy or claim under or by reason of this Agreement.</w:t>
      </w:r>
    </w:p>
    <w:p>
      <w:pPr>
        <w:spacing w:after="0" w:line="186" w:lineRule="exact"/>
        <w:rPr>
          <w:rFonts w:ascii="Arial" w:cs="Arial" w:eastAsia="Arial" w:hAnsi="Arial"/>
          <w:sz w:val="18"/>
          <w:szCs w:val="18"/>
          <w:color w:val="auto"/>
        </w:rPr>
      </w:pPr>
    </w:p>
    <w:p>
      <w:pPr>
        <w:jc w:val="both"/>
        <w:ind w:left="600" w:firstLine="599"/>
        <w:spacing w:after="0" w:line="280" w:lineRule="auto"/>
        <w:tabs>
          <w:tab w:leader="none" w:pos="2032" w:val="left"/>
        </w:tabs>
        <w:numPr>
          <w:ilvl w:val="0"/>
          <w:numId w:val="386"/>
        </w:numPr>
        <w:rPr>
          <w:rFonts w:ascii="Arial" w:cs="Arial" w:eastAsia="Arial" w:hAnsi="Arial"/>
          <w:sz w:val="19"/>
          <w:szCs w:val="19"/>
          <w:color w:val="auto"/>
        </w:rPr>
      </w:pPr>
      <w:r>
        <w:rPr>
          <w:rFonts w:ascii="Arial" w:cs="Arial" w:eastAsia="Arial" w:hAnsi="Arial"/>
          <w:sz w:val="19"/>
          <w:szCs w:val="19"/>
          <w:u w:val="single" w:color="auto"/>
          <w:color w:val="auto"/>
        </w:rPr>
        <w:t>Assignments by Lenders</w:t>
      </w:r>
      <w:r>
        <w:rPr>
          <w:rFonts w:ascii="Arial" w:cs="Arial" w:eastAsia="Arial" w:hAnsi="Arial"/>
          <w:sz w:val="19"/>
          <w:szCs w:val="19"/>
          <w:color w:val="auto"/>
        </w:rPr>
        <w:t xml:space="preserve">. Any Lender may at any time assign to one or more assignees (other than Ineligible Institutions) all or a portion of its rights and obligations under this Agreement (including all or a portion of its Commitment(s) and the Loans at the time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assignment shall be subject to the following conditions:</w:t>
      </w:r>
    </w:p>
    <w:p>
      <w:pPr>
        <w:spacing w:after="0" w:line="185" w:lineRule="exact"/>
        <w:rPr>
          <w:sz w:val="20"/>
          <w:szCs w:val="20"/>
          <w:color w:val="auto"/>
        </w:rPr>
      </w:pPr>
    </w:p>
    <w:p>
      <w:pPr>
        <w:ind w:left="2580" w:hanging="782"/>
        <w:spacing w:after="0"/>
        <w:tabs>
          <w:tab w:leader="none" w:pos="2580" w:val="left"/>
        </w:tabs>
        <w:numPr>
          <w:ilvl w:val="0"/>
          <w:numId w:val="387"/>
        </w:numPr>
        <w:rPr>
          <w:rFonts w:ascii="Arial" w:cs="Arial" w:eastAsia="Arial" w:hAnsi="Arial"/>
          <w:sz w:val="20"/>
          <w:szCs w:val="20"/>
          <w:color w:val="auto"/>
        </w:rPr>
      </w:pPr>
      <w:r>
        <w:rPr>
          <w:rFonts w:ascii="Arial" w:cs="Arial" w:eastAsia="Arial" w:hAnsi="Arial"/>
          <w:sz w:val="20"/>
          <w:szCs w:val="20"/>
          <w:color w:val="auto"/>
        </w:rPr>
        <w:t>Minimum Amounts.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794" w:right="239" w:bottom="1440" w:gutter="0" w:footer="0" w:header="0"/>
        </w:sectPr>
      </w:pPr>
    </w:p>
    <w:bookmarkStart w:id="331" w:name="page332"/>
    <w:bookmarkEnd w:id="331"/>
    <w:p>
      <w:pPr>
        <w:jc w:val="both"/>
        <w:ind w:firstLine="598"/>
        <w:spacing w:after="0" w:line="260" w:lineRule="auto"/>
        <w:tabs>
          <w:tab w:leader="none" w:pos="1476" w:val="left"/>
        </w:tabs>
        <w:numPr>
          <w:ilvl w:val="0"/>
          <w:numId w:val="388"/>
        </w:numPr>
        <w:rPr>
          <w:rFonts w:ascii="Arial" w:cs="Arial" w:eastAsia="Arial" w:hAnsi="Arial"/>
          <w:sz w:val="20"/>
          <w:szCs w:val="20"/>
          <w:color w:val="auto"/>
        </w:rPr>
      </w:pPr>
      <w:r>
        <w:rPr>
          <w:rFonts w:ascii="Arial" w:cs="Arial" w:eastAsia="Arial" w:hAnsi="Arial"/>
          <w:sz w:val="20"/>
          <w:szCs w:val="20"/>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201" w:lineRule="exact"/>
        <w:rPr>
          <w:rFonts w:ascii="Arial" w:cs="Arial" w:eastAsia="Arial" w:hAnsi="Arial"/>
          <w:sz w:val="20"/>
          <w:szCs w:val="20"/>
          <w:color w:val="auto"/>
        </w:rPr>
      </w:pPr>
    </w:p>
    <w:p>
      <w:pPr>
        <w:jc w:val="both"/>
        <w:ind w:firstLine="598"/>
        <w:spacing w:after="0" w:line="265" w:lineRule="auto"/>
        <w:tabs>
          <w:tab w:leader="none" w:pos="1465" w:val="left"/>
        </w:tabs>
        <w:numPr>
          <w:ilvl w:val="0"/>
          <w:numId w:val="388"/>
        </w:numPr>
        <w:rPr>
          <w:rFonts w:ascii="Arial" w:cs="Arial" w:eastAsia="Arial" w:hAnsi="Arial"/>
          <w:sz w:val="19"/>
          <w:szCs w:val="19"/>
          <w:color w:val="auto"/>
        </w:rPr>
      </w:pPr>
      <w:r>
        <w:rPr>
          <w:rFonts w:ascii="Arial" w:cs="Arial" w:eastAsia="Arial" w:hAnsi="Arial"/>
          <w:sz w:val="19"/>
          <w:szCs w:val="19"/>
          <w:color w:val="auto"/>
        </w:rPr>
        <w:t xml:space="preserve">in any case not described in subsection (b)(i)(A) of this Section, the aggregate amount of the Commitment and Term Loans or, if the applicable Commitment is not then in effect, the principal outstanding balance of the Term Loans of the assigning Lender subject to each such assignment, determined as of the date the Assignment and Assumption with respect to such assignment is delivered to the Administrative Agent or, if “Trade Date” (as defined in the Assignment and Assumption) is specified in the Assignment and Assumption, as of the Trade Date, shall not be less than $5,000,000, unless each of the Administrative Agent and, so long as no Default has occurred and is continuing, the Borrower otherwise consents (each such consent not to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98" w:lineRule="exact"/>
        <w:rPr>
          <w:sz w:val="20"/>
          <w:szCs w:val="20"/>
          <w:color w:val="auto"/>
        </w:rPr>
      </w:pPr>
    </w:p>
    <w:p>
      <w:pPr>
        <w:ind w:left="-600" w:firstLine="1198"/>
        <w:spacing w:after="0" w:line="329" w:lineRule="auto"/>
        <w:tabs>
          <w:tab w:leader="none" w:pos="1443"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Term Loans or the Commitment assigned;</w:t>
      </w:r>
    </w:p>
    <w:p>
      <w:pPr>
        <w:spacing w:after="0" w:line="144" w:lineRule="exact"/>
        <w:rPr>
          <w:rFonts w:ascii="Arial" w:cs="Arial" w:eastAsia="Arial" w:hAnsi="Arial"/>
          <w:sz w:val="18"/>
          <w:szCs w:val="18"/>
          <w:color w:val="auto"/>
        </w:rPr>
      </w:pPr>
    </w:p>
    <w:p>
      <w:pPr>
        <w:ind w:left="-600" w:firstLine="1198"/>
        <w:spacing w:after="0" w:line="272" w:lineRule="auto"/>
        <w:tabs>
          <w:tab w:leader="none" w:pos="1498" w:val="left"/>
        </w:tabs>
        <w:numPr>
          <w:ilvl w:val="0"/>
          <w:numId w:val="389"/>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No consent shall be required for any assignment except to the extent required by subsection (b)(i)(B) of this Section and, in addition:</w:t>
      </w:r>
    </w:p>
    <w:p>
      <w:pPr>
        <w:spacing w:after="0" w:line="191" w:lineRule="exact"/>
        <w:rPr>
          <w:sz w:val="20"/>
          <w:szCs w:val="20"/>
          <w:color w:val="auto"/>
        </w:rPr>
      </w:pPr>
    </w:p>
    <w:p>
      <w:pPr>
        <w:ind w:right="100" w:firstLine="598"/>
        <w:spacing w:after="0" w:line="253" w:lineRule="auto"/>
        <w:tabs>
          <w:tab w:leader="none" w:pos="1476" w:val="left"/>
        </w:tabs>
        <w:numPr>
          <w:ilvl w:val="0"/>
          <w:numId w:val="390"/>
        </w:numPr>
        <w:rPr>
          <w:rFonts w:ascii="Arial" w:cs="Arial" w:eastAsia="Arial" w:hAnsi="Arial"/>
          <w:sz w:val="20"/>
          <w:szCs w:val="20"/>
          <w:color w:val="auto"/>
        </w:rPr>
      </w:pPr>
      <w:r>
        <w:rPr>
          <w:rFonts w:ascii="Arial" w:cs="Arial" w:eastAsia="Arial" w:hAnsi="Arial"/>
          <w:sz w:val="20"/>
          <w:szCs w:val="20"/>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be deemed to have consented to any such assignment unless it shall object thereto by written notice to the Administrative Agent within five (5) Business Days after having received notice thereof; and</w:t>
      </w:r>
    </w:p>
    <w:p>
      <w:pPr>
        <w:spacing w:after="0" w:line="211" w:lineRule="exact"/>
        <w:rPr>
          <w:rFonts w:ascii="Arial" w:cs="Arial" w:eastAsia="Arial" w:hAnsi="Arial"/>
          <w:sz w:val="20"/>
          <w:szCs w:val="20"/>
          <w:color w:val="auto"/>
        </w:rPr>
      </w:pPr>
    </w:p>
    <w:p>
      <w:pPr>
        <w:ind w:firstLine="598"/>
        <w:spacing w:after="0" w:line="256" w:lineRule="auto"/>
        <w:tabs>
          <w:tab w:leader="none" w:pos="1465" w:val="left"/>
        </w:tabs>
        <w:numPr>
          <w:ilvl w:val="0"/>
          <w:numId w:val="390"/>
        </w:numPr>
        <w:rPr>
          <w:rFonts w:ascii="Arial" w:cs="Arial" w:eastAsia="Arial" w:hAnsi="Arial"/>
          <w:sz w:val="20"/>
          <w:szCs w:val="20"/>
          <w:color w:val="auto"/>
        </w:rPr>
      </w:pPr>
      <w:r>
        <w:rPr>
          <w:rFonts w:ascii="Arial" w:cs="Arial" w:eastAsia="Arial" w:hAnsi="Arial"/>
          <w:sz w:val="20"/>
          <w:szCs w:val="20"/>
          <w:color w:val="auto"/>
        </w:rPr>
        <w:t>the consent of the Administrative Agent (such consent not to be unreasonably withheld or delayed) shall be required for assignments in respect of (1) any unfunded Commitment if such assignment is to a Person that is not a Lender with a Commitment, an Affiliate of such Lender or an Approved Fund with respect to such Lender, or (2) any Term Loan to a Person that is not a Lender, an Affiliate of a Lender or an Approved Fund.</w:t>
      </w:r>
    </w:p>
    <w:p>
      <w:pPr>
        <w:spacing w:after="0" w:line="205" w:lineRule="exact"/>
        <w:rPr>
          <w:sz w:val="20"/>
          <w:szCs w:val="20"/>
          <w:color w:val="auto"/>
        </w:rPr>
      </w:pPr>
    </w:p>
    <w:p>
      <w:pPr>
        <w:jc w:val="both"/>
        <w:ind w:left="-600" w:firstLine="1198"/>
        <w:spacing w:after="0" w:line="293" w:lineRule="auto"/>
        <w:tabs>
          <w:tab w:leader="none" w:pos="1487"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39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220"/>
          </w:cols>
          <w:pgMar w:left="1440" w:top="794" w:right="239" w:bottom="1440" w:gutter="0" w:footer="0" w:header="0"/>
        </w:sectPr>
      </w:pPr>
    </w:p>
    <w:bookmarkStart w:id="332" w:name="page333"/>
    <w:bookmarkEnd w:id="332"/>
    <w:p>
      <w:pPr>
        <w:jc w:val="both"/>
        <w:ind w:left="1" w:firstLine="1198"/>
        <w:spacing w:after="0" w:line="284" w:lineRule="auto"/>
        <w:tabs>
          <w:tab w:leader="none" w:pos="2032" w:val="left"/>
        </w:tabs>
        <w:numPr>
          <w:ilvl w:val="1"/>
          <w:numId w:val="392"/>
        </w:numPr>
        <w:rPr>
          <w:rFonts w:ascii="Arial" w:cs="Arial" w:eastAsia="Arial" w:hAnsi="Arial"/>
          <w:sz w:val="18"/>
          <w:szCs w:val="18"/>
          <w:color w:val="auto"/>
        </w:rPr>
      </w:pPr>
      <w:r>
        <w:rPr>
          <w:rFonts w:ascii="Arial" w:cs="Arial" w:eastAsia="Arial" w:hAnsi="Arial"/>
          <w:sz w:val="18"/>
          <w:szCs w:val="18"/>
          <w:u w:val="single" w:color="auto"/>
          <w:color w:val="auto"/>
        </w:rPr>
        <w:t>No Assignment to Ineligible Institutions</w:t>
      </w:r>
      <w:r>
        <w:rPr>
          <w:rFonts w:ascii="Arial" w:cs="Arial" w:eastAsia="Arial" w:hAnsi="Arial"/>
          <w:sz w:val="18"/>
          <w:szCs w:val="18"/>
          <w:color w:val="auto"/>
        </w:rPr>
        <w:t>. No such assignment shall be made to an Ineligible Institution. “</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means (A) the Borrower, the REIT or any of the Borrower’s or the REIT’s respective Affiliates or Subsidiaries,</w:t>
      </w:r>
    </w:p>
    <w:p>
      <w:pPr>
        <w:jc w:val="both"/>
        <w:ind w:left="1" w:hanging="1"/>
        <w:spacing w:after="0" w:line="250" w:lineRule="auto"/>
        <w:tabs>
          <w:tab w:leader="none" w:pos="317" w:val="left"/>
        </w:tabs>
        <w:numPr>
          <w:ilvl w:val="0"/>
          <w:numId w:val="393"/>
        </w:numPr>
        <w:rPr>
          <w:rFonts w:ascii="Arial" w:cs="Arial" w:eastAsia="Arial" w:hAnsi="Arial"/>
          <w:sz w:val="20"/>
          <w:szCs w:val="20"/>
          <w:color w:val="auto"/>
        </w:rPr>
      </w:pPr>
      <w:r>
        <w:rPr>
          <w:rFonts w:ascii="Arial" w:cs="Arial" w:eastAsia="Arial" w:hAnsi="Arial"/>
          <w:sz w:val="20"/>
          <w:szCs w:val="20"/>
          <w:color w:val="auto"/>
        </w:rPr>
        <w:t>a Defaulting Lender, any Subsidiary of a Defaulting Lender or any direct or indirect parent company of a Defaulting Lender, or any Person who, upon becoming a Lender hereunder, would constitute any of the foregoing Persons described in this clause (B), or (C) a natural person or a company, investment vehicle or trust for, or owned and operated for the primary benefit of, a natural person or relative(s) thereof.</w:t>
      </w:r>
    </w:p>
    <w:p>
      <w:pPr>
        <w:spacing w:after="0" w:line="212" w:lineRule="exact"/>
        <w:rPr>
          <w:rFonts w:ascii="Arial" w:cs="Arial" w:eastAsia="Arial" w:hAnsi="Arial"/>
          <w:sz w:val="20"/>
          <w:szCs w:val="20"/>
          <w:color w:val="auto"/>
        </w:rPr>
      </w:pPr>
    </w:p>
    <w:p>
      <w:pPr>
        <w:jc w:val="both"/>
        <w:ind w:left="1" w:firstLine="1198"/>
        <w:spacing w:after="0" w:line="264" w:lineRule="auto"/>
        <w:tabs>
          <w:tab w:leader="none" w:pos="2088" w:val="left"/>
        </w:tabs>
        <w:numPr>
          <w:ilvl w:val="1"/>
          <w:numId w:val="393"/>
        </w:numPr>
        <w:rPr>
          <w:rFonts w:ascii="Arial" w:cs="Arial" w:eastAsia="Arial" w:hAnsi="Arial"/>
          <w:sz w:val="19"/>
          <w:szCs w:val="19"/>
          <w:color w:val="auto"/>
        </w:rPr>
      </w:pPr>
      <w:r>
        <w:rPr>
          <w:rFonts w:ascii="Arial" w:cs="Arial" w:eastAsia="Arial" w:hAnsi="Arial"/>
          <w:sz w:val="19"/>
          <w:szCs w:val="19"/>
          <w:u w:val="single" w:color="auto"/>
          <w:color w:val="auto"/>
        </w:rPr>
        <w:t>Certain Additional Payments</w:t>
      </w:r>
      <w:r>
        <w:rPr>
          <w:rFonts w:ascii="Arial" w:cs="Arial" w:eastAsia="Arial" w:hAnsi="Arial"/>
          <w:sz w:val="19"/>
          <w:szCs w:val="19"/>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01" w:lineRule="exact"/>
        <w:rPr>
          <w:sz w:val="20"/>
          <w:szCs w:val="20"/>
          <w:color w:val="auto"/>
        </w:rPr>
      </w:pPr>
    </w:p>
    <w:p>
      <w:pPr>
        <w:jc w:val="both"/>
        <w:ind w:left="1" w:firstLine="600"/>
        <w:spacing w:after="0" w:line="263" w:lineRule="auto"/>
        <w:rPr>
          <w:sz w:val="20"/>
          <w:szCs w:val="20"/>
          <w:color w:val="auto"/>
        </w:rPr>
      </w:pPr>
      <w:r>
        <w:rPr>
          <w:rFonts w:ascii="Arial" w:cs="Arial" w:eastAsia="Arial" w:hAnsi="Arial"/>
          <w:sz w:val="19"/>
          <w:szCs w:val="19"/>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10.04</w:t>
      </w:r>
      <w:r>
        <w:rPr>
          <w:rFonts w:ascii="Arial" w:cs="Arial" w:eastAsia="Arial" w:hAnsi="Arial"/>
          <w:sz w:val="19"/>
          <w:szCs w:val="19"/>
          <w:color w:val="auto"/>
        </w:rPr>
        <w:t xml:space="preserve"> with respect to facts and circumstances occurring prior to the effective date of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Term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10.06(d)</w:t>
      </w:r>
      <w:r>
        <w:rPr>
          <w:rFonts w:ascii="Arial" w:cs="Arial" w:eastAsia="Arial" w:hAnsi="Arial"/>
          <w:sz w:val="19"/>
          <w:szCs w:val="19"/>
          <w:color w:val="auto"/>
        </w:rPr>
        <w:t>.</w:t>
      </w:r>
    </w:p>
    <w:p>
      <w:pPr>
        <w:spacing w:after="0" w:line="210" w:lineRule="exact"/>
        <w:rPr>
          <w:sz w:val="20"/>
          <w:szCs w:val="20"/>
          <w:color w:val="auto"/>
        </w:rPr>
      </w:pPr>
    </w:p>
    <w:p>
      <w:pPr>
        <w:jc w:val="both"/>
        <w:ind w:left="1" w:firstLine="599"/>
        <w:spacing w:after="0" w:line="286" w:lineRule="auto"/>
        <w:tabs>
          <w:tab w:leader="none" w:pos="1421"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The Administrative Agent, acting solely for this purpose as a non-fiduciary agent of the Borrower (and such agency being solely for tax purposes), shall maintain at the Administrative Agent’s Office a copy of each Assignment and Assumption delivered to it (or the equivalent in electronic form) and a register for the recordation of the names and addresses of the Lenders, and the Commitments of, and principal amounts (and stated interest) of the Loans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The entries in the Register shall be conclusive absent manifest error and, notwithstanding anything to the contrary contained in </w:t>
      </w:r>
      <w:r>
        <w:rPr>
          <w:rFonts w:ascii="Arial" w:cs="Arial" w:eastAsia="Arial" w:hAnsi="Arial"/>
          <w:sz w:val="18"/>
          <w:szCs w:val="18"/>
          <w:u w:val="single" w:color="auto"/>
          <w:color w:val="auto"/>
        </w:rPr>
        <w:t>Section 2.11</w:t>
      </w:r>
      <w:r>
        <w:rPr>
          <w:rFonts w:ascii="Arial" w:cs="Arial" w:eastAsia="Arial" w:hAnsi="Arial"/>
          <w:sz w:val="18"/>
          <w:szCs w:val="18"/>
          <w:color w:val="auto"/>
        </w:rPr>
        <w:t>, the Borrower, the Administrative Agent and the Lenders shall treat each</w:t>
      </w:r>
    </w:p>
    <w:p>
      <w:pPr>
        <w:spacing w:after="0" w:line="159" w:lineRule="exact"/>
        <w:rPr>
          <w:sz w:val="20"/>
          <w:szCs w:val="20"/>
          <w:color w:val="auto"/>
        </w:rPr>
      </w:pPr>
    </w:p>
    <w:p>
      <w:pPr>
        <w:ind w:left="4921"/>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821"/>
          </w:cols>
          <w:pgMar w:left="839" w:top="795" w:right="239" w:bottom="1440" w:gutter="0" w:footer="0" w:header="0"/>
        </w:sectPr>
      </w:pPr>
    </w:p>
    <w:bookmarkStart w:id="333" w:name="page334"/>
    <w:bookmarkEnd w:id="333"/>
    <w:p>
      <w:pPr>
        <w:jc w:val="both"/>
        <w:spacing w:after="0" w:line="256" w:lineRule="auto"/>
        <w:rPr>
          <w:sz w:val="20"/>
          <w:szCs w:val="20"/>
          <w:color w:val="auto"/>
        </w:rPr>
      </w:pPr>
      <w:r>
        <w:rPr>
          <w:rFonts w:ascii="Arial" w:cs="Arial" w:eastAsia="Arial" w:hAnsi="Arial"/>
          <w:sz w:val="20"/>
          <w:szCs w:val="20"/>
          <w:color w:val="auto"/>
        </w:rPr>
        <w:t>Person whose name is recorded in the Register pursuant to the terms hereof as a Lender hereunder for all purposes of this Agreement. In addition, the Administrative Agent shall maintain on the Register information regarding the designation, and revocation of designation, of any Lender as a Defaulting Lender. The Register shall be available for inspection by the Borrower and any Lender, at any reasonable time and from time to time upon reasonable prior notice.</w:t>
      </w:r>
    </w:p>
    <w:p>
      <w:pPr>
        <w:spacing w:after="0" w:line="205" w:lineRule="exact"/>
        <w:rPr>
          <w:sz w:val="20"/>
          <w:szCs w:val="20"/>
          <w:color w:val="auto"/>
        </w:rPr>
      </w:pPr>
    </w:p>
    <w:p>
      <w:pPr>
        <w:jc w:val="both"/>
        <w:ind w:firstLine="599"/>
        <w:spacing w:after="0" w:line="251" w:lineRule="auto"/>
        <w:tabs>
          <w:tab w:leader="none" w:pos="1432" w:val="left"/>
        </w:tabs>
        <w:numPr>
          <w:ilvl w:val="0"/>
          <w:numId w:val="395"/>
        </w:numPr>
        <w:rPr>
          <w:rFonts w:ascii="Arial" w:cs="Arial" w:eastAsia="Arial" w:hAnsi="Arial"/>
          <w:sz w:val="20"/>
          <w:szCs w:val="20"/>
          <w:color w:val="auto"/>
        </w:rPr>
      </w:pPr>
      <w:r>
        <w:rPr>
          <w:rFonts w:ascii="Arial" w:cs="Arial" w:eastAsia="Arial" w:hAnsi="Arial"/>
          <w:sz w:val="20"/>
          <w:szCs w:val="20"/>
          <w:u w:val="single" w:color="auto"/>
          <w:color w:val="auto"/>
        </w:rPr>
        <w:t>Participations</w:t>
      </w:r>
      <w:r>
        <w:rPr>
          <w:rFonts w:ascii="Arial" w:cs="Arial" w:eastAsia="Arial" w:hAnsi="Arial"/>
          <w:sz w:val="20"/>
          <w:szCs w:val="20"/>
          <w:color w:val="auto"/>
        </w:rPr>
        <w:t>. Any Lender may at any time, without the consent of, or notice to, the Borrower or the Administrative Agent, sell participations to any Person (other than an Ineligible Institution) (each, a “</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in all or a portion of such Lender’s rights and/or obligations under this Agreement (including all or a portion of its Commitment and/or the Loans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20"/>
          <w:szCs w:val="20"/>
          <w:u w:val="single" w:color="auto"/>
          <w:color w:val="auto"/>
        </w:rPr>
        <w:t>Section 10.04(c)</w:t>
      </w:r>
      <w:r>
        <w:rPr>
          <w:rFonts w:ascii="Arial" w:cs="Arial" w:eastAsia="Arial" w:hAnsi="Arial"/>
          <w:sz w:val="20"/>
          <w:szCs w:val="20"/>
          <w:color w:val="auto"/>
        </w:rPr>
        <w:t xml:space="preserve"> without regard to the existence of any participation.</w:t>
      </w:r>
    </w:p>
    <w:p>
      <w:pPr>
        <w:spacing w:after="0" w:line="212" w:lineRule="exact"/>
        <w:rPr>
          <w:sz w:val="20"/>
          <w:szCs w:val="20"/>
          <w:color w:val="auto"/>
        </w:rPr>
      </w:pPr>
    </w:p>
    <w:p>
      <w:pPr>
        <w:jc w:val="both"/>
        <w:ind w:firstLine="600"/>
        <w:spacing w:after="0" w:line="277"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that affects such Participant. The Borrower agrees that each Participant shall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(subject to the requirements and limitations of such Sections) to the same extent as if it were a Lender and had acquired its interest by assignment pursuant to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of this Section (it being understood that the documentation required under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shall be delivered to the Lender who sells the participation) to the same extent as if it were a Lender and had acquired its interest by assignment pursuant to paragraph (b)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 agrees to be subject to the provisions of </w:t>
      </w:r>
      <w:r>
        <w:rPr>
          <w:rFonts w:ascii="Arial" w:cs="Arial" w:eastAsia="Arial" w:hAnsi="Arial"/>
          <w:sz w:val="18"/>
          <w:szCs w:val="18"/>
          <w:u w:val="single" w:color="auto"/>
          <w:color w:val="auto"/>
        </w:rPr>
        <w:t>Sections 3.06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10.13</w:t>
      </w:r>
      <w:r>
        <w:rPr>
          <w:rFonts w:ascii="Arial" w:cs="Arial" w:eastAsia="Arial" w:hAnsi="Arial"/>
          <w:sz w:val="18"/>
          <w:szCs w:val="18"/>
          <w:color w:val="auto"/>
        </w:rPr>
        <w:t xml:space="preserve"> as if it were an assignee under paragraph (b) of this Section and (B) shall not be entitled to receive any greater payment under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with respect to any Participant. To the extent permitted by law, each Participant also shall be entitled to the benefits of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w:t>
      </w:r>
    </w:p>
    <w:p>
      <w:pPr>
        <w:spacing w:after="0" w:line="200" w:lineRule="exact"/>
        <w:rPr>
          <w:sz w:val="20"/>
          <w:szCs w:val="20"/>
          <w:color w:val="auto"/>
        </w:rPr>
      </w:pPr>
    </w:p>
    <w:p>
      <w:pPr>
        <w:spacing w:after="0" w:line="21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820"/>
          </w:cols>
          <w:pgMar w:left="840" w:top="795" w:right="239" w:bottom="1440" w:gutter="0" w:footer="0" w:header="0"/>
        </w:sectPr>
      </w:pPr>
    </w:p>
    <w:bookmarkStart w:id="334" w:name="page335"/>
    <w:bookmarkEnd w:id="334"/>
    <w:p>
      <w:pPr>
        <w:ind w:left="600"/>
        <w:spacing w:after="0" w:line="272" w:lineRule="auto"/>
        <w:rPr>
          <w:sz w:val="20"/>
          <w:szCs w:val="20"/>
          <w:color w:val="auto"/>
        </w:rPr>
      </w:pPr>
      <w:r>
        <w:rPr>
          <w:rFonts w:ascii="Arial" w:cs="Arial" w:eastAsia="Arial" w:hAnsi="Arial"/>
          <w:sz w:val="20"/>
          <w:szCs w:val="20"/>
          <w:color w:val="auto"/>
        </w:rPr>
        <w:t>notwithstanding any notice to the contrary. For the avoidance of doubt, the Administrative Agent (in its capacity as Administrative Agent) shall have no responsibility for maintaining a Participant Register.</w:t>
      </w:r>
    </w:p>
    <w:p>
      <w:pPr>
        <w:spacing w:after="0" w:line="191" w:lineRule="exact"/>
        <w:rPr>
          <w:sz w:val="20"/>
          <w:szCs w:val="20"/>
          <w:color w:val="auto"/>
        </w:rPr>
      </w:pPr>
    </w:p>
    <w:p>
      <w:pPr>
        <w:jc w:val="both"/>
        <w:ind w:left="600" w:firstLine="599"/>
        <w:spacing w:after="0" w:line="293" w:lineRule="auto"/>
        <w:tabs>
          <w:tab w:leader="none" w:pos="2021"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Term Note, if any) to secure obligations of such Lender, including any pledge or assignment to secure obligations to a Federal Reserve Bank or any other central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76" w:lineRule="exact"/>
        <w:rPr>
          <w:sz w:val="20"/>
          <w:szCs w:val="20"/>
          <w:color w:val="auto"/>
        </w:rPr>
      </w:pPr>
    </w:p>
    <w:p>
      <w:pPr>
        <w:jc w:val="both"/>
        <w:ind w:firstLine="1199"/>
        <w:spacing w:after="0" w:line="277" w:lineRule="auto"/>
        <w:rPr>
          <w:sz w:val="20"/>
          <w:szCs w:val="20"/>
          <w:color w:val="auto"/>
        </w:rPr>
      </w:pPr>
      <w:r>
        <w:rPr>
          <w:rFonts w:ascii="Arial" w:cs="Arial" w:eastAsia="Arial" w:hAnsi="Arial"/>
          <w:sz w:val="18"/>
          <w:szCs w:val="18"/>
          <w:color w:val="auto"/>
        </w:rPr>
        <w:t xml:space="preserve">10.07. </w:t>
      </w:r>
      <w:r>
        <w:rPr>
          <w:rFonts w:ascii="Arial" w:cs="Arial" w:eastAsia="Arial" w:hAnsi="Arial"/>
          <w:sz w:val="18"/>
          <w:szCs w:val="18"/>
          <w:u w:val="single" w:color="auto"/>
          <w:color w:val="auto"/>
        </w:rPr>
        <w:t>Treatment of Certain Information; Confidentiality</w:t>
      </w:r>
      <w:r>
        <w:rPr>
          <w:rFonts w:ascii="Arial" w:cs="Arial" w:eastAsia="Arial" w:hAnsi="Arial"/>
          <w:sz w:val="18"/>
          <w:szCs w:val="18"/>
          <w:color w:val="auto"/>
        </w:rPr>
        <w:t xml:space="preserve">. Each of the Administrative Agent and the Lenders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w:t>
      </w:r>
      <w:r>
        <w:rPr>
          <w:rFonts w:ascii="Arial" w:cs="Arial" w:eastAsia="Arial" w:hAnsi="Arial"/>
          <w:sz w:val="18"/>
          <w:szCs w:val="18"/>
          <w:b w:val="1"/>
          <w:bCs w:val="1"/>
          <w:u w:val="single" w:color="auto"/>
          <w:color w:val="0000FF"/>
          <w:highlight w:val="lightGray"/>
        </w:rPr>
        <w:t>(in which case, except with respect to any audit or examination conducted by bank</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highlight w:val="lightGray"/>
        </w:rPr>
        <w:t>accountants or governmental regulatory authorities exercising examination or regulatory authority, the disclosing party shall use commercially reasonable efforts to promptly notify the Borrower, in advance, to the extent practicable and permitted by Law)</w:t>
      </w:r>
      <w:r>
        <w:rPr>
          <w:rFonts w:ascii="Arial" w:cs="Arial" w:eastAsia="Arial" w:hAnsi="Arial"/>
          <w:sz w:val="18"/>
          <w:szCs w:val="18"/>
          <w:color w:val="000000"/>
        </w:rPr>
        <w:t>, (c) to</w:t>
      </w:r>
      <w:r>
        <w:rPr>
          <w:rFonts w:ascii="Arial" w:cs="Arial" w:eastAsia="Arial" w:hAnsi="Arial"/>
          <w:sz w:val="18"/>
          <w:szCs w:val="18"/>
          <w:b w:val="1"/>
          <w:bCs w:val="1"/>
          <w:color w:val="0000FF"/>
          <w:highlight w:val="lightGray"/>
        </w:rPr>
        <w:t xml:space="preserve"> </w:t>
      </w:r>
      <w:r>
        <w:rPr>
          <w:rFonts w:ascii="Arial" w:cs="Arial" w:eastAsia="Arial" w:hAnsi="Arial"/>
          <w:sz w:val="18"/>
          <w:szCs w:val="18"/>
          <w:color w:val="000000"/>
        </w:rPr>
        <w:t>the extent required by applicable laws or regulations or by any subpoena or similar legal process</w:t>
      </w:r>
      <w:r>
        <w:rPr>
          <w:rFonts w:ascii="Arial" w:cs="Arial" w:eastAsia="Arial" w:hAnsi="Arial"/>
          <w:sz w:val="18"/>
          <w:szCs w:val="18"/>
          <w:color w:val="FF0000"/>
          <w:strike w:val="1"/>
        </w:rPr>
        <w:t>,</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highlight w:val="lightGray"/>
        </w:rPr>
        <w:t>(in which case the disclosing party shall</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highlight w:val="lightGray"/>
        </w:rPr>
        <w:t>use commercially reasonable efforts to promptly notify the Borrower, in advance, to the extent practicable and permitted by Law),</w:t>
      </w:r>
      <w:r>
        <w:rPr>
          <w:rFonts w:ascii="Arial" w:cs="Arial" w:eastAsia="Arial" w:hAnsi="Arial"/>
          <w:sz w:val="18"/>
          <w:szCs w:val="18"/>
          <w:b w:val="1"/>
          <w:bCs w:val="1"/>
          <w:color w:val="0000FF"/>
          <w:highlight w:val="lightGray"/>
        </w:rPr>
        <w:t xml:space="preserve"> </w:t>
      </w:r>
      <w:r>
        <w:rPr>
          <w:rFonts w:ascii="Arial" w:cs="Arial" w:eastAsia="Arial" w:hAnsi="Arial"/>
          <w:sz w:val="18"/>
          <w:szCs w:val="18"/>
          <w:color w:val="000000"/>
        </w:rPr>
        <w:t>(d)</w:t>
      </w:r>
      <w:r>
        <w:rPr>
          <w:rFonts w:ascii="Arial" w:cs="Arial" w:eastAsia="Arial" w:hAnsi="Arial"/>
          <w:sz w:val="18"/>
          <w:szCs w:val="18"/>
          <w:b w:val="1"/>
          <w:bCs w:val="1"/>
          <w:color w:val="0000FF"/>
          <w:highlight w:val="lightGray"/>
        </w:rPr>
        <w:t xml:space="preserve"> </w:t>
      </w:r>
      <w:r>
        <w:rPr>
          <w:rFonts w:ascii="Arial" w:cs="Arial" w:eastAsia="Arial" w:hAnsi="Arial"/>
          <w:sz w:val="18"/>
          <w:szCs w:val="18"/>
          <w:color w:val="000000"/>
        </w:rPr>
        <w:t xml:space="preserve">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 a Lender pursuant to </w:t>
      </w:r>
      <w:r>
        <w:rPr>
          <w:rFonts w:ascii="Arial" w:cs="Arial" w:eastAsia="Arial" w:hAnsi="Arial"/>
          <w:sz w:val="18"/>
          <w:szCs w:val="18"/>
          <w:u w:val="single" w:color="auto"/>
          <w:color w:val="000000"/>
        </w:rPr>
        <w:t>Section 2.17</w:t>
      </w:r>
      <w:r>
        <w:rPr>
          <w:rFonts w:ascii="Arial" w:cs="Arial" w:eastAsia="Arial" w:hAnsi="Arial"/>
          <w:sz w:val="18"/>
          <w:szCs w:val="18"/>
          <w:color w:val="000000"/>
        </w:rPr>
        <w:t xml:space="preserve">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the Borrower or (i) to the extent such Information (i) becomes publicly available other than as a result of a breach of this Section or (ii) becomes available to the Administrative Agent, any Lender</w:t>
      </w:r>
      <w:r>
        <w:rPr>
          <w:rFonts w:ascii="Arial" w:cs="Arial" w:eastAsia="Arial" w:hAnsi="Arial"/>
          <w:sz w:val="18"/>
          <w:szCs w:val="18"/>
          <w:color w:val="FF0000"/>
          <w:strike w:val="1"/>
        </w:rPr>
        <w:t>,</w:t>
      </w:r>
      <w:r>
        <w:rPr>
          <w:rFonts w:ascii="Arial" w:cs="Arial" w:eastAsia="Arial" w:hAnsi="Arial"/>
          <w:sz w:val="18"/>
          <w:szCs w:val="18"/>
          <w:color w:val="000000"/>
        </w:rPr>
        <w:t xml:space="preserve"> or any of their respective Affiliates on a nonconfidential basis from a source other than the Borrower. </w:t>
      </w:r>
      <w:r>
        <w:rPr>
          <w:rFonts w:ascii="Arial" w:cs="Arial" w:eastAsia="Arial" w:hAnsi="Arial"/>
          <w:sz w:val="18"/>
          <w:szCs w:val="18"/>
          <w:b w:val="1"/>
          <w:bCs w:val="1"/>
          <w:u w:val="single" w:color="auto"/>
          <w:color w:val="0000FF"/>
          <w:highlight w:val="lightGray"/>
        </w:rPr>
        <w:t>In addition, the Administrative Agent and the Lenders may</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highlight w:val="lightGray"/>
        </w:rPr>
        <w:t>disclose the existence of this Agreement and information about this Agreement to market data collectors, similar service providers to the lending industry and service providers to the Administrative Agent and the Lenders in connection with the administration of this Agreement and the other Loan Documents and Credit Extensions made pursuant thereto.</w:t>
      </w:r>
    </w:p>
    <w:p>
      <w:pPr>
        <w:spacing w:after="0" w:line="199" w:lineRule="exact"/>
        <w:rPr>
          <w:sz w:val="20"/>
          <w:szCs w:val="20"/>
          <w:color w:val="auto"/>
        </w:rPr>
      </w:pPr>
    </w:p>
    <w:p>
      <w:pPr>
        <w:jc w:val="both"/>
        <w:ind w:firstLine="599"/>
        <w:spacing w:after="0" w:line="273" w:lineRule="auto"/>
        <w:rPr>
          <w:sz w:val="20"/>
          <w:szCs w:val="20"/>
          <w:color w:val="auto"/>
        </w:rPr>
      </w:pPr>
      <w:r>
        <w:rPr>
          <w:rFonts w:ascii="Arial" w:cs="Arial" w:eastAsia="Arial" w:hAnsi="Arial"/>
          <w:sz w:val="19"/>
          <w:szCs w:val="19"/>
          <w:color w:val="auto"/>
        </w:rPr>
        <w:t>For purposes of this Section, “</w:t>
      </w:r>
      <w:r>
        <w:rPr>
          <w:rFonts w:ascii="Arial" w:cs="Arial" w:eastAsia="Arial" w:hAnsi="Arial"/>
          <w:sz w:val="19"/>
          <w:szCs w:val="19"/>
          <w:u w:val="single" w:color="auto"/>
          <w:color w:val="auto"/>
        </w:rPr>
        <w:t>Information</w:t>
      </w:r>
      <w:r>
        <w:rPr>
          <w:rFonts w:ascii="Arial" w:cs="Arial" w:eastAsia="Arial" w:hAnsi="Arial"/>
          <w:sz w:val="19"/>
          <w:szCs w:val="19"/>
          <w:color w:val="auto"/>
        </w:rPr>
        <w:t>” means all information received from the REIT or any Subsidiary relating to the REIT or any Subsidiary or any of their respective businesses, other than any such information that is available to the Administrative Agent or any Lender on a nonconfidential basis prior to disclosure by the REIT or any Subsidiary thereof. Any Person required to maintain the confidentiality of Information as provided in this Section shall be considered to have complied with its obligation to do so if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795" w:right="239" w:bottom="1440" w:gutter="0" w:footer="0" w:header="0"/>
        </w:sectPr>
      </w:pPr>
    </w:p>
    <w:bookmarkStart w:id="335" w:name="page336"/>
    <w:bookmarkEnd w:id="335"/>
    <w:p>
      <w:pPr>
        <w:jc w:val="both"/>
        <w:spacing w:after="0" w:line="272" w:lineRule="auto"/>
        <w:rPr>
          <w:sz w:val="20"/>
          <w:szCs w:val="20"/>
          <w:color w:val="auto"/>
        </w:rPr>
      </w:pPr>
      <w:r>
        <w:rPr>
          <w:rFonts w:ascii="Arial" w:cs="Arial" w:eastAsia="Arial" w:hAnsi="Arial"/>
          <w:sz w:val="20"/>
          <w:szCs w:val="20"/>
          <w:color w:val="auto"/>
        </w:rPr>
        <w:t>such Person has exercised the same degree of care to maintain the confidentiality of such Information as such Person would accord to its own confidential information.</w:t>
      </w:r>
    </w:p>
    <w:p>
      <w:pPr>
        <w:spacing w:after="0" w:line="191"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Each of the Administrative Agent and the Lenders acknowledges that (a) the Information may include material non-public information concerning the REIT or a Subsidiary thereof,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205" w:lineRule="exact"/>
        <w:rPr>
          <w:sz w:val="20"/>
          <w:szCs w:val="20"/>
          <w:color w:val="auto"/>
        </w:rPr>
      </w:pPr>
    </w:p>
    <w:p>
      <w:pPr>
        <w:jc w:val="both"/>
        <w:ind w:firstLine="1199"/>
        <w:spacing w:after="0" w:line="278" w:lineRule="auto"/>
        <w:rPr>
          <w:sz w:val="20"/>
          <w:szCs w:val="20"/>
          <w:color w:val="auto"/>
        </w:rPr>
      </w:pPr>
      <w:r>
        <w:rPr>
          <w:rFonts w:ascii="Arial" w:cs="Arial" w:eastAsia="Arial" w:hAnsi="Arial"/>
          <w:sz w:val="18"/>
          <w:szCs w:val="18"/>
          <w:color w:val="auto"/>
        </w:rPr>
        <w:t xml:space="preserve">10.08. </w:t>
      </w:r>
      <w:r>
        <w:rPr>
          <w:rFonts w:ascii="Arial" w:cs="Arial" w:eastAsia="Arial" w:hAnsi="Arial"/>
          <w:sz w:val="18"/>
          <w:szCs w:val="18"/>
          <w:u w:val="single" w:color="auto"/>
          <w:color w:val="auto"/>
        </w:rPr>
        <w:t>Right of Setoff</w:t>
      </w:r>
      <w:r>
        <w:rPr>
          <w:rFonts w:ascii="Arial" w:cs="Arial" w:eastAsia="Arial" w:hAnsi="Arial"/>
          <w:sz w:val="18"/>
          <w:szCs w:val="18"/>
          <w:color w:val="auto"/>
        </w:rPr>
        <w:t xml:space="preserve">. If an Event of Default shall have occurred and be continuing, each Lender and their respective Affiliates are hereby authorized at any time and from time to time, after obtaining the prior written consent of the Administrative Agent (not to be unreasonably withheld or delayed),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or any other Loan Party against any and all of the obligations of the Borrower or such Loan Party now or hereafter existing under this Agreement or any other Loan Document to such Lender, irrespective of whether or not such Lender shall have made any demand under this Agreement or any other Loan Document and although such obligations of the Borrower or such Loan Party may be contingent or unmatured or are owed to a branch or office or Affiliate of such Lender different from the branch, office or Affiliate 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or their respective Affiliates may have. Each Lender agrees to notify the Borrower and the Administrative Agent promptly after any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w:t>
      </w:r>
    </w:p>
    <w:p>
      <w:pPr>
        <w:spacing w:after="0" w:line="196" w:lineRule="exact"/>
        <w:rPr>
          <w:sz w:val="20"/>
          <w:szCs w:val="20"/>
          <w:color w:val="auto"/>
        </w:rPr>
      </w:pPr>
    </w:p>
    <w:p>
      <w:pPr>
        <w:jc w:val="both"/>
        <w:ind w:firstLine="1199"/>
        <w:spacing w:after="0" w:line="282" w:lineRule="auto"/>
        <w:rPr>
          <w:sz w:val="20"/>
          <w:szCs w:val="20"/>
          <w:color w:val="auto"/>
        </w:rPr>
      </w:pPr>
      <w:r>
        <w:rPr>
          <w:rFonts w:ascii="Arial" w:cs="Arial" w:eastAsia="Arial" w:hAnsi="Arial"/>
          <w:sz w:val="18"/>
          <w:szCs w:val="18"/>
          <w:color w:val="auto"/>
        </w:rPr>
        <w:t xml:space="preserve">10.09. </w:t>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8"/>
          <w:szCs w:val="18"/>
          <w:u w:val="single" w:color="auto"/>
          <w:color w:val="auto"/>
        </w:rPr>
        <w:t>Maximum Rate</w:t>
      </w:r>
      <w:r>
        <w:rPr>
          <w:rFonts w:ascii="Arial" w:cs="Arial" w:eastAsia="Arial" w:hAnsi="Arial"/>
          <w:sz w:val="18"/>
          <w:szCs w:val="18"/>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90" w:lineRule="exact"/>
        <w:rPr>
          <w:sz w:val="20"/>
          <w:szCs w:val="20"/>
          <w:color w:val="auto"/>
        </w:rPr>
      </w:pPr>
    </w:p>
    <w:p>
      <w:pPr>
        <w:jc w:val="both"/>
        <w:ind w:firstLine="1199"/>
        <w:spacing w:after="0" w:line="273" w:lineRule="auto"/>
        <w:rPr>
          <w:sz w:val="20"/>
          <w:szCs w:val="20"/>
          <w:color w:val="auto"/>
        </w:rPr>
      </w:pPr>
      <w:r>
        <w:rPr>
          <w:rFonts w:ascii="Arial" w:cs="Arial" w:eastAsia="Arial" w:hAnsi="Arial"/>
          <w:sz w:val="19"/>
          <w:szCs w:val="19"/>
          <w:color w:val="auto"/>
        </w:rPr>
        <w:t xml:space="preserve">10.10. </w:t>
      </w:r>
      <w:r>
        <w:rPr>
          <w:rFonts w:ascii="Arial" w:cs="Arial" w:eastAsia="Arial" w:hAnsi="Arial"/>
          <w:sz w:val="19"/>
          <w:szCs w:val="19"/>
          <w:u w:val="single" w:color="auto"/>
          <w:color w:val="auto"/>
        </w:rPr>
        <w:t>Counterparts; Integration; Effectiveness</w:t>
      </w:r>
      <w:r>
        <w:rPr>
          <w:rFonts w:ascii="Arial" w:cs="Arial" w:eastAsia="Arial" w:hAnsi="Arial"/>
          <w:sz w:val="19"/>
          <w:szCs w:val="19"/>
          <w:color w:val="auto"/>
        </w:rPr>
        <w:t>.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794" w:right="239" w:bottom="1440" w:gutter="0" w:footer="0" w:header="0"/>
        </w:sectPr>
      </w:pPr>
    </w:p>
    <w:bookmarkStart w:id="336" w:name="page337"/>
    <w:bookmarkEnd w:id="336"/>
    <w:p>
      <w:pPr>
        <w:jc w:val="both"/>
        <w:spacing w:after="0" w:line="253" w:lineRule="auto"/>
        <w:rPr>
          <w:sz w:val="20"/>
          <w:szCs w:val="20"/>
          <w:color w:val="auto"/>
        </w:rPr>
      </w:pPr>
      <w:r>
        <w:rPr>
          <w:rFonts w:ascii="Arial" w:cs="Arial" w:eastAsia="Arial" w:hAnsi="Arial"/>
          <w:sz w:val="20"/>
          <w:szCs w:val="20"/>
          <w:color w:val="auto"/>
        </w:rPr>
        <w:t xml:space="preserve">and all previous agreements and understandings, oral or written, relating to the subject matter hereof. Except as provided in </w:t>
      </w:r>
      <w:r>
        <w:rPr>
          <w:rFonts w:ascii="Arial" w:cs="Arial" w:eastAsia="Arial" w:hAnsi="Arial"/>
          <w:sz w:val="20"/>
          <w:szCs w:val="20"/>
          <w:u w:val="single" w:color="auto"/>
          <w:color w:val="auto"/>
        </w:rPr>
        <w:t>Section 4.01</w:t>
      </w:r>
      <w:r>
        <w:rPr>
          <w:rFonts w:ascii="Arial" w:cs="Arial" w:eastAsia="Arial" w:hAnsi="Arial"/>
          <w:sz w:val="20"/>
          <w:szCs w:val="20"/>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spacing w:after="0" w:line="212" w:lineRule="exact"/>
        <w:rPr>
          <w:sz w:val="20"/>
          <w:szCs w:val="20"/>
          <w:color w:val="auto"/>
        </w:rPr>
      </w:pPr>
    </w:p>
    <w:p>
      <w:pPr>
        <w:jc w:val="both"/>
        <w:ind w:firstLine="1199"/>
        <w:spacing w:after="0" w:line="286"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w:t>
      </w:r>
    </w:p>
    <w:p>
      <w:pPr>
        <w:spacing w:after="0" w:line="181" w:lineRule="exact"/>
        <w:rPr>
          <w:sz w:val="20"/>
          <w:szCs w:val="20"/>
          <w:color w:val="auto"/>
        </w:rPr>
      </w:pPr>
    </w:p>
    <w:p>
      <w:pPr>
        <w:jc w:val="both"/>
        <w:ind w:firstLine="1199"/>
        <w:spacing w:after="0" w:line="266" w:lineRule="auto"/>
        <w:rPr>
          <w:sz w:val="20"/>
          <w:szCs w:val="20"/>
          <w:color w:val="auto"/>
        </w:rPr>
      </w:pPr>
      <w:r>
        <w:rPr>
          <w:rFonts w:ascii="Arial" w:cs="Arial" w:eastAsia="Arial" w:hAnsi="Arial"/>
          <w:sz w:val="19"/>
          <w:szCs w:val="19"/>
          <w:color w:val="auto"/>
        </w:rPr>
        <w:t xml:space="preserve">10.12. </w:t>
      </w: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9"/>
          <w:szCs w:val="19"/>
          <w:u w:val="single" w:color="auto"/>
          <w:color w:val="auto"/>
        </w:rPr>
        <w:t>Section 10.12</w:t>
      </w:r>
      <w:r>
        <w:rPr>
          <w:rFonts w:ascii="Arial" w:cs="Arial" w:eastAsia="Arial" w:hAnsi="Arial"/>
          <w:sz w:val="19"/>
          <w:szCs w:val="19"/>
          <w:color w:val="auto"/>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99" w:lineRule="exact"/>
        <w:rPr>
          <w:sz w:val="20"/>
          <w:szCs w:val="20"/>
          <w:color w:val="auto"/>
        </w:rPr>
      </w:pPr>
    </w:p>
    <w:p>
      <w:pPr>
        <w:jc w:val="both"/>
        <w:ind w:firstLine="1199"/>
        <w:spacing w:after="0" w:line="286"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the Borrower is entitled to replace a Lender pursuant to the provisions of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all of its interests, rights (other than its existing rights to payments pursuant to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obligations under this Agreement and the related Loan Documents to one or more Eligible Assignees that shall assume such obligations (which assignee(s)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1" w:lineRule="exact"/>
        <w:rPr>
          <w:sz w:val="20"/>
          <w:szCs w:val="20"/>
          <w:color w:val="auto"/>
        </w:rPr>
      </w:pPr>
    </w:p>
    <w:p>
      <w:pPr>
        <w:ind w:left="2020" w:hanging="821"/>
        <w:spacing w:after="0"/>
        <w:tabs>
          <w:tab w:leader="none" w:pos="20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(if any) specified in </w:t>
      </w:r>
      <w:r>
        <w:rPr>
          <w:rFonts w:ascii="Arial" w:cs="Arial" w:eastAsia="Arial" w:hAnsi="Arial"/>
          <w:sz w:val="18"/>
          <w:szCs w:val="18"/>
          <w:u w:val="single" w:color="auto"/>
          <w:color w:val="auto"/>
        </w:rPr>
        <w:t>Section 10.06(b)</w:t>
      </w:r>
      <w:r>
        <w:rPr>
          <w:rFonts w:ascii="Arial" w:cs="Arial" w:eastAsia="Arial" w:hAnsi="Arial"/>
          <w:sz w:val="18"/>
          <w:szCs w:val="18"/>
          <w:color w:val="auto"/>
        </w:rPr>
        <w:t>;</w:t>
      </w:r>
    </w:p>
    <w:p>
      <w:pPr>
        <w:spacing w:after="0" w:line="267" w:lineRule="exact"/>
        <w:rPr>
          <w:rFonts w:ascii="Arial" w:cs="Arial" w:eastAsia="Arial" w:hAnsi="Arial"/>
          <w:sz w:val="18"/>
          <w:szCs w:val="18"/>
          <w:color w:val="auto"/>
        </w:rPr>
      </w:pPr>
    </w:p>
    <w:p>
      <w:pPr>
        <w:ind w:left="600" w:right="60" w:firstLine="599"/>
        <w:spacing w:after="0" w:line="270" w:lineRule="auto"/>
        <w:tabs>
          <w:tab w:leader="none" w:pos="2032" w:val="left"/>
        </w:tabs>
        <w:numPr>
          <w:ilvl w:val="0"/>
          <w:numId w:val="397"/>
        </w:numPr>
        <w:rPr>
          <w:rFonts w:ascii="Arial" w:cs="Arial" w:eastAsia="Arial" w:hAnsi="Arial"/>
          <w:sz w:val="19"/>
          <w:szCs w:val="19"/>
          <w:color w:val="auto"/>
        </w:rPr>
      </w:pPr>
      <w:r>
        <w:rPr>
          <w:rFonts w:ascii="Arial" w:cs="Arial" w:eastAsia="Arial" w:hAnsi="Arial"/>
          <w:sz w:val="19"/>
          <w:szCs w:val="19"/>
          <w:color w:val="auto"/>
        </w:rPr>
        <w:t xml:space="preserve">such Lender shall have received payment of an amount equal to 100% of the outstanding principal of its Loans from the assignee and any amounts payable by the Borrower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from the Borrower (it being understood that the Assignment and Assumption relating to such assignment shall provide that any interest and fees that accrued prior to the effective date of the assignment shall be for the account of the replaced Lender and such amounts that accrue on and after the effective date of the assignment shall be for the account of the replacement Lender);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795" w:right="239" w:bottom="1440" w:gutter="0" w:footer="0" w:header="0"/>
        </w:sectPr>
      </w:pPr>
    </w:p>
    <w:bookmarkStart w:id="337" w:name="page338"/>
    <w:bookmarkEnd w:id="337"/>
    <w:p>
      <w:pPr>
        <w:ind w:right="80" w:firstLine="599"/>
        <w:spacing w:after="0" w:line="329" w:lineRule="auto"/>
        <w:tabs>
          <w:tab w:leader="none" w:pos="1421"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w:t>
      </w:r>
    </w:p>
    <w:p>
      <w:pPr>
        <w:spacing w:after="0" w:line="144" w:lineRule="exact"/>
        <w:rPr>
          <w:rFonts w:ascii="Arial" w:cs="Arial" w:eastAsia="Arial" w:hAnsi="Arial"/>
          <w:sz w:val="18"/>
          <w:szCs w:val="18"/>
          <w:color w:val="auto"/>
        </w:rPr>
      </w:pPr>
    </w:p>
    <w:p>
      <w:pPr>
        <w:ind w:left="1440" w:hanging="841"/>
        <w:spacing w:after="0"/>
        <w:tabs>
          <w:tab w:leader="none" w:pos="1440" w:val="left"/>
        </w:tabs>
        <w:numPr>
          <w:ilvl w:val="0"/>
          <w:numId w:val="398"/>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Laws; and</w:t>
      </w:r>
    </w:p>
    <w:p>
      <w:pPr>
        <w:spacing w:after="0" w:line="244" w:lineRule="exact"/>
        <w:rPr>
          <w:rFonts w:ascii="Arial" w:cs="Arial" w:eastAsia="Arial" w:hAnsi="Arial"/>
          <w:sz w:val="20"/>
          <w:szCs w:val="20"/>
          <w:color w:val="auto"/>
        </w:rPr>
      </w:pPr>
    </w:p>
    <w:p>
      <w:pPr>
        <w:ind w:right="320" w:firstLine="599"/>
        <w:spacing w:after="0" w:line="272" w:lineRule="auto"/>
        <w:tabs>
          <w:tab w:leader="none" w:pos="1421" w:val="left"/>
        </w:tabs>
        <w:numPr>
          <w:ilvl w:val="0"/>
          <w:numId w:val="398"/>
        </w:numPr>
        <w:rPr>
          <w:rFonts w:ascii="Arial" w:cs="Arial" w:eastAsia="Arial" w:hAnsi="Arial"/>
          <w:sz w:val="20"/>
          <w:szCs w:val="20"/>
          <w:color w:val="auto"/>
        </w:rPr>
      </w:pPr>
      <w:r>
        <w:rPr>
          <w:rFonts w:ascii="Arial" w:cs="Arial" w:eastAsia="Arial" w:hAnsi="Arial"/>
          <w:sz w:val="20"/>
          <w:szCs w:val="20"/>
          <w:color w:val="auto"/>
        </w:rPr>
        <w:t>in the case of an assignment resulting from a Lender becoming a Non-Consenting Lender, the applicable assignee shall have consented to the applicable amendment, waiver or consent.</w:t>
      </w:r>
    </w:p>
    <w:p>
      <w:pPr>
        <w:spacing w:after="0" w:line="191" w:lineRule="exact"/>
        <w:rPr>
          <w:sz w:val="20"/>
          <w:szCs w:val="20"/>
          <w:color w:val="auto"/>
        </w:rPr>
      </w:pPr>
    </w:p>
    <w:p>
      <w:pPr>
        <w:jc w:val="both"/>
        <w:ind w:firstLine="600"/>
        <w:spacing w:after="0" w:line="267" w:lineRule="auto"/>
        <w:rPr>
          <w:sz w:val="20"/>
          <w:szCs w:val="20"/>
          <w:color w:val="auto"/>
        </w:rPr>
      </w:pPr>
      <w:r>
        <w:rPr>
          <w:rFonts w:ascii="Arial" w:cs="Arial" w:eastAsia="Arial" w:hAnsi="Arial"/>
          <w:sz w:val="19"/>
          <w:szCs w:val="19"/>
          <w:color w:val="auto"/>
        </w:rPr>
        <w:t xml:space="preserve">A Lender shall not be required to make any such assignment or delegation if, prior thereto, as a result of a waiver by such Lender or otherwise, the circumstances entitling the Borrower to require such assignment and delegation cease to apply. Each Lender agrees that, if the Borrower elects to replace such Lender in accordance with this Section 10.13, it shall promptly execute and deliver to the Administrative Agent an Assignment and Assumption to evidence the assignment and shall deliver to the Administrative Agent any Term Note (if a Term Note has been issued in respect of such Lender’s Loans) subject to such Assignment and Assumption;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failure of any such Lender to execute an Assignment and Assumption shall not render such assignment invalid and</w:t>
      </w:r>
      <w:r>
        <w:rPr>
          <w:rFonts w:ascii="Arial" w:cs="Arial" w:eastAsia="Arial" w:hAnsi="Arial"/>
          <w:sz w:val="19"/>
          <w:szCs w:val="19"/>
          <w:i w:val="1"/>
          <w:iCs w:val="1"/>
          <w:color w:val="auto"/>
        </w:rPr>
        <w:t xml:space="preserve"> </w:t>
      </w:r>
      <w:r>
        <w:rPr>
          <w:rFonts w:ascii="Arial" w:cs="Arial" w:eastAsia="Arial" w:hAnsi="Arial"/>
          <w:sz w:val="19"/>
          <w:szCs w:val="19"/>
          <w:color w:val="auto"/>
        </w:rPr>
        <w:t>such assignment shall be recorded in the Register.</w:t>
      </w:r>
    </w:p>
    <w:p>
      <w:pPr>
        <w:spacing w:after="0" w:line="197" w:lineRule="exact"/>
        <w:rPr>
          <w:sz w:val="20"/>
          <w:szCs w:val="20"/>
          <w:color w:val="auto"/>
        </w:rPr>
      </w:pPr>
    </w:p>
    <w:p>
      <w:pPr>
        <w:ind w:left="600"/>
        <w:spacing w:after="0"/>
        <w:tabs>
          <w:tab w:leader="none" w:pos="1280" w:val="left"/>
        </w:tabs>
        <w:rPr>
          <w:sz w:val="20"/>
          <w:szCs w:val="20"/>
          <w:color w:val="auto"/>
        </w:rPr>
      </w:pPr>
      <w:r>
        <w:rPr>
          <w:rFonts w:ascii="Arial" w:cs="Arial" w:eastAsia="Arial" w:hAnsi="Arial"/>
          <w:sz w:val="20"/>
          <w:szCs w:val="20"/>
          <w:color w:val="auto"/>
        </w:rPr>
        <w:t>10.14.</w:t>
      </w:r>
      <w:r>
        <w:rPr>
          <w:sz w:val="20"/>
          <w:szCs w:val="20"/>
          <w:color w:val="auto"/>
        </w:rPr>
        <w:tab/>
      </w:r>
      <w:r>
        <w:rPr>
          <w:rFonts w:ascii="Arial" w:cs="Arial" w:eastAsia="Arial" w:hAnsi="Arial"/>
          <w:sz w:val="18"/>
          <w:szCs w:val="18"/>
          <w:u w:val="single" w:color="auto"/>
          <w:color w:val="auto"/>
        </w:rPr>
        <w:t>Governing Law; Jurisdiction; Etc.</w:t>
      </w:r>
    </w:p>
    <w:p>
      <w:pPr>
        <w:spacing w:after="0" w:line="245" w:lineRule="exact"/>
        <w:rPr>
          <w:sz w:val="20"/>
          <w:szCs w:val="20"/>
          <w:color w:val="auto"/>
        </w:rPr>
      </w:pPr>
    </w:p>
    <w:p>
      <w:pPr>
        <w:jc w:val="both"/>
        <w:ind w:firstLine="599"/>
        <w:spacing w:after="0" w:line="260" w:lineRule="auto"/>
        <w:tabs>
          <w:tab w:leader="none" w:pos="1421" w:val="left"/>
        </w:tabs>
        <w:numPr>
          <w:ilvl w:val="0"/>
          <w:numId w:val="399"/>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IN ACCORDANCE WITH, THE LAW OF THE STATE OF NEW YORK APPLICABLE TO CONTRACTS EXECUTED, AND TO BE FULLY PERFORMED, IN SUCH STATE.</w:t>
      </w:r>
    </w:p>
    <w:p>
      <w:pPr>
        <w:spacing w:after="0" w:line="201" w:lineRule="exact"/>
        <w:rPr>
          <w:rFonts w:ascii="Arial" w:cs="Arial" w:eastAsia="Arial" w:hAnsi="Arial"/>
          <w:sz w:val="20"/>
          <w:szCs w:val="20"/>
          <w:color w:val="auto"/>
        </w:rPr>
      </w:pPr>
    </w:p>
    <w:p>
      <w:pPr>
        <w:jc w:val="both"/>
        <w:ind w:firstLine="599"/>
        <w:spacing w:after="0" w:line="263" w:lineRule="auto"/>
        <w:tabs>
          <w:tab w:leader="none" w:pos="1432" w:val="left"/>
        </w:tabs>
        <w:numPr>
          <w:ilvl w:val="0"/>
          <w:numId w:val="399"/>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 WAIVER OF VENUE</w:t>
      </w:r>
      <w:r>
        <w:rPr>
          <w:rFonts w:ascii="Arial" w:cs="Arial" w:eastAsia="Arial" w:hAnsi="Arial"/>
          <w:sz w:val="19"/>
          <w:szCs w:val="19"/>
          <w:color w:val="auto"/>
        </w:rPr>
        <w:t>. EACH OF THE BORROWER AND THE REIT IRREVOCABLY AND UNCONDITIONALLY AGREES THAT IT WILL NOT COMMENCE ANY ACTION, LITIGATION OR PROCEEDING OF ANY KIND OR DESCRIPTION, WHETHER IN LAW OR EQUITY, WHETHER IN CONTRACT OR IN TORT OR OTHERWISE, AGAINST THE ADMINISTRATIVE AGENT, ANY LENDER, OR ANY AFFILIATE OF THE FOREGOING IN ANY WAY RELATING TO THIS AGREEMENT, ANY OTHER LOAN DOCUMENT, THE AGREEMENT REGARDING FEES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PROVIDED THAT NOTHING IN THIS AGREEMENT SHALL LIMIT THE RIGHT OF THE ADMINISTRATIVE AGENT OR LENDERS TO COMMENCE ANY PROCEEDING IN THE FEDERAL OR STATE COURTS OF ANY OTHER JURISDICTION TO THE EXTENT THE ADMINISTRATIVE AGENT OR SUCH LENDER DETERMINES THAT SUCH ACTION IS NECESSARY OR APPROPRIATE TO EXERCISE ITS RIGHTS OR REMEDIES UNDER THE LOAN DOCUMENTS. EACH OF THE PARTIES HERETO AGREES THAT A FINAL JUDGMENT IN ANY SUCH ACTION, LITIGATION OR PROCEEDING SHALL</w:t>
      </w:r>
    </w:p>
    <w:p>
      <w:pPr>
        <w:spacing w:after="0" w:line="17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820"/>
          </w:cols>
          <w:pgMar w:left="840" w:top="795" w:right="239" w:bottom="1440" w:gutter="0" w:footer="0" w:header="0"/>
        </w:sectPr>
      </w:pPr>
    </w:p>
    <w:bookmarkStart w:id="338" w:name="page339"/>
    <w:bookmarkEnd w:id="338"/>
    <w:p>
      <w:pPr>
        <w:jc w:val="both"/>
        <w:ind w:left="600"/>
        <w:spacing w:after="0" w:line="250" w:lineRule="auto"/>
        <w:rPr>
          <w:sz w:val="20"/>
          <w:szCs w:val="20"/>
          <w:color w:val="auto"/>
        </w:rPr>
      </w:pPr>
      <w:r>
        <w:rPr>
          <w:rFonts w:ascii="Arial" w:cs="Arial" w:eastAsia="Arial" w:hAnsi="Arial"/>
          <w:sz w:val="20"/>
          <w:szCs w:val="20"/>
          <w:color w:val="auto"/>
        </w:rPr>
        <w:t>BE CONCLUSIVE AND MAY BE ENFORCED IN OTHER JURISDICTIONS BY SUIT ON THE JUDGMENT OR IN ANY OTHER MANNER PROVIDED BY LAW. EACH PARTY FURTHER WAIVES ANY OBJECTION THAT IT MAY NOW OR HEREAFTER HAVE TO THE VENUE OF ANY SUCH ACTION OR PROCEEDING IN ANY SUCH COURT OR THAT SUCH ACTION OR PROCEEDING WAS BROUGHT IN AN INCONVENIENT FORUM AND EACH AGREES NOT TO PLEAD OR CLAIM THE SAME. THE CHOICE OF FORUM SET FORTH IN THIS SECTION SHALL NOT (A) BE DEEMED TO PRECLUDE THE BRINGING OF ANY ACTION BY THE ADMINISTRATIVE AGENT, OR ANY LENDER OR THE ENFORCEMENT BY THE ADMINISTRATIVE AGENT, OR ANY LENDER OF ANY JUDGMENT OBTAINED IN SUCH FORUM IN ANY OTHER APPROPRIATE JURISDICTION OR (B) LIMIT THE RIGHT OF THE ADMINISTRATIVE AGENT OR LENDERS TO COMMENCE ANY PROCEEDING IN ANY OTHER FORUM TO THE EXTENT THE ADMINISTRATIVE AGENT OR SUCH LENDER DETERMINES THAT SUCH ACTION IS NECESSARY OR APPROPRIATE TO EXERCISE ITS RIGHTS OR REMEDIES UNDER THE LOAN DOCUMENTS.</w:t>
      </w:r>
    </w:p>
    <w:p>
      <w:pPr>
        <w:spacing w:after="0" w:line="213" w:lineRule="exact"/>
        <w:rPr>
          <w:sz w:val="20"/>
          <w:szCs w:val="20"/>
          <w:color w:val="auto"/>
        </w:rPr>
      </w:pPr>
    </w:p>
    <w:p>
      <w:pPr>
        <w:jc w:val="both"/>
        <w:ind w:left="600" w:firstLine="599"/>
        <w:spacing w:after="0" w:line="253" w:lineRule="auto"/>
        <w:tabs>
          <w:tab w:leader="none" w:pos="2021" w:val="left"/>
        </w:tabs>
        <w:numPr>
          <w:ilvl w:val="0"/>
          <w:numId w:val="400"/>
        </w:numPr>
        <w:rPr>
          <w:rFonts w:ascii="Arial" w:cs="Arial" w:eastAsia="Arial" w:hAnsi="Arial"/>
          <w:sz w:val="20"/>
          <w:szCs w:val="20"/>
          <w:color w:val="auto"/>
        </w:rPr>
      </w:pPr>
      <w:r>
        <w:rPr>
          <w:rFonts w:ascii="Arial" w:cs="Arial" w:eastAsia="Arial" w:hAnsi="Arial"/>
          <w:sz w:val="20"/>
          <w:szCs w:val="20"/>
          <w:u w:val="single" w:color="auto"/>
          <w:color w:val="auto"/>
        </w:rPr>
        <w:t>ADVICE OF COUNSEL</w:t>
      </w:r>
      <w:r>
        <w:rPr>
          <w:rFonts w:ascii="Arial" w:cs="Arial" w:eastAsia="Arial" w:hAnsi="Arial"/>
          <w:sz w:val="20"/>
          <w:szCs w:val="20"/>
          <w:color w:val="auto"/>
        </w:rPr>
        <w:t>. THE PROVISIONS OF THIS SECTION HAVE BEEN CONSIDERED BY EACH PARTY WITH THE ADVICE OF COUNSEL AND WITH A FULL UNDERSTANDING OF THE LEGAL CONSEQUENCES THEREOF, AND SHALL SURVIVE THE PAYMENT OF THE LOANS AND ALL OTHER AMOUNTS PAYABLE HEREUNDER OR UNDER THE OTHER LOAN DOCUMENTS AND UNDER THE AGREEMENT REGARDING FEES, AND THE TERMINATION OF THIS AGREEMENT.</w:t>
      </w:r>
    </w:p>
    <w:p>
      <w:pPr>
        <w:spacing w:after="0" w:line="211" w:lineRule="exact"/>
        <w:rPr>
          <w:rFonts w:ascii="Arial" w:cs="Arial" w:eastAsia="Arial" w:hAnsi="Arial"/>
          <w:sz w:val="20"/>
          <w:szCs w:val="20"/>
          <w:color w:val="auto"/>
        </w:rPr>
      </w:pPr>
    </w:p>
    <w:p>
      <w:pPr>
        <w:jc w:val="both"/>
        <w:ind w:left="600" w:firstLine="599"/>
        <w:spacing w:after="0" w:line="280" w:lineRule="auto"/>
        <w:tabs>
          <w:tab w:leader="none" w:pos="2032" w:val="left"/>
        </w:tabs>
        <w:numPr>
          <w:ilvl w:val="0"/>
          <w:numId w:val="400"/>
        </w:numPr>
        <w:rPr>
          <w:rFonts w:ascii="Arial" w:cs="Arial" w:eastAsia="Arial" w:hAnsi="Arial"/>
          <w:sz w:val="19"/>
          <w:szCs w:val="19"/>
          <w:color w:val="auto"/>
        </w:rPr>
      </w:pPr>
      <w:r>
        <w:rPr>
          <w:rFonts w:ascii="Arial" w:cs="Arial" w:eastAsia="Arial" w:hAnsi="Arial"/>
          <w:sz w:val="19"/>
          <w:szCs w:val="19"/>
          <w:u w:val="single" w:color="auto"/>
          <w:color w:val="auto"/>
        </w:rPr>
        <w:t>SERVICE OF PROCESS</w:t>
      </w:r>
      <w:r>
        <w:rPr>
          <w:rFonts w:ascii="Arial" w:cs="Arial" w:eastAsia="Arial" w:hAnsi="Arial"/>
          <w:sz w:val="19"/>
          <w:szCs w:val="19"/>
          <w:color w:val="auto"/>
        </w:rPr>
        <w:t xml:space="preserve">. EACH PARTY HERETO IRREVOCABLY CONSENTS TO SERVICE OF PROCESS IN THE MANNER PROVIDED FOR NOTICES IN </w:t>
      </w:r>
      <w:r>
        <w:rPr>
          <w:rFonts w:ascii="Arial" w:cs="Arial" w:eastAsia="Arial" w:hAnsi="Arial"/>
          <w:sz w:val="19"/>
          <w:szCs w:val="19"/>
          <w:u w:val="single" w:color="auto"/>
          <w:color w:val="auto"/>
        </w:rPr>
        <w:t>SECTION 10.02</w:t>
      </w:r>
      <w:r>
        <w:rPr>
          <w:rFonts w:ascii="Arial" w:cs="Arial" w:eastAsia="Arial" w:hAnsi="Arial"/>
          <w:sz w:val="19"/>
          <w:szCs w:val="19"/>
          <w:color w:val="auto"/>
        </w:rPr>
        <w:t>. NOTHING IN THIS AGREEMENT WILL AFFECT THE RIGHT OF ANY PARTY HERETO TO SERVE PROCESS IN ANY OTHER MANNER PERMITTED BY APPLICABLE LAW</w:t>
      </w:r>
    </w:p>
    <w:p>
      <w:pPr>
        <w:spacing w:after="0" w:line="185" w:lineRule="exact"/>
        <w:rPr>
          <w:sz w:val="20"/>
          <w:szCs w:val="20"/>
          <w:color w:val="auto"/>
        </w:rPr>
      </w:pPr>
    </w:p>
    <w:p>
      <w:pPr>
        <w:jc w:val="both"/>
        <w:ind w:firstLine="1199"/>
        <w:spacing w:after="0" w:line="265" w:lineRule="auto"/>
        <w:rPr>
          <w:sz w:val="20"/>
          <w:szCs w:val="20"/>
          <w:color w:val="auto"/>
        </w:rPr>
      </w:pPr>
      <w:r>
        <w:rPr>
          <w:rFonts w:ascii="Arial" w:cs="Arial" w:eastAsia="Arial" w:hAnsi="Arial"/>
          <w:sz w:val="19"/>
          <w:szCs w:val="19"/>
          <w:color w:val="auto"/>
        </w:rPr>
        <w:t xml:space="preserve">10.15.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202" w:lineRule="exact"/>
        <w:rPr>
          <w:sz w:val="20"/>
          <w:szCs w:val="20"/>
          <w:color w:val="auto"/>
        </w:rPr>
      </w:pPr>
    </w:p>
    <w:p>
      <w:pPr>
        <w:jc w:val="both"/>
        <w:ind w:firstLine="1199"/>
        <w:spacing w:after="0" w:line="284"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 In connection with all aspects of each transaction contemplated hereby (including in connection with any amendment, waiver or other modification hereof or of any other Loan Document), each of the Borrower and the REIT acknowledges and agrees, and acknowledges its Affiliates’ understanding, that: (i) (A) the arranging and other services regarding this Agreement provided by the Administrative Agent and the Arrangers are arm’s-length commercial transactions between the Borrower, the REIT and their respective Affiliates, on the one hand, and the Administrative Agent, the Arrangers and the Lenders, on the other hand, (B) each of the Borrower and the REIT has consulted its own legal, accounting, regulatory and tax advisors to the extent it has deemed appropriate, and (C) each of the Borrower and the REIT is capable of evaluating, and understands and accepts, the terms, risks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795" w:right="239" w:bottom="1440" w:gutter="0" w:footer="0" w:header="0"/>
        </w:sectPr>
      </w:pPr>
    </w:p>
    <w:bookmarkStart w:id="339" w:name="page340"/>
    <w:bookmarkEnd w:id="339"/>
    <w:p>
      <w:pPr>
        <w:jc w:val="both"/>
        <w:spacing w:after="0" w:line="297" w:lineRule="auto"/>
        <w:rPr>
          <w:sz w:val="20"/>
          <w:szCs w:val="20"/>
          <w:color w:val="auto"/>
        </w:rPr>
      </w:pPr>
      <w:r>
        <w:rPr>
          <w:rFonts w:ascii="Arial" w:cs="Arial" w:eastAsia="Arial" w:hAnsi="Arial"/>
          <w:sz w:val="17"/>
          <w:szCs w:val="17"/>
          <w:color w:val="auto"/>
        </w:rPr>
        <w:t>conditions of the transactions contemplated hereby and by the other Loan Documents; (ii) (A) the Administrative Agent, the Arrangers and the Lenders each is and has been acting solely as a principal and, except as expressly agreed in writing by the relevant parties, has not been, is not, and will not be acting as an advisor, agent or fiduciary for the Borrower, the REIT or any of their respective Affiliates, or any other Person and</w:t>
      </w:r>
    </w:p>
    <w:p>
      <w:pPr>
        <w:spacing w:after="0" w:line="2" w:lineRule="exact"/>
        <w:rPr>
          <w:sz w:val="20"/>
          <w:szCs w:val="20"/>
          <w:color w:val="auto"/>
        </w:rPr>
      </w:pPr>
    </w:p>
    <w:p>
      <w:pPr>
        <w:jc w:val="both"/>
        <w:spacing w:after="0" w:line="263" w:lineRule="auto"/>
        <w:tabs>
          <w:tab w:leader="none" w:pos="323" w:val="left"/>
        </w:tabs>
        <w:numPr>
          <w:ilvl w:val="0"/>
          <w:numId w:val="401"/>
        </w:numPr>
        <w:rPr>
          <w:rFonts w:ascii="Arial" w:cs="Arial" w:eastAsia="Arial" w:hAnsi="Arial"/>
          <w:sz w:val="19"/>
          <w:szCs w:val="19"/>
          <w:color w:val="auto"/>
        </w:rPr>
      </w:pPr>
      <w:r>
        <w:rPr>
          <w:rFonts w:ascii="Arial" w:cs="Arial" w:eastAsia="Arial" w:hAnsi="Arial"/>
          <w:sz w:val="19"/>
          <w:szCs w:val="19"/>
          <w:color w:val="auto"/>
        </w:rPr>
        <w:t>neither the Administrative Agent, the Arrangers, nor any Lender have any obligation to the Borrower, the REIT or any of their respective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Borrower, the REIT and their respective Affiliates, and neither the Administrative Agent, the Arrangers nor any Lender have any obligation to disclose any of such interests to the Borrower, the REIT or any of their respective Affiliates. To the fullest extent permitted by law, each of the Borrower and the REIT hereby waives and releases any claims that it may have against the Administrative Agent, the Arrangers and the Lenders with respect to any breach or alleged breach of agency or fiduciary duty in connection with any aspect of any transaction contemplated hereby.</w:t>
      </w:r>
    </w:p>
    <w:p>
      <w:pPr>
        <w:spacing w:after="0" w:line="198" w:lineRule="exact"/>
        <w:rPr>
          <w:sz w:val="20"/>
          <w:szCs w:val="20"/>
          <w:color w:val="auto"/>
        </w:rPr>
      </w:pPr>
    </w:p>
    <w:p>
      <w:pPr>
        <w:jc w:val="both"/>
        <w:ind w:firstLine="1199"/>
        <w:spacing w:after="0" w:line="280"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auto"/>
        </w:rPr>
        <w:t>Electronic Execution of Assignments and Certain Other Documents</w:t>
      </w:r>
      <w:r>
        <w:rPr>
          <w:rFonts w:ascii="Arial" w:cs="Arial" w:eastAsia="Arial" w:hAnsi="Arial"/>
          <w:sz w:val="18"/>
          <w:szCs w:val="18"/>
          <w:color w:val="auto"/>
        </w:rPr>
        <w:t>. The words “</w:t>
      </w:r>
      <w:r>
        <w:rPr>
          <w:rFonts w:ascii="Arial" w:cs="Arial" w:eastAsia="Arial" w:hAnsi="Arial"/>
          <w:sz w:val="18"/>
          <w:szCs w:val="18"/>
          <w:color w:val="FF0000"/>
          <w:strike w:val="1"/>
        </w:rPr>
        <w:t>execution,” “</w:t>
      </w:r>
      <w:r>
        <w:rPr>
          <w:rFonts w:ascii="Arial" w:cs="Arial" w:eastAsia="Arial" w:hAnsi="Arial"/>
          <w:sz w:val="18"/>
          <w:szCs w:val="18"/>
          <w:color w:val="auto"/>
        </w:rPr>
        <w:t>execute,” “</w:t>
      </w:r>
      <w:r>
        <w:rPr>
          <w:rFonts w:ascii="Arial" w:cs="Arial" w:eastAsia="Arial" w:hAnsi="Arial"/>
          <w:sz w:val="18"/>
          <w:szCs w:val="18"/>
          <w:b w:val="1"/>
          <w:bCs w:val="1"/>
          <w:u w:val="single" w:color="auto"/>
          <w:color w:val="0000FF"/>
          <w:highlight w:val="lightGray"/>
        </w:rPr>
        <w:t>execution,”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highlight w:val="lightGray"/>
        </w:rPr>
        <w:t>“</w:t>
      </w:r>
      <w:r>
        <w:rPr>
          <w:rFonts w:ascii="Arial" w:cs="Arial" w:eastAsia="Arial" w:hAnsi="Arial"/>
          <w:sz w:val="18"/>
          <w:szCs w:val="18"/>
          <w:color w:val="000000"/>
        </w:rPr>
        <w:t>signed,” “signature,” and words of like import in</w:t>
      </w:r>
      <w:r>
        <w:rPr>
          <w:rFonts w:ascii="Arial" w:cs="Arial" w:eastAsia="Arial" w:hAnsi="Arial"/>
          <w:sz w:val="18"/>
          <w:szCs w:val="18"/>
          <w:b w:val="1"/>
          <w:bCs w:val="1"/>
          <w:color w:val="0000FF"/>
          <w:highlight w:val="lightGray"/>
        </w:rPr>
        <w:t xml:space="preserve"> </w:t>
      </w:r>
      <w:r>
        <w:rPr>
          <w:rFonts w:ascii="Arial" w:cs="Arial" w:eastAsia="Arial" w:hAnsi="Arial"/>
          <w:sz w:val="18"/>
          <w:szCs w:val="18"/>
          <w:color w:val="FF0000"/>
          <w:strike w:val="1"/>
        </w:rPr>
        <w:t>any Assignment and Assumption or in any amendment or other modification hereof</w:t>
      </w:r>
      <w:r>
        <w:rPr>
          <w:rFonts w:ascii="Arial" w:cs="Arial" w:eastAsia="Arial" w:hAnsi="Arial"/>
          <w:sz w:val="18"/>
          <w:szCs w:val="18"/>
          <w:b w:val="1"/>
          <w:bCs w:val="1"/>
          <w:color w:val="0000FF"/>
          <w:highlight w:val="lightGray"/>
        </w:rPr>
        <w:t xml:space="preserve"> </w:t>
      </w:r>
      <w:r>
        <w:rPr>
          <w:rFonts w:ascii="Arial" w:cs="Arial" w:eastAsia="Arial" w:hAnsi="Arial"/>
          <w:sz w:val="18"/>
          <w:szCs w:val="18"/>
          <w:color w:val="FF0000"/>
          <w:strike w:val="1"/>
        </w:rPr>
        <w:t>(including</w:t>
      </w:r>
      <w:r>
        <w:rPr>
          <w:rFonts w:ascii="Arial" w:cs="Arial" w:eastAsia="Arial" w:hAnsi="Arial"/>
          <w:sz w:val="18"/>
          <w:szCs w:val="18"/>
          <w:b w:val="1"/>
          <w:bCs w:val="1"/>
          <w:u w:val="single" w:color="auto"/>
          <w:color w:val="0000FF"/>
          <w:highlight w:val="lightGray"/>
          <w:strike w:val="1"/>
        </w:rPr>
        <w:t>or related to any document to be signed in connection with this Agreement and the transactions contemplated hereby</w:t>
      </w:r>
      <w:r>
        <w:rPr>
          <w:rFonts w:ascii="Arial" w:cs="Arial" w:eastAsia="Arial" w:hAnsi="Arial"/>
          <w:sz w:val="18"/>
          <w:szCs w:val="18"/>
          <w:color w:val="FF0000"/>
          <w:strike w:val="1"/>
        </w:rPr>
        <w:t xml:space="preserve"> </w:t>
      </w:r>
      <w:r>
        <w:rPr>
          <w:rFonts w:ascii="Arial" w:cs="Arial" w:eastAsia="Arial" w:hAnsi="Arial"/>
          <w:sz w:val="18"/>
          <w:szCs w:val="18"/>
          <w:b w:val="1"/>
          <w:bCs w:val="1"/>
          <w:u w:val="single" w:color="auto"/>
          <w:color w:val="0000FF"/>
          <w:highlight w:val="lightGray"/>
          <w:strike w:val="1"/>
        </w:rPr>
        <w:t>(including without limitation Assignment and Assumptions, amendments, amendment and restatements or other modifications, Loan Notices,</w:t>
      </w:r>
      <w:r>
        <w:rPr>
          <w:rFonts w:ascii="Arial" w:cs="Arial" w:eastAsia="Arial" w:hAnsi="Arial"/>
          <w:sz w:val="18"/>
          <w:szCs w:val="18"/>
          <w:b w:val="1"/>
          <w:bCs w:val="1"/>
          <w:color w:val="0000FF"/>
          <w:highlight w:val="lightGray"/>
          <w:strike w:val="1"/>
        </w:rPr>
        <w:t xml:space="preserve"> </w:t>
      </w:r>
      <w:r>
        <w:rPr>
          <w:rFonts w:ascii="Arial" w:cs="Arial" w:eastAsia="Arial" w:hAnsi="Arial"/>
          <w:sz w:val="18"/>
          <w:szCs w:val="18"/>
          <w:color w:val="000000"/>
          <w:strike w:val="1"/>
        </w:rPr>
        <w:t>waivers and consents) shall be deemed to include electronic signatures, the electronic matching of assignment terms and contract</w:t>
      </w:r>
      <w:r>
        <w:rPr>
          <w:rFonts w:ascii="Arial" w:cs="Arial" w:eastAsia="Arial" w:hAnsi="Arial"/>
          <w:sz w:val="18"/>
          <w:szCs w:val="18"/>
          <w:b w:val="1"/>
          <w:bCs w:val="1"/>
          <w:color w:val="0000FF"/>
          <w:highlight w:val="lightGray"/>
          <w:strike w:val="1"/>
        </w:rPr>
        <w:t xml:space="preserve"> </w:t>
      </w:r>
      <w:r>
        <w:rPr>
          <w:rFonts w:ascii="Arial" w:cs="Arial" w:eastAsia="Arial" w:hAnsi="Arial"/>
          <w:sz w:val="18"/>
          <w:szCs w:val="18"/>
          <w:color w:val="000000"/>
          <w:strike w:val="1"/>
        </w:rPr>
        <w:t xml:space="preserve">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w:t>
      </w:r>
      <w:r>
        <w:rPr>
          <w:rFonts w:ascii="Arial" w:cs="Arial" w:eastAsia="Arial" w:hAnsi="Arial"/>
          <w:sz w:val="18"/>
          <w:szCs w:val="18"/>
          <w:color w:val="FF0000"/>
          <w:strike w:val="1"/>
        </w:rPr>
        <w:t>law</w:t>
      </w:r>
      <w:r>
        <w:rPr>
          <w:rFonts w:ascii="Arial" w:cs="Arial" w:eastAsia="Arial" w:hAnsi="Arial"/>
          <w:sz w:val="18"/>
          <w:szCs w:val="18"/>
          <w:b w:val="1"/>
          <w:bCs w:val="1"/>
          <w:u w:val="single" w:color="auto"/>
          <w:color w:val="0000FF"/>
          <w:highlight w:val="lightGray"/>
          <w:strike w:val="1"/>
        </w:rPr>
        <w:t>Law</w:t>
      </w:r>
      <w:r>
        <w:rPr>
          <w:rFonts w:ascii="Arial" w:cs="Arial" w:eastAsia="Arial" w:hAnsi="Arial"/>
          <w:sz w:val="18"/>
          <w:szCs w:val="18"/>
          <w:color w:val="000000"/>
          <w:strike w:val="1"/>
        </w:rPr>
        <w:t>, including the Federal Electronic Signatures in Global and National Commerce Act, the New York State Electronic Signatures and Records Act, or any other similar state laws based on the Uniform Electronic Transactions Act</w:t>
      </w:r>
      <w:r>
        <w:rPr>
          <w:rFonts w:ascii="Arial" w:cs="Arial" w:eastAsia="Arial" w:hAnsi="Arial"/>
          <w:sz w:val="18"/>
          <w:szCs w:val="18"/>
          <w:color w:val="FF0000"/>
          <w:strike w:val="1"/>
        </w:rPr>
        <w:t>.</w:t>
      </w:r>
      <w:r>
        <w:rPr>
          <w:rFonts w:ascii="Arial" w:cs="Arial" w:eastAsia="Arial" w:hAnsi="Arial"/>
          <w:sz w:val="18"/>
          <w:szCs w:val="18"/>
          <w:b w:val="1"/>
          <w:bCs w:val="1"/>
          <w:u w:val="single" w:color="auto"/>
          <w:color w:val="0000FF"/>
          <w:highlight w:val="lightGray"/>
          <w:strike w:val="1"/>
        </w:rPr>
        <w:t>; provided that notwithstanding anything contained herein to the contrary, the Administrative Agent is under no</w:t>
      </w:r>
      <w:r>
        <w:rPr>
          <w:rFonts w:ascii="Arial" w:cs="Arial" w:eastAsia="Arial" w:hAnsi="Arial"/>
          <w:sz w:val="18"/>
          <w:szCs w:val="18"/>
          <w:color w:val="000000"/>
          <w:strike w:val="1"/>
        </w:rPr>
        <w:t xml:space="preserve"> </w:t>
      </w:r>
      <w:r>
        <w:rPr>
          <w:rFonts w:ascii="Arial" w:cs="Arial" w:eastAsia="Arial" w:hAnsi="Arial"/>
          <w:sz w:val="18"/>
          <w:szCs w:val="18"/>
          <w:b w:val="1"/>
          <w:bCs w:val="1"/>
          <w:u w:val="single" w:color="auto"/>
          <w:color w:val="0000FF"/>
          <w:highlight w:val="lightGray"/>
          <w:strike w:val="1"/>
        </w:rPr>
        <w:t>obligation to agree to accept electronic signatures in any form or in any format unless expressly agreed to by the Administrative Agent pursuant to procedures approved by it.</w:t>
      </w:r>
    </w:p>
    <w:p>
      <w:pPr>
        <w:spacing w:after="0" w:line="193" w:lineRule="exact"/>
        <w:rPr>
          <w:sz w:val="20"/>
          <w:szCs w:val="20"/>
          <w:color w:val="auto"/>
        </w:rPr>
      </w:pPr>
    </w:p>
    <w:p>
      <w:pPr>
        <w:jc w:val="both"/>
        <w:ind w:firstLine="1199"/>
        <w:spacing w:after="0" w:line="251" w:lineRule="auto"/>
        <w:rPr>
          <w:sz w:val="20"/>
          <w:szCs w:val="20"/>
          <w:color w:val="auto"/>
        </w:rPr>
      </w:pPr>
      <w:r>
        <w:rPr>
          <w:rFonts w:ascii="Arial" w:cs="Arial" w:eastAsia="Arial" w:hAnsi="Arial"/>
          <w:sz w:val="20"/>
          <w:szCs w:val="20"/>
          <w:color w:val="auto"/>
        </w:rPr>
        <w:t xml:space="preserve">10.18. </w:t>
      </w:r>
      <w:r>
        <w:rPr>
          <w:rFonts w:ascii="Arial" w:cs="Arial" w:eastAsia="Arial" w:hAnsi="Arial"/>
          <w:sz w:val="20"/>
          <w:szCs w:val="20"/>
          <w:u w:val="single" w:color="auto"/>
          <w:color w:val="auto"/>
        </w:rPr>
        <w:t>USA PATRIOT Act</w:t>
      </w:r>
      <w:r>
        <w:rPr>
          <w:rFonts w:ascii="Arial" w:cs="Arial" w:eastAsia="Arial" w:hAnsi="Arial"/>
          <w:sz w:val="20"/>
          <w:szCs w:val="20"/>
          <w:color w:val="auto"/>
        </w:rPr>
        <w:t>. Each Lender that is subject to the Act (as hereinafter defined) and the Administrative Agent (for itself and not on behalf of any Lender) hereby notifies the Borrower that pursuant to the requirements of the USA Patriot Act (Title III of Pub. L. 107-56 (signed into law October 26, 2001)) (the “</w:t>
      </w:r>
      <w:r>
        <w:rPr>
          <w:rFonts w:ascii="Arial" w:cs="Arial" w:eastAsia="Arial" w:hAnsi="Arial"/>
          <w:sz w:val="20"/>
          <w:szCs w:val="20"/>
          <w:u w:val="single" w:color="auto"/>
          <w:color w:val="auto"/>
        </w:rPr>
        <w:t>Act</w:t>
      </w:r>
      <w:r>
        <w:rPr>
          <w:rFonts w:ascii="Arial" w:cs="Arial" w:eastAsia="Arial" w:hAnsi="Arial"/>
          <w:sz w:val="20"/>
          <w:szCs w:val="20"/>
          <w:color w:val="auto"/>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212" w:lineRule="exact"/>
        <w:rPr>
          <w:sz w:val="20"/>
          <w:szCs w:val="20"/>
          <w:color w:val="auto"/>
        </w:rPr>
      </w:pPr>
    </w:p>
    <w:p>
      <w:pPr>
        <w:ind w:left="1200"/>
        <w:spacing w:after="0"/>
        <w:tabs>
          <w:tab w:leader="none" w:pos="1880" w:val="left"/>
        </w:tabs>
        <w:rPr>
          <w:sz w:val="20"/>
          <w:szCs w:val="20"/>
          <w:color w:val="auto"/>
        </w:rPr>
      </w:pPr>
      <w:r>
        <w:rPr>
          <w:rFonts w:ascii="Arial" w:cs="Arial" w:eastAsia="Arial" w:hAnsi="Arial"/>
          <w:sz w:val="20"/>
          <w:szCs w:val="20"/>
          <w:color w:val="auto"/>
        </w:rPr>
        <w:t>10.19.</w:t>
      </w:r>
      <w:r>
        <w:rPr>
          <w:sz w:val="20"/>
          <w:szCs w:val="20"/>
          <w:color w:val="auto"/>
        </w:rPr>
        <w:tab/>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p>
    <w:p>
      <w:pPr>
        <w:spacing w:after="0" w:line="7" w:lineRule="exact"/>
        <w:rPr>
          <w:sz w:val="20"/>
          <w:szCs w:val="20"/>
          <w:color w:val="auto"/>
        </w:rPr>
      </w:pPr>
    </w:p>
    <w:p>
      <w:pPr>
        <w:ind w:left="1200"/>
        <w:spacing w:after="0"/>
        <w:tabs>
          <w:tab w:leader="none" w:pos="1880" w:val="left"/>
        </w:tabs>
        <w:rPr>
          <w:sz w:val="20"/>
          <w:szCs w:val="20"/>
          <w:color w:val="auto"/>
        </w:rPr>
      </w:pPr>
      <w:r>
        <w:rPr>
          <w:rFonts w:ascii="Arial" w:cs="Arial" w:eastAsia="Arial" w:hAnsi="Arial"/>
          <w:sz w:val="20"/>
          <w:szCs w:val="20"/>
          <w:b w:val="1"/>
          <w:bCs w:val="1"/>
          <w:u w:val="single" w:color="auto"/>
          <w:color w:val="0000FF"/>
          <w:highlight w:val="lightGray"/>
        </w:rPr>
        <w:t>10.20.</w:t>
      </w:r>
      <w:r>
        <w:rPr>
          <w:sz w:val="20"/>
          <w:szCs w:val="20"/>
          <w:color w:val="auto"/>
        </w:rPr>
        <w:tab/>
      </w:r>
      <w:r>
        <w:rPr>
          <w:rFonts w:ascii="Arial" w:cs="Arial" w:eastAsia="Arial" w:hAnsi="Arial"/>
          <w:sz w:val="18"/>
          <w:szCs w:val="18"/>
          <w:b w:val="1"/>
          <w:bCs w:val="1"/>
          <w:u w:val="single" w:color="auto"/>
          <w:color w:val="0000FF"/>
          <w:highlight w:val="lightGray"/>
        </w:rPr>
        <w:t>[Intentionally Omitted].</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20"/>
          <w:szCs w:val="20"/>
          <w:color w:val="FF0000"/>
          <w:strike w:val="1"/>
        </w:rPr>
        <w:t xml:space="preserve">10.20. </w:t>
      </w:r>
      <w:r>
        <w:rPr>
          <w:rFonts w:ascii="Arial" w:cs="Arial" w:eastAsia="Arial" w:hAnsi="Arial"/>
          <w:sz w:val="20"/>
          <w:szCs w:val="20"/>
          <w:u w:val="single" w:color="auto"/>
          <w:color w:val="FF0000"/>
          <w:strike w:val="1"/>
        </w:rPr>
        <w:t>Releases of Subsidiaries that are Guarantors</w:t>
      </w:r>
    </w:p>
    <w:p>
      <w:pPr>
        <w:spacing w:after="0" w:line="23" w:lineRule="exact"/>
        <w:rPr>
          <w:sz w:val="20"/>
          <w:szCs w:val="20"/>
          <w:color w:val="auto"/>
        </w:rPr>
      </w:pPr>
    </w:p>
    <w:p>
      <w:pPr>
        <w:ind w:left="600" w:hanging="1"/>
        <w:spacing w:after="0" w:line="256" w:lineRule="auto"/>
        <w:tabs>
          <w:tab w:leader="none" w:pos="700" w:val="left"/>
        </w:tabs>
        <w:numPr>
          <w:ilvl w:val="0"/>
          <w:numId w:val="402"/>
        </w:numPr>
        <w:rPr>
          <w:rFonts w:ascii="Arial" w:cs="Arial" w:eastAsia="Arial" w:hAnsi="Arial"/>
          <w:sz w:val="20"/>
          <w:szCs w:val="20"/>
          <w:color w:val="FF0000"/>
          <w:strike w:val="1"/>
        </w:rPr>
      </w:pPr>
      <w:r>
        <w:rPr>
          <w:rFonts w:ascii="Arial" w:cs="Arial" w:eastAsia="Arial" w:hAnsi="Arial"/>
          <w:sz w:val="20"/>
          <w:szCs w:val="20"/>
          <w:color w:val="FF0000"/>
          <w:strike w:val="1"/>
        </w:rPr>
        <w:t>If at any time (a) the Borrower has obtained at least two of any of the following three Debt Ratings:(x) BBB- or higher from S&amp;P, (y) BBB- or higher from Fitch and (z) Baa3 or higher from Moody’s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794" w:right="239" w:bottom="1440" w:gutter="0" w:footer="0" w:header="0"/>
        </w:sectPr>
      </w:pPr>
    </w:p>
    <w:bookmarkStart w:id="340" w:name="page341"/>
    <w:bookmarkEnd w:id="340"/>
    <w:p>
      <w:pPr>
        <w:jc w:val="both"/>
        <w:spacing w:after="0" w:line="268" w:lineRule="auto"/>
        <w:rPr>
          <w:sz w:val="20"/>
          <w:szCs w:val="20"/>
          <w:color w:val="auto"/>
        </w:rPr>
      </w:pPr>
      <w:r>
        <w:rPr>
          <w:rFonts w:ascii="Arial" w:cs="Arial" w:eastAsia="Arial" w:hAnsi="Arial"/>
          <w:sz w:val="19"/>
          <w:szCs w:val="19"/>
          <w:color w:val="FF0000"/>
          <w:strike w:val="1"/>
        </w:rPr>
        <w:t xml:space="preserve">and (b) the Borrower issues (or modifies) any senior unsecured Indebtedness that is </w:t>
      </w:r>
      <w:r>
        <w:rPr>
          <w:rFonts w:ascii="Arial" w:cs="Arial" w:eastAsia="Arial" w:hAnsi="Arial"/>
          <w:sz w:val="19"/>
          <w:szCs w:val="19"/>
          <w:i w:val="1"/>
          <w:iCs w:val="1"/>
          <w:color w:val="FF0000"/>
          <w:strike w:val="1"/>
        </w:rPr>
        <w:t>pari passu</w:t>
      </w:r>
      <w:r>
        <w:rPr>
          <w:rFonts w:ascii="Arial" w:cs="Arial" w:eastAsia="Arial" w:hAnsi="Arial"/>
          <w:sz w:val="19"/>
          <w:szCs w:val="19"/>
          <w:color w:val="FF0000"/>
          <w:strike w:val="1"/>
        </w:rPr>
        <w:t xml:space="preserve"> with the Obligations (such issuance or modification being referred to herein as a “</w:t>
      </w:r>
      <w:r>
        <w:rPr>
          <w:rFonts w:ascii="Arial" w:cs="Arial" w:eastAsia="Arial" w:hAnsi="Arial"/>
          <w:sz w:val="19"/>
          <w:szCs w:val="19"/>
          <w:u w:val="single" w:color="auto"/>
          <w:color w:val="FF0000"/>
          <w:strike w:val="1"/>
        </w:rPr>
        <w:t>Pari Passu Debt Incurrence</w:t>
      </w:r>
      <w:r>
        <w:rPr>
          <w:rFonts w:ascii="Arial" w:cs="Arial" w:eastAsia="Arial" w:hAnsi="Arial"/>
          <w:sz w:val="19"/>
          <w:szCs w:val="19"/>
          <w:color w:val="FF0000"/>
          <w:strike w:val="1"/>
        </w:rPr>
        <w:t>”), the Administrative Agent shall (at the sole cost of the Borrower and pursuant to documentation reasonably satisfactory to the Administrative Agent) release all of the Subsidiaries of the Borrower that are Guarantors from their obligations under the Guaranty Agreement simultaneously or substantially simultaneously with such Pari Passu Debt Incurrence (such release being referred to herein as a “</w:t>
      </w:r>
      <w:r>
        <w:rPr>
          <w:rFonts w:ascii="Arial" w:cs="Arial" w:eastAsia="Arial" w:hAnsi="Arial"/>
          <w:sz w:val="19"/>
          <w:szCs w:val="19"/>
          <w:u w:val="single" w:color="auto"/>
          <w:color w:val="FF0000"/>
          <w:strike w:val="1"/>
        </w:rPr>
        <w:t>Permitted Subsidiary Guarantor Release</w:t>
      </w:r>
      <w:r>
        <w:rPr>
          <w:rFonts w:ascii="Arial" w:cs="Arial" w:eastAsia="Arial" w:hAnsi="Arial"/>
          <w:sz w:val="19"/>
          <w:szCs w:val="19"/>
          <w:color w:val="FF0000"/>
          <w:strike w:val="1"/>
        </w:rPr>
        <w:t>”), provided that each of the following conditions precedent have been satisfied:</w:t>
      </w:r>
    </w:p>
    <w:p>
      <w:pPr>
        <w:spacing w:after="0" w:line="197" w:lineRule="exact"/>
        <w:rPr>
          <w:sz w:val="20"/>
          <w:szCs w:val="20"/>
          <w:color w:val="auto"/>
        </w:rPr>
      </w:pPr>
    </w:p>
    <w:p>
      <w:pPr>
        <w:jc w:val="both"/>
        <w:ind w:left="1120" w:firstLine="591"/>
        <w:spacing w:after="0" w:line="284" w:lineRule="auto"/>
        <w:tabs>
          <w:tab w:leader="none" w:pos="1976" w:val="left"/>
        </w:tabs>
        <w:numPr>
          <w:ilvl w:val="0"/>
          <w:numId w:val="403"/>
        </w:numPr>
        <w:rPr>
          <w:rFonts w:ascii="Arial" w:cs="Arial" w:eastAsia="Arial" w:hAnsi="Arial"/>
          <w:sz w:val="18"/>
          <w:szCs w:val="18"/>
          <w:color w:val="FF0000"/>
          <w:strike w:val="1"/>
        </w:rPr>
      </w:pPr>
      <w:r>
        <w:rPr>
          <w:rFonts w:ascii="Arial" w:cs="Arial" w:eastAsia="Arial" w:hAnsi="Arial"/>
          <w:sz w:val="18"/>
          <w:szCs w:val="18"/>
          <w:color w:val="FF0000"/>
          <w:strike w:val="1"/>
        </w:rPr>
        <w:t>The REIT shall have delivered to the Administrative Agent, on or prior to the date that is five (5) Business Days (or such shorter period of time as agreed to by the Administrative Agent in writing) before the date on which such Permitted Subsidiary Guarantor Release is to be effected, a certificate executed by a Responsible Officer of the REIT (x) certifying that the Borrower has obtained the Debt Ratings required under clause (a) above (or will have such Debt Ratings upon the occurrence of the Permitted Subsidiary Guarantor Release) and (y) notifying the Administrative Agent and the Lenders that (A) the Borrower will be consummating a Pari Passu Debt Incurrence (and the anticipated date of the consummation thereof) and (B) a Permitted Subsidiary Guarantor Release is being requested; and</w:t>
      </w:r>
    </w:p>
    <w:p>
      <w:pPr>
        <w:spacing w:after="0" w:line="183" w:lineRule="exact"/>
        <w:rPr>
          <w:rFonts w:ascii="Arial" w:cs="Arial" w:eastAsia="Arial" w:hAnsi="Arial"/>
          <w:sz w:val="18"/>
          <w:szCs w:val="18"/>
          <w:color w:val="FF0000"/>
          <w:strike w:val="1"/>
        </w:rPr>
      </w:pPr>
    </w:p>
    <w:p>
      <w:pPr>
        <w:jc w:val="both"/>
        <w:ind w:left="1120" w:firstLine="591"/>
        <w:spacing w:after="0" w:line="278" w:lineRule="auto"/>
        <w:tabs>
          <w:tab w:leader="none" w:pos="2014" w:val="left"/>
        </w:tabs>
        <w:numPr>
          <w:ilvl w:val="0"/>
          <w:numId w:val="403"/>
        </w:numPr>
        <w:rPr>
          <w:rFonts w:ascii="Arial" w:cs="Arial" w:eastAsia="Arial" w:hAnsi="Arial"/>
          <w:sz w:val="18"/>
          <w:szCs w:val="18"/>
          <w:color w:val="FF0000"/>
          <w:strike w:val="1"/>
        </w:rPr>
      </w:pPr>
      <w:r>
        <w:rPr>
          <w:rFonts w:ascii="Arial" w:cs="Arial" w:eastAsia="Arial" w:hAnsi="Arial"/>
          <w:sz w:val="18"/>
          <w:szCs w:val="18"/>
          <w:color w:val="FF0000"/>
          <w:strike w:val="1"/>
        </w:rPr>
        <w:t xml:space="preserve">The Borrower shall have submitted to the Administrative Agent and the Lenders, within one (1) Business Day prior to the date on which such Permitted Subsidiary Guarantor Release is to be effected, a certificate executed by a Responsible Officer of the REIT certifying to the Administrative Agent and the Lenders that, immediately before and immediately after giving effect to such Permitted Subsidiary Guarantor Release, (1) after giving effect to such Permitted Subsidiary Guarantor Release, no Subsidiary of the Borrower that is to be released from its obligations under the Guaranty Agreement pursuant thereto will be a borrower, guarantor or otherwise obligated in respect of any Pari Passu Obligations, (2) no Default or Event of Default has occurred and is continuing or would result therefrom and (3) the representations and warranties of each Borrower and each other Loan Party contained in </w:t>
      </w:r>
      <w:r>
        <w:rPr>
          <w:rFonts w:ascii="Arial" w:cs="Arial" w:eastAsia="Arial" w:hAnsi="Arial"/>
          <w:sz w:val="18"/>
          <w:szCs w:val="18"/>
          <w:u w:val="single" w:color="auto"/>
          <w:color w:val="FF0000"/>
          <w:strike w:val="1"/>
        </w:rPr>
        <w:t>Article V</w:t>
      </w:r>
      <w:r>
        <w:rPr>
          <w:rFonts w:ascii="Arial" w:cs="Arial" w:eastAsia="Arial" w:hAnsi="Arial"/>
          <w:sz w:val="18"/>
          <w:szCs w:val="18"/>
          <w:color w:val="FF0000"/>
          <w:strike w:val="1"/>
        </w:rPr>
        <w:t xml:space="preserve"> or any other Loan Document, or which are contained in any document furnished at any time under or in connection herewith or therewith, are true and correct in all material respects on and as of the date of such release and immediately after giving effect to such release, except (A) to the extent that such representations and warranties specifically refer to an earlier date, in which case they shall be true and correct as of such earlier date, (B) any representation or warranty that is already by its terms qualified as to “materiality”, “Material Adverse Effect” or similar language shall be true and correct in all respects as of such date after giving effect to such qualification and (C) for purposes of this </w:t>
      </w:r>
      <w:r>
        <w:rPr>
          <w:rFonts w:ascii="Arial" w:cs="Arial" w:eastAsia="Arial" w:hAnsi="Arial"/>
          <w:sz w:val="18"/>
          <w:szCs w:val="18"/>
          <w:u w:val="single" w:color="auto"/>
          <w:color w:val="FF0000"/>
          <w:strike w:val="1"/>
        </w:rPr>
        <w:t>Section 10.20</w:t>
      </w:r>
      <w:r>
        <w:rPr>
          <w:rFonts w:ascii="Arial" w:cs="Arial" w:eastAsia="Arial" w:hAnsi="Arial"/>
          <w:sz w:val="18"/>
          <w:szCs w:val="18"/>
          <w:color w:val="FF0000"/>
          <w:strike w:val="1"/>
        </w:rPr>
        <w:t xml:space="preserve">, the representations and warranties contained in subsections (a) and (b) of </w:t>
      </w:r>
      <w:r>
        <w:rPr>
          <w:rFonts w:ascii="Arial" w:cs="Arial" w:eastAsia="Arial" w:hAnsi="Arial"/>
          <w:sz w:val="18"/>
          <w:szCs w:val="18"/>
          <w:u w:val="single" w:color="auto"/>
          <w:color w:val="FF0000"/>
          <w:strike w:val="1"/>
        </w:rPr>
        <w:t>Section 5.05</w:t>
      </w:r>
      <w:r>
        <w:rPr>
          <w:rFonts w:ascii="Arial" w:cs="Arial" w:eastAsia="Arial" w:hAnsi="Arial"/>
          <w:sz w:val="18"/>
          <w:szCs w:val="18"/>
          <w:color w:val="FF0000"/>
          <w:strike w:val="1"/>
        </w:rPr>
        <w:t xml:space="preserve"> shall be deemed to refer to the most recent statements furnished pursuant to clauses (a) and (b), respectively, of </w:t>
      </w:r>
      <w:r>
        <w:rPr>
          <w:rFonts w:ascii="Arial" w:cs="Arial" w:eastAsia="Arial" w:hAnsi="Arial"/>
          <w:sz w:val="18"/>
          <w:szCs w:val="18"/>
          <w:u w:val="single" w:color="auto"/>
          <w:color w:val="FF0000"/>
          <w:strike w:val="1"/>
        </w:rPr>
        <w:t>Section 6.01</w:t>
      </w:r>
      <w:r>
        <w:rPr>
          <w:rFonts w:ascii="Arial" w:cs="Arial" w:eastAsia="Arial" w:hAnsi="Arial"/>
          <w:sz w:val="18"/>
          <w:szCs w:val="18"/>
          <w:color w:val="FF0000"/>
          <w:strike w:val="1"/>
        </w:rPr>
        <w:t>;</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u w:val="single" w:color="auto"/>
          <w:color w:val="FF0000"/>
        </w:rPr>
        <w:t>provided</w:t>
      </w:r>
      <w:r>
        <w:rPr>
          <w:rFonts w:ascii="Arial" w:cs="Arial" w:eastAsia="Arial" w:hAnsi="Arial"/>
          <w:sz w:val="20"/>
          <w:szCs w:val="20"/>
          <w:color w:val="FF0000"/>
        </w:rPr>
        <w:t xml:space="preserve">, that notwithstanding the foregoing, if at any time following a Permitted Subsidiary Guarantor Release, any Subsidiary </w:t>
      </w:r>
      <w:r>
        <w:rPr>
          <w:rFonts w:ascii="Arial" w:cs="Arial" w:eastAsia="Arial" w:hAnsi="Arial"/>
          <w:sz w:val="20"/>
          <w:szCs w:val="20"/>
          <w:color w:val="FF0000"/>
          <w:strike w:val="1"/>
        </w:rPr>
        <w:t>provides a Guarantee of, or otherwise becomes an obligor in respect of, any Indebtedness of the Borrower or the REIT (other than the Obligations), then (1) the REIT shall immediately notify the Administrative Agent thereof, (2) any Guarantee of the Obligations previously provided by such Subsidiary shall be reinstated automatically and (3) the REIT shall cause such Subsidiary to execute and deliver such reaffirmations of its obligations under the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-685800</wp:posOffset>
            </wp:positionV>
            <wp:extent cx="687387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73875" cy="7620"/>
                    </a:xfrm>
                    <a:prstGeom prst="rect">
                      <a:avLst/>
                    </a:prstGeom>
                    <a:noFill/>
                  </pic:spPr>
                </pic:pic>
              </a:graphicData>
            </a:graphic>
          </wp:anchor>
        </w:drawing>
      </w:r>
    </w:p>
    <w:p>
      <w:pPr>
        <w:spacing w:after="0" w:line="16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820"/>
          </w:cols>
          <w:pgMar w:left="840" w:top="795" w:right="239" w:bottom="1440" w:gutter="0" w:footer="0" w:header="0"/>
        </w:sectPr>
      </w:pPr>
    </w:p>
    <w:bookmarkStart w:id="341" w:name="page342"/>
    <w:bookmarkEnd w:id="341"/>
    <w:p>
      <w:pPr>
        <w:spacing w:after="0" w:line="272" w:lineRule="auto"/>
        <w:rPr>
          <w:sz w:val="20"/>
          <w:szCs w:val="20"/>
          <w:color w:val="auto"/>
        </w:rPr>
      </w:pPr>
      <w:r>
        <w:rPr>
          <w:rFonts w:ascii="Arial" w:cs="Arial" w:eastAsia="Arial" w:hAnsi="Arial"/>
          <w:sz w:val="20"/>
          <w:szCs w:val="20"/>
          <w:color w:val="FF0000"/>
          <w:strike w:val="1"/>
        </w:rPr>
        <w:t xml:space="preserve">Agreement or a joinder to the Guaranty Agreement as reasonably requested by the Administrative Agent, and cause all requirements of </w:t>
      </w:r>
      <w:r>
        <w:rPr>
          <w:rFonts w:ascii="Arial" w:cs="Arial" w:eastAsia="Arial" w:hAnsi="Arial"/>
          <w:sz w:val="20"/>
          <w:szCs w:val="20"/>
          <w:u w:val="single" w:color="auto"/>
          <w:color w:val="FF0000"/>
          <w:strike w:val="1"/>
        </w:rPr>
        <w:t xml:space="preserve">Section 6.12 </w:t>
      </w:r>
      <w:r>
        <w:rPr>
          <w:rFonts w:ascii="Arial" w:cs="Arial" w:eastAsia="Arial" w:hAnsi="Arial"/>
          <w:sz w:val="20"/>
          <w:szCs w:val="20"/>
          <w:color w:val="FF0000"/>
          <w:strike w:val="1"/>
        </w:rPr>
        <w:t>to be satisfied with respect to such Subsidiary.</w:t>
      </w:r>
    </w:p>
    <w:p>
      <w:pPr>
        <w:spacing w:after="0" w:line="191" w:lineRule="exact"/>
        <w:rPr>
          <w:sz w:val="20"/>
          <w:szCs w:val="20"/>
          <w:color w:val="auto"/>
        </w:rPr>
      </w:pPr>
    </w:p>
    <w:p>
      <w:pPr>
        <w:ind w:left="600"/>
        <w:spacing w:after="0"/>
        <w:tabs>
          <w:tab w:leader="none" w:pos="1280" w:val="left"/>
        </w:tabs>
        <w:rPr>
          <w:sz w:val="20"/>
          <w:szCs w:val="20"/>
          <w:color w:val="auto"/>
        </w:rPr>
      </w:pPr>
      <w:r>
        <w:rPr>
          <w:rFonts w:ascii="Arial" w:cs="Arial" w:eastAsia="Arial" w:hAnsi="Arial"/>
          <w:sz w:val="20"/>
          <w:szCs w:val="20"/>
          <w:color w:val="auto"/>
        </w:rPr>
        <w:t>10.21.</w:t>
      </w:r>
      <w:r>
        <w:rPr>
          <w:sz w:val="20"/>
          <w:szCs w:val="20"/>
          <w:color w:val="auto"/>
        </w:rPr>
        <w:tab/>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w:t>
      </w:r>
    </w:p>
    <w:p>
      <w:pPr>
        <w:spacing w:after="0" w:line="245" w:lineRule="exact"/>
        <w:rPr>
          <w:sz w:val="20"/>
          <w:szCs w:val="20"/>
          <w:color w:val="auto"/>
        </w:rPr>
      </w:pPr>
    </w:p>
    <w:p>
      <w:pPr>
        <w:jc w:val="both"/>
        <w:ind w:left="600" w:firstLine="598"/>
        <w:spacing w:after="0" w:line="253" w:lineRule="auto"/>
        <w:tabs>
          <w:tab w:leader="none" w:pos="2021" w:val="left"/>
        </w:tabs>
        <w:numPr>
          <w:ilvl w:val="0"/>
          <w:numId w:val="404"/>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t>
      </w:r>
      <w:r>
        <w:rPr>
          <w:rFonts w:ascii="Arial" w:cs="Arial" w:eastAsia="Arial" w:hAnsi="Arial"/>
          <w:sz w:val="20"/>
          <w:szCs w:val="20"/>
          <w:color w:val="FF0000"/>
          <w:strike w:val="1"/>
        </w:rPr>
        <w:t>write-down and conversion</w:t>
      </w:r>
      <w:r>
        <w:rPr>
          <w:rFonts w:ascii="Arial" w:cs="Arial" w:eastAsia="Arial" w:hAnsi="Arial"/>
          <w:sz w:val="20"/>
          <w:szCs w:val="20"/>
          <w:color w:val="auto"/>
        </w:rPr>
        <w:t xml:space="preserve"> </w:t>
      </w:r>
      <w:r>
        <w:rPr>
          <w:rFonts w:ascii="Arial" w:cs="Arial" w:eastAsia="Arial" w:hAnsi="Arial"/>
          <w:sz w:val="20"/>
          <w:szCs w:val="20"/>
          <w:color w:val="FF0000"/>
          <w:strike w:val="1"/>
        </w:rPr>
        <w:t>powers</w:t>
      </w:r>
      <w:r>
        <w:rPr>
          <w:rFonts w:ascii="Arial" w:cs="Arial" w:eastAsia="Arial" w:hAnsi="Arial"/>
          <w:sz w:val="20"/>
          <w:szCs w:val="20"/>
          <w:b w:val="1"/>
          <w:bCs w:val="1"/>
          <w:u w:val="single" w:color="auto"/>
          <w:color w:val="0000FF"/>
          <w:highlight w:val="lightGray"/>
        </w:rPr>
        <w:t>Write-Down and Conversion Powers</w:t>
      </w:r>
      <w:r>
        <w:rPr>
          <w:rFonts w:ascii="Arial" w:cs="Arial" w:eastAsia="Arial" w:hAnsi="Arial"/>
          <w:sz w:val="20"/>
          <w:szCs w:val="20"/>
          <w:color w:val="FF0000"/>
        </w:rPr>
        <w:t xml:space="preserve"> </w:t>
      </w:r>
      <w:r>
        <w:rPr>
          <w:rFonts w:ascii="Arial" w:cs="Arial" w:eastAsia="Arial" w:hAnsi="Arial"/>
          <w:sz w:val="20"/>
          <w:szCs w:val="20"/>
          <w:color w:val="000000"/>
        </w:rPr>
        <w:t>of an EEA Resolution Authority and agrees and consents to, and acknowledges</w:t>
      </w:r>
      <w:r>
        <w:rPr>
          <w:rFonts w:ascii="Arial" w:cs="Arial" w:eastAsia="Arial" w:hAnsi="Arial"/>
          <w:sz w:val="20"/>
          <w:szCs w:val="20"/>
          <w:color w:val="FF0000"/>
        </w:rPr>
        <w:t xml:space="preserve"> </w:t>
      </w:r>
      <w:r>
        <w:rPr>
          <w:rFonts w:ascii="Arial" w:cs="Arial" w:eastAsia="Arial" w:hAnsi="Arial"/>
          <w:sz w:val="20"/>
          <w:szCs w:val="20"/>
          <w:color w:val="000000"/>
        </w:rPr>
        <w:t>and agrees to be bound by:</w:t>
      </w:r>
    </w:p>
    <w:p>
      <w:pPr>
        <w:spacing w:after="0" w:line="212" w:lineRule="exact"/>
        <w:rPr>
          <w:sz w:val="20"/>
          <w:szCs w:val="20"/>
          <w:color w:val="auto"/>
        </w:rPr>
      </w:pPr>
    </w:p>
    <w:p>
      <w:pPr>
        <w:ind w:firstLine="1198"/>
        <w:spacing w:after="0" w:line="272" w:lineRule="auto"/>
        <w:tabs>
          <w:tab w:leader="none" w:pos="1987" w:val="left"/>
        </w:tabs>
        <w:numPr>
          <w:ilvl w:val="0"/>
          <w:numId w:val="405"/>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an EEA Resolution Authority to any such liabilities arising hereunder which may be payable to it by any party hereto that is an EEA Financial Institution;</w:t>
      </w:r>
    </w:p>
    <w:p>
      <w:pPr>
        <w:spacing w:after="0" w:line="184" w:lineRule="exact"/>
        <w:rPr>
          <w:rFonts w:ascii="Arial" w:cs="Arial" w:eastAsia="Arial" w:hAnsi="Arial"/>
          <w:sz w:val="20"/>
          <w:szCs w:val="20"/>
          <w:color w:val="auto"/>
        </w:rPr>
      </w:pPr>
    </w:p>
    <w:p>
      <w:pPr>
        <w:ind w:left="2040" w:hanging="842"/>
        <w:spacing w:after="0"/>
        <w:tabs>
          <w:tab w:leader="none" w:pos="2040" w:val="left"/>
        </w:tabs>
        <w:numPr>
          <w:ilvl w:val="0"/>
          <w:numId w:val="405"/>
        </w:numPr>
        <w:rPr>
          <w:rFonts w:ascii="Arial" w:cs="Arial" w:eastAsia="Arial" w:hAnsi="Arial"/>
          <w:sz w:val="20"/>
          <w:szCs w:val="20"/>
          <w:color w:val="auto"/>
        </w:rPr>
      </w:pPr>
      <w:r>
        <w:rPr>
          <w:rFonts w:ascii="Arial" w:cs="Arial" w:eastAsia="Arial" w:hAnsi="Arial"/>
          <w:sz w:val="20"/>
          <w:szCs w:val="20"/>
          <w:color w:val="auto"/>
        </w:rPr>
        <w:t xml:space="preserve">and the effects of any </w:t>
      </w:r>
      <w:r>
        <w:rPr>
          <w:rFonts w:ascii="Arial" w:cs="Arial" w:eastAsia="Arial" w:hAnsi="Arial"/>
          <w:sz w:val="20"/>
          <w:szCs w:val="20"/>
          <w:color w:val="FF0000"/>
          <w:strike w:val="1"/>
        </w:rPr>
        <w:t>Bail-in</w:t>
      </w:r>
      <w:r>
        <w:rPr>
          <w:rFonts w:ascii="Arial" w:cs="Arial" w:eastAsia="Arial" w:hAnsi="Arial"/>
          <w:sz w:val="20"/>
          <w:szCs w:val="20"/>
          <w:b w:val="1"/>
          <w:bCs w:val="1"/>
          <w:u w:val="single" w:color="auto"/>
          <w:color w:val="0000FF"/>
          <w:highlight w:val="lightGray"/>
        </w:rPr>
        <w:t>Bail-In</w:t>
      </w:r>
      <w:r>
        <w:rPr>
          <w:rFonts w:ascii="Arial" w:cs="Arial" w:eastAsia="Arial" w:hAnsi="Arial"/>
          <w:sz w:val="20"/>
          <w:szCs w:val="20"/>
          <w:color w:val="auto"/>
        </w:rPr>
        <w:t xml:space="preserve"> Action on any such liability, including, if applicable:</w:t>
      </w:r>
    </w:p>
    <w:p>
      <w:pPr>
        <w:spacing w:after="0" w:line="251" w:lineRule="exact"/>
        <w:rPr>
          <w:sz w:val="20"/>
          <w:szCs w:val="20"/>
          <w:color w:val="auto"/>
        </w:rPr>
      </w:pPr>
    </w:p>
    <w:p>
      <w:pPr>
        <w:ind w:left="2080" w:hanging="882"/>
        <w:spacing w:after="0"/>
        <w:tabs>
          <w:tab w:leader="none" w:pos="2080" w:val="left"/>
        </w:tabs>
        <w:numPr>
          <w:ilvl w:val="0"/>
          <w:numId w:val="406"/>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44" w:lineRule="exact"/>
        <w:rPr>
          <w:rFonts w:ascii="Arial" w:cs="Arial" w:eastAsia="Arial" w:hAnsi="Arial"/>
          <w:sz w:val="20"/>
          <w:szCs w:val="20"/>
          <w:color w:val="auto"/>
        </w:rPr>
      </w:pPr>
    </w:p>
    <w:p>
      <w:pPr>
        <w:jc w:val="both"/>
        <w:ind w:left="600" w:firstLine="598"/>
        <w:spacing w:after="0" w:line="256" w:lineRule="auto"/>
        <w:tabs>
          <w:tab w:leader="none" w:pos="2065" w:val="left"/>
        </w:tabs>
        <w:numPr>
          <w:ilvl w:val="0"/>
          <w:numId w:val="406"/>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05" w:lineRule="exact"/>
        <w:rPr>
          <w:rFonts w:ascii="Arial" w:cs="Arial" w:eastAsia="Arial" w:hAnsi="Arial"/>
          <w:sz w:val="20"/>
          <w:szCs w:val="20"/>
          <w:color w:val="auto"/>
        </w:rPr>
      </w:pPr>
    </w:p>
    <w:p>
      <w:pPr>
        <w:ind w:left="600" w:firstLine="598"/>
        <w:spacing w:after="0" w:line="272" w:lineRule="auto"/>
        <w:tabs>
          <w:tab w:leader="none" w:pos="2065" w:val="left"/>
        </w:tabs>
        <w:numPr>
          <w:ilvl w:val="0"/>
          <w:numId w:val="406"/>
        </w:numPr>
        <w:rPr>
          <w:rFonts w:ascii="Arial" w:cs="Arial" w:eastAsia="Arial" w:hAnsi="Arial"/>
          <w:sz w:val="20"/>
          <w:szCs w:val="20"/>
          <w:color w:val="auto"/>
        </w:rPr>
      </w:pPr>
      <w:r>
        <w:rPr>
          <w:rFonts w:ascii="Arial" w:cs="Arial" w:eastAsia="Arial" w:hAnsi="Arial"/>
          <w:sz w:val="20"/>
          <w:szCs w:val="20"/>
          <w:color w:val="auto"/>
        </w:rPr>
        <w:t xml:space="preserve">the variation of the terms of such liability in connection with the exercise of the </w:t>
      </w:r>
      <w:r>
        <w:rPr>
          <w:rFonts w:ascii="Arial" w:cs="Arial" w:eastAsia="Arial" w:hAnsi="Arial"/>
          <w:sz w:val="20"/>
          <w:szCs w:val="20"/>
          <w:color w:val="FF0000"/>
          <w:strike w:val="1"/>
        </w:rPr>
        <w:t>write-down and conversion</w:t>
      </w:r>
      <w:r>
        <w:rPr>
          <w:rFonts w:ascii="Arial" w:cs="Arial" w:eastAsia="Arial" w:hAnsi="Arial"/>
          <w:sz w:val="20"/>
          <w:szCs w:val="20"/>
          <w:color w:val="auto"/>
        </w:rPr>
        <w:t xml:space="preserve"> </w:t>
      </w:r>
      <w:r>
        <w:rPr>
          <w:rFonts w:ascii="Arial" w:cs="Arial" w:eastAsia="Arial" w:hAnsi="Arial"/>
          <w:sz w:val="20"/>
          <w:szCs w:val="20"/>
          <w:color w:val="FF0000"/>
          <w:strike w:val="1"/>
        </w:rPr>
        <w:t>powers</w:t>
      </w:r>
      <w:r>
        <w:rPr>
          <w:rFonts w:ascii="Arial" w:cs="Arial" w:eastAsia="Arial" w:hAnsi="Arial"/>
          <w:sz w:val="20"/>
          <w:szCs w:val="20"/>
          <w:b w:val="1"/>
          <w:bCs w:val="1"/>
          <w:u w:val="single" w:color="auto"/>
          <w:color w:val="0000FF"/>
          <w:highlight w:val="lightGray"/>
        </w:rPr>
        <w:t>Write-Down and Conversion Powers</w:t>
      </w:r>
      <w:r>
        <w:rPr>
          <w:rFonts w:ascii="Arial" w:cs="Arial" w:eastAsia="Arial" w:hAnsi="Arial"/>
          <w:sz w:val="20"/>
          <w:szCs w:val="20"/>
          <w:color w:val="FF0000"/>
        </w:rPr>
        <w:t xml:space="preserve"> </w:t>
      </w:r>
      <w:r>
        <w:rPr>
          <w:rFonts w:ascii="Arial" w:cs="Arial" w:eastAsia="Arial" w:hAnsi="Arial"/>
          <w:sz w:val="20"/>
          <w:szCs w:val="20"/>
          <w:color w:val="000000"/>
        </w:rPr>
        <w:t>of any EEA Resolution Authority.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820"/>
          </w:cols>
          <w:pgMar w:left="840" w:top="795" w:right="239" w:bottom="1440" w:gutter="0" w:footer="0" w:header="0"/>
        </w:sectPr>
      </w:pPr>
    </w:p>
    <w:bookmarkStart w:id="342" w:name="page343"/>
    <w:bookmarkEnd w:id="342"/>
    <w:p>
      <w:pPr>
        <w:spacing w:after="0"/>
        <w:rPr>
          <w:sz w:val="20"/>
          <w:szCs w:val="20"/>
          <w:color w:val="auto"/>
        </w:rPr>
      </w:pPr>
      <w:r>
        <w:rPr>
          <w:rFonts w:ascii="Arial" w:cs="Arial" w:eastAsia="Arial" w:hAnsi="Arial"/>
          <w:sz w:val="17"/>
          <w:szCs w:val="17"/>
          <w:i w:val="1"/>
          <w:iCs w:val="1"/>
          <w:color w:val="auto"/>
        </w:rPr>
        <w:t xml:space="preserve">IN WITNESS WHEREOF, </w:t>
      </w:r>
      <w:r>
        <w:rPr>
          <w:rFonts w:ascii="Arial" w:cs="Arial" w:eastAsia="Arial" w:hAnsi="Arial"/>
          <w:sz w:val="17"/>
          <w:szCs w:val="17"/>
          <w:color w:val="auto"/>
        </w:rPr>
        <w:t>the parties hereto have caused this Agreement to be duly executed as of the date first above written.</w:t>
      </w:r>
    </w:p>
    <w:p>
      <w:pPr>
        <w:sectPr>
          <w:pgSz w:w="11900" w:h="16838" w:orient="portrait"/>
          <w:cols w:equalWidth="0" w:num="1">
            <w:col w:w="10080"/>
          </w:cols>
          <w:pgMar w:left="840" w:top="794"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AMERICAN ASSETS TRUST, L.P.</w:t>
      </w:r>
    </w:p>
    <w:p>
      <w:pPr>
        <w:spacing w:after="0" w:line="320" w:lineRule="exact"/>
        <w:rPr>
          <w:sz w:val="20"/>
          <w:szCs w:val="20"/>
          <w:color w:val="auto"/>
        </w:rPr>
      </w:pPr>
    </w:p>
    <w:tbl>
      <w:tblPr>
        <w:tblLayout w:type="fixed"/>
        <w:tblInd w:w="5040" w:type="dxa"/>
        <w:tblCellMar>
          <w:top w:w="0" w:type="dxa"/>
          <w:left w:w="0" w:type="dxa"/>
          <w:bottom w:w="0" w:type="dxa"/>
          <w:right w:w="0" w:type="dxa"/>
        </w:tblCellMar>
      </w:tblPr>
      <w:tr>
        <w:trPr>
          <w:trHeight w:val="275"/>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3420" w:type="dxa"/>
            <w:vAlign w:val="bottom"/>
            <w:gridSpan w:val="2"/>
          </w:tcPr>
          <w:p>
            <w:pPr>
              <w:ind w:left="100"/>
              <w:spacing w:after="0"/>
              <w:rPr>
                <w:sz w:val="20"/>
                <w:szCs w:val="20"/>
                <w:color w:val="auto"/>
              </w:rPr>
            </w:pPr>
            <w:r>
              <w:rPr>
                <w:rFonts w:ascii="Arial" w:cs="Arial" w:eastAsia="Arial" w:hAnsi="Arial"/>
                <w:sz w:val="20"/>
                <w:szCs w:val="20"/>
                <w:color w:val="auto"/>
              </w:rPr>
              <w:t>AMERICAN ASSETS TRUST, INC.,</w:t>
            </w:r>
          </w:p>
        </w:tc>
        <w:tc>
          <w:tcPr>
            <w:tcW w:w="0" w:type="dxa"/>
            <w:vAlign w:val="bottom"/>
          </w:tcPr>
          <w:p>
            <w:pPr>
              <w:spacing w:after="0"/>
              <w:rPr>
                <w:sz w:val="1"/>
                <w:szCs w:val="1"/>
                <w:color w:val="auto"/>
              </w:rPr>
            </w:pPr>
          </w:p>
        </w:tc>
      </w:tr>
      <w:tr>
        <w:trPr>
          <w:trHeight w:val="254"/>
        </w:trPr>
        <w:tc>
          <w:tcPr>
            <w:tcW w:w="640" w:type="dxa"/>
            <w:vAlign w:val="bottom"/>
          </w:tcPr>
          <w:p>
            <w:pPr>
              <w:spacing w:after="0"/>
              <w:rPr>
                <w:sz w:val="22"/>
                <w:szCs w:val="22"/>
                <w:color w:val="auto"/>
              </w:rPr>
            </w:pPr>
          </w:p>
        </w:tc>
        <w:tc>
          <w:tcPr>
            <w:tcW w:w="3420" w:type="dxa"/>
            <w:vAlign w:val="bottom"/>
            <w:gridSpan w:val="2"/>
          </w:tcPr>
          <w:p>
            <w:pPr>
              <w:ind w:left="100"/>
              <w:spacing w:after="0"/>
              <w:rPr>
                <w:sz w:val="20"/>
                <w:szCs w:val="20"/>
                <w:color w:val="auto"/>
              </w:rPr>
            </w:pPr>
            <w:r>
              <w:rPr>
                <w:rFonts w:ascii="Arial" w:cs="Arial" w:eastAsia="Arial" w:hAnsi="Arial"/>
                <w:sz w:val="20"/>
                <w:szCs w:val="20"/>
                <w:color w:val="auto"/>
              </w:rPr>
              <w:t>its General Partner</w:t>
            </w:r>
          </w:p>
        </w:tc>
        <w:tc>
          <w:tcPr>
            <w:tcW w:w="0" w:type="dxa"/>
            <w:vAlign w:val="bottom"/>
          </w:tcPr>
          <w:p>
            <w:pPr>
              <w:spacing w:after="0"/>
              <w:rPr>
                <w:sz w:val="1"/>
                <w:szCs w:val="1"/>
                <w:color w:val="auto"/>
              </w:rPr>
            </w:pPr>
          </w:p>
        </w:tc>
      </w:tr>
      <w:tr>
        <w:trPr>
          <w:trHeight w:val="557"/>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280" w:type="dxa"/>
            <w:vAlign w:val="bottom"/>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280" w:type="dxa"/>
            <w:vAlign w:val="bottom"/>
          </w:tcPr>
          <w:p>
            <w:pPr>
              <w:spacing w:after="0"/>
              <w:rPr>
                <w:sz w:val="22"/>
                <w:szCs w:val="22"/>
                <w:color w:val="auto"/>
              </w:rPr>
            </w:pPr>
          </w:p>
        </w:tc>
        <w:tc>
          <w:tcPr>
            <w:tcW w:w="3140" w:type="dxa"/>
            <w:vAlign w:val="bottom"/>
          </w:tcPr>
          <w:p>
            <w:pPr>
              <w:ind w:left="40"/>
              <w:spacing w:after="0"/>
              <w:rPr>
                <w:sz w:val="20"/>
                <w:szCs w:val="20"/>
                <w:color w:val="auto"/>
              </w:rPr>
            </w:pPr>
            <w:r>
              <w:rPr>
                <w:rFonts w:ascii="Arial" w:cs="Arial" w:eastAsia="Arial" w:hAnsi="Arial"/>
                <w:sz w:val="20"/>
                <w:szCs w:val="20"/>
                <w:color w:val="EE2724"/>
                <w:strike w:val="1"/>
              </w:rPr>
              <w:t>Ernest Rady</w:t>
            </w:r>
          </w:p>
        </w:tc>
        <w:tc>
          <w:tcPr>
            <w:tcW w:w="0" w:type="dxa"/>
            <w:vAlign w:val="bottom"/>
          </w:tcPr>
          <w:p>
            <w:pPr>
              <w:spacing w:after="0"/>
              <w:rPr>
                <w:sz w:val="1"/>
                <w:szCs w:val="1"/>
                <w:color w:val="auto"/>
              </w:rPr>
            </w:pPr>
          </w:p>
        </w:tc>
      </w:tr>
      <w:tr>
        <w:trPr>
          <w:trHeight w:val="246"/>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280" w:type="dxa"/>
            <w:vAlign w:val="bottom"/>
          </w:tcPr>
          <w:p>
            <w:pPr>
              <w:spacing w:after="0"/>
              <w:rPr>
                <w:sz w:val="21"/>
                <w:szCs w:val="21"/>
                <w:color w:val="auto"/>
              </w:rPr>
            </w:pPr>
          </w:p>
        </w:tc>
        <w:tc>
          <w:tcPr>
            <w:tcW w:w="3140" w:type="dxa"/>
            <w:vAlign w:val="bottom"/>
          </w:tcPr>
          <w:p>
            <w:pPr>
              <w:ind w:left="40"/>
              <w:spacing w:after="0"/>
              <w:rPr>
                <w:sz w:val="20"/>
                <w:szCs w:val="20"/>
                <w:color w:val="auto"/>
              </w:rPr>
            </w:pPr>
            <w:r>
              <w:rPr>
                <w:rFonts w:ascii="Arial" w:cs="Arial" w:eastAsia="Arial" w:hAnsi="Arial"/>
                <w:sz w:val="20"/>
                <w:szCs w:val="20"/>
                <w:color w:val="EE2724"/>
                <w:strike w:val="1"/>
              </w:rPr>
              <w:t>Chairman, President and Chief</w:t>
            </w:r>
          </w:p>
        </w:tc>
        <w:tc>
          <w:tcPr>
            <w:tcW w:w="0" w:type="dxa"/>
            <w:vAlign w:val="bottom"/>
          </w:tcPr>
          <w:p>
            <w:pPr>
              <w:spacing w:after="0"/>
              <w:rPr>
                <w:sz w:val="1"/>
                <w:szCs w:val="1"/>
                <w:color w:val="auto"/>
              </w:rPr>
            </w:pPr>
          </w:p>
        </w:tc>
      </w:tr>
      <w:tr>
        <w:trPr>
          <w:trHeight w:val="254"/>
        </w:trPr>
        <w:tc>
          <w:tcPr>
            <w:tcW w:w="640" w:type="dxa"/>
            <w:vAlign w:val="bottom"/>
            <w:vMerge w:val="restart"/>
          </w:tcPr>
          <w:p>
            <w:pPr>
              <w:spacing w:after="0"/>
              <w:rPr>
                <w:sz w:val="20"/>
                <w:szCs w:val="20"/>
                <w:color w:val="auto"/>
              </w:rPr>
            </w:pPr>
            <w:r>
              <w:rPr>
                <w:rFonts w:ascii="Arial" w:cs="Arial" w:eastAsia="Arial" w:hAnsi="Arial"/>
                <w:sz w:val="20"/>
                <w:szCs w:val="20"/>
                <w:color w:val="auto"/>
              </w:rPr>
              <w:t>By:</w:t>
            </w:r>
          </w:p>
        </w:tc>
        <w:tc>
          <w:tcPr>
            <w:tcW w:w="280" w:type="dxa"/>
            <w:vAlign w:val="bottom"/>
          </w:tcPr>
          <w:p>
            <w:pPr>
              <w:spacing w:after="0"/>
              <w:rPr>
                <w:sz w:val="22"/>
                <w:szCs w:val="22"/>
                <w:color w:val="auto"/>
              </w:rPr>
            </w:pPr>
          </w:p>
        </w:tc>
        <w:tc>
          <w:tcPr>
            <w:tcW w:w="3140" w:type="dxa"/>
            <w:vAlign w:val="bottom"/>
          </w:tcPr>
          <w:p>
            <w:pPr>
              <w:ind w:left="40"/>
              <w:spacing w:after="0"/>
              <w:rPr>
                <w:sz w:val="20"/>
                <w:szCs w:val="20"/>
                <w:color w:val="auto"/>
              </w:rPr>
            </w:pPr>
            <w:r>
              <w:rPr>
                <w:rFonts w:ascii="Arial" w:cs="Arial" w:eastAsia="Arial" w:hAnsi="Arial"/>
                <w:sz w:val="20"/>
                <w:szCs w:val="20"/>
                <w:color w:val="EE2724"/>
                <w:strike w:val="1"/>
              </w:rPr>
              <w:t>Executive Officer</w:t>
            </w:r>
          </w:p>
        </w:tc>
        <w:tc>
          <w:tcPr>
            <w:tcW w:w="0" w:type="dxa"/>
            <w:vAlign w:val="bottom"/>
          </w:tcPr>
          <w:p>
            <w:pPr>
              <w:spacing w:after="0"/>
              <w:rPr>
                <w:sz w:val="1"/>
                <w:szCs w:val="1"/>
                <w:color w:val="auto"/>
              </w:rPr>
            </w:pPr>
          </w:p>
        </w:tc>
      </w:tr>
      <w:tr>
        <w:trPr>
          <w:trHeight w:val="607"/>
        </w:trPr>
        <w:tc>
          <w:tcPr>
            <w:tcW w:w="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280" w:type="dxa"/>
            <w:vAlign w:val="bottom"/>
          </w:tcPr>
          <w:p>
            <w:pPr>
              <w:spacing w:after="0"/>
              <w:rPr>
                <w:sz w:val="22"/>
                <w:szCs w:val="22"/>
                <w:color w:val="auto"/>
              </w:rPr>
            </w:pPr>
          </w:p>
        </w:tc>
        <w:tc>
          <w:tcPr>
            <w:tcW w:w="3140" w:type="dxa"/>
            <w:vAlign w:val="bottom"/>
          </w:tcPr>
          <w:p>
            <w:pPr>
              <w:ind w:left="40"/>
              <w:spacing w:after="0"/>
              <w:rPr>
                <w:sz w:val="20"/>
                <w:szCs w:val="20"/>
                <w:color w:val="auto"/>
              </w:rPr>
            </w:pPr>
            <w:r>
              <w:rPr>
                <w:rFonts w:ascii="Arial" w:cs="Arial" w:eastAsia="Arial" w:hAnsi="Arial"/>
                <w:sz w:val="20"/>
                <w:szCs w:val="20"/>
                <w:color w:val="auto"/>
              </w:rPr>
              <w:t>Robert F. Barton</w:t>
            </w:r>
          </w:p>
        </w:tc>
        <w:tc>
          <w:tcPr>
            <w:tcW w:w="0" w:type="dxa"/>
            <w:vAlign w:val="bottom"/>
          </w:tcPr>
          <w:p>
            <w:pPr>
              <w:spacing w:after="0"/>
              <w:rPr>
                <w:sz w:val="1"/>
                <w:szCs w:val="1"/>
                <w:color w:val="auto"/>
              </w:rPr>
            </w:pPr>
          </w:p>
        </w:tc>
      </w:tr>
      <w:tr>
        <w:trPr>
          <w:trHeight w:val="246"/>
        </w:trPr>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40" w:type="dxa"/>
            <w:vAlign w:val="bottom"/>
          </w:tcPr>
          <w:p>
            <w:pPr>
              <w:ind w:left="40"/>
              <w:spacing w:after="0"/>
              <w:rPr>
                <w:sz w:val="20"/>
                <w:szCs w:val="20"/>
                <w:color w:val="auto"/>
              </w:rPr>
            </w:pPr>
            <w:r>
              <w:rPr>
                <w:rFonts w:ascii="Arial" w:cs="Arial" w:eastAsia="Arial" w:hAnsi="Arial"/>
                <w:sz w:val="20"/>
                <w:szCs w:val="20"/>
                <w:color w:val="EE2724"/>
                <w:strike w:val="1"/>
                <w:w w:val="93"/>
              </w:rPr>
              <w:t>Chief Financial Officer and Executive</w:t>
            </w:r>
          </w:p>
        </w:tc>
        <w:tc>
          <w:tcPr>
            <w:tcW w:w="0" w:type="dxa"/>
            <w:vAlign w:val="bottom"/>
          </w:tcPr>
          <w:p>
            <w:pPr>
              <w:spacing w:after="0"/>
              <w:rPr>
                <w:sz w:val="1"/>
                <w:szCs w:val="1"/>
                <w:color w:val="auto"/>
              </w:rPr>
            </w:pPr>
          </w:p>
        </w:tc>
      </w:tr>
      <w:tr>
        <w:trPr>
          <w:trHeight w:val="254"/>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280" w:type="dxa"/>
            <w:vAlign w:val="bottom"/>
          </w:tcPr>
          <w:p>
            <w:pPr>
              <w:spacing w:after="0"/>
              <w:rPr>
                <w:sz w:val="22"/>
                <w:szCs w:val="22"/>
                <w:color w:val="auto"/>
              </w:rPr>
            </w:pPr>
          </w:p>
        </w:tc>
        <w:tc>
          <w:tcPr>
            <w:tcW w:w="3140" w:type="dxa"/>
            <w:vAlign w:val="bottom"/>
          </w:tcPr>
          <w:p>
            <w:pPr>
              <w:ind w:left="40"/>
              <w:spacing w:after="0"/>
              <w:rPr>
                <w:sz w:val="20"/>
                <w:szCs w:val="20"/>
                <w:color w:val="auto"/>
              </w:rPr>
            </w:pPr>
            <w:r>
              <w:rPr>
                <w:rFonts w:ascii="Arial" w:cs="Arial" w:eastAsia="Arial" w:hAnsi="Arial"/>
                <w:sz w:val="20"/>
                <w:szCs w:val="20"/>
                <w:color w:val="EE2724"/>
                <w:strike w:val="1"/>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AMERICAN ASSETS TRUST, INC.</w:t>
      </w:r>
    </w:p>
    <w:p>
      <w:pPr>
        <w:spacing w:after="0" w:line="320"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24765</wp:posOffset>
            </wp:positionV>
            <wp:extent cx="213360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33600" cy="7620"/>
                    </a:xfrm>
                    <a:prstGeom prst="rect">
                      <a:avLst/>
                    </a:prstGeom>
                    <a:noFill/>
                  </pic:spPr>
                </pic:pic>
              </a:graphicData>
            </a:graphic>
          </wp:anchor>
        </w:drawing>
      </w:r>
    </w:p>
    <w:p>
      <w:pPr>
        <w:spacing w:after="0" w:line="37" w:lineRule="exact"/>
        <w:rPr>
          <w:sz w:val="20"/>
          <w:szCs w:val="20"/>
          <w:color w:val="auto"/>
        </w:rPr>
      </w:pPr>
    </w:p>
    <w:p>
      <w:pPr>
        <w:ind w:left="5180"/>
        <w:spacing w:after="0"/>
        <w:tabs>
          <w:tab w:leader="none" w:pos="5920" w:val="left"/>
        </w:tabs>
        <w:rPr>
          <w:sz w:val="20"/>
          <w:szCs w:val="20"/>
          <w:color w:val="auto"/>
        </w:rPr>
      </w:pPr>
      <w:r>
        <w:rPr>
          <w:rFonts w:ascii="Arial" w:cs="Arial" w:eastAsia="Arial" w:hAnsi="Arial"/>
          <w:sz w:val="20"/>
          <w:szCs w:val="20"/>
          <w:color w:val="auto"/>
        </w:rPr>
        <w:t>Name:</w:t>
        <w:tab/>
        <w:t>Ernest Rady</w:t>
      </w:r>
    </w:p>
    <w:p>
      <w:pPr>
        <w:spacing w:after="0" w:line="45"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Chairman, President and Chief</w:t>
      </w:r>
    </w:p>
    <w:p>
      <w:pPr>
        <w:spacing w:after="0" w:line="11" w:lineRule="exact"/>
        <w:rPr>
          <w:sz w:val="20"/>
          <w:szCs w:val="20"/>
          <w:color w:val="auto"/>
        </w:rPr>
      </w:pPr>
    </w:p>
    <w:p>
      <w:pPr>
        <w:ind w:left="5180"/>
        <w:spacing w:after="0"/>
        <w:tabs>
          <w:tab w:leader="none" w:pos="59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Executive Officer</w:t>
      </w:r>
    </w:p>
    <w:p>
      <w:pPr>
        <w:spacing w:after="0" w:line="304"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24765</wp:posOffset>
            </wp:positionV>
            <wp:extent cx="213360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33600" cy="7620"/>
                    </a:xfrm>
                    <a:prstGeom prst="rect">
                      <a:avLst/>
                    </a:prstGeom>
                    <a:noFill/>
                  </pic:spPr>
                </pic:pic>
              </a:graphicData>
            </a:graphic>
          </wp:anchor>
        </w:drawing>
      </w:r>
    </w:p>
    <w:p>
      <w:pPr>
        <w:spacing w:after="0" w:line="37" w:lineRule="exact"/>
        <w:rPr>
          <w:sz w:val="20"/>
          <w:szCs w:val="20"/>
          <w:color w:val="auto"/>
        </w:rPr>
      </w:pPr>
    </w:p>
    <w:p>
      <w:pPr>
        <w:ind w:left="5180"/>
        <w:spacing w:after="0"/>
        <w:tabs>
          <w:tab w:leader="none" w:pos="5920" w:val="left"/>
        </w:tabs>
        <w:rPr>
          <w:sz w:val="20"/>
          <w:szCs w:val="20"/>
          <w:color w:val="auto"/>
        </w:rPr>
      </w:pPr>
      <w:r>
        <w:rPr>
          <w:rFonts w:ascii="Arial" w:cs="Arial" w:eastAsia="Arial" w:hAnsi="Arial"/>
          <w:sz w:val="20"/>
          <w:szCs w:val="20"/>
          <w:color w:val="auto"/>
        </w:rPr>
        <w:t>Name:</w:t>
        <w:tab/>
        <w:t>Robert F. Barton</w:t>
      </w:r>
    </w:p>
    <w:p>
      <w:pPr>
        <w:spacing w:after="0" w:line="45" w:lineRule="exact"/>
        <w:rPr>
          <w:sz w:val="20"/>
          <w:szCs w:val="20"/>
          <w:color w:val="auto"/>
        </w:rPr>
      </w:pPr>
    </w:p>
    <w:p>
      <w:pPr>
        <w:ind w:left="5940"/>
        <w:spacing w:after="0"/>
        <w:rPr>
          <w:sz w:val="20"/>
          <w:szCs w:val="20"/>
          <w:color w:val="auto"/>
        </w:rPr>
      </w:pPr>
      <w:r>
        <w:rPr>
          <w:rFonts w:ascii="Arial" w:cs="Arial" w:eastAsia="Arial" w:hAnsi="Arial"/>
          <w:sz w:val="19"/>
          <w:szCs w:val="19"/>
          <w:color w:val="auto"/>
        </w:rPr>
        <w:t>Chief Financial Officer and Executive</w:t>
      </w:r>
    </w:p>
    <w:p>
      <w:pPr>
        <w:spacing w:after="0" w:line="22" w:lineRule="exact"/>
        <w:rPr>
          <w:sz w:val="20"/>
          <w:szCs w:val="20"/>
          <w:color w:val="auto"/>
        </w:rPr>
      </w:pPr>
    </w:p>
    <w:p>
      <w:pPr>
        <w:ind w:left="5180"/>
        <w:spacing w:after="0"/>
        <w:tabs>
          <w:tab w:leader="none" w:pos="59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Vice President</w:t>
      </w:r>
    </w:p>
    <w:p>
      <w:pPr>
        <w:spacing w:after="0" w:line="200" w:lineRule="exact"/>
        <w:rPr>
          <w:sz w:val="20"/>
          <w:szCs w:val="20"/>
          <w:color w:val="auto"/>
        </w:rPr>
      </w:pP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10080"/>
          </w:cols>
          <w:pgMar w:left="840" w:top="794" w:right="979" w:bottom="1440" w:gutter="0" w:footer="0" w:header="0"/>
          <w:type w:val="continuous"/>
        </w:sectPr>
      </w:pPr>
    </w:p>
    <w:bookmarkStart w:id="343" w:name="page344"/>
    <w:bookmarkEnd w:id="343"/>
    <w:p>
      <w:pPr>
        <w:ind w:left="3720"/>
        <w:spacing w:after="0"/>
        <w:rPr>
          <w:sz w:val="20"/>
          <w:szCs w:val="20"/>
          <w:color w:val="auto"/>
        </w:rPr>
      </w:pPr>
      <w:r>
        <w:rPr>
          <w:rFonts w:ascii="Arial" w:cs="Arial" w:eastAsia="Arial" w:hAnsi="Arial"/>
          <w:sz w:val="19"/>
          <w:szCs w:val="19"/>
          <w:color w:val="auto"/>
        </w:rPr>
        <w:t>U.S. BANK NATIONAL ASSOCIATION,</w:t>
      </w:r>
    </w:p>
    <w:p>
      <w:pPr>
        <w:spacing w:after="0" w:line="22" w:lineRule="exact"/>
        <w:rPr>
          <w:sz w:val="20"/>
          <w:szCs w:val="20"/>
          <w:color w:val="auto"/>
        </w:rPr>
      </w:pPr>
    </w:p>
    <w:p>
      <w:pPr>
        <w:ind w:left="3720"/>
        <w:spacing w:after="0"/>
        <w:rPr>
          <w:sz w:val="20"/>
          <w:szCs w:val="20"/>
          <w:color w:val="auto"/>
        </w:rPr>
      </w:pPr>
      <w:r>
        <w:rPr>
          <w:rFonts w:ascii="Arial" w:cs="Arial" w:eastAsia="Arial" w:hAnsi="Arial"/>
          <w:sz w:val="19"/>
          <w:szCs w:val="19"/>
          <w:color w:val="auto"/>
        </w:rPr>
        <w:t>as Administrative Agent and as a Lender</w:t>
      </w:r>
    </w:p>
    <w:p>
      <w:pPr>
        <w:spacing w:after="0" w:line="315"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24765</wp:posOffset>
            </wp:positionV>
            <wp:extent cx="339471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94710" cy="7620"/>
                    </a:xfrm>
                    <a:prstGeom prst="rect">
                      <a:avLst/>
                    </a:prstGeom>
                    <a:noFill/>
                  </pic:spPr>
                </pic:pic>
              </a:graphicData>
            </a:graphic>
          </wp:anchor>
        </w:drawing>
      </w:r>
    </w:p>
    <w:p>
      <w:pPr>
        <w:spacing w:after="0" w:line="25"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Name:</w:t>
      </w:r>
    </w:p>
    <w:p>
      <w:pPr>
        <w:spacing w:after="0" w:line="45"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019"/>
          </w:cols>
          <w:pgMar w:left="1440" w:top="933" w:right="1440" w:bottom="1440" w:gutter="0" w:footer="0" w:header="0"/>
        </w:sectPr>
      </w:pPr>
    </w:p>
    <w:bookmarkStart w:id="344" w:name="page345"/>
    <w:bookmarkEnd w:id="344"/>
    <w:p>
      <w:pPr>
        <w:ind w:left="4560"/>
        <w:spacing w:after="0"/>
        <w:rPr>
          <w:sz w:val="20"/>
          <w:szCs w:val="20"/>
          <w:color w:val="auto"/>
        </w:rPr>
      </w:pPr>
      <w:r>
        <w:rPr>
          <w:rFonts w:ascii="Arial" w:cs="Arial" w:eastAsia="Arial" w:hAnsi="Arial"/>
          <w:sz w:val="19"/>
          <w:szCs w:val="19"/>
          <w:color w:val="auto"/>
        </w:rPr>
        <w:t>PNC BANK, NATIONAL ASSOCIATION,</w:t>
      </w:r>
    </w:p>
    <w:p>
      <w:pPr>
        <w:spacing w:after="0" w:line="22"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as Syndication Agent and as a Lender</w:t>
      </w:r>
    </w:p>
    <w:p>
      <w:pPr>
        <w:spacing w:after="0" w:line="304"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24765</wp:posOffset>
            </wp:positionV>
            <wp:extent cx="196659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966595" cy="7620"/>
                    </a:xfrm>
                    <a:prstGeom prst="rect">
                      <a:avLst/>
                    </a:prstGeom>
                    <a:noFill/>
                  </pic:spPr>
                </pic:pic>
              </a:graphicData>
            </a:graphic>
          </wp:anchor>
        </w:drawing>
      </w:r>
    </w:p>
    <w:p>
      <w:pPr>
        <w:spacing w:after="0" w:line="25"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Name:</w:t>
      </w:r>
    </w:p>
    <w:p>
      <w:pPr>
        <w:spacing w:after="0" w:line="45"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019"/>
          </w:cols>
          <w:pgMar w:left="1440" w:top="932" w:right="1440" w:bottom="1440" w:gutter="0" w:footer="0" w:header="0"/>
        </w:sectPr>
      </w:pPr>
    </w:p>
    <w:bookmarkStart w:id="345" w:name="page346"/>
    <w:bookmarkEnd w:id="345"/>
    <w:p>
      <w:pPr>
        <w:jc w:val="right"/>
        <w:spacing w:after="0"/>
        <w:rPr>
          <w:sz w:val="20"/>
          <w:szCs w:val="20"/>
          <w:color w:val="auto"/>
        </w:rPr>
      </w:pPr>
      <w:r>
        <w:rPr>
          <w:rFonts w:ascii="Arial" w:cs="Arial" w:eastAsia="Arial" w:hAnsi="Arial"/>
          <w:sz w:val="18"/>
          <w:szCs w:val="18"/>
          <w:b w:val="1"/>
          <w:bCs w:val="1"/>
          <w:i w:val="1"/>
          <w:iCs w:val="1"/>
          <w:color w:val="FF0000"/>
          <w:strike w:val="1"/>
        </w:rPr>
        <w:t>Schedule</w:t>
      </w:r>
      <w:r>
        <w:rPr>
          <w:rFonts w:ascii="Arial" w:cs="Arial" w:eastAsia="Arial" w:hAnsi="Arial"/>
          <w:sz w:val="18"/>
          <w:szCs w:val="18"/>
          <w:b w:val="1"/>
          <w:bCs w:val="1"/>
          <w:i w:val="1"/>
          <w:iCs w:val="1"/>
          <w:u w:val="single" w:color="auto"/>
          <w:color w:val="0000FF"/>
          <w:highlight w:val="lightGray"/>
        </w:rPr>
        <w:t>SCHEDULE</w:t>
      </w:r>
      <w:r>
        <w:rPr>
          <w:rFonts w:ascii="Arial" w:cs="Arial" w:eastAsia="Arial" w:hAnsi="Arial"/>
          <w:sz w:val="18"/>
          <w:szCs w:val="18"/>
          <w:b w:val="1"/>
          <w:bCs w:val="1"/>
          <w:i w:val="1"/>
          <w:iCs w:val="1"/>
          <w:color w:val="FF0000"/>
        </w:rPr>
        <w:t xml:space="preserve"> </w:t>
      </w:r>
      <w:r>
        <w:rPr>
          <w:rFonts w:ascii="Arial" w:cs="Arial" w:eastAsia="Arial" w:hAnsi="Arial"/>
          <w:sz w:val="18"/>
          <w:szCs w:val="18"/>
          <w:b w:val="1"/>
          <w:bCs w:val="1"/>
          <w:i w:val="1"/>
          <w:iCs w:val="1"/>
          <w:color w:val="000000"/>
        </w:rPr>
        <w:t>I</w:t>
      </w:r>
    </w:p>
    <w:p>
      <w:pPr>
        <w:spacing w:after="0" w:line="164" w:lineRule="exact"/>
        <w:rPr>
          <w:sz w:val="20"/>
          <w:szCs w:val="20"/>
          <w:color w:val="auto"/>
        </w:rPr>
      </w:pPr>
    </w:p>
    <w:p>
      <w:pPr>
        <w:ind w:left="4020"/>
        <w:spacing w:after="0"/>
        <w:rPr>
          <w:sz w:val="20"/>
          <w:szCs w:val="20"/>
          <w:color w:val="auto"/>
        </w:rPr>
      </w:pPr>
      <w:r>
        <w:rPr>
          <w:rFonts w:ascii="Arial" w:cs="Arial" w:eastAsia="Arial" w:hAnsi="Arial"/>
          <w:sz w:val="18"/>
          <w:szCs w:val="18"/>
          <w:b w:val="1"/>
          <w:bCs w:val="1"/>
          <w:u w:val="single" w:color="auto"/>
          <w:color w:val="0000FF"/>
          <w:highlight w:val="lightGray"/>
        </w:rPr>
        <w:t>RESERVED</w:t>
      </w:r>
    </w:p>
    <w:p>
      <w:pPr>
        <w:sectPr>
          <w:pgSz w:w="11900" w:h="16838" w:orient="portrait"/>
          <w:cols w:equalWidth="0" w:num="1">
            <w:col w:w="10220"/>
          </w:cols>
          <w:pgMar w:left="1440" w:top="785" w:right="239" w:bottom="1440" w:gutter="0" w:footer="0" w:header="0"/>
        </w:sectPr>
      </w:pPr>
    </w:p>
    <w:bookmarkStart w:id="346" w:name="page347"/>
    <w:bookmarkEnd w:id="346"/>
    <w:p>
      <w:pPr>
        <w:jc w:val="center"/>
        <w:ind w:right="400"/>
        <w:spacing w:after="0"/>
        <w:rPr>
          <w:sz w:val="20"/>
          <w:szCs w:val="20"/>
          <w:color w:val="auto"/>
        </w:rPr>
      </w:pPr>
      <w:r>
        <w:rPr>
          <w:rFonts w:ascii="Arial" w:cs="Arial" w:eastAsia="Arial" w:hAnsi="Arial"/>
          <w:sz w:val="18"/>
          <w:szCs w:val="18"/>
          <w:b w:val="1"/>
          <w:bCs w:val="1"/>
          <w:i w:val="1"/>
          <w:iCs w:val="1"/>
          <w:color w:val="FF0000"/>
          <w:strike w:val="1"/>
        </w:rPr>
        <w:t>List of Guarantors</w:t>
      </w:r>
    </w:p>
    <w:tbl>
      <w:tblPr>
        <w:tblLayout w:type="fixed"/>
        <w:tblInd w:w="10" w:type="dxa"/>
        <w:tblCellMar>
          <w:top w:w="0" w:type="dxa"/>
          <w:left w:w="0" w:type="dxa"/>
          <w:bottom w:w="0" w:type="dxa"/>
          <w:right w:w="0" w:type="dxa"/>
        </w:tblCellMar>
      </w:tblPr>
      <w:tr>
        <w:trPr>
          <w:trHeight w:val="202"/>
        </w:trPr>
        <w:tc>
          <w:tcPr>
            <w:tcW w:w="19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860" w:type="dxa"/>
            <w:vAlign w:val="bottom"/>
          </w:tcPr>
          <w:p>
            <w:pPr>
              <w:ind w:left="1160"/>
              <w:spacing w:after="0" w:line="197" w:lineRule="exact"/>
              <w:rPr>
                <w:sz w:val="20"/>
                <w:szCs w:val="20"/>
                <w:color w:val="auto"/>
              </w:rPr>
            </w:pPr>
            <w:r>
              <w:rPr>
                <w:rFonts w:ascii="Arial" w:cs="Arial" w:eastAsia="Arial" w:hAnsi="Arial"/>
                <w:sz w:val="18"/>
                <w:szCs w:val="18"/>
                <w:b w:val="1"/>
                <w:bCs w:val="1"/>
                <w:i w:val="1"/>
                <w:iCs w:val="1"/>
                <w:color w:val="FF0000"/>
                <w:strike w:val="1"/>
                <w:w w:val="84"/>
              </w:rPr>
              <w:t>Schedule</w:t>
            </w:r>
          </w:p>
        </w:tc>
        <w:tc>
          <w:tcPr>
            <w:tcW w:w="980" w:type="dxa"/>
            <w:vAlign w:val="bottom"/>
            <w:tcBorders>
              <w:bottom w:val="single" w:sz="8" w:color="0000FF"/>
            </w:tcBorders>
            <w:gridSpan w:val="2"/>
            <w:shd w:val="clear" w:color="auto" w:fill="D6D6D6"/>
          </w:tcPr>
          <w:p>
            <w:pPr>
              <w:spacing w:after="0" w:line="197" w:lineRule="exact"/>
              <w:rPr>
                <w:sz w:val="20"/>
                <w:szCs w:val="20"/>
                <w:color w:val="auto"/>
              </w:rPr>
            </w:pPr>
            <w:r>
              <w:rPr>
                <w:rFonts w:ascii="Arial" w:cs="Arial" w:eastAsia="Arial" w:hAnsi="Arial"/>
                <w:sz w:val="18"/>
                <w:szCs w:val="18"/>
                <w:b w:val="1"/>
                <w:bCs w:val="1"/>
                <w:i w:val="1"/>
                <w:iCs w:val="1"/>
                <w:color w:val="0000FF"/>
                <w:highlight w:val="lightGray"/>
                <w:w w:val="96"/>
              </w:rPr>
              <w:t>SCHEDULE</w:t>
            </w:r>
          </w:p>
        </w:tc>
        <w:tc>
          <w:tcPr>
            <w:tcW w:w="180" w:type="dxa"/>
            <w:vAlign w:val="bottom"/>
          </w:tcPr>
          <w:p>
            <w:pPr>
              <w:ind w:left="40"/>
              <w:spacing w:after="0" w:line="197" w:lineRule="exact"/>
              <w:rPr>
                <w:sz w:val="20"/>
                <w:szCs w:val="20"/>
                <w:color w:val="auto"/>
              </w:rPr>
            </w:pPr>
            <w:r>
              <w:rPr>
                <w:rFonts w:ascii="Arial" w:cs="Arial" w:eastAsia="Arial" w:hAnsi="Arial"/>
                <w:sz w:val="18"/>
                <w:szCs w:val="18"/>
                <w:b w:val="1"/>
                <w:bCs w:val="1"/>
                <w:i w:val="1"/>
                <w:iCs w:val="1"/>
                <w:color w:val="auto"/>
              </w:rPr>
              <w:t>II</w:t>
            </w:r>
          </w:p>
        </w:tc>
      </w:tr>
      <w:tr>
        <w:trPr>
          <w:trHeight w:val="137"/>
        </w:trPr>
        <w:tc>
          <w:tcPr>
            <w:tcW w:w="1920" w:type="dxa"/>
            <w:vAlign w:val="bottom"/>
            <w:tcBorders>
              <w:bottom w:val="single" w:sz="8" w:color="auto"/>
            </w:tcBorders>
          </w:tcPr>
          <w:p>
            <w:pPr>
              <w:spacing w:after="0"/>
              <w:rPr>
                <w:sz w:val="11"/>
                <w:szCs w:val="11"/>
                <w:color w:val="auto"/>
              </w:rPr>
            </w:pPr>
          </w:p>
        </w:tc>
        <w:tc>
          <w:tcPr>
            <w:tcW w:w="29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60"/>
        </w:trPr>
        <w:tc>
          <w:tcPr>
            <w:tcW w:w="1920" w:type="dxa"/>
            <w:vAlign w:val="bottom"/>
            <w:tcBorders>
              <w:left w:val="single" w:sz="8" w:color="auto"/>
              <w:bottom w:val="single" w:sz="8" w:color="FFDEAD"/>
            </w:tcBorders>
            <w:shd w:val="clear" w:color="auto" w:fill="FFDEAD"/>
          </w:tcPr>
          <w:p>
            <w:pPr>
              <w:spacing w:after="0"/>
              <w:rPr>
                <w:sz w:val="22"/>
                <w:szCs w:val="22"/>
                <w:color w:val="auto"/>
              </w:rPr>
            </w:pPr>
          </w:p>
        </w:tc>
        <w:tc>
          <w:tcPr>
            <w:tcW w:w="2900" w:type="dxa"/>
            <w:vAlign w:val="bottom"/>
            <w:tcBorders>
              <w:bottom w:val="single" w:sz="8" w:color="FFDEAD"/>
              <w:right w:val="single" w:sz="8" w:color="auto"/>
            </w:tcBorders>
            <w:shd w:val="clear" w:color="auto" w:fill="FFDEAD"/>
          </w:tcPr>
          <w:p>
            <w:pPr>
              <w:spacing w:after="0"/>
              <w:rPr>
                <w:sz w:val="20"/>
                <w:szCs w:val="20"/>
                <w:color w:val="auto"/>
              </w:rPr>
            </w:pPr>
            <w:r>
              <w:rPr>
                <w:rFonts w:ascii="Arial" w:cs="Arial" w:eastAsia="Arial" w:hAnsi="Arial"/>
                <w:sz w:val="18"/>
                <w:szCs w:val="18"/>
                <w:b w:val="1"/>
                <w:bCs w:val="1"/>
                <w:color w:val="FF0000"/>
                <w:strike w:val="1"/>
              </w:rPr>
              <w:t>Legal Name</w:t>
            </w:r>
          </w:p>
        </w:tc>
        <w:tc>
          <w:tcPr>
            <w:tcW w:w="960" w:type="dxa"/>
            <w:vAlign w:val="bottom"/>
            <w:tcBorders>
              <w:bottom w:val="single" w:sz="8" w:color="FFDEAD"/>
            </w:tcBorders>
            <w:shd w:val="clear" w:color="auto" w:fill="FFDEAD"/>
          </w:tcPr>
          <w:p>
            <w:pPr>
              <w:spacing w:after="0"/>
              <w:rPr>
                <w:sz w:val="22"/>
                <w:szCs w:val="22"/>
                <w:color w:val="auto"/>
              </w:rPr>
            </w:pPr>
          </w:p>
        </w:tc>
        <w:tc>
          <w:tcPr>
            <w:tcW w:w="2220" w:type="dxa"/>
            <w:vAlign w:val="bottom"/>
            <w:tcBorders>
              <w:bottom w:val="single" w:sz="8" w:color="FFDEAD"/>
              <w:right w:val="single" w:sz="8" w:color="auto"/>
            </w:tcBorders>
            <w:shd w:val="clear" w:color="auto" w:fill="FFDEAD"/>
          </w:tcPr>
          <w:p>
            <w:pPr>
              <w:ind w:left="60"/>
              <w:spacing w:after="0"/>
              <w:rPr>
                <w:sz w:val="20"/>
                <w:szCs w:val="20"/>
                <w:color w:val="auto"/>
              </w:rPr>
            </w:pPr>
            <w:r>
              <w:rPr>
                <w:rFonts w:ascii="Arial" w:cs="Arial" w:eastAsia="Arial" w:hAnsi="Arial"/>
                <w:sz w:val="18"/>
                <w:szCs w:val="18"/>
                <w:b w:val="1"/>
                <w:bCs w:val="1"/>
                <w:color w:val="FF0000"/>
                <w:strike w:val="1"/>
              </w:rPr>
              <w:t>Type of Entity</w:t>
            </w:r>
          </w:p>
        </w:tc>
        <w:tc>
          <w:tcPr>
            <w:tcW w:w="2660" w:type="dxa"/>
            <w:vAlign w:val="bottom"/>
            <w:tcBorders>
              <w:bottom w:val="single" w:sz="8" w:color="FFDEAD"/>
              <w:right w:val="single" w:sz="8" w:color="auto"/>
            </w:tcBorders>
            <w:gridSpan w:val="2"/>
            <w:shd w:val="clear" w:color="auto" w:fill="FFDEAD"/>
          </w:tcPr>
          <w:p>
            <w:pPr>
              <w:jc w:val="center"/>
              <w:spacing w:after="0"/>
              <w:rPr>
                <w:sz w:val="20"/>
                <w:szCs w:val="20"/>
                <w:color w:val="auto"/>
              </w:rPr>
            </w:pPr>
            <w:r>
              <w:rPr>
                <w:rFonts w:ascii="Arial" w:cs="Arial" w:eastAsia="Arial" w:hAnsi="Arial"/>
                <w:sz w:val="18"/>
                <w:szCs w:val="18"/>
                <w:b w:val="1"/>
                <w:bCs w:val="1"/>
                <w:color w:val="FF0000"/>
                <w:strike w:val="1"/>
                <w:w w:val="93"/>
              </w:rPr>
              <w:t>Jurisdiction of Formation</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American Assets Trust, Inc.</w:t>
            </w:r>
          </w:p>
        </w:tc>
        <w:tc>
          <w:tcPr>
            <w:tcW w:w="960" w:type="dxa"/>
            <w:vAlign w:val="bottom"/>
            <w:tcBorders>
              <w:top w:val="single" w:sz="8" w:color="auto"/>
              <w:bottom w:val="single" w:sz="8" w:color="FFDEAD"/>
            </w:tcBorders>
            <w:shd w:val="clear" w:color="auto" w:fill="FFDEAD"/>
          </w:tcPr>
          <w:p>
            <w:pPr>
              <w:spacing w:after="0"/>
              <w:rPr>
                <w:sz w:val="20"/>
                <w:szCs w:val="20"/>
                <w:color w:val="auto"/>
              </w:rPr>
            </w:pPr>
            <w:r>
              <w:rPr>
                <w:rFonts w:ascii="Arial" w:cs="Arial" w:eastAsia="Arial" w:hAnsi="Arial"/>
                <w:sz w:val="18"/>
                <w:szCs w:val="18"/>
                <w:color w:val="FF0000"/>
                <w:strike w:val="1"/>
                <w:w w:val="99"/>
              </w:rPr>
              <w:t>Corporation</w:t>
            </w:r>
          </w:p>
        </w:tc>
        <w:tc>
          <w:tcPr>
            <w:tcW w:w="222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4"/>
              </w:rPr>
              <w:t>Maryland</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American Assets Trust Management, LLC</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2"/>
              </w:rPr>
              <w:t>Delaware</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Pacific Del Mar Assets LLC</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2"/>
              </w:rPr>
              <w:t>Delaware</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Carmel Country Plaza, L.P.</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Partnership</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7"/>
              </w:rPr>
              <w:t>California</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Pacific Carmel Mountain Assets LLC</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2"/>
              </w:rPr>
              <w:t>Delaware</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Pacific Carmel Mountain Holdings, L.P.</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Partnership</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7"/>
              </w:rPr>
              <w:t>California</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Pacific Solana Beach Assets LLC</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2"/>
              </w:rPr>
              <w:t>Delaware</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Pacific Solana Beach Holdings, L.P.</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Partnership</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7"/>
              </w:rPr>
              <w:t>California</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1920" w:type="dxa"/>
            <w:vAlign w:val="bottom"/>
            <w:tcBorders>
              <w:top w:val="single" w:sz="8" w:color="auto"/>
              <w:left w:val="single" w:sz="8" w:color="auto"/>
              <w:bottom w:val="single" w:sz="8" w:color="FFDEAD"/>
            </w:tcBorders>
            <w:shd w:val="clear" w:color="auto" w:fill="FFDEAD"/>
          </w:tcPr>
          <w:p>
            <w:pPr>
              <w:ind w:left="40"/>
              <w:spacing w:after="0"/>
              <w:rPr>
                <w:sz w:val="20"/>
                <w:szCs w:val="20"/>
                <w:color w:val="auto"/>
              </w:rPr>
            </w:pPr>
            <w:r>
              <w:rPr>
                <w:rFonts w:ascii="Arial" w:cs="Arial" w:eastAsia="Arial" w:hAnsi="Arial"/>
                <w:sz w:val="18"/>
                <w:szCs w:val="18"/>
                <w:color w:val="FF0000"/>
                <w:strike w:val="1"/>
              </w:rPr>
              <w:t>SB Towne Centre LLC</w:t>
            </w:r>
          </w:p>
        </w:tc>
        <w:tc>
          <w:tcPr>
            <w:tcW w:w="29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7"/>
              </w:rPr>
              <w:t>California</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Beach Walk Holdings LLC</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2"/>
              </w:rPr>
              <w:t>Delaware</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1920" w:type="dxa"/>
            <w:vAlign w:val="bottom"/>
            <w:tcBorders>
              <w:top w:val="single" w:sz="8" w:color="auto"/>
              <w:left w:val="single" w:sz="8" w:color="auto"/>
              <w:bottom w:val="single" w:sz="8" w:color="FFDEAD"/>
            </w:tcBorders>
            <w:shd w:val="clear" w:color="auto" w:fill="FFDEAD"/>
          </w:tcPr>
          <w:p>
            <w:pPr>
              <w:ind w:left="40"/>
              <w:spacing w:after="0"/>
              <w:rPr>
                <w:sz w:val="20"/>
                <w:szCs w:val="20"/>
                <w:color w:val="auto"/>
              </w:rPr>
            </w:pPr>
            <w:r>
              <w:rPr>
                <w:rFonts w:ascii="Arial" w:cs="Arial" w:eastAsia="Arial" w:hAnsi="Arial"/>
                <w:sz w:val="18"/>
                <w:szCs w:val="18"/>
                <w:color w:val="FF0000"/>
                <w:strike w:val="1"/>
              </w:rPr>
              <w:t>ABW Lewers LLC</w:t>
            </w:r>
          </w:p>
        </w:tc>
        <w:tc>
          <w:tcPr>
            <w:tcW w:w="29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9"/>
              </w:rPr>
              <w:t>Hawaii</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ICW Plaza Merger Sub LLC</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2"/>
              </w:rPr>
              <w:t>Delaware</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ICW Plaza Holdings, LLC</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2"/>
              </w:rPr>
              <w:t>Delaware</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Pacific South Court Assets LLC</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2"/>
              </w:rPr>
              <w:t>Delaware</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Pacific South Court Holdings, L.P.</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Partnership</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7"/>
              </w:rPr>
              <w:t>California</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Pacific Torrey Daycare Assets LLC</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2"/>
              </w:rPr>
              <w:t>Delaware</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Pacific Torrey Daycare Holdings, L.P.</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7"/>
              </w:rPr>
              <w:t>California</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SB Corporate Centre, LLC</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7"/>
              </w:rPr>
              <w:t>California</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Landmark Venture JV, LLC</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2"/>
              </w:rPr>
              <w:t>Delaware</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Pacific Firecreek Holdings, LLC</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2"/>
              </w:rPr>
              <w:t>Delaware</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Landmark Firehill Holdings, LLC</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2"/>
              </w:rPr>
              <w:t>Delaware</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Landmark Venture Holdings, LLC</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2"/>
              </w:rPr>
              <w:t>Delaware</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1920" w:type="dxa"/>
            <w:vAlign w:val="bottom"/>
            <w:tcBorders>
              <w:top w:val="single" w:sz="8" w:color="auto"/>
              <w:left w:val="single" w:sz="8" w:color="auto"/>
              <w:bottom w:val="single" w:sz="8" w:color="FFDEAD"/>
            </w:tcBorders>
            <w:shd w:val="clear" w:color="auto" w:fill="FFDEAD"/>
          </w:tcPr>
          <w:p>
            <w:pPr>
              <w:ind w:left="40"/>
              <w:spacing w:after="0"/>
              <w:rPr>
                <w:sz w:val="20"/>
                <w:szCs w:val="20"/>
                <w:color w:val="auto"/>
              </w:rPr>
            </w:pPr>
            <w:r>
              <w:rPr>
                <w:rFonts w:ascii="Arial" w:cs="Arial" w:eastAsia="Arial" w:hAnsi="Arial"/>
                <w:sz w:val="18"/>
                <w:szCs w:val="18"/>
                <w:color w:val="FF0000"/>
                <w:strike w:val="1"/>
              </w:rPr>
              <w:t>Imperial Strand LLC</w:t>
            </w:r>
          </w:p>
        </w:tc>
        <w:tc>
          <w:tcPr>
            <w:tcW w:w="29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2"/>
              </w:rPr>
              <w:t>Delaware</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1920" w:type="dxa"/>
            <w:vAlign w:val="bottom"/>
            <w:tcBorders>
              <w:top w:val="single" w:sz="8" w:color="auto"/>
              <w:left w:val="single" w:sz="8" w:color="auto"/>
              <w:bottom w:val="single" w:sz="8" w:color="FFDEAD"/>
            </w:tcBorders>
            <w:shd w:val="clear" w:color="auto" w:fill="FFDEAD"/>
          </w:tcPr>
          <w:p>
            <w:pPr>
              <w:ind w:left="40"/>
              <w:spacing w:after="0"/>
              <w:rPr>
                <w:sz w:val="20"/>
                <w:szCs w:val="20"/>
                <w:color w:val="auto"/>
              </w:rPr>
            </w:pPr>
            <w:r>
              <w:rPr>
                <w:rFonts w:ascii="Arial" w:cs="Arial" w:eastAsia="Arial" w:hAnsi="Arial"/>
                <w:sz w:val="18"/>
                <w:szCs w:val="18"/>
                <w:color w:val="FF0000"/>
                <w:strike w:val="1"/>
              </w:rPr>
              <w:t>Mariner’s Point, LLC</w:t>
            </w:r>
          </w:p>
        </w:tc>
        <w:tc>
          <w:tcPr>
            <w:tcW w:w="29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7"/>
              </w:rPr>
              <w:t>California</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Broadway 225 Sorrento Holdings, LLC</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2"/>
              </w:rPr>
              <w:t>Delaware</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Broadway 225 Stonecrest Holdings, LLC</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2"/>
              </w:rPr>
              <w:t>Delaware</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1920" w:type="dxa"/>
            <w:vAlign w:val="bottom"/>
            <w:tcBorders>
              <w:top w:val="single" w:sz="8" w:color="auto"/>
              <w:left w:val="single" w:sz="8" w:color="auto"/>
              <w:bottom w:val="single" w:sz="8" w:color="FFDEAD"/>
            </w:tcBorders>
            <w:shd w:val="clear" w:color="auto" w:fill="FFDEAD"/>
          </w:tcPr>
          <w:p>
            <w:pPr>
              <w:ind w:left="40"/>
              <w:spacing w:after="0"/>
              <w:rPr>
                <w:sz w:val="20"/>
                <w:szCs w:val="20"/>
                <w:color w:val="auto"/>
              </w:rPr>
            </w:pPr>
            <w:r>
              <w:rPr>
                <w:rFonts w:ascii="Arial" w:cs="Arial" w:eastAsia="Arial" w:hAnsi="Arial"/>
                <w:sz w:val="18"/>
                <w:szCs w:val="18"/>
                <w:color w:val="FF0000"/>
                <w:strike w:val="1"/>
              </w:rPr>
              <w:t>EBW Hotel LLC</w:t>
            </w:r>
          </w:p>
        </w:tc>
        <w:tc>
          <w:tcPr>
            <w:tcW w:w="29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9"/>
              </w:rPr>
              <w:t>Hawaii</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Waikele Venture Holdings, LLC</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2"/>
              </w:rPr>
              <w:t>Delaware</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Pacific Santa Fe Assets LLC</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2"/>
              </w:rPr>
              <w:t>Delaware</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Pacific Santa Fe Holdings, L.P.</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Partnership</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7"/>
              </w:rPr>
              <w:t>California</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ABW 2181 Holdings LLC</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9"/>
              </w:rPr>
              <w:t>Hawaii</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1920" w:type="dxa"/>
            <w:vAlign w:val="bottom"/>
            <w:tcBorders>
              <w:top w:val="single" w:sz="8" w:color="auto"/>
              <w:left w:val="single" w:sz="8" w:color="auto"/>
              <w:bottom w:val="single" w:sz="8" w:color="FFDEAD"/>
            </w:tcBorders>
            <w:shd w:val="clear" w:color="auto" w:fill="FFDEAD"/>
          </w:tcPr>
          <w:p>
            <w:pPr>
              <w:ind w:left="40"/>
              <w:spacing w:after="0"/>
              <w:rPr>
                <w:sz w:val="20"/>
                <w:szCs w:val="20"/>
                <w:color w:val="auto"/>
              </w:rPr>
            </w:pPr>
            <w:r>
              <w:rPr>
                <w:rFonts w:ascii="Arial" w:cs="Arial" w:eastAsia="Arial" w:hAnsi="Arial"/>
                <w:sz w:val="18"/>
                <w:szCs w:val="18"/>
                <w:color w:val="FF0000"/>
                <w:strike w:val="1"/>
              </w:rPr>
              <w:t>AAT Solana 101, LLC</w:t>
            </w:r>
          </w:p>
        </w:tc>
        <w:tc>
          <w:tcPr>
            <w:tcW w:w="29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2"/>
              </w:rPr>
              <w:t>Delaware</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AAT Geary Marketplace, LLC</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2"/>
              </w:rPr>
              <w:t>Delaware</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AAT Torrey Reserve 6, LLC</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2"/>
              </w:rPr>
              <w:t>Delaware</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AAT Torrey Reserve 5, LLC</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2"/>
              </w:rPr>
              <w:t>Delaware</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1920" w:type="dxa"/>
            <w:vAlign w:val="bottom"/>
            <w:tcBorders>
              <w:top w:val="single" w:sz="8" w:color="auto"/>
              <w:left w:val="single" w:sz="8" w:color="auto"/>
              <w:bottom w:val="single" w:sz="8" w:color="FFDEAD"/>
            </w:tcBorders>
            <w:shd w:val="clear" w:color="auto" w:fill="FFDEAD"/>
          </w:tcPr>
          <w:p>
            <w:pPr>
              <w:ind w:left="40"/>
              <w:spacing w:after="0"/>
              <w:rPr>
                <w:sz w:val="20"/>
                <w:szCs w:val="20"/>
                <w:color w:val="auto"/>
              </w:rPr>
            </w:pPr>
            <w:r>
              <w:rPr>
                <w:rFonts w:ascii="Arial" w:cs="Arial" w:eastAsia="Arial" w:hAnsi="Arial"/>
                <w:sz w:val="18"/>
                <w:szCs w:val="18"/>
                <w:color w:val="FF0000"/>
                <w:strike w:val="1"/>
                <w:w w:val="99"/>
              </w:rPr>
              <w:t>AAT Torrey 13-14, LLC</w:t>
            </w:r>
          </w:p>
        </w:tc>
        <w:tc>
          <w:tcPr>
            <w:tcW w:w="29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2"/>
              </w:rPr>
              <w:t>Delaware</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1920" w:type="dxa"/>
            <w:vAlign w:val="bottom"/>
            <w:tcBorders>
              <w:top w:val="single" w:sz="8" w:color="auto"/>
              <w:left w:val="single" w:sz="8" w:color="auto"/>
              <w:bottom w:val="single" w:sz="8" w:color="FFDEAD"/>
            </w:tcBorders>
            <w:shd w:val="clear" w:color="auto" w:fill="FFDEAD"/>
          </w:tcPr>
          <w:p>
            <w:pPr>
              <w:ind w:left="40"/>
              <w:spacing w:after="0"/>
              <w:rPr>
                <w:sz w:val="20"/>
                <w:szCs w:val="20"/>
                <w:color w:val="auto"/>
              </w:rPr>
            </w:pPr>
            <w:r>
              <w:rPr>
                <w:rFonts w:ascii="Arial" w:cs="Arial" w:eastAsia="Arial" w:hAnsi="Arial"/>
                <w:sz w:val="18"/>
                <w:szCs w:val="18"/>
                <w:color w:val="FF0000"/>
                <w:strike w:val="1"/>
                <w:w w:val="99"/>
              </w:rPr>
              <w:t>AAT Lloyd District, LLC</w:t>
            </w:r>
          </w:p>
        </w:tc>
        <w:tc>
          <w:tcPr>
            <w:tcW w:w="29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2"/>
              </w:rPr>
              <w:t>Delaware</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AAT Sorrento Pointe LLC</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2"/>
              </w:rPr>
              <w:t>Delaware</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Pacific Waikiki Assets LLC</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2"/>
              </w:rPr>
              <w:t>Delaware</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Pacific Waikiki Holdings, L.P.</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Partnership</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7"/>
              </w:rPr>
              <w:t>California</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1920" w:type="dxa"/>
            <w:vAlign w:val="bottom"/>
            <w:tcBorders>
              <w:top w:val="single" w:sz="8" w:color="auto"/>
              <w:left w:val="single" w:sz="8" w:color="auto"/>
              <w:bottom w:val="single" w:sz="8" w:color="FFDEAD"/>
            </w:tcBorders>
            <w:shd w:val="clear" w:color="auto" w:fill="FFDEAD"/>
          </w:tcPr>
          <w:p>
            <w:pPr>
              <w:ind w:left="40"/>
              <w:spacing w:after="0"/>
              <w:rPr>
                <w:sz w:val="20"/>
                <w:szCs w:val="20"/>
                <w:color w:val="auto"/>
              </w:rPr>
            </w:pPr>
            <w:r>
              <w:rPr>
                <w:rFonts w:ascii="Arial" w:cs="Arial" w:eastAsia="Arial" w:hAnsi="Arial"/>
                <w:sz w:val="18"/>
                <w:szCs w:val="18"/>
                <w:color w:val="FF0000"/>
                <w:strike w:val="1"/>
              </w:rPr>
              <w:t>AAT Del Monte, LLC</w:t>
            </w:r>
          </w:p>
        </w:tc>
        <w:tc>
          <w:tcPr>
            <w:tcW w:w="29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2"/>
              </w:rPr>
              <w:t>Delaware</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0"/>
        </w:trPr>
        <w:tc>
          <w:tcPr>
            <w:tcW w:w="4820" w:type="dxa"/>
            <w:vAlign w:val="bottom"/>
            <w:tcBorders>
              <w:top w:val="single" w:sz="8" w:color="auto"/>
              <w:left w:val="single" w:sz="8" w:color="auto"/>
              <w:bottom w:val="single" w:sz="8" w:color="FFDEAD"/>
              <w:righ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rPr>
              <w:t>AAT Waikele Center, LLC</w:t>
            </w: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2"/>
              </w:rPr>
              <w:t>Delaware</w:t>
            </w:r>
          </w:p>
        </w:tc>
        <w:tc>
          <w:tcPr>
            <w:tcW w:w="80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35"/>
        </w:trPr>
        <w:tc>
          <w:tcPr>
            <w:tcW w:w="1920" w:type="dxa"/>
            <w:vAlign w:val="bottom"/>
            <w:tcBorders>
              <w:top w:val="single" w:sz="8" w:color="auto"/>
              <w:left w:val="single" w:sz="8" w:color="auto"/>
              <w:bottom w:val="single" w:sz="8" w:color="FFDEAD"/>
            </w:tcBorders>
            <w:shd w:val="clear" w:color="auto" w:fill="FFDEAD"/>
          </w:tcPr>
          <w:p>
            <w:pPr>
              <w:ind w:left="40"/>
              <w:spacing w:after="0"/>
              <w:rPr>
                <w:sz w:val="20"/>
                <w:szCs w:val="20"/>
                <w:color w:val="auto"/>
              </w:rPr>
            </w:pPr>
            <w:r>
              <w:rPr>
                <w:rFonts w:ascii="Arial" w:cs="Arial" w:eastAsia="Arial" w:hAnsi="Arial"/>
                <w:sz w:val="18"/>
                <w:szCs w:val="18"/>
                <w:color w:val="FF0000"/>
                <w:strike w:val="1"/>
                <w:w w:val="95"/>
              </w:rPr>
              <w:t>AAT Alamo Quarry, LLC</w:t>
            </w:r>
          </w:p>
        </w:tc>
        <w:tc>
          <w:tcPr>
            <w:tcW w:w="2900" w:type="dxa"/>
            <w:vAlign w:val="bottom"/>
            <w:tcBorders>
              <w:top w:val="single" w:sz="8" w:color="auto"/>
              <w:bottom w:val="single" w:sz="8" w:color="FFDEAD"/>
              <w:right w:val="single" w:sz="8" w:color="auto"/>
            </w:tcBorders>
            <w:shd w:val="clear" w:color="auto" w:fill="FFDEAD"/>
          </w:tcPr>
          <w:p>
            <w:pPr>
              <w:spacing w:after="0"/>
              <w:rPr>
                <w:sz w:val="20"/>
                <w:szCs w:val="20"/>
                <w:color w:val="auto"/>
              </w:rPr>
            </w:pPr>
          </w:p>
        </w:tc>
        <w:tc>
          <w:tcPr>
            <w:tcW w:w="3180" w:type="dxa"/>
            <w:vAlign w:val="bottom"/>
            <w:tcBorders>
              <w:top w:val="single" w:sz="8" w:color="auto"/>
              <w:bottom w:val="single" w:sz="8" w:color="FFDEAD"/>
              <w:right w:val="single" w:sz="8" w:color="auto"/>
            </w:tcBorders>
            <w:gridSpan w:val="2"/>
            <w:shd w:val="clear" w:color="auto" w:fill="FFDEAD"/>
          </w:tcPr>
          <w:p>
            <w:pPr>
              <w:spacing w:after="0"/>
              <w:rPr>
                <w:sz w:val="20"/>
                <w:szCs w:val="20"/>
                <w:color w:val="auto"/>
              </w:rPr>
            </w:pPr>
            <w:r>
              <w:rPr>
                <w:rFonts w:ascii="Arial" w:cs="Arial" w:eastAsia="Arial" w:hAnsi="Arial"/>
                <w:sz w:val="18"/>
                <w:szCs w:val="18"/>
                <w:color w:val="FF0000"/>
                <w:strike w:val="1"/>
              </w:rPr>
              <w:t>Limited Liability Company</w:t>
            </w:r>
          </w:p>
        </w:tc>
        <w:tc>
          <w:tcPr>
            <w:tcW w:w="1860" w:type="dxa"/>
            <w:vAlign w:val="bottom"/>
            <w:tcBorders>
              <w:top w:val="single" w:sz="8" w:color="auto"/>
              <w:bottom w:val="single" w:sz="8" w:color="FFDEAD"/>
            </w:tcBorders>
            <w:shd w:val="clear" w:color="auto" w:fill="FFDEAD"/>
          </w:tcPr>
          <w:p>
            <w:pPr>
              <w:jc w:val="center"/>
              <w:ind w:left="668"/>
              <w:spacing w:after="0"/>
              <w:rPr>
                <w:sz w:val="20"/>
                <w:szCs w:val="20"/>
                <w:color w:val="auto"/>
              </w:rPr>
            </w:pPr>
            <w:r>
              <w:rPr>
                <w:rFonts w:ascii="Arial" w:cs="Arial" w:eastAsia="Arial" w:hAnsi="Arial"/>
                <w:sz w:val="18"/>
                <w:szCs w:val="18"/>
                <w:color w:val="FF0000"/>
                <w:strike w:val="1"/>
                <w:w w:val="92"/>
              </w:rPr>
              <w:t>Delaware</w:t>
            </w:r>
          </w:p>
        </w:tc>
        <w:tc>
          <w:tcPr>
            <w:tcW w:w="800" w:type="dxa"/>
            <w:vAlign w:val="bottom"/>
            <w:tcBorders>
              <w:top w:val="single" w:sz="8" w:color="auto"/>
              <w:bottom w:val="single" w:sz="8" w:color="FFDEAD"/>
              <w:right w:val="single" w:sz="8" w:color="auto"/>
            </w:tcBorders>
            <w:shd w:val="clear" w:color="auto" w:fill="FFDEAD"/>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0"/>
        </w:trPr>
        <w:tc>
          <w:tcPr>
            <w:tcW w:w="1920" w:type="dxa"/>
            <w:vAlign w:val="bottom"/>
            <w:tcBorders>
              <w:left w:val="single" w:sz="8" w:color="auto"/>
            </w:tcBorders>
            <w:shd w:val="clear" w:color="auto" w:fill="000000"/>
          </w:tcPr>
          <w:p>
            <w:pPr>
              <w:spacing w:after="0" w:line="20" w:lineRule="exact"/>
              <w:rPr>
                <w:sz w:val="1"/>
                <w:szCs w:val="1"/>
                <w:color w:val="auto"/>
              </w:rPr>
            </w:pPr>
          </w:p>
        </w:tc>
        <w:tc>
          <w:tcPr>
            <w:tcW w:w="290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20" w:type="dxa"/>
            <w:vAlign w:val="bottom"/>
            <w:tcBorders>
              <w:right w:val="single" w:sz="8" w:color="auto"/>
            </w:tcBorders>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ectPr>
          <w:pgSz w:w="11900" w:h="16838" w:orient="portrait"/>
          <w:cols w:equalWidth="0" w:num="1">
            <w:col w:w="11020"/>
          </w:cols>
          <w:pgMar w:left="640" w:top="784" w:right="239" w:bottom="1440" w:gutter="0" w:footer="0" w:header="0"/>
        </w:sectPr>
      </w:pPr>
    </w:p>
    <w:bookmarkStart w:id="347" w:name="page348"/>
    <w:bookmarkEnd w:id="347"/>
    <w:p>
      <w:pPr>
        <w:jc w:val="center"/>
        <w:spacing w:after="0"/>
        <w:rPr>
          <w:sz w:val="20"/>
          <w:szCs w:val="20"/>
          <w:color w:val="auto"/>
        </w:rPr>
      </w:pPr>
      <w:r>
        <w:rPr>
          <w:rFonts w:ascii="Arial" w:cs="Arial" w:eastAsia="Arial" w:hAnsi="Arial"/>
          <w:sz w:val="18"/>
          <w:szCs w:val="18"/>
          <w:b w:val="1"/>
          <w:bCs w:val="1"/>
          <w:u w:val="single" w:color="auto"/>
          <w:color w:val="0000FF"/>
          <w:highlight w:val="lightGray"/>
        </w:rPr>
        <w:t>EXCEPTIONS TO RECOURSE LIABILITY</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FF0000"/>
          <w:strike w:val="1"/>
        </w:rPr>
        <w:t>Exceptions to Recourse Liability</w:t>
      </w:r>
    </w:p>
    <w:p>
      <w:pPr>
        <w:spacing w:after="0" w:line="200" w:lineRule="exact"/>
        <w:rPr>
          <w:sz w:val="20"/>
          <w:szCs w:val="20"/>
          <w:color w:val="auto"/>
        </w:rPr>
      </w:pPr>
    </w:p>
    <w:p>
      <w:pPr>
        <w:spacing w:after="0" w:line="203" w:lineRule="exact"/>
        <w:rPr>
          <w:sz w:val="20"/>
          <w:szCs w:val="20"/>
          <w:color w:val="auto"/>
        </w:rPr>
      </w:pPr>
    </w:p>
    <w:p>
      <w:pPr>
        <w:jc w:val="both"/>
        <w:ind w:firstLine="599"/>
        <w:spacing w:after="0" w:line="251" w:lineRule="auto"/>
        <w:tabs>
          <w:tab w:leader="none" w:pos="801" w:val="left"/>
        </w:tabs>
        <w:numPr>
          <w:ilvl w:val="0"/>
          <w:numId w:val="407"/>
        </w:numPr>
        <w:rPr>
          <w:rFonts w:ascii="Arial" w:cs="Arial" w:eastAsia="Arial" w:hAnsi="Arial"/>
          <w:sz w:val="20"/>
          <w:szCs w:val="20"/>
          <w:color w:val="FF0000"/>
          <w:strike w:val="1"/>
        </w:rPr>
      </w:pPr>
      <w:r>
        <w:rPr>
          <w:rFonts w:ascii="Arial" w:cs="Arial" w:eastAsia="Arial" w:hAnsi="Arial"/>
          <w:sz w:val="20"/>
          <w:szCs w:val="20"/>
          <w:color w:val="FF0000"/>
          <w:strike w:val="1"/>
        </w:rPr>
        <w:t>The Indemnity Agreement, dated as of February 15, 2007, by ABW Holdings LLC, a Delaware limited liability company, American Assets, Inc. a California corporation, and Outrigger Enterprises, Inc., a Hawaii corporation in favor of Column Financial, a Delaware corporation, AS AMENDED by that certain Consent and Modification Agreement, dated as of December 30, 2010, by and among ABW Holdings LLC, a Delaware limited liability company, American Assets, Inc. a California corporation, Outrigger Enterprises, Inc., a Hawaii corporation, American Assets Trust, Inc., a Maryland corporation, American Assets Trust, L.P., a Maryland limited partnership, and Wells Fargo Bank, N.A., as Trustee for the Registered Holders of Credit Suisse First Boston Mortgage Securities Corp., Commercial Mortgage Pass-Through Certificates, Series 2008-C1.</w:t>
      </w:r>
    </w:p>
    <w:p>
      <w:pPr>
        <w:spacing w:after="0" w:line="202" w:lineRule="exact"/>
        <w:rPr>
          <w:rFonts w:ascii="Arial" w:cs="Arial" w:eastAsia="Arial" w:hAnsi="Arial"/>
          <w:sz w:val="20"/>
          <w:szCs w:val="20"/>
          <w:color w:val="FF0000"/>
          <w:strike w:val="1"/>
        </w:rPr>
      </w:pPr>
    </w:p>
    <w:p>
      <w:pPr>
        <w:jc w:val="both"/>
        <w:ind w:firstLine="599"/>
        <w:spacing w:after="0" w:line="267" w:lineRule="auto"/>
        <w:tabs>
          <w:tab w:leader="none" w:pos="822" w:val="left"/>
        </w:tabs>
        <w:numPr>
          <w:ilvl w:val="0"/>
          <w:numId w:val="407"/>
        </w:numPr>
        <w:rPr>
          <w:rFonts w:ascii="Arial" w:cs="Arial" w:eastAsia="Arial" w:hAnsi="Arial"/>
          <w:sz w:val="19"/>
          <w:szCs w:val="19"/>
          <w:color w:val="FF0000"/>
          <w:strike w:val="1"/>
        </w:rPr>
      </w:pPr>
      <w:r>
        <w:rPr>
          <w:rFonts w:ascii="Arial" w:cs="Arial" w:eastAsia="Arial" w:hAnsi="Arial"/>
          <w:sz w:val="19"/>
          <w:szCs w:val="19"/>
          <w:color w:val="FF0000"/>
          <w:strike w:val="1"/>
        </w:rPr>
        <w:t>The Indemnity Agreement, dated as of February 9, 2007, by Southbay Marketplace Holdings, LLC, a Delaware limited liability company, and Earnest Rady Trust, UDT dated March 10, 1983, as amended, in favor of UBS Real Estate Securities Inc., a Delaware corporation, AS MODIFIED by that certain Consent and Acknowledgment Agreement, dated as of December 30, 2010, by and among Southbay Marketplace Holdings, LLC, a Delaware limited liability company, U.S. Bank National Association, as Trustee for the registered holders of J.P. Morgan Chase Commercial Mortgage Securities Trust 2007-LDP10, Commercial Mortgage Pass-Through Certificates, Series 2007-LDP10, the Rady Trust, American Assets Trust, L.P., a Maryland limited partnership, American Assets Trust, Inc., a Maryland corporation, American Assets, Inc. a California corporation and Wells Fargo Bank, National Association.</w:t>
      </w:r>
    </w:p>
    <w:p>
      <w:pPr>
        <w:spacing w:after="0" w:line="184" w:lineRule="exact"/>
        <w:rPr>
          <w:rFonts w:ascii="Arial" w:cs="Arial" w:eastAsia="Arial" w:hAnsi="Arial"/>
          <w:sz w:val="19"/>
          <w:szCs w:val="19"/>
          <w:color w:val="FF0000"/>
          <w:strike w:val="1"/>
        </w:rPr>
      </w:pPr>
    </w:p>
    <w:p>
      <w:pPr>
        <w:jc w:val="both"/>
        <w:ind w:firstLine="599"/>
        <w:spacing w:after="0" w:line="256" w:lineRule="auto"/>
        <w:tabs>
          <w:tab w:leader="none" w:pos="818" w:val="left"/>
        </w:tabs>
        <w:numPr>
          <w:ilvl w:val="0"/>
          <w:numId w:val="407"/>
        </w:numPr>
        <w:rPr>
          <w:rFonts w:ascii="Arial" w:cs="Arial" w:eastAsia="Arial" w:hAnsi="Arial"/>
          <w:sz w:val="20"/>
          <w:szCs w:val="20"/>
          <w:color w:val="FF0000"/>
          <w:strike w:val="1"/>
        </w:rPr>
      </w:pPr>
      <w:r>
        <w:rPr>
          <w:rFonts w:ascii="Arial" w:cs="Arial" w:eastAsia="Arial" w:hAnsi="Arial"/>
          <w:sz w:val="20"/>
          <w:szCs w:val="20"/>
          <w:color w:val="FF0000"/>
          <w:strike w:val="1"/>
        </w:rPr>
        <w:t>The Indemnity Agreement, dated as of January 18, 2011, but effective as of January 19, 2011, by American Assets Trust, Inc., a Maryland corporation, and American Assets Trust, L.P., a Maryland limited partnership in favor of the U.S. Bank National Association, as Trustee for the Registered Holders of Banc of America Commercial Mortgage Inc., Commercial Mortgage Pass-Through Certificates, Series 2006-5.</w:t>
      </w:r>
    </w:p>
    <w:p>
      <w:pPr>
        <w:spacing w:after="0" w:line="192" w:lineRule="exact"/>
        <w:rPr>
          <w:rFonts w:ascii="Arial" w:cs="Arial" w:eastAsia="Arial" w:hAnsi="Arial"/>
          <w:sz w:val="20"/>
          <w:szCs w:val="20"/>
          <w:color w:val="FF0000"/>
          <w:strike w:val="1"/>
        </w:rPr>
      </w:pPr>
    </w:p>
    <w:p>
      <w:pPr>
        <w:jc w:val="both"/>
        <w:ind w:firstLine="599"/>
        <w:spacing w:after="0" w:line="256" w:lineRule="auto"/>
        <w:tabs>
          <w:tab w:leader="none" w:pos="818" w:val="left"/>
        </w:tabs>
        <w:numPr>
          <w:ilvl w:val="0"/>
          <w:numId w:val="407"/>
        </w:numPr>
        <w:rPr>
          <w:rFonts w:ascii="Arial" w:cs="Arial" w:eastAsia="Arial" w:hAnsi="Arial"/>
          <w:sz w:val="20"/>
          <w:szCs w:val="20"/>
          <w:color w:val="FF0000"/>
          <w:strike w:val="1"/>
        </w:rPr>
      </w:pPr>
      <w:r>
        <w:rPr>
          <w:rFonts w:ascii="Arial" w:cs="Arial" w:eastAsia="Arial" w:hAnsi="Arial"/>
          <w:sz w:val="20"/>
          <w:szCs w:val="20"/>
          <w:color w:val="FF0000"/>
          <w:strike w:val="1"/>
        </w:rPr>
        <w:t>The Indemnity Agreement, dated as of January 18, 2011, but effective as of January 19, 2011, by American Assets Trust, Inc., a Maryland corporation, and American Assets Trust, L.P., a Maryland limited partnership in favor of the U.S. Bank National Association, as Trustee for the Registered Holders of Banc of America Commercial Mortgage Inc., Commercial Mortgage Pass-Through Certificates, Series 2006-5.</w:t>
      </w:r>
    </w:p>
    <w:p>
      <w:pPr>
        <w:spacing w:after="0" w:line="192" w:lineRule="exact"/>
        <w:rPr>
          <w:rFonts w:ascii="Arial" w:cs="Arial" w:eastAsia="Arial" w:hAnsi="Arial"/>
          <w:sz w:val="20"/>
          <w:szCs w:val="20"/>
          <w:color w:val="FF0000"/>
          <w:strike w:val="1"/>
        </w:rPr>
      </w:pPr>
    </w:p>
    <w:p>
      <w:pPr>
        <w:jc w:val="both"/>
        <w:ind w:firstLine="599"/>
        <w:spacing w:after="0" w:line="256" w:lineRule="auto"/>
        <w:tabs>
          <w:tab w:leader="none" w:pos="800" w:val="left"/>
        </w:tabs>
        <w:numPr>
          <w:ilvl w:val="0"/>
          <w:numId w:val="407"/>
        </w:numPr>
        <w:rPr>
          <w:rFonts w:ascii="Arial" w:cs="Arial" w:eastAsia="Arial" w:hAnsi="Arial"/>
          <w:sz w:val="20"/>
          <w:szCs w:val="20"/>
          <w:color w:val="FF0000"/>
          <w:strike w:val="1"/>
        </w:rPr>
      </w:pPr>
      <w:r>
        <w:rPr>
          <w:rFonts w:ascii="Arial" w:cs="Arial" w:eastAsia="Arial" w:hAnsi="Arial"/>
          <w:sz w:val="20"/>
          <w:szCs w:val="20"/>
          <w:color w:val="FF0000"/>
          <w:strike w:val="1"/>
        </w:rPr>
        <w:t>The Indemnity Agreement, dated as of January 19, 2011, by SB Corporate Centre III-IV, LLC, a Delaware limited liability company, American Assets Trust, Inc., a Maryland corporation, and American Assets Trust, L.P., a Maryland limited partnership, in favor of Bank of America, National Association, successor by merger to LaSalle Bank National Association, as Trustee for the Registered Holders of Morgan Stanley Capital I Inc., Commercial Mortgage Pass-Through Certificates, Series 2007- IQ16.</w:t>
      </w:r>
    </w:p>
    <w:p>
      <w:pPr>
        <w:spacing w:after="0" w:line="200" w:lineRule="exact"/>
        <w:rPr>
          <w:sz w:val="20"/>
          <w:szCs w:val="20"/>
          <w:color w:val="auto"/>
        </w:rPr>
      </w:pPr>
    </w:p>
    <w:p>
      <w:pPr>
        <w:spacing w:after="0" w:line="230" w:lineRule="exact"/>
        <w:rPr>
          <w:sz w:val="20"/>
          <w:szCs w:val="20"/>
          <w:color w:val="auto"/>
        </w:rPr>
      </w:pPr>
    </w:p>
    <w:p>
      <w:pPr>
        <w:jc w:val="both"/>
        <w:ind w:firstLine="599"/>
        <w:spacing w:after="0" w:line="270" w:lineRule="auto"/>
        <w:tabs>
          <w:tab w:leader="none" w:pos="1336" w:val="left"/>
        </w:tabs>
        <w:numPr>
          <w:ilvl w:val="0"/>
          <w:numId w:val="408"/>
        </w:numPr>
        <w:rPr>
          <w:rFonts w:ascii="Arial" w:cs="Arial" w:eastAsia="Arial" w:hAnsi="Arial"/>
          <w:sz w:val="18"/>
          <w:szCs w:val="18"/>
          <w:b w:val="1"/>
          <w:bCs w:val="1"/>
          <w:u w:val="single" w:color="auto"/>
          <w:color w:val="0000FF"/>
        </w:rPr>
      </w:pPr>
      <w:r>
        <w:rPr>
          <w:rFonts w:ascii="Arial" w:cs="Arial" w:eastAsia="Arial" w:hAnsi="Arial"/>
          <w:sz w:val="20"/>
          <w:szCs w:val="20"/>
          <w:color w:val="FF0000"/>
          <w:strike w:val="1"/>
        </w:rPr>
        <w:t>6.</w:t>
      </w:r>
      <w:r>
        <w:rPr>
          <w:rFonts w:ascii="Arial" w:cs="Arial" w:eastAsia="Arial" w:hAnsi="Arial"/>
          <w:sz w:val="20"/>
          <w:szCs w:val="20"/>
          <w:color w:val="FF0000"/>
        </w:rPr>
        <w:t xml:space="preserve"> </w:t>
      </w:r>
      <w:r>
        <w:rPr>
          <w:rFonts w:ascii="Arial" w:cs="Arial" w:eastAsia="Arial" w:hAnsi="Arial"/>
          <w:sz w:val="18"/>
          <w:szCs w:val="18"/>
          <w:color w:val="000000"/>
        </w:rPr>
        <w:t>The Indemnification Agreement, dated as of January 19, 2011, by American Assets Trust, L.P., a Maryland limited partnership, to and</w:t>
      </w:r>
      <w:r>
        <w:rPr>
          <w:rFonts w:ascii="Arial" w:cs="Arial" w:eastAsia="Arial" w:hAnsi="Arial"/>
          <w:sz w:val="20"/>
          <w:szCs w:val="20"/>
          <w:color w:val="FF0000"/>
        </w:rPr>
        <w:t xml:space="preserve"> </w:t>
      </w:r>
      <w:r>
        <w:rPr>
          <w:rFonts w:ascii="Arial" w:cs="Arial" w:eastAsia="Arial" w:hAnsi="Arial"/>
          <w:sz w:val="18"/>
          <w:szCs w:val="18"/>
          <w:color w:val="000000"/>
        </w:rPr>
        <w:t xml:space="preserve">for the benefit of John Hancock Life Insurance Company (U.S.A.), a Michigan corporation and the successor by merger to John Hancock Life Insurance Company, a Massachusetts corporation. </w:t>
      </w:r>
      <w:r>
        <w:rPr>
          <w:rFonts w:ascii="Arial" w:cs="Arial" w:eastAsia="Arial" w:hAnsi="Arial"/>
          <w:sz w:val="18"/>
          <w:szCs w:val="18"/>
          <w:b w:val="1"/>
          <w:bCs w:val="1"/>
          <w:u w:val="single" w:color="auto"/>
          <w:color w:val="0000FF"/>
          <w:highlight w:val="lightGray"/>
        </w:rPr>
        <w:t>(TRNC)</w:t>
      </w:r>
    </w:p>
    <w:p>
      <w:pPr>
        <w:spacing w:after="0" w:line="173" w:lineRule="exact"/>
        <w:rPr>
          <w:rFonts w:ascii="Arial" w:cs="Arial" w:eastAsia="Arial" w:hAnsi="Arial"/>
          <w:sz w:val="18"/>
          <w:szCs w:val="18"/>
          <w:b w:val="1"/>
          <w:bCs w:val="1"/>
          <w:u w:val="single" w:color="auto"/>
          <w:color w:val="0000FF"/>
        </w:rPr>
      </w:pPr>
    </w:p>
    <w:p>
      <w:pPr>
        <w:ind w:left="1200" w:hanging="1"/>
        <w:spacing w:after="0" w:line="285" w:lineRule="auto"/>
        <w:tabs>
          <w:tab w:leader="none" w:pos="1395" w:val="left"/>
        </w:tabs>
        <w:numPr>
          <w:ilvl w:val="1"/>
          <w:numId w:val="408"/>
        </w:numPr>
        <w:rPr>
          <w:rFonts w:ascii="Arial" w:cs="Arial" w:eastAsia="Arial" w:hAnsi="Arial"/>
          <w:sz w:val="18"/>
          <w:szCs w:val="18"/>
          <w:color w:val="FF0000"/>
          <w:strike w:val="1"/>
        </w:rPr>
      </w:pPr>
      <w:r>
        <w:rPr>
          <w:rFonts w:ascii="Arial" w:cs="Arial" w:eastAsia="Arial" w:hAnsi="Arial"/>
          <w:sz w:val="20"/>
          <w:szCs w:val="20"/>
          <w:color w:val="FF0000"/>
          <w:strike w:val="1"/>
        </w:rPr>
        <w:t>The Indemnity Agreement, dated as of June 1, 2011 by AAT Oregon Office I, LLC, a Delaware limited liability company, and American Assets Trust, L.P., a Maryland limited</w:t>
      </w:r>
    </w:p>
    <w:p>
      <w:pPr>
        <w:sectPr>
          <w:pgSz w:w="11900" w:h="16838" w:orient="portrait"/>
          <w:cols w:equalWidth="0" w:num="1">
            <w:col w:w="11420"/>
          </w:cols>
          <w:pgMar w:left="240" w:top="993" w:right="239" w:bottom="1440" w:gutter="0" w:footer="0" w:header="0"/>
        </w:sectPr>
      </w:pPr>
    </w:p>
    <w:bookmarkStart w:id="348" w:name="page349"/>
    <w:bookmarkEnd w:id="348"/>
    <w:p>
      <w:pPr>
        <w:ind w:left="601"/>
        <w:spacing w:after="0" w:line="272" w:lineRule="auto"/>
        <w:rPr>
          <w:sz w:val="20"/>
          <w:szCs w:val="20"/>
          <w:color w:val="auto"/>
        </w:rPr>
      </w:pPr>
      <w:r>
        <w:rPr>
          <w:rFonts w:ascii="Arial" w:cs="Arial" w:eastAsia="Arial" w:hAnsi="Arial"/>
          <w:sz w:val="20"/>
          <w:szCs w:val="20"/>
          <w:color w:val="FF0000"/>
          <w:strike w:val="1"/>
        </w:rPr>
        <w:t>partnership, in favor of PNC BANK, NATIONAL ASSOCIATION, a national banking association c/o Midland Loan Services, Inc., Reference Loan Number 940960046.</w:t>
      </w:r>
    </w:p>
    <w:p>
      <w:pPr>
        <w:spacing w:after="0" w:line="116" w:lineRule="exact"/>
        <w:rPr>
          <w:sz w:val="20"/>
          <w:szCs w:val="20"/>
          <w:color w:val="auto"/>
        </w:rPr>
      </w:pPr>
    </w:p>
    <w:p>
      <w:pPr>
        <w:jc w:val="both"/>
        <w:ind w:left="-599" w:firstLine="599"/>
        <w:spacing w:after="0" w:line="270" w:lineRule="auto"/>
        <w:tabs>
          <w:tab w:leader="none" w:pos="737" w:val="left"/>
        </w:tabs>
        <w:numPr>
          <w:ilvl w:val="0"/>
          <w:numId w:val="409"/>
        </w:numPr>
        <w:rPr>
          <w:rFonts w:ascii="Arial" w:cs="Arial" w:eastAsia="Arial" w:hAnsi="Arial"/>
          <w:sz w:val="18"/>
          <w:szCs w:val="18"/>
          <w:b w:val="1"/>
          <w:bCs w:val="1"/>
          <w:u w:val="single" w:color="auto"/>
          <w:color w:val="0000FF"/>
        </w:rPr>
      </w:pPr>
      <w:r>
        <w:rPr>
          <w:rFonts w:ascii="Arial" w:cs="Arial" w:eastAsia="Arial" w:hAnsi="Arial"/>
          <w:sz w:val="20"/>
          <w:szCs w:val="20"/>
          <w:color w:val="FF0000"/>
          <w:strike w:val="1"/>
        </w:rPr>
        <w:t>8.</w:t>
      </w:r>
      <w:r>
        <w:rPr>
          <w:rFonts w:ascii="Arial" w:cs="Arial" w:eastAsia="Arial" w:hAnsi="Arial"/>
          <w:sz w:val="20"/>
          <w:szCs w:val="20"/>
          <w:color w:val="FF0000"/>
        </w:rPr>
        <w:t xml:space="preserve"> </w:t>
      </w:r>
      <w:r>
        <w:rPr>
          <w:rFonts w:ascii="Arial" w:cs="Arial" w:eastAsia="Arial" w:hAnsi="Arial"/>
          <w:sz w:val="18"/>
          <w:szCs w:val="18"/>
          <w:color w:val="000000"/>
        </w:rPr>
        <w:t>The Indemnity Agreement, dated as of March 29, 2012 by AAT One Beach, LLC, a Delaware limited liability company, and American</w:t>
      </w:r>
      <w:r>
        <w:rPr>
          <w:rFonts w:ascii="Arial" w:cs="Arial" w:eastAsia="Arial" w:hAnsi="Arial"/>
          <w:sz w:val="20"/>
          <w:szCs w:val="20"/>
          <w:color w:val="FF0000"/>
        </w:rPr>
        <w:t xml:space="preserve"> </w:t>
      </w:r>
      <w:r>
        <w:rPr>
          <w:rFonts w:ascii="Arial" w:cs="Arial" w:eastAsia="Arial" w:hAnsi="Arial"/>
          <w:sz w:val="18"/>
          <w:szCs w:val="18"/>
          <w:color w:val="000000"/>
        </w:rPr>
        <w:t xml:space="preserve">Assets Trust, L.P., a Maryland limited partnership, in favor of PNC BANK, NATIONAL ASSOCIATION, a national banking c/o Midland Loan Services, Inc., Reference Loan Number 940960219. </w:t>
      </w:r>
      <w:r>
        <w:rPr>
          <w:rFonts w:ascii="Arial" w:cs="Arial" w:eastAsia="Arial" w:hAnsi="Arial"/>
          <w:sz w:val="18"/>
          <w:szCs w:val="18"/>
          <w:b w:val="1"/>
          <w:bCs w:val="1"/>
          <w:u w:val="single" w:color="auto"/>
          <w:color w:val="0000FF"/>
          <w:highlight w:val="lightGray"/>
        </w:rPr>
        <w:t>(One Beach)</w:t>
      </w:r>
    </w:p>
    <w:p>
      <w:pPr>
        <w:spacing w:after="0" w:line="336" w:lineRule="exact"/>
        <w:rPr>
          <w:rFonts w:ascii="Arial" w:cs="Arial" w:eastAsia="Arial" w:hAnsi="Arial"/>
          <w:sz w:val="18"/>
          <w:szCs w:val="18"/>
          <w:b w:val="1"/>
          <w:bCs w:val="1"/>
          <w:u w:val="single" w:color="auto"/>
          <w:color w:val="0000FF"/>
        </w:rPr>
      </w:pPr>
    </w:p>
    <w:p>
      <w:pPr>
        <w:jc w:val="both"/>
        <w:ind w:left="-599" w:firstLine="599"/>
        <w:spacing w:after="0" w:line="270" w:lineRule="auto"/>
        <w:tabs>
          <w:tab w:leader="none" w:pos="737" w:val="left"/>
        </w:tabs>
        <w:numPr>
          <w:ilvl w:val="0"/>
          <w:numId w:val="409"/>
        </w:numPr>
        <w:rPr>
          <w:rFonts w:ascii="Arial" w:cs="Arial" w:eastAsia="Arial" w:hAnsi="Arial"/>
          <w:sz w:val="18"/>
          <w:szCs w:val="18"/>
          <w:b w:val="1"/>
          <w:bCs w:val="1"/>
          <w:u w:val="single" w:color="auto"/>
          <w:color w:val="0000FF"/>
        </w:rPr>
      </w:pPr>
      <w:r>
        <w:rPr>
          <w:rFonts w:ascii="Arial" w:cs="Arial" w:eastAsia="Arial" w:hAnsi="Arial"/>
          <w:sz w:val="20"/>
          <w:szCs w:val="20"/>
          <w:color w:val="FF0000"/>
          <w:strike w:val="1"/>
        </w:rPr>
        <w:t>9.</w:t>
      </w:r>
      <w:r>
        <w:rPr>
          <w:rFonts w:ascii="Arial" w:cs="Arial" w:eastAsia="Arial" w:hAnsi="Arial"/>
          <w:sz w:val="20"/>
          <w:szCs w:val="20"/>
          <w:color w:val="FF0000"/>
        </w:rPr>
        <w:t xml:space="preserve"> </w:t>
      </w:r>
      <w:r>
        <w:rPr>
          <w:rFonts w:ascii="Arial" w:cs="Arial" w:eastAsia="Arial" w:hAnsi="Arial"/>
          <w:sz w:val="18"/>
          <w:szCs w:val="18"/>
          <w:color w:val="000000"/>
        </w:rPr>
        <w:t>The Indemnity Agreement, dated as of October 10, 2012 by AAT CC Bellevue, LLC, a Delaware limited liability company, and</w:t>
      </w:r>
      <w:r>
        <w:rPr>
          <w:rFonts w:ascii="Arial" w:cs="Arial" w:eastAsia="Arial" w:hAnsi="Arial"/>
          <w:sz w:val="20"/>
          <w:szCs w:val="20"/>
          <w:color w:val="FF0000"/>
        </w:rPr>
        <w:t xml:space="preserve"> </w:t>
      </w:r>
      <w:r>
        <w:rPr>
          <w:rFonts w:ascii="Arial" w:cs="Arial" w:eastAsia="Arial" w:hAnsi="Arial"/>
          <w:sz w:val="18"/>
          <w:szCs w:val="18"/>
          <w:color w:val="000000"/>
        </w:rPr>
        <w:t xml:space="preserve">American Assets Trust, L.P., a Maryland limited partnership, in favor of PNC BANK, NATIONAL ASSOCIATION, a national banking association c/o Midland Loan Services, Inc., Reference Loan Number 940960335. </w:t>
      </w:r>
      <w:r>
        <w:rPr>
          <w:rFonts w:ascii="Arial" w:cs="Arial" w:eastAsia="Arial" w:hAnsi="Arial"/>
          <w:sz w:val="18"/>
          <w:szCs w:val="18"/>
          <w:b w:val="1"/>
          <w:bCs w:val="1"/>
          <w:u w:val="single" w:color="auto"/>
          <w:color w:val="0000FF"/>
          <w:highlight w:val="lightGray"/>
        </w:rPr>
        <w:t>(CCB)</w:t>
      </w:r>
    </w:p>
    <w:p>
      <w:pPr>
        <w:spacing w:after="0" w:line="336" w:lineRule="exact"/>
        <w:rPr>
          <w:rFonts w:ascii="Arial" w:cs="Arial" w:eastAsia="Arial" w:hAnsi="Arial"/>
          <w:sz w:val="18"/>
          <w:szCs w:val="18"/>
          <w:b w:val="1"/>
          <w:bCs w:val="1"/>
          <w:u w:val="single" w:color="auto"/>
          <w:color w:val="0000FF"/>
        </w:rPr>
      </w:pPr>
    </w:p>
    <w:p>
      <w:pPr>
        <w:jc w:val="both"/>
        <w:ind w:left="-599" w:firstLine="599"/>
        <w:spacing w:after="0" w:line="270" w:lineRule="auto"/>
        <w:tabs>
          <w:tab w:leader="none" w:pos="737" w:val="left"/>
        </w:tabs>
        <w:numPr>
          <w:ilvl w:val="0"/>
          <w:numId w:val="409"/>
        </w:numPr>
        <w:rPr>
          <w:rFonts w:ascii="Arial" w:cs="Arial" w:eastAsia="Arial" w:hAnsi="Arial"/>
          <w:sz w:val="18"/>
          <w:szCs w:val="18"/>
          <w:b w:val="1"/>
          <w:bCs w:val="1"/>
          <w:u w:val="single" w:color="auto"/>
          <w:color w:val="0000FF"/>
        </w:rPr>
      </w:pPr>
      <w:r>
        <w:rPr>
          <w:rFonts w:ascii="Arial" w:cs="Arial" w:eastAsia="Arial" w:hAnsi="Arial"/>
          <w:sz w:val="20"/>
          <w:szCs w:val="20"/>
          <w:color w:val="FF0000"/>
          <w:strike w:val="1"/>
        </w:rPr>
        <w:t>10.</w:t>
      </w:r>
      <w:r>
        <w:rPr>
          <w:rFonts w:ascii="Arial" w:cs="Arial" w:eastAsia="Arial" w:hAnsi="Arial"/>
          <w:sz w:val="20"/>
          <w:szCs w:val="20"/>
          <w:color w:val="FF0000"/>
        </w:rPr>
        <w:t xml:space="preserve"> </w:t>
      </w:r>
      <w:r>
        <w:rPr>
          <w:rFonts w:ascii="Arial" w:cs="Arial" w:eastAsia="Arial" w:hAnsi="Arial"/>
          <w:sz w:val="18"/>
          <w:szCs w:val="18"/>
          <w:color w:val="000000"/>
        </w:rPr>
        <w:t>The Guaranty Agreement, dated as of January 19, 2011, by American Assets Trust, L.P., a Maryland limited partnership, in favor of</w:t>
      </w:r>
      <w:r>
        <w:rPr>
          <w:rFonts w:ascii="Arial" w:cs="Arial" w:eastAsia="Arial" w:hAnsi="Arial"/>
          <w:sz w:val="20"/>
          <w:szCs w:val="20"/>
          <w:color w:val="FF0000"/>
        </w:rPr>
        <w:t xml:space="preserve"> </w:t>
      </w:r>
      <w:r>
        <w:rPr>
          <w:rFonts w:ascii="Arial" w:cs="Arial" w:eastAsia="Arial" w:hAnsi="Arial"/>
          <w:sz w:val="18"/>
          <w:szCs w:val="18"/>
          <w:color w:val="000000"/>
        </w:rPr>
        <w:t xml:space="preserve">the Partnership and John Hancock Life Insurance Company (U.S.A.), a Michigan corporation and the successor by merger to John Hancock Life Insurance Company, a Massachusetts corporation. </w:t>
      </w:r>
      <w:r>
        <w:rPr>
          <w:rFonts w:ascii="Arial" w:cs="Arial" w:eastAsia="Arial" w:hAnsi="Arial"/>
          <w:sz w:val="18"/>
          <w:szCs w:val="18"/>
          <w:b w:val="1"/>
          <w:bCs w:val="1"/>
          <w:u w:val="single" w:color="auto"/>
          <w:color w:val="0000FF"/>
          <w:highlight w:val="lightGray"/>
        </w:rPr>
        <w:t>(TRNC)</w:t>
      </w:r>
    </w:p>
    <w:p>
      <w:pPr>
        <w:spacing w:after="0" w:line="200" w:lineRule="exact"/>
        <w:rPr>
          <w:rFonts w:ascii="Arial" w:cs="Arial" w:eastAsia="Arial" w:hAnsi="Arial"/>
          <w:sz w:val="18"/>
          <w:szCs w:val="18"/>
          <w:b w:val="1"/>
          <w:bCs w:val="1"/>
          <w:u w:val="single" w:color="auto"/>
          <w:color w:val="0000FF"/>
        </w:rPr>
      </w:pPr>
    </w:p>
    <w:p>
      <w:pPr>
        <w:spacing w:after="0" w:line="336" w:lineRule="exact"/>
        <w:rPr>
          <w:rFonts w:ascii="Arial" w:cs="Arial" w:eastAsia="Arial" w:hAnsi="Arial"/>
          <w:sz w:val="18"/>
          <w:szCs w:val="18"/>
          <w:b w:val="1"/>
          <w:bCs w:val="1"/>
          <w:u w:val="single" w:color="auto"/>
          <w:color w:val="0000FF"/>
        </w:rPr>
      </w:pPr>
    </w:p>
    <w:p>
      <w:pPr>
        <w:jc w:val="both"/>
        <w:ind w:left="-599" w:firstLine="599"/>
        <w:spacing w:after="0" w:line="270" w:lineRule="auto"/>
        <w:tabs>
          <w:tab w:leader="none" w:pos="737" w:val="left"/>
        </w:tabs>
        <w:numPr>
          <w:ilvl w:val="0"/>
          <w:numId w:val="409"/>
        </w:numPr>
        <w:rPr>
          <w:rFonts w:ascii="Arial" w:cs="Arial" w:eastAsia="Arial" w:hAnsi="Arial"/>
          <w:sz w:val="18"/>
          <w:szCs w:val="18"/>
          <w:b w:val="1"/>
          <w:bCs w:val="1"/>
          <w:u w:val="single" w:color="auto"/>
          <w:color w:val="0000FF"/>
        </w:rPr>
      </w:pPr>
      <w:r>
        <w:rPr>
          <w:rFonts w:ascii="Arial" w:cs="Arial" w:eastAsia="Arial" w:hAnsi="Arial"/>
          <w:sz w:val="20"/>
          <w:szCs w:val="20"/>
          <w:color w:val="FF0000"/>
          <w:strike w:val="1"/>
        </w:rPr>
        <w:t>11.</w:t>
      </w:r>
      <w:r>
        <w:rPr>
          <w:rFonts w:ascii="Arial" w:cs="Arial" w:eastAsia="Arial" w:hAnsi="Arial"/>
          <w:sz w:val="20"/>
          <w:szCs w:val="20"/>
          <w:color w:val="FF0000"/>
        </w:rPr>
        <w:t xml:space="preserve"> </w:t>
      </w:r>
      <w:r>
        <w:rPr>
          <w:rFonts w:ascii="Arial" w:cs="Arial" w:eastAsia="Arial" w:hAnsi="Arial"/>
          <w:sz w:val="18"/>
          <w:szCs w:val="18"/>
          <w:color w:val="000000"/>
        </w:rPr>
        <w:t>The Guaranty of Recourse Obligations, dated as of January 19, 2011, by American Assets Trust, L.P., a Maryland limited partnership,</w:t>
      </w:r>
      <w:r>
        <w:rPr>
          <w:rFonts w:ascii="Arial" w:cs="Arial" w:eastAsia="Arial" w:hAnsi="Arial"/>
          <w:sz w:val="20"/>
          <w:szCs w:val="20"/>
          <w:color w:val="FF0000"/>
        </w:rPr>
        <w:t xml:space="preserve"> </w:t>
      </w:r>
      <w:r>
        <w:rPr>
          <w:rFonts w:ascii="Arial" w:cs="Arial" w:eastAsia="Arial" w:hAnsi="Arial"/>
          <w:sz w:val="18"/>
          <w:szCs w:val="18"/>
          <w:color w:val="000000"/>
        </w:rPr>
        <w:t xml:space="preserve">for the benefit of U.S. Bank National Association, as Trustee for the registered holders of COMM 2010-C1 Mortgage Trust, COMM 2010-C1 Commercial Mortgage Pass-Through Certificates. </w:t>
      </w:r>
      <w:r>
        <w:rPr>
          <w:rFonts w:ascii="Arial" w:cs="Arial" w:eastAsia="Arial" w:hAnsi="Arial"/>
          <w:sz w:val="18"/>
          <w:szCs w:val="18"/>
          <w:b w:val="1"/>
          <w:bCs w:val="1"/>
          <w:u w:val="single" w:color="auto"/>
          <w:color w:val="0000FF"/>
          <w:highlight w:val="lightGray"/>
        </w:rPr>
        <w:t>(SBCC I-II)</w:t>
      </w:r>
    </w:p>
    <w:p>
      <w:pPr>
        <w:spacing w:after="0" w:line="200" w:lineRule="exact"/>
        <w:rPr>
          <w:rFonts w:ascii="Arial" w:cs="Arial" w:eastAsia="Arial" w:hAnsi="Arial"/>
          <w:sz w:val="18"/>
          <w:szCs w:val="18"/>
          <w:b w:val="1"/>
          <w:bCs w:val="1"/>
          <w:u w:val="single" w:color="auto"/>
          <w:color w:val="0000FF"/>
        </w:rPr>
      </w:pPr>
    </w:p>
    <w:p>
      <w:pPr>
        <w:spacing w:after="0" w:line="336" w:lineRule="exact"/>
        <w:rPr>
          <w:rFonts w:ascii="Arial" w:cs="Arial" w:eastAsia="Arial" w:hAnsi="Arial"/>
          <w:sz w:val="18"/>
          <w:szCs w:val="18"/>
          <w:b w:val="1"/>
          <w:bCs w:val="1"/>
          <w:u w:val="single" w:color="auto"/>
          <w:color w:val="0000FF"/>
        </w:rPr>
      </w:pPr>
    </w:p>
    <w:p>
      <w:pPr>
        <w:jc w:val="both"/>
        <w:ind w:left="-599" w:firstLine="599"/>
        <w:spacing w:after="0" w:line="270" w:lineRule="auto"/>
        <w:tabs>
          <w:tab w:leader="none" w:pos="737" w:val="left"/>
        </w:tabs>
        <w:numPr>
          <w:ilvl w:val="0"/>
          <w:numId w:val="409"/>
        </w:numPr>
        <w:rPr>
          <w:rFonts w:ascii="Arial" w:cs="Arial" w:eastAsia="Arial" w:hAnsi="Arial"/>
          <w:sz w:val="18"/>
          <w:szCs w:val="18"/>
          <w:b w:val="1"/>
          <w:bCs w:val="1"/>
          <w:u w:val="single" w:color="auto"/>
          <w:color w:val="0000FF"/>
        </w:rPr>
      </w:pPr>
      <w:r>
        <w:rPr>
          <w:rFonts w:ascii="Arial" w:cs="Arial" w:eastAsia="Arial" w:hAnsi="Arial"/>
          <w:sz w:val="20"/>
          <w:szCs w:val="20"/>
          <w:color w:val="FF0000"/>
          <w:strike w:val="1"/>
        </w:rPr>
        <w:t>12.</w:t>
      </w:r>
      <w:r>
        <w:rPr>
          <w:rFonts w:ascii="Arial" w:cs="Arial" w:eastAsia="Arial" w:hAnsi="Arial"/>
          <w:sz w:val="20"/>
          <w:szCs w:val="20"/>
          <w:color w:val="FF0000"/>
        </w:rPr>
        <w:t xml:space="preserve"> </w:t>
      </w:r>
      <w:r>
        <w:rPr>
          <w:rFonts w:ascii="Arial" w:cs="Arial" w:eastAsia="Arial" w:hAnsi="Arial"/>
          <w:sz w:val="18"/>
          <w:szCs w:val="18"/>
          <w:color w:val="000000"/>
        </w:rPr>
        <w:t>The Environmental Indemnity Agreement, dated as of January 19, 2011, by SBCC Holdings, LLC, a Delaware limited liability</w:t>
      </w:r>
      <w:r>
        <w:rPr>
          <w:rFonts w:ascii="Arial" w:cs="Arial" w:eastAsia="Arial" w:hAnsi="Arial"/>
          <w:sz w:val="20"/>
          <w:szCs w:val="20"/>
          <w:color w:val="FF0000"/>
        </w:rPr>
        <w:t xml:space="preserve"> </w:t>
      </w:r>
      <w:r>
        <w:rPr>
          <w:rFonts w:ascii="Arial" w:cs="Arial" w:eastAsia="Arial" w:hAnsi="Arial"/>
          <w:sz w:val="18"/>
          <w:szCs w:val="18"/>
          <w:color w:val="000000"/>
        </w:rPr>
        <w:t xml:space="preserve">company, and American Assets Trust, L.P., a Maryland limited partnership in favor of the U.S. Bank National Association, as Trustee for the registered holders of COMM 2010-C1 Mortgage Trust, COMM 2010-C1 Commercial Mortgage Pass-Through Certificates and the other indemnified parties named therein. </w:t>
      </w:r>
      <w:r>
        <w:rPr>
          <w:rFonts w:ascii="Arial" w:cs="Arial" w:eastAsia="Arial" w:hAnsi="Arial"/>
          <w:sz w:val="18"/>
          <w:szCs w:val="18"/>
          <w:b w:val="1"/>
          <w:bCs w:val="1"/>
          <w:u w:val="single" w:color="auto"/>
          <w:color w:val="0000FF"/>
          <w:highlight w:val="lightGray"/>
        </w:rPr>
        <w:t>(SBCC I-II)</w:t>
      </w:r>
    </w:p>
    <w:p>
      <w:pPr>
        <w:spacing w:after="0" w:line="200" w:lineRule="exact"/>
        <w:rPr>
          <w:rFonts w:ascii="Arial" w:cs="Arial" w:eastAsia="Arial" w:hAnsi="Arial"/>
          <w:sz w:val="18"/>
          <w:szCs w:val="18"/>
          <w:b w:val="1"/>
          <w:bCs w:val="1"/>
          <w:u w:val="single" w:color="auto"/>
          <w:color w:val="0000FF"/>
        </w:rPr>
      </w:pPr>
    </w:p>
    <w:p>
      <w:pPr>
        <w:spacing w:after="0" w:line="340" w:lineRule="exact"/>
        <w:rPr>
          <w:rFonts w:ascii="Arial" w:cs="Arial" w:eastAsia="Arial" w:hAnsi="Arial"/>
          <w:sz w:val="18"/>
          <w:szCs w:val="18"/>
          <w:b w:val="1"/>
          <w:bCs w:val="1"/>
          <w:u w:val="single" w:color="auto"/>
          <w:color w:val="0000FF"/>
        </w:rPr>
      </w:pPr>
    </w:p>
    <w:p>
      <w:pPr>
        <w:jc w:val="both"/>
        <w:ind w:left="-599" w:firstLine="599"/>
        <w:spacing w:after="0" w:line="270" w:lineRule="auto"/>
        <w:tabs>
          <w:tab w:leader="none" w:pos="737" w:val="left"/>
        </w:tabs>
        <w:numPr>
          <w:ilvl w:val="0"/>
          <w:numId w:val="409"/>
        </w:numPr>
        <w:rPr>
          <w:rFonts w:ascii="Arial" w:cs="Arial" w:eastAsia="Arial" w:hAnsi="Arial"/>
          <w:sz w:val="18"/>
          <w:szCs w:val="18"/>
          <w:b w:val="1"/>
          <w:bCs w:val="1"/>
          <w:u w:val="single" w:color="auto"/>
          <w:color w:val="0000FF"/>
        </w:rPr>
      </w:pPr>
      <w:r>
        <w:rPr>
          <w:rFonts w:ascii="Arial" w:cs="Arial" w:eastAsia="Arial" w:hAnsi="Arial"/>
          <w:sz w:val="20"/>
          <w:szCs w:val="20"/>
          <w:color w:val="FF0000"/>
          <w:strike w:val="1"/>
        </w:rPr>
        <w:t>13.</w:t>
      </w:r>
      <w:r>
        <w:rPr>
          <w:rFonts w:ascii="Arial" w:cs="Arial" w:eastAsia="Arial" w:hAnsi="Arial"/>
          <w:sz w:val="20"/>
          <w:szCs w:val="20"/>
          <w:color w:val="FF0000"/>
        </w:rPr>
        <w:t xml:space="preserve"> </w:t>
      </w:r>
      <w:r>
        <w:rPr>
          <w:rFonts w:ascii="Arial" w:cs="Arial" w:eastAsia="Arial" w:hAnsi="Arial"/>
          <w:sz w:val="18"/>
          <w:szCs w:val="18"/>
          <w:color w:val="000000"/>
        </w:rPr>
        <w:t>The Guaranty of Recourse Obligations, dated as of January 19, 2011, by American Assets Trust, L.P., a Maryland limited</w:t>
      </w:r>
      <w:r>
        <w:rPr>
          <w:rFonts w:ascii="Arial" w:cs="Arial" w:eastAsia="Arial" w:hAnsi="Arial"/>
          <w:sz w:val="20"/>
          <w:szCs w:val="20"/>
          <w:color w:val="FF0000"/>
        </w:rPr>
        <w:t xml:space="preserve"> </w:t>
      </w:r>
      <w:r>
        <w:rPr>
          <w:rFonts w:ascii="Arial" w:cs="Arial" w:eastAsia="Arial" w:hAnsi="Arial"/>
          <w:sz w:val="18"/>
          <w:szCs w:val="18"/>
          <w:color w:val="000000"/>
        </w:rPr>
        <w:t xml:space="preserve">partnership, for the benefit of U.S. Bank National Association, as Trustee for the registered holders of COMM 2010-C1 Mortgage Trust, COMM 2010-C1 Commercial Mortgage Pass-Through Certificates. </w:t>
      </w:r>
      <w:r>
        <w:rPr>
          <w:rFonts w:ascii="Arial" w:cs="Arial" w:eastAsia="Arial" w:hAnsi="Arial"/>
          <w:sz w:val="18"/>
          <w:szCs w:val="18"/>
          <w:b w:val="1"/>
          <w:bCs w:val="1"/>
          <w:u w:val="single" w:color="auto"/>
          <w:color w:val="0000FF"/>
          <w:highlight w:val="lightGray"/>
        </w:rPr>
        <w:t>(SBTC)</w:t>
      </w:r>
    </w:p>
    <w:p>
      <w:pPr>
        <w:spacing w:after="0" w:line="200" w:lineRule="exact"/>
        <w:rPr>
          <w:rFonts w:ascii="Arial" w:cs="Arial" w:eastAsia="Arial" w:hAnsi="Arial"/>
          <w:sz w:val="18"/>
          <w:szCs w:val="18"/>
          <w:b w:val="1"/>
          <w:bCs w:val="1"/>
          <w:u w:val="single" w:color="auto"/>
          <w:color w:val="0000FF"/>
        </w:rPr>
      </w:pPr>
    </w:p>
    <w:p>
      <w:pPr>
        <w:spacing w:after="0" w:line="336" w:lineRule="exact"/>
        <w:rPr>
          <w:rFonts w:ascii="Arial" w:cs="Arial" w:eastAsia="Arial" w:hAnsi="Arial"/>
          <w:sz w:val="18"/>
          <w:szCs w:val="18"/>
          <w:b w:val="1"/>
          <w:bCs w:val="1"/>
          <w:u w:val="single" w:color="auto"/>
          <w:color w:val="0000FF"/>
        </w:rPr>
      </w:pPr>
    </w:p>
    <w:p>
      <w:pPr>
        <w:jc w:val="both"/>
        <w:ind w:left="-599" w:firstLine="599"/>
        <w:spacing w:after="0" w:line="270" w:lineRule="auto"/>
        <w:tabs>
          <w:tab w:leader="none" w:pos="737" w:val="left"/>
        </w:tabs>
        <w:numPr>
          <w:ilvl w:val="0"/>
          <w:numId w:val="409"/>
        </w:numPr>
        <w:rPr>
          <w:rFonts w:ascii="Arial" w:cs="Arial" w:eastAsia="Arial" w:hAnsi="Arial"/>
          <w:sz w:val="18"/>
          <w:szCs w:val="18"/>
          <w:b w:val="1"/>
          <w:bCs w:val="1"/>
          <w:u w:val="single" w:color="auto"/>
          <w:color w:val="0000FF"/>
        </w:rPr>
      </w:pPr>
      <w:r>
        <w:rPr>
          <w:rFonts w:ascii="Arial" w:cs="Arial" w:eastAsia="Arial" w:hAnsi="Arial"/>
          <w:sz w:val="20"/>
          <w:szCs w:val="20"/>
          <w:color w:val="FF0000"/>
          <w:strike w:val="1"/>
        </w:rPr>
        <w:t>14.</w:t>
      </w:r>
      <w:r>
        <w:rPr>
          <w:rFonts w:ascii="Arial" w:cs="Arial" w:eastAsia="Arial" w:hAnsi="Arial"/>
          <w:sz w:val="20"/>
          <w:szCs w:val="20"/>
          <w:color w:val="FF0000"/>
        </w:rPr>
        <w:t xml:space="preserve"> </w:t>
      </w:r>
      <w:r>
        <w:rPr>
          <w:rFonts w:ascii="Arial" w:cs="Arial" w:eastAsia="Arial" w:hAnsi="Arial"/>
          <w:sz w:val="18"/>
          <w:szCs w:val="18"/>
          <w:color w:val="000000"/>
        </w:rPr>
        <w:t>The Environmental Indemnity Agreement, dated as of January 19, 2011, by SBTC Holdings, LLC, a Delaware limited liability</w:t>
      </w:r>
      <w:r>
        <w:rPr>
          <w:rFonts w:ascii="Arial" w:cs="Arial" w:eastAsia="Arial" w:hAnsi="Arial"/>
          <w:sz w:val="20"/>
          <w:szCs w:val="20"/>
          <w:color w:val="FF0000"/>
        </w:rPr>
        <w:t xml:space="preserve"> </w:t>
      </w:r>
      <w:r>
        <w:rPr>
          <w:rFonts w:ascii="Arial" w:cs="Arial" w:eastAsia="Arial" w:hAnsi="Arial"/>
          <w:sz w:val="18"/>
          <w:szCs w:val="18"/>
          <w:color w:val="000000"/>
        </w:rPr>
        <w:t xml:space="preserve">company, and American Assets Trust, L.P., a Maryland limited partnership, in favor of the U.S. Bank National Association, as Trustee for the registered holders of COMM 2010-C1 Mortgage Trust, COMM 2010-C1 Commercial Mortgage Pass-Through Certificates and the other indemnified parties named therein. </w:t>
      </w:r>
      <w:r>
        <w:rPr>
          <w:rFonts w:ascii="Arial" w:cs="Arial" w:eastAsia="Arial" w:hAnsi="Arial"/>
          <w:sz w:val="18"/>
          <w:szCs w:val="18"/>
          <w:b w:val="1"/>
          <w:bCs w:val="1"/>
          <w:u w:val="single" w:color="auto"/>
          <w:color w:val="0000FF"/>
          <w:highlight w:val="lightGray"/>
        </w:rPr>
        <w:t>(SBTC)</w:t>
      </w:r>
    </w:p>
    <w:p>
      <w:pPr>
        <w:spacing w:after="0" w:line="200" w:lineRule="exact"/>
        <w:rPr>
          <w:rFonts w:ascii="Arial" w:cs="Arial" w:eastAsia="Arial" w:hAnsi="Arial"/>
          <w:sz w:val="18"/>
          <w:szCs w:val="18"/>
          <w:b w:val="1"/>
          <w:bCs w:val="1"/>
          <w:u w:val="single" w:color="auto"/>
          <w:color w:val="0000FF"/>
        </w:rPr>
      </w:pPr>
    </w:p>
    <w:p>
      <w:pPr>
        <w:spacing w:after="0" w:line="340" w:lineRule="exact"/>
        <w:rPr>
          <w:rFonts w:ascii="Arial" w:cs="Arial" w:eastAsia="Arial" w:hAnsi="Arial"/>
          <w:sz w:val="18"/>
          <w:szCs w:val="18"/>
          <w:b w:val="1"/>
          <w:bCs w:val="1"/>
          <w:u w:val="single" w:color="auto"/>
          <w:color w:val="0000FF"/>
        </w:rPr>
      </w:pPr>
    </w:p>
    <w:p>
      <w:pPr>
        <w:jc w:val="both"/>
        <w:ind w:left="-599" w:firstLine="599"/>
        <w:spacing w:after="0" w:line="270" w:lineRule="auto"/>
        <w:tabs>
          <w:tab w:leader="none" w:pos="737" w:val="left"/>
        </w:tabs>
        <w:numPr>
          <w:ilvl w:val="0"/>
          <w:numId w:val="409"/>
        </w:numPr>
        <w:rPr>
          <w:rFonts w:ascii="Arial" w:cs="Arial" w:eastAsia="Arial" w:hAnsi="Arial"/>
          <w:sz w:val="18"/>
          <w:szCs w:val="18"/>
          <w:b w:val="1"/>
          <w:bCs w:val="1"/>
          <w:u w:val="single" w:color="auto"/>
          <w:color w:val="0000FF"/>
        </w:rPr>
      </w:pPr>
      <w:r>
        <w:rPr>
          <w:rFonts w:ascii="Arial" w:cs="Arial" w:eastAsia="Arial" w:hAnsi="Arial"/>
          <w:sz w:val="20"/>
          <w:szCs w:val="20"/>
          <w:color w:val="FF0000"/>
          <w:strike w:val="1"/>
        </w:rPr>
        <w:t>15.</w:t>
      </w:r>
      <w:r>
        <w:rPr>
          <w:rFonts w:ascii="Arial" w:cs="Arial" w:eastAsia="Arial" w:hAnsi="Arial"/>
          <w:sz w:val="20"/>
          <w:szCs w:val="20"/>
          <w:color w:val="FF0000"/>
        </w:rPr>
        <w:t xml:space="preserve"> </w:t>
      </w:r>
      <w:r>
        <w:rPr>
          <w:rFonts w:ascii="Arial" w:cs="Arial" w:eastAsia="Arial" w:hAnsi="Arial"/>
          <w:sz w:val="18"/>
          <w:szCs w:val="18"/>
          <w:color w:val="000000"/>
        </w:rPr>
        <w:t>The Guaranty of Recourse Obligations, dated as of January 19, 2011, by American Assets Trust, L.P., a Maryland limited</w:t>
      </w:r>
      <w:r>
        <w:rPr>
          <w:rFonts w:ascii="Arial" w:cs="Arial" w:eastAsia="Arial" w:hAnsi="Arial"/>
          <w:sz w:val="20"/>
          <w:szCs w:val="20"/>
          <w:color w:val="FF0000"/>
        </w:rPr>
        <w:t xml:space="preserve"> </w:t>
      </w:r>
      <w:r>
        <w:rPr>
          <w:rFonts w:ascii="Arial" w:cs="Arial" w:eastAsia="Arial" w:hAnsi="Arial"/>
          <w:sz w:val="18"/>
          <w:szCs w:val="18"/>
          <w:color w:val="000000"/>
        </w:rPr>
        <w:t xml:space="preserve">partnership, for the benefit of U.S. Bank National Association, as Trustee for the registered holders of COMM 2010-C1 Mortgage Trust, COMM 2010-C1 Commercial Mortgage Pass-Through Certificates. </w:t>
      </w:r>
      <w:r>
        <w:rPr>
          <w:rFonts w:ascii="Arial" w:cs="Arial" w:eastAsia="Arial" w:hAnsi="Arial"/>
          <w:sz w:val="18"/>
          <w:szCs w:val="18"/>
          <w:b w:val="1"/>
          <w:bCs w:val="1"/>
          <w:u w:val="single" w:color="auto"/>
          <w:color w:val="0000FF"/>
          <w:highlight w:val="lightGray"/>
        </w:rPr>
        <w:t>(TRVC)</w:t>
      </w:r>
    </w:p>
    <w:p>
      <w:pPr>
        <w:sectPr>
          <w:pgSz w:w="11900" w:h="16838" w:orient="portrait"/>
          <w:cols w:equalWidth="0" w:num="1">
            <w:col w:w="10821"/>
          </w:cols>
          <w:pgMar w:left="839" w:top="995" w:right="239" w:bottom="1440" w:gutter="0" w:footer="0" w:header="0"/>
        </w:sectPr>
      </w:pPr>
    </w:p>
    <w:bookmarkStart w:id="349" w:name="page350"/>
    <w:bookmarkEnd w:id="349"/>
    <w:p>
      <w:pPr>
        <w:jc w:val="both"/>
        <w:ind w:left="-599" w:firstLine="599"/>
        <w:spacing w:after="0" w:line="264" w:lineRule="auto"/>
        <w:tabs>
          <w:tab w:leader="none" w:pos="828" w:val="left"/>
        </w:tabs>
        <w:numPr>
          <w:ilvl w:val="0"/>
          <w:numId w:val="410"/>
        </w:numPr>
        <w:rPr>
          <w:rFonts w:ascii="Arial" w:cs="Arial" w:eastAsia="Arial" w:hAnsi="Arial"/>
          <w:sz w:val="18"/>
          <w:szCs w:val="18"/>
          <w:b w:val="1"/>
          <w:bCs w:val="1"/>
          <w:u w:val="single" w:color="auto"/>
          <w:color w:val="0000FF"/>
        </w:rPr>
      </w:pPr>
      <w:r>
        <w:rPr>
          <w:rFonts w:ascii="Arial" w:cs="Arial" w:eastAsia="Arial" w:hAnsi="Arial"/>
          <w:sz w:val="20"/>
          <w:szCs w:val="20"/>
          <w:color w:val="FF0000"/>
          <w:strike w:val="1"/>
        </w:rPr>
        <w:t>16.</w:t>
      </w:r>
      <w:r>
        <w:rPr>
          <w:rFonts w:ascii="Arial" w:cs="Arial" w:eastAsia="Arial" w:hAnsi="Arial"/>
          <w:sz w:val="20"/>
          <w:szCs w:val="20"/>
          <w:color w:val="FF0000"/>
        </w:rPr>
        <w:t xml:space="preserve"> </w:t>
      </w:r>
      <w:r>
        <w:rPr>
          <w:rFonts w:ascii="Arial" w:cs="Arial" w:eastAsia="Arial" w:hAnsi="Arial"/>
          <w:sz w:val="18"/>
          <w:szCs w:val="18"/>
          <w:color w:val="000000"/>
        </w:rPr>
        <w:t>The Environmental Indemnity Agreement, dated as of January 19, 2011, by Pacific VC Holdings, LLC, a Delaware limited liability</w:t>
      </w:r>
      <w:r>
        <w:rPr>
          <w:rFonts w:ascii="Arial" w:cs="Arial" w:eastAsia="Arial" w:hAnsi="Arial"/>
          <w:sz w:val="20"/>
          <w:szCs w:val="20"/>
          <w:color w:val="FF0000"/>
        </w:rPr>
        <w:t xml:space="preserve"> </w:t>
      </w:r>
      <w:r>
        <w:rPr>
          <w:rFonts w:ascii="Arial" w:cs="Arial" w:eastAsia="Arial" w:hAnsi="Arial"/>
          <w:sz w:val="18"/>
          <w:szCs w:val="18"/>
          <w:color w:val="000000"/>
        </w:rPr>
        <w:t xml:space="preserve">company, and American Assets Trust, L.P., a Maryland limited partnership, in favor of the U.S. Bank National Association, as Trustee for the registered holders of COMM 2010-C1 Mortgage Trust, COMM 2010-C1 Commercial Mortgage Pass-Through Certificates and the other indemnified parties named therein. </w:t>
      </w:r>
      <w:r>
        <w:rPr>
          <w:rFonts w:ascii="Arial" w:cs="Arial" w:eastAsia="Arial" w:hAnsi="Arial"/>
          <w:sz w:val="18"/>
          <w:szCs w:val="18"/>
          <w:b w:val="1"/>
          <w:bCs w:val="1"/>
          <w:u w:val="single" w:color="auto"/>
          <w:color w:val="0000FF"/>
          <w:highlight w:val="lightGray"/>
        </w:rPr>
        <w:t>(TRVC)</w:t>
      </w:r>
    </w:p>
    <w:p>
      <w:pPr>
        <w:jc w:val="both"/>
        <w:ind w:left="1" w:hanging="1"/>
        <w:spacing w:after="0" w:line="266" w:lineRule="auto"/>
        <w:tabs>
          <w:tab w:leader="none" w:pos="288" w:val="left"/>
        </w:tabs>
        <w:numPr>
          <w:ilvl w:val="0"/>
          <w:numId w:val="411"/>
        </w:numPr>
        <w:rPr>
          <w:rFonts w:ascii="Arial" w:cs="Arial" w:eastAsia="Arial" w:hAnsi="Arial"/>
          <w:sz w:val="18"/>
          <w:szCs w:val="18"/>
          <w:color w:val="FF0000"/>
          <w:strike w:val="1"/>
        </w:rPr>
      </w:pPr>
      <w:r>
        <w:rPr>
          <w:rFonts w:ascii="Arial" w:cs="Arial" w:eastAsia="Arial" w:hAnsi="Arial"/>
          <w:sz w:val="20"/>
          <w:szCs w:val="20"/>
          <w:color w:val="FF0000"/>
          <w:strike w:val="1"/>
        </w:rPr>
        <w:t>The Environmental Indemnity Agreement, dated as of June 1, 2011 by AAT Oregon Office I, LLC, a Delaware limited liability company, and American Assets Trust, L.P., a Maryland limited partnership, in favor of PNC Bank, National Association, a national banking association c/o Midland Loan Services, Inc., Reference Loan Number 940960046.</w:t>
      </w:r>
    </w:p>
    <w:p>
      <w:pPr>
        <w:spacing w:after="0" w:line="122" w:lineRule="exact"/>
        <w:rPr>
          <w:rFonts w:ascii="Arial" w:cs="Arial" w:eastAsia="Arial" w:hAnsi="Arial"/>
          <w:sz w:val="18"/>
          <w:szCs w:val="18"/>
          <w:color w:val="FF0000"/>
          <w:strike w:val="1"/>
        </w:rPr>
      </w:pPr>
    </w:p>
    <w:p>
      <w:pPr>
        <w:jc w:val="both"/>
        <w:ind w:left="-599" w:firstLine="599"/>
        <w:spacing w:after="0" w:line="277" w:lineRule="auto"/>
        <w:tabs>
          <w:tab w:leader="none" w:pos="818" w:val="left"/>
        </w:tabs>
        <w:numPr>
          <w:ilvl w:val="0"/>
          <w:numId w:val="412"/>
        </w:numPr>
        <w:rPr>
          <w:rFonts w:ascii="Arial" w:cs="Arial" w:eastAsia="Arial" w:hAnsi="Arial"/>
          <w:sz w:val="18"/>
          <w:szCs w:val="18"/>
          <w:b w:val="1"/>
          <w:bCs w:val="1"/>
          <w:u w:val="single" w:color="auto"/>
          <w:color w:val="0000FF"/>
        </w:rPr>
      </w:pPr>
      <w:r>
        <w:rPr>
          <w:rFonts w:ascii="Arial" w:cs="Arial" w:eastAsia="Arial" w:hAnsi="Arial"/>
          <w:sz w:val="20"/>
          <w:szCs w:val="20"/>
          <w:color w:val="FF0000"/>
          <w:strike w:val="1"/>
        </w:rPr>
        <w:t>18.</w:t>
      </w:r>
      <w:r>
        <w:rPr>
          <w:rFonts w:ascii="Arial" w:cs="Arial" w:eastAsia="Arial" w:hAnsi="Arial"/>
          <w:sz w:val="20"/>
          <w:szCs w:val="20"/>
          <w:color w:val="FF0000"/>
        </w:rPr>
        <w:t xml:space="preserve"> </w:t>
      </w:r>
      <w:r>
        <w:rPr>
          <w:rFonts w:ascii="Arial" w:cs="Arial" w:eastAsia="Arial" w:hAnsi="Arial"/>
          <w:sz w:val="18"/>
          <w:szCs w:val="18"/>
          <w:color w:val="000000"/>
        </w:rPr>
        <w:t>The Environmental Indemnity Agreement, dated as of March 29, 2012 by AAT One Beach, LLC, a Delaware limited liability</w:t>
      </w:r>
      <w:r>
        <w:rPr>
          <w:rFonts w:ascii="Arial" w:cs="Arial" w:eastAsia="Arial" w:hAnsi="Arial"/>
          <w:sz w:val="20"/>
          <w:szCs w:val="20"/>
          <w:color w:val="FF0000"/>
        </w:rPr>
        <w:t xml:space="preserve"> </w:t>
      </w:r>
      <w:r>
        <w:rPr>
          <w:rFonts w:ascii="Arial" w:cs="Arial" w:eastAsia="Arial" w:hAnsi="Arial"/>
          <w:sz w:val="18"/>
          <w:szCs w:val="18"/>
          <w:color w:val="000000"/>
        </w:rPr>
        <w:t xml:space="preserve">company, and American Assets Trust, L.P., a Maryland limited partnership, </w:t>
      </w:r>
      <w:r>
        <w:rPr>
          <w:rFonts w:ascii="Arial" w:cs="Arial" w:eastAsia="Arial" w:hAnsi="Arial"/>
          <w:sz w:val="19"/>
          <w:szCs w:val="19"/>
          <w:color w:val="FF0000"/>
          <w:strike w:val="1"/>
        </w:rPr>
        <w:t>,</w:t>
      </w:r>
      <w:r>
        <w:rPr>
          <w:rFonts w:ascii="Arial" w:cs="Arial" w:eastAsia="Arial" w:hAnsi="Arial"/>
          <w:sz w:val="18"/>
          <w:szCs w:val="18"/>
          <w:color w:val="000000"/>
        </w:rPr>
        <w:t xml:space="preserve"> in favor of PNC BANK, NATIONAL ASSOCIATION, a national banking association c/o Midland Loan Services, Inc., Reference Loan Number 940960219. </w:t>
      </w:r>
      <w:r>
        <w:rPr>
          <w:rFonts w:ascii="Arial" w:cs="Arial" w:eastAsia="Arial" w:hAnsi="Arial"/>
          <w:sz w:val="18"/>
          <w:szCs w:val="18"/>
          <w:b w:val="1"/>
          <w:bCs w:val="1"/>
          <w:u w:val="single" w:color="auto"/>
          <w:color w:val="0000FF"/>
          <w:highlight w:val="lightGray"/>
        </w:rPr>
        <w:t>(One Beach)</w:t>
      </w:r>
    </w:p>
    <w:p>
      <w:pPr>
        <w:spacing w:after="0" w:line="179" w:lineRule="exact"/>
        <w:rPr>
          <w:rFonts w:ascii="Arial" w:cs="Arial" w:eastAsia="Arial" w:hAnsi="Arial"/>
          <w:sz w:val="18"/>
          <w:szCs w:val="18"/>
          <w:b w:val="1"/>
          <w:bCs w:val="1"/>
          <w:u w:val="single" w:color="auto"/>
          <w:color w:val="0000FF"/>
        </w:rPr>
      </w:pPr>
    </w:p>
    <w:p>
      <w:pPr>
        <w:jc w:val="both"/>
        <w:ind w:left="-599" w:firstLine="599"/>
        <w:spacing w:after="0" w:line="270" w:lineRule="auto"/>
        <w:tabs>
          <w:tab w:leader="none" w:pos="828" w:val="left"/>
        </w:tabs>
        <w:numPr>
          <w:ilvl w:val="0"/>
          <w:numId w:val="412"/>
        </w:numPr>
        <w:rPr>
          <w:rFonts w:ascii="Arial" w:cs="Arial" w:eastAsia="Arial" w:hAnsi="Arial"/>
          <w:sz w:val="18"/>
          <w:szCs w:val="18"/>
          <w:b w:val="1"/>
          <w:bCs w:val="1"/>
          <w:u w:val="single" w:color="auto"/>
          <w:color w:val="0000FF"/>
        </w:rPr>
      </w:pPr>
      <w:r>
        <w:rPr>
          <w:rFonts w:ascii="Arial" w:cs="Arial" w:eastAsia="Arial" w:hAnsi="Arial"/>
          <w:sz w:val="20"/>
          <w:szCs w:val="20"/>
          <w:color w:val="FF0000"/>
          <w:strike w:val="1"/>
        </w:rPr>
        <w:t>19.</w:t>
      </w:r>
      <w:r>
        <w:rPr>
          <w:rFonts w:ascii="Arial" w:cs="Arial" w:eastAsia="Arial" w:hAnsi="Arial"/>
          <w:sz w:val="20"/>
          <w:szCs w:val="20"/>
          <w:color w:val="FF0000"/>
        </w:rPr>
        <w:t xml:space="preserve"> </w:t>
      </w:r>
      <w:r>
        <w:rPr>
          <w:rFonts w:ascii="Arial" w:cs="Arial" w:eastAsia="Arial" w:hAnsi="Arial"/>
          <w:sz w:val="18"/>
          <w:szCs w:val="18"/>
          <w:color w:val="000000"/>
        </w:rPr>
        <w:t>The Environmental Indemnity Agreement, dated as of October 10, 2012 by AAT CC Bellevue, LLC, a Delaware limited liability</w:t>
      </w:r>
      <w:r>
        <w:rPr>
          <w:rFonts w:ascii="Arial" w:cs="Arial" w:eastAsia="Arial" w:hAnsi="Arial"/>
          <w:sz w:val="20"/>
          <w:szCs w:val="20"/>
          <w:color w:val="FF0000"/>
        </w:rPr>
        <w:t xml:space="preserve"> </w:t>
      </w:r>
      <w:r>
        <w:rPr>
          <w:rFonts w:ascii="Arial" w:cs="Arial" w:eastAsia="Arial" w:hAnsi="Arial"/>
          <w:sz w:val="18"/>
          <w:szCs w:val="18"/>
          <w:color w:val="000000"/>
        </w:rPr>
        <w:t xml:space="preserve">company, and American Assets Trust, L.P., a Maryland limited partnership, in favor of PNC BANK, NATIONAL ASSOCIATION, a national banking association c/o Midland Loan Services, Inc., Reference Loan Number 940960335. </w:t>
      </w:r>
      <w:r>
        <w:rPr>
          <w:rFonts w:ascii="Arial" w:cs="Arial" w:eastAsia="Arial" w:hAnsi="Arial"/>
          <w:sz w:val="18"/>
          <w:szCs w:val="18"/>
          <w:b w:val="1"/>
          <w:bCs w:val="1"/>
          <w:u w:val="single" w:color="auto"/>
          <w:color w:val="0000FF"/>
          <w:highlight w:val="lightGray"/>
        </w:rPr>
        <w:t>(CCB)</w:t>
      </w:r>
    </w:p>
    <w:p>
      <w:pPr>
        <w:spacing w:after="0" w:line="186" w:lineRule="exact"/>
        <w:rPr>
          <w:rFonts w:ascii="Arial" w:cs="Arial" w:eastAsia="Arial" w:hAnsi="Arial"/>
          <w:sz w:val="18"/>
          <w:szCs w:val="18"/>
          <w:b w:val="1"/>
          <w:bCs w:val="1"/>
          <w:u w:val="single" w:color="auto"/>
          <w:color w:val="0000FF"/>
        </w:rPr>
      </w:pPr>
    </w:p>
    <w:p>
      <w:pPr>
        <w:ind w:left="-599" w:firstLine="599"/>
        <w:spacing w:after="0" w:line="266" w:lineRule="auto"/>
        <w:tabs>
          <w:tab w:leader="none" w:pos="828" w:val="left"/>
        </w:tabs>
        <w:numPr>
          <w:ilvl w:val="0"/>
          <w:numId w:val="412"/>
        </w:numPr>
        <w:rPr>
          <w:rFonts w:ascii="Arial" w:cs="Arial" w:eastAsia="Arial" w:hAnsi="Arial"/>
          <w:sz w:val="18"/>
          <w:szCs w:val="18"/>
          <w:b w:val="1"/>
          <w:bCs w:val="1"/>
          <w:u w:val="single" w:color="auto"/>
          <w:color w:val="0000FF"/>
        </w:rPr>
      </w:pPr>
      <w:r>
        <w:rPr>
          <w:rFonts w:ascii="Arial" w:cs="Arial" w:eastAsia="Arial" w:hAnsi="Arial"/>
          <w:sz w:val="20"/>
          <w:szCs w:val="20"/>
          <w:color w:val="FF0000"/>
          <w:strike w:val="1"/>
        </w:rPr>
        <w:t>20.</w:t>
      </w:r>
      <w:r>
        <w:rPr>
          <w:rFonts w:ascii="Arial" w:cs="Arial" w:eastAsia="Arial" w:hAnsi="Arial"/>
          <w:sz w:val="20"/>
          <w:szCs w:val="20"/>
          <w:color w:val="FF0000"/>
        </w:rPr>
        <w:t xml:space="preserve"> </w:t>
      </w:r>
      <w:r>
        <w:rPr>
          <w:rFonts w:ascii="Arial" w:cs="Arial" w:eastAsia="Arial" w:hAnsi="Arial"/>
          <w:sz w:val="18"/>
          <w:szCs w:val="18"/>
          <w:color w:val="000000"/>
        </w:rPr>
        <w:t>The Guaranty, dated as of January 19, 2011, by American Assets Trust, L.P., a Maryland limited partnership, for the benefit of the</w:t>
      </w:r>
      <w:r>
        <w:rPr>
          <w:rFonts w:ascii="Arial" w:cs="Arial" w:eastAsia="Arial" w:hAnsi="Arial"/>
          <w:sz w:val="20"/>
          <w:szCs w:val="20"/>
          <w:color w:val="FF0000"/>
        </w:rPr>
        <w:t xml:space="preserve"> </w:t>
      </w:r>
      <w:r>
        <w:rPr>
          <w:rFonts w:ascii="Arial" w:cs="Arial" w:eastAsia="Arial" w:hAnsi="Arial"/>
          <w:sz w:val="18"/>
          <w:szCs w:val="18"/>
          <w:color w:val="000000"/>
        </w:rPr>
        <w:t xml:space="preserve">Federal Home Loan Mortgage Corporation. </w:t>
      </w:r>
      <w:r>
        <w:rPr>
          <w:rFonts w:ascii="Arial" w:cs="Arial" w:eastAsia="Arial" w:hAnsi="Arial"/>
          <w:sz w:val="18"/>
          <w:szCs w:val="18"/>
          <w:b w:val="1"/>
          <w:bCs w:val="1"/>
          <w:u w:val="single" w:color="auto"/>
          <w:color w:val="0000FF"/>
          <w:highlight w:val="lightGray"/>
        </w:rPr>
        <w:t>(LP)</w:t>
      </w:r>
    </w:p>
    <w:p>
      <w:pPr>
        <w:spacing w:after="0" w:line="202" w:lineRule="exact"/>
        <w:rPr>
          <w:sz w:val="20"/>
          <w:szCs w:val="20"/>
          <w:color w:val="auto"/>
        </w:rPr>
      </w:pPr>
    </w:p>
    <w:p>
      <w:pPr>
        <w:jc w:val="both"/>
        <w:ind w:left="-599" w:firstLine="599"/>
        <w:spacing w:after="0" w:line="256" w:lineRule="auto"/>
        <w:tabs>
          <w:tab w:leader="none" w:pos="332" w:val="left"/>
        </w:tabs>
        <w:numPr>
          <w:ilvl w:val="0"/>
          <w:numId w:val="413"/>
        </w:numPr>
        <w:rPr>
          <w:rFonts w:ascii="Arial" w:cs="Arial" w:eastAsia="Arial" w:hAnsi="Arial"/>
          <w:sz w:val="20"/>
          <w:szCs w:val="20"/>
          <w:color w:val="FF0000"/>
          <w:strike w:val="1"/>
        </w:rPr>
      </w:pPr>
      <w:r>
        <w:rPr>
          <w:rFonts w:ascii="Arial" w:cs="Arial" w:eastAsia="Arial" w:hAnsi="Arial"/>
          <w:sz w:val="20"/>
          <w:szCs w:val="20"/>
          <w:color w:val="FF0000"/>
          <w:strike w:val="1"/>
        </w:rPr>
        <w:t>The Undertaking and Indemnification Agreement, dated as of January 19, 2011, by American Assets Trust, L.P., a Maryland limited partnership, for the benefit of American Assets, Inc., a California corporation, with respect to any obligations that American Assets, Inc., a California corporation, may have under that certain Guaranty by American Assets, Inc., a California corporation, jointly and severally, for the benefit of Wells Fargo Bank, National Association, a national banking association.</w:t>
      </w:r>
    </w:p>
    <w:p>
      <w:pPr>
        <w:sectPr>
          <w:pgSz w:w="11900" w:h="16838" w:orient="portrait"/>
          <w:cols w:equalWidth="0" w:num="1">
            <w:col w:w="10821"/>
          </w:cols>
          <w:pgMar w:left="839" w:top="1357" w:right="239" w:bottom="1440" w:gutter="0" w:footer="0" w:header="0"/>
        </w:sectPr>
      </w:pPr>
    </w:p>
    <w:bookmarkStart w:id="350" w:name="page351"/>
    <w:bookmarkEnd w:id="350"/>
    <w:p>
      <w:pPr>
        <w:jc w:val="right"/>
        <w:spacing w:after="0"/>
        <w:rPr>
          <w:sz w:val="20"/>
          <w:szCs w:val="20"/>
          <w:color w:val="auto"/>
        </w:rPr>
      </w:pPr>
      <w:r>
        <w:rPr>
          <w:rFonts w:ascii="Arial" w:cs="Arial" w:eastAsia="Arial" w:hAnsi="Arial"/>
          <w:sz w:val="18"/>
          <w:szCs w:val="18"/>
          <w:b w:val="1"/>
          <w:bCs w:val="1"/>
          <w:i w:val="1"/>
          <w:iCs w:val="1"/>
          <w:color w:val="auto"/>
        </w:rPr>
        <w:t>Schedule III</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Initial Unencumbered Eligible Properties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Retail:</w:t>
      </w:r>
    </w:p>
    <w:p>
      <w:pPr>
        <w:spacing w:after="0" w:line="168" w:lineRule="exact"/>
        <w:rPr>
          <w:sz w:val="20"/>
          <w:szCs w:val="20"/>
          <w:color w:val="auto"/>
        </w:rPr>
      </w:pPr>
    </w:p>
    <w:p>
      <w:pPr>
        <w:ind w:left="600" w:hanging="300"/>
        <w:spacing w:after="0"/>
        <w:tabs>
          <w:tab w:leader="none" w:pos="600" w:val="left"/>
        </w:tabs>
        <w:numPr>
          <w:ilvl w:val="0"/>
          <w:numId w:val="414"/>
        </w:numPr>
        <w:rPr>
          <w:rFonts w:ascii="Arial" w:cs="Arial" w:eastAsia="Arial" w:hAnsi="Arial"/>
          <w:sz w:val="17"/>
          <w:szCs w:val="17"/>
          <w:color w:val="auto"/>
        </w:rPr>
      </w:pPr>
      <w:r>
        <w:rPr>
          <w:rFonts w:ascii="Arial" w:cs="Arial" w:eastAsia="Arial" w:hAnsi="Arial"/>
          <w:sz w:val="18"/>
          <w:szCs w:val="18"/>
          <w:color w:val="auto"/>
        </w:rPr>
        <w:t>Carmel Country Plaza</w:t>
      </w:r>
    </w:p>
    <w:p>
      <w:pPr>
        <w:spacing w:after="0" w:line="21" w:lineRule="exact"/>
        <w:rPr>
          <w:rFonts w:ascii="Arial" w:cs="Arial" w:eastAsia="Arial" w:hAnsi="Arial"/>
          <w:sz w:val="17"/>
          <w:szCs w:val="17"/>
          <w:color w:val="auto"/>
        </w:rPr>
      </w:pPr>
    </w:p>
    <w:p>
      <w:pPr>
        <w:ind w:left="600" w:hanging="300"/>
        <w:spacing w:after="0"/>
        <w:tabs>
          <w:tab w:leader="none" w:pos="600" w:val="left"/>
        </w:tabs>
        <w:numPr>
          <w:ilvl w:val="0"/>
          <w:numId w:val="414"/>
        </w:numPr>
        <w:rPr>
          <w:rFonts w:ascii="Arial" w:cs="Arial" w:eastAsia="Arial" w:hAnsi="Arial"/>
          <w:sz w:val="17"/>
          <w:szCs w:val="17"/>
          <w:color w:val="auto"/>
        </w:rPr>
      </w:pPr>
      <w:r>
        <w:rPr>
          <w:rFonts w:ascii="Arial" w:cs="Arial" w:eastAsia="Arial" w:hAnsi="Arial"/>
          <w:sz w:val="18"/>
          <w:szCs w:val="18"/>
          <w:color w:val="auto"/>
        </w:rPr>
        <w:t>Carmel Mountain Plaza</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414"/>
        </w:numPr>
        <w:rPr>
          <w:rFonts w:ascii="Arial" w:cs="Arial" w:eastAsia="Arial" w:hAnsi="Arial"/>
          <w:sz w:val="17"/>
          <w:szCs w:val="17"/>
          <w:color w:val="auto"/>
        </w:rPr>
      </w:pPr>
      <w:r>
        <w:rPr>
          <w:rFonts w:ascii="Arial" w:cs="Arial" w:eastAsia="Arial" w:hAnsi="Arial"/>
          <w:sz w:val="18"/>
          <w:szCs w:val="18"/>
          <w:color w:val="auto"/>
        </w:rPr>
        <w:t>Lomas Santa Fe Plaza</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1"/>
          <w:numId w:val="414"/>
        </w:numPr>
        <w:rPr>
          <w:rFonts w:ascii="Arial" w:cs="Arial" w:eastAsia="Arial" w:hAnsi="Arial"/>
          <w:sz w:val="18"/>
          <w:szCs w:val="18"/>
          <w:b w:val="1"/>
          <w:bCs w:val="1"/>
          <w:u w:val="single" w:color="auto"/>
          <w:color w:val="0000FF"/>
          <w:highlight w:val="lightGray"/>
        </w:rPr>
      </w:pPr>
      <w:r>
        <w:rPr>
          <w:rFonts w:ascii="Arial" w:cs="Arial" w:eastAsia="Arial" w:hAnsi="Arial"/>
          <w:sz w:val="18"/>
          <w:szCs w:val="18"/>
          <w:b w:val="1"/>
          <w:bCs w:val="1"/>
          <w:u w:val="single" w:color="auto"/>
          <w:color w:val="0000FF"/>
          <w:highlight w:val="lightGray"/>
        </w:rPr>
        <w:t>Alamo Quarry Market</w:t>
      </w:r>
    </w:p>
    <w:p>
      <w:pPr>
        <w:spacing w:after="0" w:line="5" w:lineRule="exact"/>
        <w:rPr>
          <w:rFonts w:ascii="Arial" w:cs="Arial" w:eastAsia="Arial" w:hAnsi="Arial"/>
          <w:sz w:val="18"/>
          <w:szCs w:val="18"/>
          <w:b w:val="1"/>
          <w:bCs w:val="1"/>
          <w:u w:val="single" w:color="auto"/>
          <w:color w:val="0000FF"/>
          <w:highlight w:val="lightGray"/>
        </w:rPr>
      </w:pPr>
    </w:p>
    <w:p>
      <w:pPr>
        <w:ind w:left="600" w:hanging="300"/>
        <w:spacing w:after="0"/>
        <w:tabs>
          <w:tab w:leader="none" w:pos="600" w:val="left"/>
        </w:tabs>
        <w:numPr>
          <w:ilvl w:val="1"/>
          <w:numId w:val="414"/>
        </w:numPr>
        <w:rPr>
          <w:rFonts w:ascii="Arial" w:cs="Arial" w:eastAsia="Arial" w:hAnsi="Arial"/>
          <w:sz w:val="18"/>
          <w:szCs w:val="18"/>
          <w:b w:val="1"/>
          <w:bCs w:val="1"/>
          <w:u w:val="single" w:color="auto"/>
          <w:color w:val="0000FF"/>
          <w:highlight w:val="lightGray"/>
        </w:rPr>
      </w:pPr>
      <w:r>
        <w:rPr>
          <w:rFonts w:ascii="Arial" w:cs="Arial" w:eastAsia="Arial" w:hAnsi="Arial"/>
          <w:sz w:val="18"/>
          <w:szCs w:val="18"/>
          <w:b w:val="1"/>
          <w:bCs w:val="1"/>
          <w:u w:val="single" w:color="auto"/>
          <w:color w:val="0000FF"/>
          <w:highlight w:val="lightGray"/>
        </w:rPr>
        <w:t>Geary Marketplace</w:t>
      </w:r>
    </w:p>
    <w:p>
      <w:pPr>
        <w:spacing w:after="0" w:line="5" w:lineRule="exact"/>
        <w:rPr>
          <w:rFonts w:ascii="Arial" w:cs="Arial" w:eastAsia="Arial" w:hAnsi="Arial"/>
          <w:sz w:val="18"/>
          <w:szCs w:val="18"/>
          <w:b w:val="1"/>
          <w:bCs w:val="1"/>
          <w:u w:val="single" w:color="auto"/>
          <w:color w:val="0000FF"/>
          <w:highlight w:val="lightGray"/>
        </w:rPr>
      </w:pPr>
    </w:p>
    <w:p>
      <w:pPr>
        <w:ind w:left="600" w:hanging="300"/>
        <w:spacing w:after="0"/>
        <w:tabs>
          <w:tab w:leader="none" w:pos="600" w:val="left"/>
        </w:tabs>
        <w:numPr>
          <w:ilvl w:val="1"/>
          <w:numId w:val="414"/>
        </w:numPr>
        <w:rPr>
          <w:rFonts w:ascii="Arial" w:cs="Arial" w:eastAsia="Arial" w:hAnsi="Arial"/>
          <w:sz w:val="18"/>
          <w:szCs w:val="18"/>
          <w:b w:val="1"/>
          <w:bCs w:val="1"/>
          <w:u w:val="single" w:color="auto"/>
          <w:color w:val="0000FF"/>
          <w:highlight w:val="lightGray"/>
        </w:rPr>
      </w:pPr>
      <w:r>
        <w:rPr>
          <w:rFonts w:ascii="Arial" w:cs="Arial" w:eastAsia="Arial" w:hAnsi="Arial"/>
          <w:sz w:val="18"/>
          <w:szCs w:val="18"/>
          <w:b w:val="1"/>
          <w:bCs w:val="1"/>
          <w:u w:val="single" w:color="auto"/>
          <w:color w:val="0000FF"/>
          <w:highlight w:val="lightGray"/>
        </w:rPr>
        <w:t>Waikele Center</w:t>
      </w:r>
    </w:p>
    <w:p>
      <w:pPr>
        <w:spacing w:after="0" w:line="5" w:lineRule="exact"/>
        <w:rPr>
          <w:rFonts w:ascii="Arial" w:cs="Arial" w:eastAsia="Arial" w:hAnsi="Arial"/>
          <w:sz w:val="18"/>
          <w:szCs w:val="18"/>
          <w:b w:val="1"/>
          <w:bCs w:val="1"/>
          <w:u w:val="single" w:color="auto"/>
          <w:color w:val="0000FF"/>
          <w:highlight w:val="lightGray"/>
        </w:rPr>
      </w:pPr>
    </w:p>
    <w:p>
      <w:pPr>
        <w:ind w:left="600" w:hanging="300"/>
        <w:spacing w:after="0"/>
        <w:tabs>
          <w:tab w:leader="none" w:pos="600" w:val="left"/>
        </w:tabs>
        <w:numPr>
          <w:ilvl w:val="1"/>
          <w:numId w:val="414"/>
        </w:numPr>
        <w:rPr>
          <w:rFonts w:ascii="Arial" w:cs="Arial" w:eastAsia="Arial" w:hAnsi="Arial"/>
          <w:sz w:val="18"/>
          <w:szCs w:val="18"/>
          <w:b w:val="1"/>
          <w:bCs w:val="1"/>
          <w:u w:val="single" w:color="auto"/>
          <w:color w:val="0000FF"/>
          <w:highlight w:val="lightGray"/>
        </w:rPr>
      </w:pPr>
      <w:r>
        <w:rPr>
          <w:rFonts w:ascii="Arial" w:cs="Arial" w:eastAsia="Arial" w:hAnsi="Arial"/>
          <w:sz w:val="18"/>
          <w:szCs w:val="18"/>
          <w:b w:val="1"/>
          <w:bCs w:val="1"/>
          <w:u w:val="single" w:color="auto"/>
          <w:color w:val="0000FF"/>
          <w:highlight w:val="lightGray"/>
        </w:rPr>
        <w:t>Southbay Marketplace</w:t>
      </w:r>
    </w:p>
    <w:p>
      <w:pPr>
        <w:spacing w:after="0" w:line="10" w:lineRule="exact"/>
        <w:rPr>
          <w:rFonts w:ascii="Arial" w:cs="Arial" w:eastAsia="Arial" w:hAnsi="Arial"/>
          <w:sz w:val="18"/>
          <w:szCs w:val="18"/>
          <w:b w:val="1"/>
          <w:bCs w:val="1"/>
          <w:u w:val="single" w:color="auto"/>
          <w:color w:val="0000FF"/>
          <w:highlight w:val="lightGray"/>
        </w:rPr>
      </w:pPr>
    </w:p>
    <w:p>
      <w:pPr>
        <w:ind w:left="600" w:hanging="300"/>
        <w:spacing w:after="0"/>
        <w:tabs>
          <w:tab w:leader="none" w:pos="600" w:val="left"/>
        </w:tabs>
        <w:numPr>
          <w:ilvl w:val="1"/>
          <w:numId w:val="414"/>
        </w:numPr>
        <w:rPr>
          <w:rFonts w:ascii="Arial" w:cs="Arial" w:eastAsia="Arial" w:hAnsi="Arial"/>
          <w:sz w:val="18"/>
          <w:szCs w:val="18"/>
          <w:b w:val="1"/>
          <w:bCs w:val="1"/>
          <w:u w:val="single" w:color="auto"/>
          <w:color w:val="0000FF"/>
          <w:highlight w:val="lightGray"/>
        </w:rPr>
      </w:pPr>
      <w:r>
        <w:rPr>
          <w:rFonts w:ascii="Arial" w:cs="Arial" w:eastAsia="Arial" w:hAnsi="Arial"/>
          <w:sz w:val="20"/>
          <w:szCs w:val="20"/>
          <w:color w:val="FF0000"/>
          <w:strike w:val="1"/>
        </w:rPr>
        <w:t>4.</w:t>
      </w:r>
      <w:r>
        <w:rPr>
          <w:rFonts w:ascii="Arial" w:cs="Arial" w:eastAsia="Arial" w:hAnsi="Arial"/>
          <w:sz w:val="20"/>
          <w:szCs w:val="20"/>
          <w:color w:val="FF0000"/>
        </w:rPr>
        <w:t xml:space="preserve"> </w:t>
      </w:r>
      <w:r>
        <w:rPr>
          <w:rFonts w:ascii="Arial" w:cs="Arial" w:eastAsia="Arial" w:hAnsi="Arial"/>
          <w:sz w:val="18"/>
          <w:szCs w:val="18"/>
          <w:color w:val="000000"/>
        </w:rPr>
        <w:t>The Shops of Kalakaua</w:t>
      </w:r>
    </w:p>
    <w:p>
      <w:pPr>
        <w:spacing w:after="0" w:line="13" w:lineRule="exact"/>
        <w:rPr>
          <w:rFonts w:ascii="Arial" w:cs="Arial" w:eastAsia="Arial" w:hAnsi="Arial"/>
          <w:sz w:val="18"/>
          <w:szCs w:val="18"/>
          <w:b w:val="1"/>
          <w:bCs w:val="1"/>
          <w:u w:val="single" w:color="auto"/>
          <w:color w:val="0000FF"/>
          <w:highlight w:val="lightGray"/>
        </w:rPr>
      </w:pPr>
    </w:p>
    <w:p>
      <w:pPr>
        <w:ind w:left="600" w:hanging="300"/>
        <w:spacing w:after="0"/>
        <w:tabs>
          <w:tab w:leader="none" w:pos="600" w:val="left"/>
        </w:tabs>
        <w:numPr>
          <w:ilvl w:val="1"/>
          <w:numId w:val="414"/>
        </w:numPr>
        <w:rPr>
          <w:rFonts w:ascii="Arial" w:cs="Arial" w:eastAsia="Arial" w:hAnsi="Arial"/>
          <w:sz w:val="18"/>
          <w:szCs w:val="18"/>
          <w:b w:val="1"/>
          <w:bCs w:val="1"/>
          <w:u w:val="single" w:color="auto"/>
          <w:color w:val="0000FF"/>
          <w:highlight w:val="lightGray"/>
        </w:rPr>
      </w:pPr>
      <w:r>
        <w:rPr>
          <w:rFonts w:ascii="Arial" w:cs="Arial" w:eastAsia="Arial" w:hAnsi="Arial"/>
          <w:sz w:val="20"/>
          <w:szCs w:val="20"/>
          <w:color w:val="FF0000"/>
          <w:strike w:val="1"/>
        </w:rPr>
        <w:t>5.</w:t>
      </w:r>
      <w:r>
        <w:rPr>
          <w:rFonts w:ascii="Arial" w:cs="Arial" w:eastAsia="Arial" w:hAnsi="Arial"/>
          <w:sz w:val="20"/>
          <w:szCs w:val="20"/>
          <w:color w:val="FF0000"/>
        </w:rPr>
        <w:t xml:space="preserve"> </w:t>
      </w:r>
      <w:r>
        <w:rPr>
          <w:rFonts w:ascii="Arial" w:cs="Arial" w:eastAsia="Arial" w:hAnsi="Arial"/>
          <w:sz w:val="18"/>
          <w:szCs w:val="18"/>
          <w:color w:val="000000"/>
        </w:rPr>
        <w:t>Del Monte Center</w:t>
      </w:r>
    </w:p>
    <w:p>
      <w:pPr>
        <w:spacing w:after="0" w:line="19" w:lineRule="exact"/>
        <w:rPr>
          <w:rFonts w:ascii="Arial" w:cs="Arial" w:eastAsia="Arial" w:hAnsi="Arial"/>
          <w:sz w:val="18"/>
          <w:szCs w:val="18"/>
          <w:b w:val="1"/>
          <w:bCs w:val="1"/>
          <w:u w:val="single" w:color="auto"/>
          <w:color w:val="0000FF"/>
          <w:highlight w:val="lightGray"/>
        </w:rPr>
      </w:pPr>
    </w:p>
    <w:p>
      <w:pPr>
        <w:ind w:left="480" w:hanging="205"/>
        <w:spacing w:after="0"/>
        <w:tabs>
          <w:tab w:leader="none" w:pos="480" w:val="left"/>
        </w:tabs>
        <w:numPr>
          <w:ilvl w:val="0"/>
          <w:numId w:val="415"/>
        </w:numPr>
        <w:rPr>
          <w:rFonts w:ascii="Arial" w:cs="Arial" w:eastAsia="Arial" w:hAnsi="Arial"/>
          <w:sz w:val="20"/>
          <w:szCs w:val="20"/>
          <w:color w:val="FF0000"/>
          <w:strike w:val="1"/>
        </w:rPr>
      </w:pPr>
      <w:r>
        <w:rPr>
          <w:rFonts w:ascii="Arial" w:cs="Arial" w:eastAsia="Arial" w:hAnsi="Arial"/>
          <w:sz w:val="20"/>
          <w:szCs w:val="20"/>
          <w:color w:val="FF0000"/>
          <w:strike w:val="1"/>
        </w:rPr>
        <w:t>Waikele Center</w:t>
      </w:r>
    </w:p>
    <w:p>
      <w:pPr>
        <w:spacing w:after="0" w:line="19" w:lineRule="exact"/>
        <w:rPr>
          <w:rFonts w:ascii="Arial" w:cs="Arial" w:eastAsia="Arial" w:hAnsi="Arial"/>
          <w:sz w:val="20"/>
          <w:szCs w:val="20"/>
          <w:color w:val="FF0000"/>
          <w:strike w:val="1"/>
        </w:rPr>
      </w:pPr>
    </w:p>
    <w:p>
      <w:pPr>
        <w:ind w:left="480" w:hanging="205"/>
        <w:spacing w:after="0"/>
        <w:tabs>
          <w:tab w:leader="none" w:pos="480" w:val="left"/>
        </w:tabs>
        <w:numPr>
          <w:ilvl w:val="0"/>
          <w:numId w:val="415"/>
        </w:numPr>
        <w:rPr>
          <w:rFonts w:ascii="Arial" w:cs="Arial" w:eastAsia="Arial" w:hAnsi="Arial"/>
          <w:sz w:val="20"/>
          <w:szCs w:val="20"/>
          <w:color w:val="FF0000"/>
          <w:strike w:val="1"/>
        </w:rPr>
      </w:pPr>
      <w:r>
        <w:rPr>
          <w:rFonts w:ascii="Arial" w:cs="Arial" w:eastAsia="Arial" w:hAnsi="Arial"/>
          <w:sz w:val="20"/>
          <w:szCs w:val="20"/>
          <w:color w:val="FF0000"/>
          <w:strike w:val="1"/>
        </w:rPr>
        <w:t>Alamo Quarry Market</w:t>
      </w:r>
    </w:p>
    <w:p>
      <w:pPr>
        <w:spacing w:after="0" w:line="8" w:lineRule="exact"/>
        <w:rPr>
          <w:rFonts w:ascii="Arial" w:cs="Arial" w:eastAsia="Arial" w:hAnsi="Arial"/>
          <w:sz w:val="20"/>
          <w:szCs w:val="20"/>
          <w:color w:val="FF0000"/>
          <w:strike w:val="1"/>
        </w:rPr>
      </w:pPr>
    </w:p>
    <w:p>
      <w:pPr>
        <w:ind w:left="600" w:hanging="300"/>
        <w:spacing w:after="0"/>
        <w:tabs>
          <w:tab w:leader="none" w:pos="600" w:val="left"/>
        </w:tabs>
        <w:numPr>
          <w:ilvl w:val="1"/>
          <w:numId w:val="415"/>
        </w:numPr>
        <w:rPr>
          <w:rFonts w:ascii="Arial" w:cs="Arial" w:eastAsia="Arial" w:hAnsi="Arial"/>
          <w:sz w:val="18"/>
          <w:szCs w:val="18"/>
          <w:b w:val="1"/>
          <w:bCs w:val="1"/>
          <w:u w:val="single" w:color="auto"/>
          <w:color w:val="0000FF"/>
          <w:highlight w:val="lightGray"/>
        </w:rPr>
      </w:pPr>
      <w:r>
        <w:rPr>
          <w:rFonts w:ascii="Arial" w:cs="Arial" w:eastAsia="Arial" w:hAnsi="Arial"/>
          <w:sz w:val="18"/>
          <w:szCs w:val="18"/>
          <w:color w:val="FF0000"/>
          <w:strike w:val="1"/>
        </w:rPr>
        <w:t>8.</w:t>
      </w:r>
      <w:r>
        <w:rPr>
          <w:rFonts w:ascii="Arial" w:cs="Arial" w:eastAsia="Arial" w:hAnsi="Arial"/>
          <w:sz w:val="18"/>
          <w:szCs w:val="18"/>
          <w:color w:val="FF0000"/>
        </w:rPr>
        <w:t xml:space="preserve"> </w:t>
      </w:r>
      <w:r>
        <w:rPr>
          <w:rFonts w:ascii="Arial" w:cs="Arial" w:eastAsia="Arial" w:hAnsi="Arial"/>
          <w:sz w:val="19"/>
          <w:szCs w:val="19"/>
          <w:color w:val="FF0000"/>
          <w:strike w:val="1"/>
        </w:rPr>
        <w:t>Geary</w:t>
      </w:r>
      <w:r>
        <w:rPr>
          <w:rFonts w:ascii="Arial" w:cs="Arial" w:eastAsia="Arial" w:hAnsi="Arial"/>
          <w:sz w:val="18"/>
          <w:szCs w:val="18"/>
          <w:b w:val="1"/>
          <w:bCs w:val="1"/>
          <w:u w:val="single" w:color="auto"/>
          <w:color w:val="0000FF"/>
          <w:highlight w:val="lightGray"/>
        </w:rPr>
        <w:t>Gateway</w:t>
      </w:r>
      <w:r>
        <w:rPr>
          <w:rFonts w:ascii="Arial" w:cs="Arial" w:eastAsia="Arial" w:hAnsi="Arial"/>
          <w:sz w:val="18"/>
          <w:szCs w:val="18"/>
          <w:color w:val="FF0000"/>
        </w:rPr>
        <w:t xml:space="preserve"> </w:t>
      </w:r>
      <w:r>
        <w:rPr>
          <w:rFonts w:ascii="Arial" w:cs="Arial" w:eastAsia="Arial" w:hAnsi="Arial"/>
          <w:sz w:val="18"/>
          <w:szCs w:val="18"/>
          <w:color w:val="000000"/>
        </w:rPr>
        <w:t>Marketplace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Office:</w:t>
      </w:r>
    </w:p>
    <w:p>
      <w:pPr>
        <w:spacing w:after="0" w:line="178" w:lineRule="exact"/>
        <w:rPr>
          <w:sz w:val="20"/>
          <w:szCs w:val="20"/>
          <w:color w:val="auto"/>
        </w:rPr>
      </w:pPr>
    </w:p>
    <w:p>
      <w:pPr>
        <w:ind w:left="600" w:hanging="300"/>
        <w:spacing w:after="0"/>
        <w:tabs>
          <w:tab w:leader="none" w:pos="600" w:val="left"/>
        </w:tabs>
        <w:numPr>
          <w:ilvl w:val="0"/>
          <w:numId w:val="416"/>
        </w:numPr>
        <w:rPr>
          <w:rFonts w:ascii="Arial" w:cs="Arial" w:eastAsia="Arial" w:hAnsi="Arial"/>
          <w:sz w:val="17"/>
          <w:szCs w:val="17"/>
          <w:color w:val="auto"/>
        </w:rPr>
      </w:pPr>
      <w:r>
        <w:rPr>
          <w:rFonts w:ascii="Arial" w:cs="Arial" w:eastAsia="Arial" w:hAnsi="Arial"/>
          <w:sz w:val="18"/>
          <w:szCs w:val="18"/>
          <w:color w:val="auto"/>
        </w:rPr>
        <w:t xml:space="preserve">Torrey Reserve - </w:t>
      </w:r>
      <w:r>
        <w:rPr>
          <w:rFonts w:ascii="Arial" w:cs="Arial" w:eastAsia="Arial" w:hAnsi="Arial"/>
          <w:sz w:val="19"/>
          <w:szCs w:val="19"/>
          <w:color w:val="FF0000"/>
          <w:strike w:val="1"/>
        </w:rPr>
        <w:t>ICW</w:t>
      </w:r>
      <w:r>
        <w:rPr>
          <w:rFonts w:ascii="Arial" w:cs="Arial" w:eastAsia="Arial" w:hAnsi="Arial"/>
          <w:sz w:val="18"/>
          <w:szCs w:val="18"/>
          <w:b w:val="1"/>
          <w:bCs w:val="1"/>
          <w:u w:val="single" w:color="auto"/>
          <w:color w:val="0000FF"/>
          <w:highlight w:val="lightGray"/>
        </w:rPr>
        <w:t>Torrey</w:t>
      </w:r>
      <w:r>
        <w:rPr>
          <w:rFonts w:ascii="Arial" w:cs="Arial" w:eastAsia="Arial" w:hAnsi="Arial"/>
          <w:sz w:val="18"/>
          <w:szCs w:val="18"/>
          <w:color w:val="auto"/>
        </w:rPr>
        <w:t xml:space="preserve"> Plaza</w:t>
      </w:r>
    </w:p>
    <w:p>
      <w:pPr>
        <w:spacing w:after="0" w:line="35" w:lineRule="exact"/>
        <w:rPr>
          <w:rFonts w:ascii="Arial" w:cs="Arial" w:eastAsia="Arial" w:hAnsi="Arial"/>
          <w:sz w:val="17"/>
          <w:szCs w:val="17"/>
          <w:color w:val="auto"/>
        </w:rPr>
      </w:pPr>
    </w:p>
    <w:p>
      <w:pPr>
        <w:ind w:left="600" w:hanging="300"/>
        <w:spacing w:after="0"/>
        <w:tabs>
          <w:tab w:leader="none" w:pos="600" w:val="left"/>
        </w:tabs>
        <w:numPr>
          <w:ilvl w:val="0"/>
          <w:numId w:val="416"/>
        </w:numPr>
        <w:rPr>
          <w:rFonts w:ascii="Arial" w:cs="Arial" w:eastAsia="Arial" w:hAnsi="Arial"/>
          <w:sz w:val="17"/>
          <w:szCs w:val="17"/>
          <w:color w:val="auto"/>
        </w:rPr>
      </w:pPr>
      <w:r>
        <w:rPr>
          <w:rFonts w:ascii="Arial" w:cs="Arial" w:eastAsia="Arial" w:hAnsi="Arial"/>
          <w:sz w:val="18"/>
          <w:szCs w:val="18"/>
          <w:color w:val="auto"/>
        </w:rPr>
        <w:t>Torrey Reserve - South Court</w:t>
      </w:r>
    </w:p>
    <w:p>
      <w:pPr>
        <w:spacing w:after="0" w:line="7" w:lineRule="exact"/>
        <w:rPr>
          <w:rFonts w:ascii="Arial" w:cs="Arial" w:eastAsia="Arial" w:hAnsi="Arial"/>
          <w:sz w:val="17"/>
          <w:szCs w:val="17"/>
          <w:color w:val="auto"/>
        </w:rPr>
      </w:pPr>
    </w:p>
    <w:p>
      <w:pPr>
        <w:ind w:left="600" w:hanging="300"/>
        <w:spacing w:after="0"/>
        <w:tabs>
          <w:tab w:leader="none" w:pos="600" w:val="left"/>
        </w:tabs>
        <w:numPr>
          <w:ilvl w:val="0"/>
          <w:numId w:val="416"/>
        </w:numPr>
        <w:rPr>
          <w:rFonts w:ascii="Arial" w:cs="Arial" w:eastAsia="Arial" w:hAnsi="Arial"/>
          <w:sz w:val="17"/>
          <w:szCs w:val="17"/>
          <w:color w:val="auto"/>
        </w:rPr>
      </w:pPr>
      <w:r>
        <w:rPr>
          <w:rFonts w:ascii="Arial" w:cs="Arial" w:eastAsia="Arial" w:hAnsi="Arial"/>
          <w:sz w:val="18"/>
          <w:szCs w:val="18"/>
          <w:color w:val="auto"/>
        </w:rPr>
        <w:t>Torrey Reserve - Daycare</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416"/>
        </w:numPr>
        <w:rPr>
          <w:rFonts w:ascii="Arial" w:cs="Arial" w:eastAsia="Arial" w:hAnsi="Arial"/>
          <w:sz w:val="17"/>
          <w:szCs w:val="17"/>
          <w:color w:val="auto"/>
        </w:rPr>
      </w:pPr>
      <w:r>
        <w:rPr>
          <w:rFonts w:ascii="Arial" w:cs="Arial" w:eastAsia="Arial" w:hAnsi="Arial"/>
          <w:sz w:val="18"/>
          <w:szCs w:val="18"/>
          <w:color w:val="auto"/>
        </w:rPr>
        <w:t>Torrey Reserve - Building 6</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416"/>
        </w:numPr>
        <w:rPr>
          <w:rFonts w:ascii="Arial" w:cs="Arial" w:eastAsia="Arial" w:hAnsi="Arial"/>
          <w:sz w:val="17"/>
          <w:szCs w:val="17"/>
          <w:color w:val="auto"/>
        </w:rPr>
      </w:pPr>
      <w:r>
        <w:rPr>
          <w:rFonts w:ascii="Arial" w:cs="Arial" w:eastAsia="Arial" w:hAnsi="Arial"/>
          <w:sz w:val="18"/>
          <w:szCs w:val="18"/>
          <w:color w:val="auto"/>
        </w:rPr>
        <w:t>Torrey Reserve - Building 5</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416"/>
        </w:numPr>
        <w:rPr>
          <w:rFonts w:ascii="Arial" w:cs="Arial" w:eastAsia="Arial" w:hAnsi="Arial"/>
          <w:sz w:val="17"/>
          <w:szCs w:val="17"/>
          <w:color w:val="auto"/>
        </w:rPr>
      </w:pPr>
      <w:r>
        <w:rPr>
          <w:rFonts w:ascii="Arial" w:cs="Arial" w:eastAsia="Arial" w:hAnsi="Arial"/>
          <w:sz w:val="18"/>
          <w:szCs w:val="18"/>
          <w:color w:val="auto"/>
        </w:rPr>
        <w:t>Torrey Reserve - Building 4</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416"/>
        </w:numPr>
        <w:rPr>
          <w:rFonts w:ascii="Arial" w:cs="Arial" w:eastAsia="Arial" w:hAnsi="Arial"/>
          <w:sz w:val="17"/>
          <w:szCs w:val="17"/>
          <w:color w:val="auto"/>
        </w:rPr>
      </w:pPr>
      <w:r>
        <w:rPr>
          <w:rFonts w:ascii="Arial" w:cs="Arial" w:eastAsia="Arial" w:hAnsi="Arial"/>
          <w:sz w:val="18"/>
          <w:szCs w:val="18"/>
          <w:color w:val="auto"/>
        </w:rPr>
        <w:t xml:space="preserve">Torrey Reserve - Building 13 </w:t>
      </w:r>
      <w:r>
        <w:rPr>
          <w:rFonts w:ascii="Arial" w:cs="Arial" w:eastAsia="Arial" w:hAnsi="Arial"/>
          <w:sz w:val="18"/>
          <w:szCs w:val="18"/>
          <w:b w:val="1"/>
          <w:bCs w:val="1"/>
          <w:u w:val="single" w:color="auto"/>
          <w:color w:val="0000FF"/>
          <w:highlight w:val="lightGray"/>
        </w:rPr>
        <w:t>and 14</w:t>
      </w:r>
    </w:p>
    <w:p>
      <w:pPr>
        <w:spacing w:after="0" w:line="10" w:lineRule="exact"/>
        <w:rPr>
          <w:rFonts w:ascii="Arial" w:cs="Arial" w:eastAsia="Arial" w:hAnsi="Arial"/>
          <w:sz w:val="17"/>
          <w:szCs w:val="17"/>
          <w:color w:val="auto"/>
        </w:rPr>
      </w:pPr>
    </w:p>
    <w:p>
      <w:pPr>
        <w:ind w:left="600" w:hanging="300"/>
        <w:spacing w:after="0"/>
        <w:tabs>
          <w:tab w:leader="none" w:pos="600" w:val="left"/>
        </w:tabs>
        <w:numPr>
          <w:ilvl w:val="0"/>
          <w:numId w:val="416"/>
        </w:numPr>
        <w:rPr>
          <w:rFonts w:ascii="Arial" w:cs="Arial" w:eastAsia="Arial" w:hAnsi="Arial"/>
          <w:sz w:val="17"/>
          <w:szCs w:val="17"/>
          <w:color w:val="auto"/>
        </w:rPr>
      </w:pPr>
      <w:r>
        <w:rPr>
          <w:rFonts w:ascii="Arial" w:cs="Arial" w:eastAsia="Arial" w:hAnsi="Arial"/>
          <w:sz w:val="20"/>
          <w:szCs w:val="20"/>
          <w:color w:val="FF0000"/>
          <w:strike w:val="1"/>
        </w:rPr>
        <w:t>Torrey Reserve - Building 14</w:t>
      </w:r>
      <w:r>
        <w:rPr>
          <w:rFonts w:ascii="Arial" w:cs="Arial" w:eastAsia="Arial" w:hAnsi="Arial"/>
          <w:sz w:val="18"/>
          <w:szCs w:val="18"/>
          <w:b w:val="1"/>
          <w:bCs w:val="1"/>
          <w:u w:val="single" w:color="auto"/>
          <w:color w:val="0000FF"/>
          <w:highlight w:val="lightGray"/>
          <w:strike w:val="1"/>
        </w:rPr>
        <w:t>Lloyd District Portfolio</w:t>
      </w:r>
    </w:p>
    <w:p>
      <w:pPr>
        <w:spacing w:after="0" w:line="13" w:lineRule="exact"/>
        <w:rPr>
          <w:rFonts w:ascii="Arial" w:cs="Arial" w:eastAsia="Arial" w:hAnsi="Arial"/>
          <w:sz w:val="17"/>
          <w:szCs w:val="17"/>
          <w:color w:val="auto"/>
        </w:rPr>
      </w:pPr>
    </w:p>
    <w:p>
      <w:pPr>
        <w:ind w:left="600" w:hanging="300"/>
        <w:spacing w:after="0"/>
        <w:tabs>
          <w:tab w:leader="none" w:pos="600" w:val="left"/>
        </w:tabs>
        <w:numPr>
          <w:ilvl w:val="0"/>
          <w:numId w:val="416"/>
        </w:numPr>
        <w:rPr>
          <w:rFonts w:ascii="Arial" w:cs="Arial" w:eastAsia="Arial" w:hAnsi="Arial"/>
          <w:sz w:val="17"/>
          <w:szCs w:val="17"/>
          <w:color w:val="auto"/>
        </w:rPr>
      </w:pPr>
      <w:r>
        <w:rPr>
          <w:rFonts w:ascii="Arial" w:cs="Arial" w:eastAsia="Arial" w:hAnsi="Arial"/>
          <w:sz w:val="18"/>
          <w:szCs w:val="18"/>
          <w:color w:val="auto"/>
        </w:rPr>
        <w:t>Landmark at One Market</w:t>
      </w:r>
    </w:p>
    <w:p>
      <w:pPr>
        <w:spacing w:after="0" w:line="11" w:lineRule="exact"/>
        <w:rPr>
          <w:rFonts w:ascii="Arial" w:cs="Arial" w:eastAsia="Arial" w:hAnsi="Arial"/>
          <w:sz w:val="17"/>
          <w:szCs w:val="17"/>
          <w:color w:val="auto"/>
        </w:rPr>
      </w:pPr>
    </w:p>
    <w:p>
      <w:pPr>
        <w:ind w:left="600" w:hanging="300"/>
        <w:spacing w:after="0"/>
        <w:tabs>
          <w:tab w:leader="none" w:pos="600" w:val="left"/>
        </w:tabs>
        <w:numPr>
          <w:ilvl w:val="0"/>
          <w:numId w:val="416"/>
        </w:numPr>
        <w:rPr>
          <w:rFonts w:ascii="Arial" w:cs="Arial" w:eastAsia="Arial" w:hAnsi="Arial"/>
          <w:sz w:val="17"/>
          <w:szCs w:val="17"/>
          <w:color w:val="auto"/>
        </w:rPr>
      </w:pPr>
      <w:r>
        <w:rPr>
          <w:rFonts w:ascii="Arial" w:cs="Arial" w:eastAsia="Arial" w:hAnsi="Arial"/>
          <w:sz w:val="20"/>
          <w:szCs w:val="20"/>
          <w:color w:val="FF0000"/>
          <w:strike w:val="1"/>
        </w:rPr>
        <w:t>Lloyd District Portfolio</w:t>
      </w:r>
      <w:r>
        <w:rPr>
          <w:rFonts w:ascii="Arial" w:cs="Arial" w:eastAsia="Arial" w:hAnsi="Arial"/>
          <w:sz w:val="18"/>
          <w:szCs w:val="18"/>
          <w:b w:val="1"/>
          <w:bCs w:val="1"/>
          <w:u w:val="single" w:color="auto"/>
          <w:color w:val="0000FF"/>
          <w:highlight w:val="lightGray"/>
          <w:strike w:val="1"/>
        </w:rPr>
        <w:t>First and Main</w:t>
      </w:r>
    </w:p>
    <w:p>
      <w:pPr>
        <w:spacing w:after="0" w:line="13" w:lineRule="exact"/>
        <w:rPr>
          <w:rFonts w:ascii="Arial" w:cs="Arial" w:eastAsia="Arial" w:hAnsi="Arial"/>
          <w:sz w:val="17"/>
          <w:szCs w:val="17"/>
          <w:color w:val="auto"/>
        </w:rPr>
      </w:pPr>
    </w:p>
    <w:p>
      <w:pPr>
        <w:ind w:left="600" w:hanging="300"/>
        <w:spacing w:after="0"/>
        <w:tabs>
          <w:tab w:leader="none" w:pos="600" w:val="left"/>
        </w:tabs>
        <w:numPr>
          <w:ilvl w:val="0"/>
          <w:numId w:val="416"/>
        </w:numPr>
        <w:rPr>
          <w:rFonts w:ascii="Arial" w:cs="Arial" w:eastAsia="Arial" w:hAnsi="Arial"/>
          <w:sz w:val="18"/>
          <w:szCs w:val="18"/>
          <w:b w:val="1"/>
          <w:bCs w:val="1"/>
          <w:u w:val="single" w:color="auto"/>
          <w:color w:val="0000FF"/>
          <w:highlight w:val="lightGray"/>
        </w:rPr>
      </w:pPr>
      <w:r>
        <w:rPr>
          <w:rFonts w:ascii="Arial" w:cs="Arial" w:eastAsia="Arial" w:hAnsi="Arial"/>
          <w:sz w:val="18"/>
          <w:szCs w:val="18"/>
          <w:b w:val="1"/>
          <w:bCs w:val="1"/>
          <w:u w:val="single" w:color="auto"/>
          <w:color w:val="0000FF"/>
          <w:highlight w:val="lightGray"/>
        </w:rPr>
        <w:t>Solana Beach Corporate Center - Building 3 and 4</w:t>
      </w:r>
    </w:p>
    <w:p>
      <w:pPr>
        <w:spacing w:after="0" w:line="7" w:lineRule="exact"/>
        <w:rPr>
          <w:rFonts w:ascii="Arial" w:cs="Arial" w:eastAsia="Arial" w:hAnsi="Arial"/>
          <w:sz w:val="18"/>
          <w:szCs w:val="18"/>
          <w:b w:val="1"/>
          <w:bCs w:val="1"/>
          <w:u w:val="single" w:color="auto"/>
          <w:color w:val="0000FF"/>
          <w:highlight w:val="lightGray"/>
        </w:rPr>
      </w:pPr>
    </w:p>
    <w:p>
      <w:pPr>
        <w:ind w:left="600" w:hanging="300"/>
        <w:spacing w:after="0"/>
        <w:tabs>
          <w:tab w:leader="none" w:pos="600" w:val="left"/>
        </w:tabs>
        <w:numPr>
          <w:ilvl w:val="0"/>
          <w:numId w:val="416"/>
        </w:numPr>
        <w:rPr>
          <w:rFonts w:ascii="Arial" w:cs="Arial" w:eastAsia="Arial" w:hAnsi="Arial"/>
          <w:sz w:val="18"/>
          <w:szCs w:val="18"/>
          <w:b w:val="1"/>
          <w:bCs w:val="1"/>
          <w:u w:val="single" w:color="auto"/>
          <w:color w:val="0000FF"/>
          <w:highlight w:val="lightGray"/>
        </w:rPr>
      </w:pPr>
      <w:r>
        <w:rPr>
          <w:rFonts w:ascii="Arial" w:cs="Arial" w:eastAsia="Arial" w:hAnsi="Arial"/>
          <w:sz w:val="18"/>
          <w:szCs w:val="18"/>
          <w:b w:val="1"/>
          <w:bCs w:val="1"/>
          <w:u w:val="single" w:color="auto"/>
          <w:color w:val="0000FF"/>
          <w:highlight w:val="lightGray"/>
        </w:rPr>
        <w:t>Torrey Point</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Multifamily:</w:t>
      </w:r>
    </w:p>
    <w:p>
      <w:pPr>
        <w:spacing w:after="0" w:line="168" w:lineRule="exact"/>
        <w:rPr>
          <w:sz w:val="20"/>
          <w:szCs w:val="20"/>
          <w:color w:val="auto"/>
        </w:rPr>
      </w:pPr>
    </w:p>
    <w:p>
      <w:pPr>
        <w:ind w:left="600" w:hanging="300"/>
        <w:spacing w:after="0"/>
        <w:tabs>
          <w:tab w:leader="none" w:pos="600" w:val="left"/>
        </w:tabs>
        <w:numPr>
          <w:ilvl w:val="0"/>
          <w:numId w:val="417"/>
        </w:numPr>
        <w:rPr>
          <w:rFonts w:ascii="Arial" w:cs="Arial" w:eastAsia="Arial" w:hAnsi="Arial"/>
          <w:sz w:val="17"/>
          <w:szCs w:val="17"/>
          <w:color w:val="auto"/>
        </w:rPr>
      </w:pPr>
      <w:r>
        <w:rPr>
          <w:rFonts w:ascii="Arial" w:cs="Arial" w:eastAsia="Arial" w:hAnsi="Arial"/>
          <w:sz w:val="18"/>
          <w:szCs w:val="18"/>
          <w:color w:val="auto"/>
        </w:rPr>
        <w:t>Santa Fe RV Park</w:t>
      </w:r>
    </w:p>
    <w:p>
      <w:pPr>
        <w:spacing w:after="0" w:line="21" w:lineRule="exact"/>
        <w:rPr>
          <w:rFonts w:ascii="Arial" w:cs="Arial" w:eastAsia="Arial" w:hAnsi="Arial"/>
          <w:sz w:val="17"/>
          <w:szCs w:val="17"/>
          <w:color w:val="auto"/>
        </w:rPr>
      </w:pPr>
    </w:p>
    <w:p>
      <w:pPr>
        <w:ind w:left="600" w:hanging="300"/>
        <w:spacing w:after="0"/>
        <w:tabs>
          <w:tab w:leader="none" w:pos="600" w:val="left"/>
        </w:tabs>
        <w:numPr>
          <w:ilvl w:val="0"/>
          <w:numId w:val="417"/>
        </w:numPr>
        <w:rPr>
          <w:rFonts w:ascii="Arial" w:cs="Arial" w:eastAsia="Arial" w:hAnsi="Arial"/>
          <w:sz w:val="17"/>
          <w:szCs w:val="17"/>
          <w:color w:val="auto"/>
        </w:rPr>
      </w:pPr>
      <w:r>
        <w:rPr>
          <w:rFonts w:ascii="Arial" w:cs="Arial" w:eastAsia="Arial" w:hAnsi="Arial"/>
          <w:sz w:val="18"/>
          <w:szCs w:val="18"/>
          <w:color w:val="auto"/>
        </w:rPr>
        <w:t>Hassalo on Eighth</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417"/>
        </w:numPr>
        <w:rPr>
          <w:rFonts w:ascii="Arial" w:cs="Arial" w:eastAsia="Arial" w:hAnsi="Arial"/>
          <w:sz w:val="18"/>
          <w:szCs w:val="18"/>
          <w:b w:val="1"/>
          <w:bCs w:val="1"/>
          <w:u w:val="single" w:color="auto"/>
          <w:color w:val="0000FF"/>
          <w:highlight w:val="lightGray"/>
        </w:rPr>
      </w:pPr>
      <w:r>
        <w:rPr>
          <w:rFonts w:ascii="Arial" w:cs="Arial" w:eastAsia="Arial" w:hAnsi="Arial"/>
          <w:sz w:val="18"/>
          <w:szCs w:val="18"/>
          <w:b w:val="1"/>
          <w:bCs w:val="1"/>
          <w:u w:val="single" w:color="auto"/>
          <w:color w:val="0000FF"/>
          <w:highlight w:val="lightGray"/>
        </w:rPr>
        <w:t>Imperial Beach Gardens</w:t>
      </w:r>
    </w:p>
    <w:p>
      <w:pPr>
        <w:spacing w:after="0" w:line="5" w:lineRule="exact"/>
        <w:rPr>
          <w:rFonts w:ascii="Arial" w:cs="Arial" w:eastAsia="Arial" w:hAnsi="Arial"/>
          <w:sz w:val="18"/>
          <w:szCs w:val="18"/>
          <w:b w:val="1"/>
          <w:bCs w:val="1"/>
          <w:u w:val="single" w:color="auto"/>
          <w:color w:val="0000FF"/>
          <w:highlight w:val="lightGray"/>
        </w:rPr>
      </w:pPr>
    </w:p>
    <w:p>
      <w:pPr>
        <w:ind w:left="600" w:hanging="300"/>
        <w:spacing w:after="0"/>
        <w:tabs>
          <w:tab w:leader="none" w:pos="600" w:val="left"/>
        </w:tabs>
        <w:numPr>
          <w:ilvl w:val="0"/>
          <w:numId w:val="417"/>
        </w:numPr>
        <w:rPr>
          <w:rFonts w:ascii="Arial" w:cs="Arial" w:eastAsia="Arial" w:hAnsi="Arial"/>
          <w:sz w:val="18"/>
          <w:szCs w:val="18"/>
          <w:b w:val="1"/>
          <w:bCs w:val="1"/>
          <w:u w:val="single" w:color="auto"/>
          <w:color w:val="0000FF"/>
          <w:highlight w:val="lightGray"/>
        </w:rPr>
      </w:pPr>
      <w:r>
        <w:rPr>
          <w:rFonts w:ascii="Arial" w:cs="Arial" w:eastAsia="Arial" w:hAnsi="Arial"/>
          <w:sz w:val="18"/>
          <w:szCs w:val="18"/>
          <w:b w:val="1"/>
          <w:bCs w:val="1"/>
          <w:u w:val="single" w:color="auto"/>
          <w:color w:val="0000FF"/>
          <w:highlight w:val="lightGray"/>
        </w:rPr>
        <w:t>Mariner’s Point</w:t>
      </w:r>
    </w:p>
    <w:p>
      <w:pPr>
        <w:spacing w:after="0" w:line="5" w:lineRule="exact"/>
        <w:rPr>
          <w:rFonts w:ascii="Arial" w:cs="Arial" w:eastAsia="Arial" w:hAnsi="Arial"/>
          <w:sz w:val="18"/>
          <w:szCs w:val="18"/>
          <w:b w:val="1"/>
          <w:bCs w:val="1"/>
          <w:u w:val="single" w:color="auto"/>
          <w:color w:val="0000FF"/>
          <w:highlight w:val="lightGray"/>
        </w:rPr>
      </w:pPr>
    </w:p>
    <w:p>
      <w:pPr>
        <w:ind w:left="600" w:hanging="300"/>
        <w:spacing w:after="0"/>
        <w:tabs>
          <w:tab w:leader="none" w:pos="600" w:val="left"/>
        </w:tabs>
        <w:numPr>
          <w:ilvl w:val="0"/>
          <w:numId w:val="417"/>
        </w:numPr>
        <w:rPr>
          <w:rFonts w:ascii="Arial" w:cs="Arial" w:eastAsia="Arial" w:hAnsi="Arial"/>
          <w:sz w:val="18"/>
          <w:szCs w:val="18"/>
          <w:b w:val="1"/>
          <w:bCs w:val="1"/>
          <w:u w:val="single" w:color="auto"/>
          <w:color w:val="0000FF"/>
          <w:highlight w:val="lightGray"/>
        </w:rPr>
      </w:pPr>
      <w:r>
        <w:rPr>
          <w:rFonts w:ascii="Arial" w:cs="Arial" w:eastAsia="Arial" w:hAnsi="Arial"/>
          <w:sz w:val="18"/>
          <w:szCs w:val="18"/>
          <w:b w:val="1"/>
          <w:bCs w:val="1"/>
          <w:u w:val="single" w:color="auto"/>
          <w:color w:val="0000FF"/>
          <w:highlight w:val="lightGray"/>
        </w:rPr>
        <w:t>Pacific Ridge Apartments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Mixed Use:</w:t>
      </w:r>
    </w:p>
    <w:p>
      <w:pPr>
        <w:spacing w:after="0" w:line="168" w:lineRule="exact"/>
        <w:rPr>
          <w:sz w:val="20"/>
          <w:szCs w:val="20"/>
          <w:color w:val="auto"/>
        </w:rPr>
      </w:pPr>
    </w:p>
    <w:p>
      <w:pPr>
        <w:ind w:left="600" w:hanging="300"/>
        <w:spacing w:after="0"/>
        <w:tabs>
          <w:tab w:leader="none" w:pos="600" w:val="left"/>
        </w:tabs>
        <w:numPr>
          <w:ilvl w:val="0"/>
          <w:numId w:val="418"/>
        </w:numPr>
        <w:rPr>
          <w:rFonts w:ascii="Arial" w:cs="Arial" w:eastAsia="Arial" w:hAnsi="Arial"/>
          <w:sz w:val="17"/>
          <w:szCs w:val="17"/>
          <w:color w:val="auto"/>
        </w:rPr>
      </w:pPr>
      <w:r>
        <w:rPr>
          <w:rFonts w:ascii="Arial" w:cs="Arial" w:eastAsia="Arial" w:hAnsi="Arial"/>
          <w:sz w:val="18"/>
          <w:szCs w:val="18"/>
          <w:color w:val="auto"/>
        </w:rPr>
        <w:t>Waikiki Beach Walk - Embassy Suites</w:t>
      </w:r>
    </w:p>
    <w:p>
      <w:pPr>
        <w:spacing w:after="0" w:line="21" w:lineRule="exact"/>
        <w:rPr>
          <w:rFonts w:ascii="Arial" w:cs="Arial" w:eastAsia="Arial" w:hAnsi="Arial"/>
          <w:sz w:val="17"/>
          <w:szCs w:val="17"/>
          <w:color w:val="auto"/>
        </w:rPr>
      </w:pPr>
    </w:p>
    <w:p>
      <w:pPr>
        <w:ind w:left="600" w:hanging="300"/>
        <w:spacing w:after="0"/>
        <w:tabs>
          <w:tab w:leader="none" w:pos="600" w:val="left"/>
        </w:tabs>
        <w:numPr>
          <w:ilvl w:val="0"/>
          <w:numId w:val="418"/>
        </w:numPr>
        <w:rPr>
          <w:rFonts w:ascii="Arial" w:cs="Arial" w:eastAsia="Arial" w:hAnsi="Arial"/>
          <w:sz w:val="18"/>
          <w:szCs w:val="18"/>
          <w:b w:val="1"/>
          <w:bCs w:val="1"/>
          <w:u w:val="single" w:color="auto"/>
          <w:color w:val="0000FF"/>
          <w:highlight w:val="lightGray"/>
        </w:rPr>
      </w:pPr>
      <w:r>
        <w:rPr>
          <w:rFonts w:ascii="Arial" w:cs="Arial" w:eastAsia="Arial" w:hAnsi="Arial"/>
          <w:sz w:val="18"/>
          <w:szCs w:val="18"/>
          <w:b w:val="1"/>
          <w:bCs w:val="1"/>
          <w:u w:val="single" w:color="auto"/>
          <w:color w:val="0000FF"/>
          <w:highlight w:val="lightGray"/>
        </w:rPr>
        <w:t>Waikiki Beach Walk - Retail</w:t>
      </w:r>
    </w:p>
    <w:p>
      <w:pPr>
        <w:sectPr>
          <w:pgSz w:w="11900" w:h="16838" w:orient="portrait"/>
          <w:cols w:equalWidth="0" w:num="1">
            <w:col w:w="11420"/>
          </w:cols>
          <w:pgMar w:left="240" w:top="784" w:right="239" w:bottom="1440" w:gutter="0" w:footer="0" w:header="0"/>
        </w:sectPr>
      </w:pPr>
    </w:p>
    <w:bookmarkStart w:id="351" w:name="page352"/>
    <w:bookmarkEnd w:id="351"/>
    <w:p>
      <w:pPr>
        <w:jc w:val="right"/>
        <w:spacing w:after="0"/>
        <w:rPr>
          <w:sz w:val="20"/>
          <w:szCs w:val="20"/>
          <w:color w:val="auto"/>
        </w:rPr>
      </w:pPr>
      <w:r>
        <w:rPr>
          <w:rFonts w:ascii="Arial" w:cs="Arial" w:eastAsia="Arial" w:hAnsi="Arial"/>
          <w:sz w:val="18"/>
          <w:szCs w:val="18"/>
          <w:b w:val="1"/>
          <w:bCs w:val="1"/>
          <w:i w:val="1"/>
          <w:iCs w:val="1"/>
          <w:u w:val="single" w:color="auto"/>
          <w:color w:val="0000FF"/>
          <w:highlight w:val="lightGray"/>
        </w:rPr>
        <w:t>SCHEDULE 2.01</w:t>
      </w:r>
    </w:p>
    <w:p>
      <w:pPr>
        <w:spacing w:after="0" w:line="201" w:lineRule="exact"/>
        <w:rPr>
          <w:sz w:val="20"/>
          <w:szCs w:val="20"/>
          <w:color w:val="auto"/>
        </w:rPr>
      </w:pPr>
    </w:p>
    <w:p>
      <w:pPr>
        <w:ind w:left="2240"/>
        <w:spacing w:after="0"/>
        <w:rPr>
          <w:sz w:val="20"/>
          <w:szCs w:val="20"/>
          <w:color w:val="auto"/>
        </w:rPr>
      </w:pPr>
      <w:r>
        <w:rPr>
          <w:rFonts w:ascii="Arial" w:cs="Arial" w:eastAsia="Arial" w:hAnsi="Arial"/>
          <w:sz w:val="18"/>
          <w:szCs w:val="18"/>
          <w:b w:val="1"/>
          <w:bCs w:val="1"/>
          <w:u w:val="single" w:color="auto"/>
          <w:color w:val="0000FF"/>
          <w:highlight w:val="lightGray"/>
        </w:rPr>
        <w:t>COMMITMENTS AND APPLICABLE PERCENTAGES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990" w:type="dxa"/>
        <w:tblCellMar>
          <w:top w:w="0" w:type="dxa"/>
          <w:left w:w="0" w:type="dxa"/>
          <w:bottom w:w="0" w:type="dxa"/>
          <w:right w:w="0" w:type="dxa"/>
        </w:tblCellMar>
      </w:tblPr>
      <w:tr>
        <w:trPr>
          <w:trHeight w:val="280"/>
        </w:trPr>
        <w:tc>
          <w:tcPr>
            <w:tcW w:w="920" w:type="dxa"/>
            <w:vAlign w:val="bottom"/>
            <w:tcBorders>
              <w:top w:val="single" w:sz="8" w:color="auto"/>
              <w:left w:val="single" w:sz="8" w:color="E6E6FA"/>
              <w:bottom w:val="single" w:sz="8" w:color="E6E6FA"/>
            </w:tcBorders>
            <w:shd w:val="clear" w:color="auto" w:fill="E6E6FA"/>
          </w:tcPr>
          <w:p>
            <w:pPr>
              <w:spacing w:after="0"/>
              <w:rPr>
                <w:sz w:val="23"/>
                <w:szCs w:val="23"/>
                <w:color w:val="auto"/>
              </w:rPr>
            </w:pPr>
          </w:p>
        </w:tc>
        <w:tc>
          <w:tcPr>
            <w:tcW w:w="320" w:type="dxa"/>
            <w:vAlign w:val="bottom"/>
            <w:tcBorders>
              <w:top w:val="single" w:sz="8" w:color="auto"/>
              <w:bottom w:val="single" w:sz="8" w:color="E6E6FA"/>
            </w:tcBorders>
            <w:shd w:val="clear" w:color="auto" w:fill="E6E6FA"/>
          </w:tcPr>
          <w:p>
            <w:pPr>
              <w:spacing w:after="0"/>
              <w:rPr>
                <w:sz w:val="23"/>
                <w:szCs w:val="23"/>
                <w:color w:val="auto"/>
              </w:rPr>
            </w:pPr>
          </w:p>
        </w:tc>
        <w:tc>
          <w:tcPr>
            <w:tcW w:w="560" w:type="dxa"/>
            <w:vAlign w:val="bottom"/>
            <w:tcBorders>
              <w:top w:val="single" w:sz="8" w:color="auto"/>
              <w:bottom w:val="single" w:sz="8" w:color="0000FF"/>
            </w:tcBorders>
            <w:shd w:val="clear" w:color="auto" w:fill="D6D6D6"/>
          </w:tcPr>
          <w:p>
            <w:pPr>
              <w:spacing w:after="0"/>
              <w:rPr>
                <w:sz w:val="20"/>
                <w:szCs w:val="20"/>
                <w:color w:val="auto"/>
              </w:rPr>
            </w:pPr>
            <w:r>
              <w:rPr>
                <w:rFonts w:ascii="Arial" w:cs="Arial" w:eastAsia="Arial" w:hAnsi="Arial"/>
                <w:sz w:val="18"/>
                <w:szCs w:val="18"/>
                <w:b w:val="1"/>
                <w:bCs w:val="1"/>
                <w:color w:val="0000FF"/>
                <w:highlight w:val="lightGray"/>
                <w:w w:val="89"/>
              </w:rPr>
              <w:t>Lender</w:t>
            </w:r>
          </w:p>
        </w:tc>
        <w:tc>
          <w:tcPr>
            <w:tcW w:w="400" w:type="dxa"/>
            <w:vAlign w:val="bottom"/>
            <w:tcBorders>
              <w:top w:val="single" w:sz="8" w:color="auto"/>
              <w:bottom w:val="single" w:sz="8" w:color="E6E6FA"/>
            </w:tcBorders>
            <w:shd w:val="clear" w:color="auto" w:fill="E6E6FA"/>
          </w:tcPr>
          <w:p>
            <w:pPr>
              <w:spacing w:after="0"/>
              <w:rPr>
                <w:sz w:val="23"/>
                <w:szCs w:val="23"/>
                <w:color w:val="auto"/>
              </w:rPr>
            </w:pPr>
          </w:p>
        </w:tc>
        <w:tc>
          <w:tcPr>
            <w:tcW w:w="280" w:type="dxa"/>
            <w:vAlign w:val="bottom"/>
            <w:tcBorders>
              <w:top w:val="single" w:sz="8" w:color="auto"/>
              <w:bottom w:val="single" w:sz="8" w:color="E6E6FA"/>
              <w:right w:val="single" w:sz="8" w:color="E6E6FA"/>
            </w:tcBorders>
            <w:shd w:val="clear" w:color="auto" w:fill="E6E6FA"/>
          </w:tcPr>
          <w:p>
            <w:pPr>
              <w:spacing w:after="0"/>
              <w:rPr>
                <w:sz w:val="23"/>
                <w:szCs w:val="23"/>
                <w:color w:val="auto"/>
              </w:rPr>
            </w:pPr>
          </w:p>
        </w:tc>
        <w:tc>
          <w:tcPr>
            <w:tcW w:w="80" w:type="dxa"/>
            <w:vAlign w:val="bottom"/>
            <w:tcBorders>
              <w:top w:val="single" w:sz="8" w:color="auto"/>
              <w:bottom w:val="single" w:sz="8" w:color="E6E6FA"/>
            </w:tcBorders>
            <w:shd w:val="clear" w:color="auto" w:fill="E6E6FA"/>
          </w:tcPr>
          <w:p>
            <w:pPr>
              <w:spacing w:after="0"/>
              <w:rPr>
                <w:sz w:val="23"/>
                <w:szCs w:val="23"/>
                <w:color w:val="auto"/>
              </w:rPr>
            </w:pPr>
          </w:p>
        </w:tc>
        <w:tc>
          <w:tcPr>
            <w:tcW w:w="540" w:type="dxa"/>
            <w:vAlign w:val="bottom"/>
            <w:tcBorders>
              <w:top w:val="single" w:sz="8" w:color="auto"/>
              <w:bottom w:val="single" w:sz="8" w:color="E6E6FA"/>
              <w:right w:val="single" w:sz="8" w:color="auto"/>
            </w:tcBorders>
            <w:shd w:val="clear" w:color="auto" w:fill="E6E6FA"/>
          </w:tcPr>
          <w:p>
            <w:pPr>
              <w:spacing w:after="0"/>
              <w:rPr>
                <w:sz w:val="23"/>
                <w:szCs w:val="23"/>
                <w:color w:val="auto"/>
              </w:rPr>
            </w:pPr>
          </w:p>
        </w:tc>
        <w:tc>
          <w:tcPr>
            <w:tcW w:w="400" w:type="dxa"/>
            <w:vAlign w:val="bottom"/>
            <w:tcBorders>
              <w:top w:val="single" w:sz="8" w:color="auto"/>
              <w:bottom w:val="single" w:sz="8" w:color="E6E6FA"/>
            </w:tcBorders>
            <w:shd w:val="clear" w:color="auto" w:fill="E6E6FA"/>
          </w:tcPr>
          <w:p>
            <w:pPr>
              <w:spacing w:after="0"/>
              <w:rPr>
                <w:sz w:val="23"/>
                <w:szCs w:val="23"/>
                <w:color w:val="auto"/>
              </w:rPr>
            </w:pPr>
          </w:p>
        </w:tc>
        <w:tc>
          <w:tcPr>
            <w:tcW w:w="1020" w:type="dxa"/>
            <w:vAlign w:val="bottom"/>
            <w:tcBorders>
              <w:top w:val="single" w:sz="8" w:color="auto"/>
              <w:bottom w:val="single" w:sz="8" w:color="0000FF"/>
            </w:tcBorders>
            <w:gridSpan w:val="2"/>
            <w:shd w:val="clear" w:color="auto" w:fill="D6D6D6"/>
          </w:tcPr>
          <w:p>
            <w:pPr>
              <w:spacing w:after="0"/>
              <w:rPr>
                <w:sz w:val="20"/>
                <w:szCs w:val="20"/>
                <w:color w:val="auto"/>
              </w:rPr>
            </w:pPr>
            <w:r>
              <w:rPr>
                <w:rFonts w:ascii="Arial" w:cs="Arial" w:eastAsia="Arial" w:hAnsi="Arial"/>
                <w:sz w:val="18"/>
                <w:szCs w:val="18"/>
                <w:b w:val="1"/>
                <w:bCs w:val="1"/>
                <w:color w:val="0000FF"/>
                <w:highlight w:val="lightGray"/>
                <w:w w:val="90"/>
              </w:rPr>
              <w:t>Commitment</w:t>
            </w:r>
          </w:p>
        </w:tc>
        <w:tc>
          <w:tcPr>
            <w:tcW w:w="480" w:type="dxa"/>
            <w:vAlign w:val="bottom"/>
            <w:tcBorders>
              <w:top w:val="single" w:sz="8" w:color="auto"/>
              <w:bottom w:val="single" w:sz="8" w:color="E6E6FA"/>
              <w:right w:val="single" w:sz="8" w:color="auto"/>
            </w:tcBorders>
            <w:shd w:val="clear" w:color="auto" w:fill="E6E6FA"/>
          </w:tcPr>
          <w:p>
            <w:pPr>
              <w:spacing w:after="0"/>
              <w:rPr>
                <w:sz w:val="23"/>
                <w:szCs w:val="23"/>
                <w:color w:val="auto"/>
              </w:rPr>
            </w:pPr>
          </w:p>
        </w:tc>
        <w:tc>
          <w:tcPr>
            <w:tcW w:w="160" w:type="dxa"/>
            <w:vAlign w:val="bottom"/>
            <w:tcBorders>
              <w:top w:val="single" w:sz="8" w:color="auto"/>
              <w:bottom w:val="single" w:sz="8" w:color="E6E6FA"/>
            </w:tcBorders>
            <w:shd w:val="clear" w:color="auto" w:fill="E6E6FA"/>
          </w:tcPr>
          <w:p>
            <w:pPr>
              <w:spacing w:after="0"/>
              <w:rPr>
                <w:sz w:val="23"/>
                <w:szCs w:val="23"/>
                <w:color w:val="auto"/>
              </w:rPr>
            </w:pPr>
          </w:p>
        </w:tc>
        <w:tc>
          <w:tcPr>
            <w:tcW w:w="1740" w:type="dxa"/>
            <w:vAlign w:val="bottom"/>
            <w:tcBorders>
              <w:top w:val="single" w:sz="8" w:color="auto"/>
              <w:bottom w:val="single" w:sz="8" w:color="0000FF"/>
            </w:tcBorders>
            <w:gridSpan w:val="2"/>
            <w:shd w:val="clear" w:color="auto" w:fill="D6D6D6"/>
          </w:tcPr>
          <w:p>
            <w:pPr>
              <w:spacing w:after="0"/>
              <w:rPr>
                <w:sz w:val="20"/>
                <w:szCs w:val="20"/>
                <w:color w:val="auto"/>
              </w:rPr>
            </w:pPr>
            <w:r>
              <w:rPr>
                <w:rFonts w:ascii="Arial" w:cs="Arial" w:eastAsia="Arial" w:hAnsi="Arial"/>
                <w:sz w:val="18"/>
                <w:szCs w:val="18"/>
                <w:b w:val="1"/>
                <w:bCs w:val="1"/>
                <w:color w:val="0000FF"/>
                <w:highlight w:val="lightGray"/>
                <w:w w:val="89"/>
              </w:rPr>
              <w:t>Applicable Percentage</w:t>
            </w:r>
          </w:p>
        </w:tc>
        <w:tc>
          <w:tcPr>
            <w:tcW w:w="200" w:type="dxa"/>
            <w:vAlign w:val="bottom"/>
            <w:tcBorders>
              <w:top w:val="single" w:sz="8" w:color="auto"/>
              <w:bottom w:val="single" w:sz="8" w:color="E6E6FA"/>
              <w:right w:val="single" w:sz="8" w:color="auto"/>
            </w:tcBorders>
            <w:shd w:val="clear" w:color="auto" w:fill="E6E6FA"/>
          </w:tcPr>
          <w:p>
            <w:pPr>
              <w:spacing w:after="0"/>
              <w:rPr>
                <w:sz w:val="23"/>
                <w:szCs w:val="23"/>
                <w:color w:val="auto"/>
              </w:rPr>
            </w:pPr>
          </w:p>
        </w:tc>
      </w:tr>
      <w:tr>
        <w:trPr>
          <w:trHeight w:val="260"/>
        </w:trPr>
        <w:tc>
          <w:tcPr>
            <w:tcW w:w="2480" w:type="dxa"/>
            <w:vAlign w:val="bottom"/>
            <w:tcBorders>
              <w:top w:val="single" w:sz="8" w:color="auto"/>
              <w:left w:val="single" w:sz="8" w:color="E6E6FA"/>
              <w:bottom w:val="single" w:sz="8" w:color="0000FF"/>
              <w:right w:val="single" w:sz="8" w:color="E6E6FA"/>
            </w:tcBorders>
            <w:gridSpan w:val="5"/>
            <w:shd w:val="clear" w:color="auto" w:fill="D6D6D6"/>
          </w:tcPr>
          <w:p>
            <w:pPr>
              <w:ind w:left="40"/>
              <w:spacing w:after="0" w:line="193" w:lineRule="exact"/>
              <w:rPr>
                <w:sz w:val="20"/>
                <w:szCs w:val="20"/>
                <w:color w:val="auto"/>
              </w:rPr>
            </w:pPr>
            <w:r>
              <w:rPr>
                <w:rFonts w:ascii="Arial" w:cs="Arial" w:eastAsia="Arial" w:hAnsi="Arial"/>
                <w:sz w:val="18"/>
                <w:szCs w:val="18"/>
                <w:b w:val="1"/>
                <w:bCs w:val="1"/>
                <w:color w:val="0000FF"/>
                <w:highlight w:val="lightGray"/>
                <w:w w:val="89"/>
              </w:rPr>
              <w:t>U.S. Bank National Association</w:t>
            </w:r>
          </w:p>
        </w:tc>
        <w:tc>
          <w:tcPr>
            <w:tcW w:w="80" w:type="dxa"/>
            <w:vAlign w:val="bottom"/>
            <w:tcBorders>
              <w:top w:val="single" w:sz="8" w:color="auto"/>
              <w:bottom w:val="single" w:sz="8" w:color="E6E6FA"/>
            </w:tcBorders>
            <w:shd w:val="clear" w:color="auto" w:fill="E6E6FA"/>
          </w:tcPr>
          <w:p>
            <w:pPr>
              <w:spacing w:after="0"/>
              <w:rPr>
                <w:sz w:val="22"/>
                <w:szCs w:val="22"/>
                <w:color w:val="auto"/>
              </w:rPr>
            </w:pPr>
          </w:p>
        </w:tc>
        <w:tc>
          <w:tcPr>
            <w:tcW w:w="540" w:type="dxa"/>
            <w:vAlign w:val="bottom"/>
            <w:tcBorders>
              <w:top w:val="single" w:sz="8" w:color="auto"/>
              <w:bottom w:val="single" w:sz="8" w:color="E6E6FA"/>
              <w:right w:val="single" w:sz="8" w:color="auto"/>
            </w:tcBorders>
            <w:shd w:val="clear" w:color="auto" w:fill="E6E6FA"/>
          </w:tcPr>
          <w:p>
            <w:pPr>
              <w:spacing w:after="0"/>
              <w:rPr>
                <w:sz w:val="22"/>
                <w:szCs w:val="22"/>
                <w:color w:val="auto"/>
              </w:rPr>
            </w:pPr>
          </w:p>
        </w:tc>
        <w:tc>
          <w:tcPr>
            <w:tcW w:w="900" w:type="dxa"/>
            <w:vAlign w:val="bottom"/>
            <w:tcBorders>
              <w:top w:val="single" w:sz="8" w:color="auto"/>
              <w:bottom w:val="single" w:sz="8" w:color="0000FF"/>
            </w:tcBorders>
            <w:gridSpan w:val="2"/>
            <w:shd w:val="clear" w:color="auto" w:fill="D6D6D6"/>
          </w:tcPr>
          <w:p>
            <w:pPr>
              <w:jc w:val="right"/>
              <w:spacing w:after="0" w:line="193" w:lineRule="exact"/>
              <w:rPr>
                <w:sz w:val="20"/>
                <w:szCs w:val="20"/>
                <w:color w:val="auto"/>
              </w:rPr>
            </w:pPr>
            <w:r>
              <w:rPr>
                <w:rFonts w:ascii="Arial" w:cs="Arial" w:eastAsia="Arial" w:hAnsi="Arial"/>
                <w:sz w:val="18"/>
                <w:szCs w:val="18"/>
                <w:b w:val="1"/>
                <w:bCs w:val="1"/>
                <w:u w:val="single" w:color="auto"/>
                <w:color w:val="0000FF"/>
                <w:highlight w:val="lightGray"/>
                <w:w w:val="87"/>
              </w:rPr>
              <w:t>$</w:t>
            </w:r>
            <w:r>
              <w:rPr>
                <w:rFonts w:ascii="Arial" w:cs="Arial" w:eastAsia="Arial" w:hAnsi="Arial"/>
                <w:sz w:val="18"/>
                <w:szCs w:val="18"/>
                <w:b w:val="1"/>
                <w:bCs w:val="1"/>
                <w:color w:val="0000FF"/>
                <w:highlight w:val="lightGray"/>
                <w:w w:val="87"/>
              </w:rPr>
              <w:t>50,000,000</w:t>
            </w:r>
          </w:p>
        </w:tc>
        <w:tc>
          <w:tcPr>
            <w:tcW w:w="520" w:type="dxa"/>
            <w:vAlign w:val="bottom"/>
            <w:tcBorders>
              <w:top w:val="single" w:sz="8" w:color="auto"/>
              <w:bottom w:val="single" w:sz="8" w:color="E6E6FA"/>
            </w:tcBorders>
            <w:shd w:val="clear" w:color="auto" w:fill="E6E6FA"/>
          </w:tcPr>
          <w:p>
            <w:pPr>
              <w:spacing w:after="0"/>
              <w:rPr>
                <w:sz w:val="22"/>
                <w:szCs w:val="22"/>
                <w:color w:val="auto"/>
              </w:rPr>
            </w:pPr>
          </w:p>
        </w:tc>
        <w:tc>
          <w:tcPr>
            <w:tcW w:w="480" w:type="dxa"/>
            <w:vAlign w:val="bottom"/>
            <w:tcBorders>
              <w:top w:val="single" w:sz="8" w:color="auto"/>
              <w:bottom w:val="single" w:sz="8" w:color="E6E6FA"/>
              <w:right w:val="single" w:sz="8" w:color="auto"/>
            </w:tcBorders>
            <w:shd w:val="clear" w:color="auto" w:fill="E6E6FA"/>
          </w:tcPr>
          <w:p>
            <w:pPr>
              <w:spacing w:after="0"/>
              <w:rPr>
                <w:sz w:val="22"/>
                <w:szCs w:val="22"/>
                <w:color w:val="auto"/>
              </w:rPr>
            </w:pPr>
          </w:p>
        </w:tc>
        <w:tc>
          <w:tcPr>
            <w:tcW w:w="600" w:type="dxa"/>
            <w:vAlign w:val="bottom"/>
            <w:tcBorders>
              <w:top w:val="single" w:sz="8" w:color="auto"/>
              <w:bottom w:val="single" w:sz="8" w:color="0000FF"/>
              <w:right w:val="single" w:sz="8" w:color="E6E6FA"/>
            </w:tcBorders>
            <w:gridSpan w:val="2"/>
            <w:shd w:val="clear" w:color="auto" w:fill="D6D6D6"/>
          </w:tcPr>
          <w:p>
            <w:pPr>
              <w:jc w:val="right"/>
              <w:spacing w:after="0" w:line="193" w:lineRule="exact"/>
              <w:rPr>
                <w:sz w:val="20"/>
                <w:szCs w:val="20"/>
                <w:color w:val="auto"/>
              </w:rPr>
            </w:pPr>
            <w:r>
              <w:rPr>
                <w:rFonts w:ascii="Arial" w:cs="Arial" w:eastAsia="Arial" w:hAnsi="Arial"/>
                <w:sz w:val="18"/>
                <w:szCs w:val="18"/>
                <w:b w:val="1"/>
                <w:bCs w:val="1"/>
                <w:color w:val="0000FF"/>
                <w:highlight w:val="lightGray"/>
                <w:w w:val="91"/>
              </w:rPr>
              <w:t>33.34%</w:t>
            </w:r>
          </w:p>
        </w:tc>
        <w:tc>
          <w:tcPr>
            <w:tcW w:w="1300" w:type="dxa"/>
            <w:vAlign w:val="bottom"/>
            <w:tcBorders>
              <w:top w:val="single" w:sz="8" w:color="auto"/>
              <w:bottom w:val="single" w:sz="8" w:color="E6E6FA"/>
            </w:tcBorders>
            <w:shd w:val="clear" w:color="auto" w:fill="E6E6FA"/>
          </w:tcPr>
          <w:p>
            <w:pPr>
              <w:spacing w:after="0"/>
              <w:rPr>
                <w:sz w:val="22"/>
                <w:szCs w:val="22"/>
                <w:color w:val="auto"/>
              </w:rPr>
            </w:pPr>
          </w:p>
        </w:tc>
        <w:tc>
          <w:tcPr>
            <w:tcW w:w="200" w:type="dxa"/>
            <w:vAlign w:val="bottom"/>
            <w:tcBorders>
              <w:top w:val="single" w:sz="8" w:color="auto"/>
              <w:bottom w:val="single" w:sz="8" w:color="E6E6FA"/>
              <w:right w:val="single" w:sz="8" w:color="auto"/>
            </w:tcBorders>
            <w:shd w:val="clear" w:color="auto" w:fill="E6E6FA"/>
          </w:tcPr>
          <w:p>
            <w:pPr>
              <w:spacing w:after="0"/>
              <w:rPr>
                <w:sz w:val="22"/>
                <w:szCs w:val="22"/>
                <w:color w:val="auto"/>
              </w:rPr>
            </w:pPr>
          </w:p>
        </w:tc>
      </w:tr>
      <w:tr>
        <w:trPr>
          <w:trHeight w:val="255"/>
        </w:trPr>
        <w:tc>
          <w:tcPr>
            <w:tcW w:w="2560" w:type="dxa"/>
            <w:vAlign w:val="bottom"/>
            <w:tcBorders>
              <w:top w:val="single" w:sz="8" w:color="auto"/>
              <w:left w:val="single" w:sz="8" w:color="E6E6FA"/>
              <w:bottom w:val="single" w:sz="8" w:color="auto"/>
            </w:tcBorders>
            <w:gridSpan w:val="6"/>
            <w:shd w:val="clear" w:color="auto" w:fill="D6D6D6"/>
          </w:tcPr>
          <w:p>
            <w:pPr>
              <w:ind w:left="40"/>
              <w:spacing w:after="0" w:line="193" w:lineRule="exact"/>
              <w:rPr>
                <w:sz w:val="20"/>
                <w:szCs w:val="20"/>
                <w:color w:val="auto"/>
              </w:rPr>
            </w:pPr>
            <w:r>
              <w:rPr>
                <w:rFonts w:ascii="Arial" w:cs="Arial" w:eastAsia="Arial" w:hAnsi="Arial"/>
                <w:sz w:val="18"/>
                <w:szCs w:val="18"/>
                <w:b w:val="1"/>
                <w:bCs w:val="1"/>
                <w:color w:val="0000FF"/>
                <w:highlight w:val="lightGray"/>
                <w:w w:val="90"/>
              </w:rPr>
              <w:t>PNC Bank, National Association</w:t>
            </w:r>
          </w:p>
        </w:tc>
        <w:tc>
          <w:tcPr>
            <w:tcW w:w="540" w:type="dxa"/>
            <w:vAlign w:val="bottom"/>
            <w:tcBorders>
              <w:top w:val="single" w:sz="8" w:color="auto"/>
              <w:bottom w:val="single" w:sz="8" w:color="auto"/>
              <w:right w:val="single" w:sz="8" w:color="auto"/>
            </w:tcBorders>
            <w:shd w:val="clear" w:color="auto" w:fill="E6E6FA"/>
          </w:tcPr>
          <w:p>
            <w:pPr>
              <w:spacing w:after="0"/>
              <w:rPr>
                <w:sz w:val="22"/>
                <w:szCs w:val="22"/>
                <w:color w:val="auto"/>
              </w:rPr>
            </w:pPr>
          </w:p>
        </w:tc>
        <w:tc>
          <w:tcPr>
            <w:tcW w:w="900" w:type="dxa"/>
            <w:vAlign w:val="bottom"/>
            <w:tcBorders>
              <w:top w:val="single" w:sz="8" w:color="auto"/>
              <w:bottom w:val="single" w:sz="8" w:color="auto"/>
            </w:tcBorders>
            <w:gridSpan w:val="2"/>
            <w:shd w:val="clear" w:color="auto" w:fill="D6D6D6"/>
          </w:tcPr>
          <w:p>
            <w:pPr>
              <w:jc w:val="right"/>
              <w:spacing w:after="0" w:line="193" w:lineRule="exact"/>
              <w:rPr>
                <w:sz w:val="20"/>
                <w:szCs w:val="20"/>
                <w:color w:val="auto"/>
              </w:rPr>
            </w:pPr>
            <w:r>
              <w:rPr>
                <w:rFonts w:ascii="Arial" w:cs="Arial" w:eastAsia="Arial" w:hAnsi="Arial"/>
                <w:sz w:val="18"/>
                <w:szCs w:val="18"/>
                <w:b w:val="1"/>
                <w:bCs w:val="1"/>
                <w:u w:val="single" w:color="auto"/>
                <w:color w:val="0000FF"/>
                <w:highlight w:val="lightGray"/>
                <w:w w:val="87"/>
              </w:rPr>
              <w:t>$</w:t>
            </w:r>
            <w:r>
              <w:rPr>
                <w:rFonts w:ascii="Arial" w:cs="Arial" w:eastAsia="Arial" w:hAnsi="Arial"/>
                <w:sz w:val="18"/>
                <w:szCs w:val="18"/>
                <w:b w:val="1"/>
                <w:bCs w:val="1"/>
                <w:color w:val="0000FF"/>
                <w:highlight w:val="lightGray"/>
                <w:w w:val="87"/>
              </w:rPr>
              <w:t>50,000,000</w:t>
            </w:r>
          </w:p>
        </w:tc>
        <w:tc>
          <w:tcPr>
            <w:tcW w:w="520" w:type="dxa"/>
            <w:vAlign w:val="bottom"/>
            <w:tcBorders>
              <w:top w:val="single" w:sz="8" w:color="auto"/>
              <w:bottom w:val="single" w:sz="8" w:color="auto"/>
            </w:tcBorders>
            <w:shd w:val="clear" w:color="auto" w:fill="E6E6FA"/>
          </w:tcPr>
          <w:p>
            <w:pPr>
              <w:spacing w:after="0"/>
              <w:rPr>
                <w:sz w:val="22"/>
                <w:szCs w:val="22"/>
                <w:color w:val="auto"/>
              </w:rPr>
            </w:pPr>
          </w:p>
        </w:tc>
        <w:tc>
          <w:tcPr>
            <w:tcW w:w="480" w:type="dxa"/>
            <w:vAlign w:val="bottom"/>
            <w:tcBorders>
              <w:top w:val="single" w:sz="8" w:color="auto"/>
              <w:bottom w:val="single" w:sz="8" w:color="auto"/>
              <w:right w:val="single" w:sz="8" w:color="auto"/>
            </w:tcBorders>
            <w:shd w:val="clear" w:color="auto" w:fill="E6E6FA"/>
          </w:tcPr>
          <w:p>
            <w:pPr>
              <w:spacing w:after="0"/>
              <w:rPr>
                <w:sz w:val="22"/>
                <w:szCs w:val="22"/>
                <w:color w:val="auto"/>
              </w:rPr>
            </w:pPr>
          </w:p>
        </w:tc>
        <w:tc>
          <w:tcPr>
            <w:tcW w:w="600" w:type="dxa"/>
            <w:vAlign w:val="bottom"/>
            <w:tcBorders>
              <w:top w:val="single" w:sz="8" w:color="auto"/>
              <w:bottom w:val="single" w:sz="8" w:color="auto"/>
              <w:right w:val="single" w:sz="8" w:color="E6E6FA"/>
            </w:tcBorders>
            <w:gridSpan w:val="2"/>
            <w:shd w:val="clear" w:color="auto" w:fill="D6D6D6"/>
          </w:tcPr>
          <w:p>
            <w:pPr>
              <w:jc w:val="right"/>
              <w:spacing w:after="0" w:line="193" w:lineRule="exact"/>
              <w:rPr>
                <w:sz w:val="20"/>
                <w:szCs w:val="20"/>
                <w:color w:val="auto"/>
              </w:rPr>
            </w:pPr>
            <w:r>
              <w:rPr>
                <w:rFonts w:ascii="Arial" w:cs="Arial" w:eastAsia="Arial" w:hAnsi="Arial"/>
                <w:sz w:val="18"/>
                <w:szCs w:val="18"/>
                <w:b w:val="1"/>
                <w:bCs w:val="1"/>
                <w:color w:val="0000FF"/>
                <w:highlight w:val="lightGray"/>
                <w:w w:val="91"/>
              </w:rPr>
              <w:t>33.33%</w:t>
            </w:r>
          </w:p>
        </w:tc>
        <w:tc>
          <w:tcPr>
            <w:tcW w:w="1300" w:type="dxa"/>
            <w:vAlign w:val="bottom"/>
            <w:tcBorders>
              <w:top w:val="single" w:sz="8" w:color="auto"/>
              <w:bottom w:val="single" w:sz="8" w:color="auto"/>
            </w:tcBorders>
            <w:shd w:val="clear" w:color="auto" w:fill="E6E6FA"/>
          </w:tcPr>
          <w:p>
            <w:pPr>
              <w:spacing w:after="0"/>
              <w:rPr>
                <w:sz w:val="22"/>
                <w:szCs w:val="22"/>
                <w:color w:val="auto"/>
              </w:rPr>
            </w:pPr>
          </w:p>
        </w:tc>
        <w:tc>
          <w:tcPr>
            <w:tcW w:w="200" w:type="dxa"/>
            <w:vAlign w:val="bottom"/>
            <w:tcBorders>
              <w:top w:val="single" w:sz="8" w:color="auto"/>
              <w:bottom w:val="single" w:sz="8" w:color="auto"/>
              <w:right w:val="single" w:sz="8" w:color="auto"/>
            </w:tcBorders>
            <w:shd w:val="clear" w:color="auto" w:fill="E6E6FA"/>
          </w:tcPr>
          <w:p>
            <w:pPr>
              <w:spacing w:after="0"/>
              <w:rPr>
                <w:sz w:val="22"/>
                <w:szCs w:val="22"/>
                <w:color w:val="auto"/>
              </w:rPr>
            </w:pPr>
          </w:p>
        </w:tc>
      </w:tr>
      <w:tr>
        <w:trPr>
          <w:trHeight w:val="212"/>
        </w:trPr>
        <w:tc>
          <w:tcPr>
            <w:tcW w:w="2200" w:type="dxa"/>
            <w:vAlign w:val="bottom"/>
            <w:tcBorders>
              <w:left w:val="single" w:sz="8" w:color="E6E6FA"/>
            </w:tcBorders>
            <w:gridSpan w:val="4"/>
            <w:shd w:val="clear" w:color="auto" w:fill="D6D6D6"/>
          </w:tcPr>
          <w:p>
            <w:pPr>
              <w:ind w:left="40"/>
              <w:spacing w:after="0" w:line="193" w:lineRule="exact"/>
              <w:rPr>
                <w:sz w:val="20"/>
                <w:szCs w:val="20"/>
                <w:color w:val="auto"/>
              </w:rPr>
            </w:pPr>
            <w:r>
              <w:rPr>
                <w:rFonts w:ascii="Arial" w:cs="Arial" w:eastAsia="Arial" w:hAnsi="Arial"/>
                <w:sz w:val="18"/>
                <w:szCs w:val="18"/>
                <w:b w:val="1"/>
                <w:bCs w:val="1"/>
                <w:color w:val="0000FF"/>
                <w:highlight w:val="lightGray"/>
                <w:w w:val="92"/>
              </w:rPr>
              <w:t>Wells Fargo Bank, National</w:t>
            </w:r>
          </w:p>
        </w:tc>
        <w:tc>
          <w:tcPr>
            <w:tcW w:w="900" w:type="dxa"/>
            <w:vAlign w:val="bottom"/>
            <w:tcBorders>
              <w:right w:val="single" w:sz="8" w:color="auto"/>
            </w:tcBorders>
            <w:gridSpan w:val="3"/>
            <w:shd w:val="clear" w:color="auto" w:fill="E6E6FA"/>
          </w:tcPr>
          <w:p>
            <w:pPr>
              <w:spacing w:after="0"/>
              <w:rPr>
                <w:sz w:val="18"/>
                <w:szCs w:val="18"/>
                <w:color w:val="auto"/>
              </w:rPr>
            </w:pPr>
          </w:p>
        </w:tc>
        <w:tc>
          <w:tcPr>
            <w:tcW w:w="900" w:type="dxa"/>
            <w:vAlign w:val="bottom"/>
            <w:gridSpan w:val="2"/>
            <w:shd w:val="clear" w:color="auto" w:fill="D6D6D6"/>
          </w:tcPr>
          <w:p>
            <w:pPr>
              <w:jc w:val="right"/>
              <w:spacing w:after="0" w:line="193" w:lineRule="exact"/>
              <w:rPr>
                <w:sz w:val="20"/>
                <w:szCs w:val="20"/>
                <w:color w:val="auto"/>
              </w:rPr>
            </w:pPr>
            <w:r>
              <w:rPr>
                <w:rFonts w:ascii="Arial" w:cs="Arial" w:eastAsia="Arial" w:hAnsi="Arial"/>
                <w:sz w:val="18"/>
                <w:szCs w:val="18"/>
                <w:b w:val="1"/>
                <w:bCs w:val="1"/>
                <w:u w:val="single" w:color="auto"/>
                <w:color w:val="0000FF"/>
                <w:highlight w:val="lightGray"/>
                <w:w w:val="87"/>
              </w:rPr>
              <w:t>$</w:t>
            </w:r>
            <w:r>
              <w:rPr>
                <w:rFonts w:ascii="Arial" w:cs="Arial" w:eastAsia="Arial" w:hAnsi="Arial"/>
                <w:sz w:val="18"/>
                <w:szCs w:val="18"/>
                <w:b w:val="1"/>
                <w:bCs w:val="1"/>
                <w:color w:val="0000FF"/>
                <w:highlight w:val="lightGray"/>
                <w:w w:val="87"/>
              </w:rPr>
              <w:t>50,000,000</w:t>
            </w:r>
          </w:p>
        </w:tc>
        <w:tc>
          <w:tcPr>
            <w:tcW w:w="520" w:type="dxa"/>
            <w:vAlign w:val="bottom"/>
            <w:shd w:val="clear" w:color="auto" w:fill="E6E6FA"/>
          </w:tcPr>
          <w:p>
            <w:pPr>
              <w:spacing w:after="0"/>
              <w:rPr>
                <w:sz w:val="18"/>
                <w:szCs w:val="18"/>
                <w:color w:val="auto"/>
              </w:rPr>
            </w:pPr>
          </w:p>
        </w:tc>
        <w:tc>
          <w:tcPr>
            <w:tcW w:w="480" w:type="dxa"/>
            <w:vAlign w:val="bottom"/>
            <w:tcBorders>
              <w:right w:val="single" w:sz="8" w:color="auto"/>
            </w:tcBorders>
            <w:shd w:val="clear" w:color="auto" w:fill="E6E6FA"/>
          </w:tcPr>
          <w:p>
            <w:pPr>
              <w:spacing w:after="0"/>
              <w:rPr>
                <w:sz w:val="18"/>
                <w:szCs w:val="18"/>
                <w:color w:val="auto"/>
              </w:rPr>
            </w:pPr>
          </w:p>
        </w:tc>
        <w:tc>
          <w:tcPr>
            <w:tcW w:w="600" w:type="dxa"/>
            <w:vAlign w:val="bottom"/>
            <w:tcBorders>
              <w:right w:val="single" w:sz="8" w:color="E6E6FA"/>
            </w:tcBorders>
            <w:gridSpan w:val="2"/>
            <w:shd w:val="clear" w:color="auto" w:fill="D6D6D6"/>
          </w:tcPr>
          <w:p>
            <w:pPr>
              <w:jc w:val="right"/>
              <w:spacing w:after="0" w:line="193" w:lineRule="exact"/>
              <w:rPr>
                <w:sz w:val="20"/>
                <w:szCs w:val="20"/>
                <w:color w:val="auto"/>
              </w:rPr>
            </w:pPr>
            <w:r>
              <w:rPr>
                <w:rFonts w:ascii="Arial" w:cs="Arial" w:eastAsia="Arial" w:hAnsi="Arial"/>
                <w:sz w:val="18"/>
                <w:szCs w:val="18"/>
                <w:b w:val="1"/>
                <w:bCs w:val="1"/>
                <w:color w:val="0000FF"/>
                <w:highlight w:val="lightGray"/>
                <w:w w:val="91"/>
              </w:rPr>
              <w:t>33.33%</w:t>
            </w:r>
          </w:p>
        </w:tc>
        <w:tc>
          <w:tcPr>
            <w:tcW w:w="1300" w:type="dxa"/>
            <w:vAlign w:val="bottom"/>
            <w:shd w:val="clear" w:color="auto" w:fill="E6E6FA"/>
          </w:tcPr>
          <w:p>
            <w:pPr>
              <w:spacing w:after="0"/>
              <w:rPr>
                <w:sz w:val="18"/>
                <w:szCs w:val="18"/>
                <w:color w:val="auto"/>
              </w:rPr>
            </w:pPr>
          </w:p>
        </w:tc>
        <w:tc>
          <w:tcPr>
            <w:tcW w:w="200" w:type="dxa"/>
            <w:vAlign w:val="bottom"/>
            <w:tcBorders>
              <w:right w:val="single" w:sz="8" w:color="auto"/>
            </w:tcBorders>
            <w:shd w:val="clear" w:color="auto" w:fill="E6E6FA"/>
          </w:tcPr>
          <w:p>
            <w:pPr>
              <w:spacing w:after="0"/>
              <w:rPr>
                <w:sz w:val="18"/>
                <w:szCs w:val="18"/>
                <w:color w:val="auto"/>
              </w:rPr>
            </w:pPr>
          </w:p>
        </w:tc>
      </w:tr>
      <w:tr>
        <w:trPr>
          <w:trHeight w:val="220"/>
        </w:trPr>
        <w:tc>
          <w:tcPr>
            <w:tcW w:w="920" w:type="dxa"/>
            <w:vAlign w:val="bottom"/>
            <w:tcBorders>
              <w:top w:val="single" w:sz="8" w:color="0000FF"/>
              <w:left w:val="single" w:sz="8" w:color="E6E6FA"/>
              <w:bottom w:val="single" w:sz="8" w:color="0000FF"/>
            </w:tcBorders>
            <w:shd w:val="clear" w:color="auto" w:fill="D6D6D6"/>
          </w:tcPr>
          <w:p>
            <w:pPr>
              <w:ind w:left="40"/>
              <w:spacing w:after="0" w:line="172" w:lineRule="exact"/>
              <w:rPr>
                <w:sz w:val="20"/>
                <w:szCs w:val="20"/>
                <w:color w:val="auto"/>
              </w:rPr>
            </w:pPr>
            <w:r>
              <w:rPr>
                <w:rFonts w:ascii="Arial" w:cs="Arial" w:eastAsia="Arial" w:hAnsi="Arial"/>
                <w:sz w:val="18"/>
                <w:szCs w:val="18"/>
                <w:b w:val="1"/>
                <w:bCs w:val="1"/>
                <w:color w:val="0000FF"/>
                <w:highlight w:val="lightGray"/>
                <w:w w:val="84"/>
              </w:rPr>
              <w:t>Association</w:t>
            </w:r>
          </w:p>
        </w:tc>
        <w:tc>
          <w:tcPr>
            <w:tcW w:w="1280" w:type="dxa"/>
            <w:vAlign w:val="bottom"/>
            <w:tcBorders>
              <w:top w:val="single" w:sz="8" w:color="0000FF"/>
              <w:bottom w:val="single" w:sz="8" w:color="E6E6FA"/>
            </w:tcBorders>
            <w:gridSpan w:val="3"/>
            <w:shd w:val="clear" w:color="auto" w:fill="E6E6FA"/>
          </w:tcPr>
          <w:p>
            <w:pPr>
              <w:spacing w:after="0"/>
              <w:rPr>
                <w:sz w:val="18"/>
                <w:szCs w:val="18"/>
                <w:color w:val="auto"/>
              </w:rPr>
            </w:pPr>
          </w:p>
        </w:tc>
        <w:tc>
          <w:tcPr>
            <w:tcW w:w="280" w:type="dxa"/>
            <w:vAlign w:val="bottom"/>
            <w:tcBorders>
              <w:top w:val="single" w:sz="8" w:color="E6E6FA"/>
              <w:bottom w:val="single" w:sz="8" w:color="E6E6FA"/>
              <w:right w:val="single" w:sz="8" w:color="E6E6FA"/>
            </w:tcBorders>
            <w:shd w:val="clear" w:color="auto" w:fill="E6E6FA"/>
          </w:tcPr>
          <w:p>
            <w:pPr>
              <w:spacing w:after="0"/>
              <w:rPr>
                <w:sz w:val="18"/>
                <w:szCs w:val="18"/>
                <w:color w:val="auto"/>
              </w:rPr>
            </w:pPr>
          </w:p>
        </w:tc>
        <w:tc>
          <w:tcPr>
            <w:tcW w:w="80" w:type="dxa"/>
            <w:vAlign w:val="bottom"/>
            <w:tcBorders>
              <w:top w:val="single" w:sz="8" w:color="E6E6FA"/>
              <w:bottom w:val="single" w:sz="8" w:color="E6E6FA"/>
            </w:tcBorders>
            <w:shd w:val="clear" w:color="auto" w:fill="E6E6FA"/>
          </w:tcPr>
          <w:p>
            <w:pPr>
              <w:spacing w:after="0"/>
              <w:rPr>
                <w:sz w:val="18"/>
                <w:szCs w:val="18"/>
                <w:color w:val="auto"/>
              </w:rPr>
            </w:pPr>
          </w:p>
        </w:tc>
        <w:tc>
          <w:tcPr>
            <w:tcW w:w="540" w:type="dxa"/>
            <w:vAlign w:val="bottom"/>
            <w:tcBorders>
              <w:top w:val="single" w:sz="8" w:color="E6E6FA"/>
              <w:bottom w:val="single" w:sz="8" w:color="E6E6FA"/>
              <w:right w:val="single" w:sz="8" w:color="auto"/>
            </w:tcBorders>
            <w:shd w:val="clear" w:color="auto" w:fill="E6E6FA"/>
          </w:tcPr>
          <w:p>
            <w:pPr>
              <w:spacing w:after="0"/>
              <w:rPr>
                <w:sz w:val="18"/>
                <w:szCs w:val="18"/>
                <w:color w:val="auto"/>
              </w:rPr>
            </w:pPr>
          </w:p>
        </w:tc>
        <w:tc>
          <w:tcPr>
            <w:tcW w:w="400" w:type="dxa"/>
            <w:vAlign w:val="bottom"/>
            <w:tcBorders>
              <w:top w:val="single" w:sz="8" w:color="0000FF"/>
              <w:bottom w:val="single" w:sz="8" w:color="E6E6FA"/>
            </w:tcBorders>
            <w:shd w:val="clear" w:color="auto" w:fill="E6E6FA"/>
          </w:tcPr>
          <w:p>
            <w:pPr>
              <w:spacing w:after="0"/>
              <w:rPr>
                <w:sz w:val="18"/>
                <w:szCs w:val="18"/>
                <w:color w:val="auto"/>
              </w:rPr>
            </w:pPr>
          </w:p>
        </w:tc>
        <w:tc>
          <w:tcPr>
            <w:tcW w:w="500" w:type="dxa"/>
            <w:vAlign w:val="bottom"/>
            <w:tcBorders>
              <w:top w:val="single" w:sz="8" w:color="0000FF"/>
              <w:bottom w:val="single" w:sz="8" w:color="E6E6FA"/>
            </w:tcBorders>
            <w:shd w:val="clear" w:color="auto" w:fill="E6E6FA"/>
          </w:tcPr>
          <w:p>
            <w:pPr>
              <w:spacing w:after="0"/>
              <w:rPr>
                <w:sz w:val="18"/>
                <w:szCs w:val="18"/>
                <w:color w:val="auto"/>
              </w:rPr>
            </w:pPr>
          </w:p>
        </w:tc>
        <w:tc>
          <w:tcPr>
            <w:tcW w:w="520" w:type="dxa"/>
            <w:vAlign w:val="bottom"/>
            <w:tcBorders>
              <w:top w:val="single" w:sz="8" w:color="E6E6FA"/>
              <w:bottom w:val="single" w:sz="8" w:color="E6E6FA"/>
            </w:tcBorders>
            <w:shd w:val="clear" w:color="auto" w:fill="E6E6FA"/>
          </w:tcPr>
          <w:p>
            <w:pPr>
              <w:spacing w:after="0"/>
              <w:rPr>
                <w:sz w:val="18"/>
                <w:szCs w:val="18"/>
                <w:color w:val="auto"/>
              </w:rPr>
            </w:pPr>
          </w:p>
        </w:tc>
        <w:tc>
          <w:tcPr>
            <w:tcW w:w="480" w:type="dxa"/>
            <w:vAlign w:val="bottom"/>
            <w:tcBorders>
              <w:top w:val="single" w:sz="8" w:color="E6E6FA"/>
              <w:bottom w:val="single" w:sz="8" w:color="E6E6FA"/>
              <w:right w:val="single" w:sz="8" w:color="auto"/>
            </w:tcBorders>
            <w:shd w:val="clear" w:color="auto" w:fill="E6E6FA"/>
          </w:tcPr>
          <w:p>
            <w:pPr>
              <w:spacing w:after="0"/>
              <w:rPr>
                <w:sz w:val="18"/>
                <w:szCs w:val="18"/>
                <w:color w:val="auto"/>
              </w:rPr>
            </w:pPr>
          </w:p>
        </w:tc>
        <w:tc>
          <w:tcPr>
            <w:tcW w:w="160" w:type="dxa"/>
            <w:vAlign w:val="bottom"/>
            <w:tcBorders>
              <w:top w:val="single" w:sz="8" w:color="0000FF"/>
              <w:bottom w:val="single" w:sz="8" w:color="E6E6FA"/>
            </w:tcBorders>
            <w:shd w:val="clear" w:color="auto" w:fill="E6E6FA"/>
          </w:tcPr>
          <w:p>
            <w:pPr>
              <w:spacing w:after="0"/>
              <w:rPr>
                <w:sz w:val="18"/>
                <w:szCs w:val="18"/>
                <w:color w:val="auto"/>
              </w:rPr>
            </w:pPr>
          </w:p>
        </w:tc>
        <w:tc>
          <w:tcPr>
            <w:tcW w:w="440" w:type="dxa"/>
            <w:vAlign w:val="bottom"/>
            <w:tcBorders>
              <w:top w:val="single" w:sz="8" w:color="0000FF"/>
              <w:bottom w:val="single" w:sz="8" w:color="E6E6FA"/>
              <w:right w:val="single" w:sz="8" w:color="E6E6FA"/>
            </w:tcBorders>
            <w:shd w:val="clear" w:color="auto" w:fill="E6E6FA"/>
          </w:tcPr>
          <w:p>
            <w:pPr>
              <w:spacing w:after="0"/>
              <w:rPr>
                <w:sz w:val="18"/>
                <w:szCs w:val="18"/>
                <w:color w:val="auto"/>
              </w:rPr>
            </w:pPr>
          </w:p>
        </w:tc>
        <w:tc>
          <w:tcPr>
            <w:tcW w:w="1300" w:type="dxa"/>
            <w:vAlign w:val="bottom"/>
            <w:tcBorders>
              <w:top w:val="single" w:sz="8" w:color="E6E6FA"/>
              <w:bottom w:val="single" w:sz="8" w:color="E6E6FA"/>
            </w:tcBorders>
            <w:shd w:val="clear" w:color="auto" w:fill="E6E6FA"/>
          </w:tcPr>
          <w:p>
            <w:pPr>
              <w:spacing w:after="0"/>
              <w:rPr>
                <w:sz w:val="18"/>
                <w:szCs w:val="18"/>
                <w:color w:val="auto"/>
              </w:rPr>
            </w:pPr>
          </w:p>
        </w:tc>
        <w:tc>
          <w:tcPr>
            <w:tcW w:w="200" w:type="dxa"/>
            <w:vAlign w:val="bottom"/>
            <w:tcBorders>
              <w:top w:val="single" w:sz="8" w:color="E6E6FA"/>
              <w:bottom w:val="single" w:sz="8" w:color="E6E6FA"/>
              <w:right w:val="single" w:sz="8" w:color="auto"/>
            </w:tcBorders>
            <w:shd w:val="clear" w:color="auto" w:fill="E6E6FA"/>
          </w:tcPr>
          <w:p>
            <w:pPr>
              <w:spacing w:after="0"/>
              <w:rPr>
                <w:sz w:val="18"/>
                <w:szCs w:val="18"/>
                <w:color w:val="auto"/>
              </w:rPr>
            </w:pPr>
          </w:p>
        </w:tc>
      </w:tr>
      <w:tr>
        <w:trPr>
          <w:trHeight w:val="20"/>
        </w:trPr>
        <w:tc>
          <w:tcPr>
            <w:tcW w:w="920" w:type="dxa"/>
            <w:vAlign w:val="bottom"/>
            <w:tcBorders>
              <w:top w:val="single" w:sz="8" w:color="D6D6D6"/>
              <w:left w:val="single" w:sz="8" w:color="auto"/>
            </w:tcBorders>
            <w:shd w:val="clear" w:color="auto" w:fill="000000"/>
          </w:tcPr>
          <w:p>
            <w:pPr>
              <w:spacing w:after="0" w:line="20" w:lineRule="exact"/>
              <w:rPr>
                <w:sz w:val="1"/>
                <w:szCs w:val="1"/>
                <w:color w:val="auto"/>
              </w:rPr>
            </w:pPr>
          </w:p>
        </w:tc>
        <w:tc>
          <w:tcPr>
            <w:tcW w:w="320" w:type="dxa"/>
            <w:vAlign w:val="bottom"/>
            <w:tcBorders>
              <w:top w:val="single" w:sz="8" w:color="E6E6FA"/>
            </w:tcBorders>
            <w:shd w:val="clear" w:color="auto" w:fill="000000"/>
          </w:tcPr>
          <w:p>
            <w:pPr>
              <w:spacing w:after="0" w:line="20" w:lineRule="exact"/>
              <w:rPr>
                <w:sz w:val="1"/>
                <w:szCs w:val="1"/>
                <w:color w:val="auto"/>
              </w:rPr>
            </w:pPr>
          </w:p>
        </w:tc>
        <w:tc>
          <w:tcPr>
            <w:tcW w:w="560" w:type="dxa"/>
            <w:vAlign w:val="bottom"/>
            <w:tcBorders>
              <w:top w:val="single" w:sz="8" w:color="E6E6FA"/>
            </w:tcBorders>
            <w:shd w:val="clear" w:color="auto" w:fill="000000"/>
          </w:tcPr>
          <w:p>
            <w:pPr>
              <w:spacing w:after="0" w:line="20" w:lineRule="exact"/>
              <w:rPr>
                <w:sz w:val="1"/>
                <w:szCs w:val="1"/>
                <w:color w:val="auto"/>
              </w:rPr>
            </w:pPr>
          </w:p>
        </w:tc>
        <w:tc>
          <w:tcPr>
            <w:tcW w:w="400" w:type="dxa"/>
            <w:vAlign w:val="bottom"/>
            <w:tcBorders>
              <w:top w:val="single" w:sz="8" w:color="E6E6FA"/>
            </w:tcBorders>
            <w:shd w:val="clear" w:color="auto" w:fill="000000"/>
          </w:tcPr>
          <w:p>
            <w:pPr>
              <w:spacing w:after="0" w:line="20" w:lineRule="exact"/>
              <w:rPr>
                <w:sz w:val="1"/>
                <w:szCs w:val="1"/>
                <w:color w:val="auto"/>
              </w:rPr>
            </w:pPr>
          </w:p>
        </w:tc>
        <w:tc>
          <w:tcPr>
            <w:tcW w:w="28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E6E6FA"/>
            </w:tcBorders>
            <w:shd w:val="clear" w:color="auto" w:fill="000000"/>
          </w:tcPr>
          <w:p>
            <w:pPr>
              <w:spacing w:after="0" w:line="20" w:lineRule="exact"/>
              <w:rPr>
                <w:sz w:val="1"/>
                <w:szCs w:val="1"/>
                <w:color w:val="auto"/>
              </w:rPr>
            </w:pPr>
          </w:p>
        </w:tc>
        <w:tc>
          <w:tcPr>
            <w:tcW w:w="54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400" w:type="dxa"/>
            <w:vAlign w:val="bottom"/>
            <w:tcBorders>
              <w:top w:val="single" w:sz="8" w:color="E6E6FA"/>
            </w:tcBorders>
            <w:shd w:val="clear" w:color="auto" w:fill="000000"/>
          </w:tcPr>
          <w:p>
            <w:pPr>
              <w:spacing w:after="0" w:line="20" w:lineRule="exact"/>
              <w:rPr>
                <w:sz w:val="1"/>
                <w:szCs w:val="1"/>
                <w:color w:val="auto"/>
              </w:rPr>
            </w:pPr>
          </w:p>
        </w:tc>
        <w:tc>
          <w:tcPr>
            <w:tcW w:w="500" w:type="dxa"/>
            <w:vAlign w:val="bottom"/>
            <w:tcBorders>
              <w:top w:val="single" w:sz="8" w:color="E6E6FA"/>
            </w:tcBorders>
            <w:shd w:val="clear" w:color="auto" w:fill="000000"/>
          </w:tcPr>
          <w:p>
            <w:pPr>
              <w:spacing w:after="0" w:line="20" w:lineRule="exact"/>
              <w:rPr>
                <w:sz w:val="1"/>
                <w:szCs w:val="1"/>
                <w:color w:val="auto"/>
              </w:rPr>
            </w:pPr>
          </w:p>
        </w:tc>
        <w:tc>
          <w:tcPr>
            <w:tcW w:w="520" w:type="dxa"/>
            <w:vAlign w:val="bottom"/>
            <w:tcBorders>
              <w:top w:val="single" w:sz="8" w:color="E6E6FA"/>
            </w:tcBorders>
            <w:shd w:val="clear" w:color="auto" w:fill="000000"/>
          </w:tcPr>
          <w:p>
            <w:pPr>
              <w:spacing w:after="0" w:line="20" w:lineRule="exact"/>
              <w:rPr>
                <w:sz w:val="1"/>
                <w:szCs w:val="1"/>
                <w:color w:val="auto"/>
              </w:rPr>
            </w:pPr>
          </w:p>
        </w:tc>
        <w:tc>
          <w:tcPr>
            <w:tcW w:w="48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E6E6FA"/>
            </w:tcBorders>
            <w:shd w:val="clear" w:color="auto" w:fill="000000"/>
          </w:tcPr>
          <w:p>
            <w:pPr>
              <w:spacing w:after="0" w:line="20" w:lineRule="exact"/>
              <w:rPr>
                <w:sz w:val="1"/>
                <w:szCs w:val="1"/>
                <w:color w:val="auto"/>
              </w:rPr>
            </w:pPr>
          </w:p>
        </w:tc>
        <w:tc>
          <w:tcPr>
            <w:tcW w:w="44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1300" w:type="dxa"/>
            <w:vAlign w:val="bottom"/>
            <w:tcBorders>
              <w:top w:val="single" w:sz="8" w:color="E6E6FA"/>
            </w:tcBorders>
            <w:shd w:val="clear" w:color="auto" w:fill="000000"/>
          </w:tcPr>
          <w:p>
            <w:pPr>
              <w:spacing w:after="0" w:line="20" w:lineRule="exact"/>
              <w:rPr>
                <w:sz w:val="1"/>
                <w:szCs w:val="1"/>
                <w:color w:val="auto"/>
              </w:rPr>
            </w:pPr>
          </w:p>
        </w:tc>
        <w:tc>
          <w:tcPr>
            <w:tcW w:w="200" w:type="dxa"/>
            <w:vAlign w:val="bottom"/>
            <w:tcBorders>
              <w:top w:val="single" w:sz="8" w:color="E6E6FA"/>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0220"/>
          </w:cols>
          <w:pgMar w:left="1440" w:top="784" w:right="239" w:bottom="1440" w:gutter="0" w:footer="0" w:header="0"/>
        </w:sectPr>
      </w:pPr>
    </w:p>
    <w:bookmarkStart w:id="352" w:name="page353"/>
    <w:bookmarkEnd w:id="352"/>
    <w:p>
      <w:pPr>
        <w:jc w:val="right"/>
        <w:spacing w:after="0"/>
        <w:rPr>
          <w:sz w:val="20"/>
          <w:szCs w:val="20"/>
          <w:color w:val="auto"/>
        </w:rPr>
      </w:pPr>
      <w:r>
        <w:rPr>
          <w:rFonts w:ascii="Arial" w:cs="Arial" w:eastAsia="Arial" w:hAnsi="Arial"/>
          <w:sz w:val="18"/>
          <w:szCs w:val="18"/>
          <w:b w:val="1"/>
          <w:bCs w:val="1"/>
          <w:i w:val="1"/>
          <w:iCs w:val="1"/>
          <w:color w:val="auto"/>
        </w:rPr>
        <w:t>Schedule 5.09(c)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0000FF"/>
          <w:highlight w:val="lightGray"/>
        </w:rPr>
        <w:t>RELEASES OF HAZARDOUS MATERIAL</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FF0000"/>
          <w:strike w:val="1"/>
        </w:rPr>
        <w:t>Releases of Hazardous Material</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FF0000"/>
          <w:strike w:val="1"/>
        </w:rPr>
        <w:t>NONE</w:t>
      </w:r>
      <w:r>
        <w:rPr>
          <w:rFonts w:ascii="Arial" w:cs="Arial" w:eastAsia="Arial" w:hAnsi="Arial"/>
          <w:sz w:val="18"/>
          <w:szCs w:val="18"/>
          <w:b w:val="1"/>
          <w:bCs w:val="1"/>
          <w:u w:val="single" w:color="auto"/>
          <w:color w:val="0000FF"/>
          <w:highlight w:val="lightGray"/>
          <w:strike w:val="1"/>
        </w:rPr>
        <w:t>None</w:t>
      </w:r>
    </w:p>
    <w:p>
      <w:pPr>
        <w:sectPr>
          <w:pgSz w:w="11900" w:h="16838" w:orient="portrait"/>
          <w:cols w:equalWidth="0" w:num="1">
            <w:col w:w="11420"/>
          </w:cols>
          <w:pgMar w:left="240" w:top="1197" w:right="239" w:bottom="1440" w:gutter="0" w:footer="0" w:header="0"/>
        </w:sectPr>
      </w:pPr>
    </w:p>
    <w:bookmarkStart w:id="353" w:name="page354"/>
    <w:bookmarkEnd w:id="353"/>
    <w:p>
      <w:pPr>
        <w:jc w:val="right"/>
        <w:spacing w:after="0"/>
        <w:rPr>
          <w:sz w:val="20"/>
          <w:szCs w:val="20"/>
          <w:color w:val="auto"/>
        </w:rPr>
      </w:pPr>
      <w:r>
        <w:rPr>
          <w:rFonts w:ascii="Arial" w:cs="Arial" w:eastAsia="Arial" w:hAnsi="Arial"/>
          <w:sz w:val="18"/>
          <w:szCs w:val="18"/>
          <w:b w:val="1"/>
          <w:bCs w:val="1"/>
          <w:i w:val="1"/>
          <w:iCs w:val="1"/>
          <w:color w:val="auto"/>
        </w:rPr>
        <w:t>Schedule 5.09(d)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0000FF"/>
          <w:highlight w:val="lightGray"/>
        </w:rPr>
        <w:t>ENVIRONMENTAL COMPLIANCE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FF0000"/>
          <w:strike w:val="1"/>
        </w:rPr>
        <w:t>Environmental Compliance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None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color w:val="FF0000"/>
          <w:strike w:val="1"/>
        </w:rPr>
        <w:t>NONE</w:t>
      </w:r>
    </w:p>
    <w:p>
      <w:pPr>
        <w:sectPr>
          <w:pgSz w:w="11900" w:h="16838" w:orient="portrait"/>
          <w:cols w:equalWidth="0" w:num="1">
            <w:col w:w="11420"/>
          </w:cols>
          <w:pgMar w:left="240" w:top="1159" w:right="239" w:bottom="1440" w:gutter="0" w:footer="0" w:header="0"/>
        </w:sectPr>
      </w:pPr>
    </w:p>
    <w:bookmarkStart w:id="354" w:name="page355"/>
    <w:bookmarkEnd w:id="354"/>
    <w:p>
      <w:pPr>
        <w:jc w:val="right"/>
        <w:spacing w:after="0"/>
        <w:rPr>
          <w:sz w:val="20"/>
          <w:szCs w:val="20"/>
          <w:color w:val="auto"/>
        </w:rPr>
      </w:pPr>
      <w:r>
        <w:rPr>
          <w:rFonts w:ascii="Arial" w:cs="Arial" w:eastAsia="Arial" w:hAnsi="Arial"/>
          <w:sz w:val="18"/>
          <w:szCs w:val="18"/>
          <w:b w:val="1"/>
          <w:bCs w:val="1"/>
          <w:i w:val="1"/>
          <w:iCs w:val="1"/>
          <w:color w:val="auto"/>
        </w:rPr>
        <w:t>Schedule 5.11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0000FF"/>
          <w:highlight w:val="lightGray"/>
        </w:rPr>
        <w:t>TAX SHARING AGREEMENTS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FF0000"/>
          <w:strike w:val="1"/>
        </w:rPr>
        <w:t>Tax Sharing Agreements</w:t>
      </w:r>
    </w:p>
    <w:p>
      <w:pPr>
        <w:spacing w:after="0" w:line="13" w:lineRule="exact"/>
        <w:rPr>
          <w:sz w:val="20"/>
          <w:szCs w:val="20"/>
          <w:color w:val="auto"/>
        </w:rPr>
      </w:pPr>
    </w:p>
    <w:p>
      <w:pPr>
        <w:spacing w:after="0" w:line="320" w:lineRule="auto"/>
        <w:rPr>
          <w:sz w:val="20"/>
          <w:szCs w:val="20"/>
          <w:color w:val="auto"/>
        </w:rPr>
      </w:pPr>
      <w:r>
        <w:rPr>
          <w:rFonts w:ascii="Arial" w:cs="Arial" w:eastAsia="Arial" w:hAnsi="Arial"/>
          <w:sz w:val="16"/>
          <w:szCs w:val="16"/>
          <w:color w:val="auto"/>
        </w:rPr>
        <w:t>Tax Protection Agreement, entered into as of January 19, 2011, by and among American Assets Trust, Inc., a Maryland corporation, American Assets Trust, L.P., a Maryland limited partnership (the “Operating Partnership”), and each limited partner of the Operating Partnership identified as a signatory thereto.</w:t>
      </w:r>
    </w:p>
    <w:p>
      <w:pPr>
        <w:sectPr>
          <w:pgSz w:w="11900" w:h="16838" w:orient="portrait"/>
          <w:cols w:equalWidth="0" w:num="1">
            <w:col w:w="11420"/>
          </w:cols>
          <w:pgMar w:left="240" w:top="785" w:right="239" w:bottom="1440" w:gutter="0" w:footer="0" w:header="0"/>
        </w:sectPr>
      </w:pPr>
    </w:p>
    <w:bookmarkStart w:id="355" w:name="page356"/>
    <w:bookmarkEnd w:id="355"/>
    <w:p>
      <w:pPr>
        <w:jc w:val="right"/>
        <w:spacing w:after="0"/>
        <w:rPr>
          <w:sz w:val="20"/>
          <w:szCs w:val="20"/>
          <w:color w:val="auto"/>
        </w:rPr>
      </w:pPr>
      <w:r>
        <w:rPr>
          <w:rFonts w:ascii="Arial" w:cs="Arial" w:eastAsia="Arial" w:hAnsi="Arial"/>
          <w:sz w:val="18"/>
          <w:szCs w:val="18"/>
          <w:b w:val="1"/>
          <w:bCs w:val="1"/>
          <w:i w:val="1"/>
          <w:iCs w:val="1"/>
          <w:color w:val="auto"/>
        </w:rPr>
        <w:t>Schedule 5.12(d)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0000FF"/>
          <w:highlight w:val="lightGray"/>
        </w:rPr>
        <w:t>PENSION PLANS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None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FF0000"/>
          <w:strike w:val="1"/>
        </w:rPr>
        <w:t>Pension Plans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FF0000"/>
          <w:strike w:val="1"/>
        </w:rPr>
        <w:t>NONE</w:t>
      </w:r>
    </w:p>
    <w:p>
      <w:pPr>
        <w:sectPr>
          <w:pgSz w:w="11900" w:h="16838" w:orient="portrait"/>
          <w:cols w:equalWidth="0" w:num="1">
            <w:col w:w="11420"/>
          </w:cols>
          <w:pgMar w:left="240" w:top="785" w:right="239" w:bottom="1440" w:gutter="0" w:footer="0" w:header="0"/>
        </w:sectPr>
      </w:pPr>
    </w:p>
    <w:bookmarkStart w:id="356" w:name="page357"/>
    <w:bookmarkEnd w:id="356"/>
    <w:p>
      <w:pPr>
        <w:jc w:val="right"/>
        <w:spacing w:after="0"/>
        <w:rPr>
          <w:sz w:val="20"/>
          <w:szCs w:val="20"/>
          <w:color w:val="auto"/>
        </w:rPr>
      </w:pPr>
      <w:r>
        <w:rPr>
          <w:rFonts w:ascii="Arial" w:cs="Arial" w:eastAsia="Arial" w:hAnsi="Arial"/>
          <w:sz w:val="18"/>
          <w:szCs w:val="18"/>
          <w:b w:val="1"/>
          <w:bCs w:val="1"/>
          <w:i w:val="1"/>
          <w:iCs w:val="1"/>
          <w:color w:val="auto"/>
        </w:rPr>
        <w:t>Schedule 5.13</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AND OTHER EQUITY INVESTMENTS; LOAN PARTIES</w:t>
      </w:r>
    </w:p>
    <w:p>
      <w:pPr>
        <w:spacing w:after="0" w:line="172" w:lineRule="exact"/>
        <w:rPr>
          <w:sz w:val="20"/>
          <w:szCs w:val="20"/>
          <w:color w:val="auto"/>
        </w:rPr>
      </w:pPr>
    </w:p>
    <w:p>
      <w:pPr>
        <w:ind w:left="340" w:hanging="340"/>
        <w:spacing w:after="0"/>
        <w:tabs>
          <w:tab w:leader="none" w:pos="340" w:val="left"/>
        </w:tabs>
        <w:numPr>
          <w:ilvl w:val="0"/>
          <w:numId w:val="419"/>
        </w:numPr>
        <w:rPr>
          <w:rFonts w:ascii="Arial" w:cs="Arial" w:eastAsia="Arial" w:hAnsi="Arial"/>
          <w:sz w:val="17"/>
          <w:szCs w:val="17"/>
          <w:color w:val="auto"/>
        </w:rPr>
      </w:pPr>
      <w:r>
        <w:rPr>
          <w:rFonts w:ascii="Arial" w:cs="Arial" w:eastAsia="Arial" w:hAnsi="Arial"/>
          <w:sz w:val="18"/>
          <w:szCs w:val="18"/>
          <w:color w:val="auto"/>
        </w:rPr>
        <w:t>List all Subsidiaries of each Loan Party</w:t>
      </w:r>
    </w:p>
    <w:p>
      <w:pPr>
        <w:spacing w:after="0" w:line="200" w:lineRule="exact"/>
        <w:rPr>
          <w:sz w:val="20"/>
          <w:szCs w:val="20"/>
          <w:color w:val="auto"/>
        </w:rPr>
      </w:pPr>
    </w:p>
    <w:p>
      <w:pPr>
        <w:spacing w:after="0" w:line="289" w:lineRule="exact"/>
        <w:rPr>
          <w:sz w:val="20"/>
          <w:szCs w:val="20"/>
          <w:color w:val="auto"/>
        </w:rPr>
      </w:pPr>
    </w:p>
    <w:tbl>
      <w:tblPr>
        <w:tblLayout w:type="fixed"/>
        <w:tblInd w:w="510" w:type="dxa"/>
        <w:tblCellMar>
          <w:top w:w="0" w:type="dxa"/>
          <w:left w:w="0" w:type="dxa"/>
          <w:bottom w:w="0" w:type="dxa"/>
          <w:right w:w="0" w:type="dxa"/>
        </w:tblCellMar>
      </w:tblPr>
      <w:tr>
        <w:trPr>
          <w:trHeight w:val="212"/>
        </w:trPr>
        <w:tc>
          <w:tcPr>
            <w:tcW w:w="340" w:type="dxa"/>
            <w:vAlign w:val="bottom"/>
            <w:tcBorders>
              <w:top w:val="single" w:sz="8" w:color="auto"/>
              <w:left w:val="single" w:sz="8" w:color="auto"/>
            </w:tcBorders>
            <w:shd w:val="clear" w:color="auto" w:fill="ACACAC"/>
          </w:tcPr>
          <w:p>
            <w:pPr>
              <w:spacing w:after="0"/>
              <w:rPr>
                <w:sz w:val="18"/>
                <w:szCs w:val="18"/>
                <w:color w:val="auto"/>
              </w:rPr>
            </w:pPr>
          </w:p>
        </w:tc>
        <w:tc>
          <w:tcPr>
            <w:tcW w:w="300" w:type="dxa"/>
            <w:vAlign w:val="bottom"/>
            <w:tcBorders>
              <w:top w:val="single" w:sz="8" w:color="auto"/>
            </w:tcBorders>
            <w:shd w:val="clear" w:color="auto" w:fill="ACACAC"/>
          </w:tcPr>
          <w:p>
            <w:pPr>
              <w:spacing w:after="0"/>
              <w:rPr>
                <w:sz w:val="18"/>
                <w:szCs w:val="18"/>
                <w:color w:val="auto"/>
              </w:rPr>
            </w:pPr>
          </w:p>
        </w:tc>
        <w:tc>
          <w:tcPr>
            <w:tcW w:w="1060" w:type="dxa"/>
            <w:vAlign w:val="bottom"/>
            <w:tcBorders>
              <w:top w:val="single" w:sz="8" w:color="auto"/>
            </w:tcBorders>
            <w:shd w:val="clear" w:color="auto" w:fill="ACACAC"/>
          </w:tcPr>
          <w:p>
            <w:pPr>
              <w:spacing w:after="0"/>
              <w:rPr>
                <w:sz w:val="18"/>
                <w:szCs w:val="18"/>
                <w:color w:val="auto"/>
              </w:rPr>
            </w:pPr>
          </w:p>
        </w:tc>
        <w:tc>
          <w:tcPr>
            <w:tcW w:w="2600" w:type="dxa"/>
            <w:vAlign w:val="bottom"/>
            <w:tcBorders>
              <w:top w:val="single" w:sz="8" w:color="auto"/>
              <w:right w:val="single" w:sz="8" w:color="auto"/>
            </w:tcBorders>
            <w:gridSpan w:val="4"/>
            <w:vMerge w:val="restart"/>
            <w:shd w:val="clear" w:color="auto" w:fill="ACACAC"/>
          </w:tcPr>
          <w:p>
            <w:pPr>
              <w:spacing w:after="0"/>
              <w:rPr>
                <w:sz w:val="20"/>
                <w:szCs w:val="20"/>
                <w:color w:val="auto"/>
              </w:rPr>
            </w:pPr>
            <w:r>
              <w:rPr>
                <w:rFonts w:ascii="Arial" w:cs="Arial" w:eastAsia="Arial" w:hAnsi="Arial"/>
                <w:sz w:val="18"/>
                <w:szCs w:val="18"/>
                <w:b w:val="1"/>
                <w:bCs w:val="1"/>
                <w:color w:val="auto"/>
              </w:rPr>
              <w:t>Loan Party</w:t>
            </w:r>
          </w:p>
        </w:tc>
        <w:tc>
          <w:tcPr>
            <w:tcW w:w="1020" w:type="dxa"/>
            <w:vAlign w:val="bottom"/>
            <w:tcBorders>
              <w:top w:val="single" w:sz="8" w:color="auto"/>
            </w:tcBorders>
            <w:shd w:val="clear" w:color="auto" w:fill="ACACAC"/>
          </w:tcPr>
          <w:p>
            <w:pPr>
              <w:spacing w:after="0"/>
              <w:rPr>
                <w:sz w:val="18"/>
                <w:szCs w:val="18"/>
                <w:color w:val="auto"/>
              </w:rPr>
            </w:pPr>
          </w:p>
        </w:tc>
        <w:tc>
          <w:tcPr>
            <w:tcW w:w="180" w:type="dxa"/>
            <w:vAlign w:val="bottom"/>
            <w:tcBorders>
              <w:top w:val="single" w:sz="8" w:color="auto"/>
            </w:tcBorders>
            <w:shd w:val="clear" w:color="auto" w:fill="ACACAC"/>
          </w:tcPr>
          <w:p>
            <w:pPr>
              <w:spacing w:after="0"/>
              <w:rPr>
                <w:sz w:val="18"/>
                <w:szCs w:val="18"/>
                <w:color w:val="auto"/>
              </w:rPr>
            </w:pPr>
          </w:p>
        </w:tc>
        <w:tc>
          <w:tcPr>
            <w:tcW w:w="20" w:type="dxa"/>
            <w:vAlign w:val="bottom"/>
            <w:tcBorders>
              <w:top w:val="single" w:sz="8" w:color="auto"/>
            </w:tcBorders>
            <w:shd w:val="clear" w:color="auto" w:fill="ACACAC"/>
          </w:tcPr>
          <w:p>
            <w:pPr>
              <w:spacing w:after="0"/>
              <w:rPr>
                <w:sz w:val="18"/>
                <w:szCs w:val="18"/>
                <w:color w:val="auto"/>
              </w:rPr>
            </w:pPr>
          </w:p>
        </w:tc>
        <w:tc>
          <w:tcPr>
            <w:tcW w:w="3160" w:type="dxa"/>
            <w:vAlign w:val="bottom"/>
            <w:tcBorders>
              <w:top w:val="single" w:sz="8" w:color="auto"/>
              <w:right w:val="single" w:sz="8" w:color="auto"/>
            </w:tcBorders>
            <w:gridSpan w:val="7"/>
            <w:vMerge w:val="restart"/>
            <w:shd w:val="clear" w:color="auto" w:fill="ACACAC"/>
          </w:tcPr>
          <w:p>
            <w:pPr>
              <w:ind w:left="280"/>
              <w:spacing w:after="0"/>
              <w:rPr>
                <w:sz w:val="20"/>
                <w:szCs w:val="20"/>
                <w:color w:val="auto"/>
              </w:rPr>
            </w:pPr>
            <w:r>
              <w:rPr>
                <w:rFonts w:ascii="Arial" w:cs="Arial" w:eastAsia="Arial" w:hAnsi="Arial"/>
                <w:sz w:val="18"/>
                <w:szCs w:val="18"/>
                <w:b w:val="1"/>
                <w:bCs w:val="1"/>
                <w:color w:val="auto"/>
              </w:rPr>
              <w:t>Subsidiary Name</w:t>
            </w:r>
          </w:p>
        </w:tc>
        <w:tc>
          <w:tcPr>
            <w:tcW w:w="440" w:type="dxa"/>
            <w:vAlign w:val="bottom"/>
            <w:tcBorders>
              <w:top w:val="single" w:sz="8" w:color="auto"/>
            </w:tcBorders>
            <w:shd w:val="clear" w:color="auto" w:fill="ACACAC"/>
          </w:tcPr>
          <w:p>
            <w:pPr>
              <w:spacing w:after="0"/>
              <w:rPr>
                <w:sz w:val="18"/>
                <w:szCs w:val="18"/>
                <w:color w:val="auto"/>
              </w:rPr>
            </w:pPr>
          </w:p>
        </w:tc>
        <w:tc>
          <w:tcPr>
            <w:tcW w:w="180" w:type="dxa"/>
            <w:vAlign w:val="bottom"/>
            <w:tcBorders>
              <w:top w:val="single" w:sz="8" w:color="auto"/>
              <w:right w:val="single" w:sz="8" w:color="ACACAC"/>
            </w:tcBorders>
            <w:shd w:val="clear" w:color="auto" w:fill="ACACAC"/>
          </w:tcPr>
          <w:p>
            <w:pPr>
              <w:spacing w:after="0"/>
              <w:rPr>
                <w:sz w:val="18"/>
                <w:szCs w:val="18"/>
                <w:color w:val="auto"/>
              </w:rPr>
            </w:pPr>
          </w:p>
        </w:tc>
        <w:tc>
          <w:tcPr>
            <w:tcW w:w="1160" w:type="dxa"/>
            <w:vAlign w:val="bottom"/>
            <w:tcBorders>
              <w:top w:val="single" w:sz="8" w:color="auto"/>
              <w:right w:val="single" w:sz="8" w:color="auto"/>
            </w:tcBorders>
            <w:gridSpan w:val="8"/>
            <w:shd w:val="clear" w:color="auto" w:fill="ACACAC"/>
          </w:tcPr>
          <w:p>
            <w:pPr>
              <w:jc w:val="center"/>
              <w:ind w:right="660"/>
              <w:spacing w:after="0"/>
              <w:rPr>
                <w:sz w:val="20"/>
                <w:szCs w:val="20"/>
                <w:color w:val="auto"/>
              </w:rPr>
            </w:pPr>
            <w:r>
              <w:rPr>
                <w:rFonts w:ascii="Arial" w:cs="Arial" w:eastAsia="Arial" w:hAnsi="Arial"/>
                <w:sz w:val="18"/>
                <w:szCs w:val="18"/>
                <w:b w:val="1"/>
                <w:bCs w:val="1"/>
                <w:color w:val="auto"/>
                <w:w w:val="90"/>
              </w:rPr>
              <w:t>Share/</w:t>
            </w:r>
          </w:p>
        </w:tc>
        <w:tc>
          <w:tcPr>
            <w:tcW w:w="0" w:type="dxa"/>
            <w:vAlign w:val="bottom"/>
          </w:tcPr>
          <w:p>
            <w:pPr>
              <w:spacing w:after="0"/>
              <w:rPr>
                <w:sz w:val="1"/>
                <w:szCs w:val="1"/>
                <w:color w:val="auto"/>
              </w:rPr>
            </w:pPr>
          </w:p>
        </w:tc>
      </w:tr>
      <w:tr>
        <w:trPr>
          <w:trHeight w:val="20"/>
        </w:trPr>
        <w:tc>
          <w:tcPr>
            <w:tcW w:w="340" w:type="dxa"/>
            <w:vAlign w:val="bottom"/>
            <w:tcBorders>
              <w:left w:val="single" w:sz="8" w:color="auto"/>
            </w:tcBorders>
            <w:shd w:val="clear" w:color="auto" w:fill="ACACAC"/>
          </w:tcPr>
          <w:p>
            <w:pPr>
              <w:spacing w:after="0" w:line="20" w:lineRule="exact"/>
              <w:rPr>
                <w:sz w:val="1"/>
                <w:szCs w:val="1"/>
                <w:color w:val="auto"/>
              </w:rPr>
            </w:pPr>
          </w:p>
        </w:tc>
        <w:tc>
          <w:tcPr>
            <w:tcW w:w="300" w:type="dxa"/>
            <w:vAlign w:val="bottom"/>
            <w:shd w:val="clear" w:color="auto" w:fill="ACACAC"/>
          </w:tcPr>
          <w:p>
            <w:pPr>
              <w:spacing w:after="0" w:line="20" w:lineRule="exact"/>
              <w:rPr>
                <w:sz w:val="1"/>
                <w:szCs w:val="1"/>
                <w:color w:val="auto"/>
              </w:rPr>
            </w:pPr>
          </w:p>
        </w:tc>
        <w:tc>
          <w:tcPr>
            <w:tcW w:w="1060" w:type="dxa"/>
            <w:vAlign w:val="bottom"/>
            <w:shd w:val="clear" w:color="auto" w:fill="ACACAC"/>
          </w:tcPr>
          <w:p>
            <w:pPr>
              <w:spacing w:after="0" w:line="20" w:lineRule="exact"/>
              <w:rPr>
                <w:sz w:val="1"/>
                <w:szCs w:val="1"/>
                <w:color w:val="auto"/>
              </w:rPr>
            </w:pPr>
          </w:p>
        </w:tc>
        <w:tc>
          <w:tcPr>
            <w:tcW w:w="2600" w:type="dxa"/>
            <w:vAlign w:val="bottom"/>
            <w:tcBorders>
              <w:right w:val="single" w:sz="8" w:color="auto"/>
            </w:tcBorders>
            <w:gridSpan w:val="4"/>
            <w:vMerge w:val="continue"/>
            <w:shd w:val="clear" w:color="auto" w:fill="ACACAC"/>
          </w:tcPr>
          <w:p>
            <w:pPr>
              <w:spacing w:after="0" w:line="20" w:lineRule="exact"/>
              <w:rPr>
                <w:sz w:val="1"/>
                <w:szCs w:val="1"/>
                <w:color w:val="auto"/>
              </w:rPr>
            </w:pPr>
          </w:p>
        </w:tc>
        <w:tc>
          <w:tcPr>
            <w:tcW w:w="1020" w:type="dxa"/>
            <w:vAlign w:val="bottom"/>
            <w:shd w:val="clear" w:color="auto" w:fill="ACACAC"/>
          </w:tcPr>
          <w:p>
            <w:pPr>
              <w:spacing w:after="0" w:line="20" w:lineRule="exact"/>
              <w:rPr>
                <w:sz w:val="1"/>
                <w:szCs w:val="1"/>
                <w:color w:val="auto"/>
              </w:rPr>
            </w:pPr>
          </w:p>
        </w:tc>
        <w:tc>
          <w:tcPr>
            <w:tcW w:w="180" w:type="dxa"/>
            <w:vAlign w:val="bottom"/>
            <w:shd w:val="clear" w:color="auto" w:fill="ACACAC"/>
          </w:tcPr>
          <w:p>
            <w:pPr>
              <w:spacing w:after="0" w:line="20" w:lineRule="exact"/>
              <w:rPr>
                <w:sz w:val="1"/>
                <w:szCs w:val="1"/>
                <w:color w:val="auto"/>
              </w:rPr>
            </w:pPr>
          </w:p>
        </w:tc>
        <w:tc>
          <w:tcPr>
            <w:tcW w:w="20" w:type="dxa"/>
            <w:vAlign w:val="bottom"/>
            <w:shd w:val="clear" w:color="auto" w:fill="ACACAC"/>
          </w:tcPr>
          <w:p>
            <w:pPr>
              <w:spacing w:after="0" w:line="20" w:lineRule="exact"/>
              <w:rPr>
                <w:sz w:val="1"/>
                <w:szCs w:val="1"/>
                <w:color w:val="auto"/>
              </w:rPr>
            </w:pPr>
          </w:p>
        </w:tc>
        <w:tc>
          <w:tcPr>
            <w:tcW w:w="3160" w:type="dxa"/>
            <w:vAlign w:val="bottom"/>
            <w:tcBorders>
              <w:right w:val="single" w:sz="8" w:color="auto"/>
            </w:tcBorders>
            <w:gridSpan w:val="7"/>
            <w:vMerge w:val="continue"/>
            <w:shd w:val="clear" w:color="auto" w:fill="ACACAC"/>
          </w:tcPr>
          <w:p>
            <w:pPr>
              <w:spacing w:after="0" w:line="20" w:lineRule="exact"/>
              <w:rPr>
                <w:sz w:val="1"/>
                <w:szCs w:val="1"/>
                <w:color w:val="auto"/>
              </w:rPr>
            </w:pPr>
          </w:p>
        </w:tc>
        <w:tc>
          <w:tcPr>
            <w:tcW w:w="440" w:type="dxa"/>
            <w:vAlign w:val="bottom"/>
            <w:shd w:val="clear" w:color="auto" w:fill="ACACAC"/>
          </w:tcPr>
          <w:p>
            <w:pPr>
              <w:spacing w:after="0" w:line="20" w:lineRule="exact"/>
              <w:rPr>
                <w:sz w:val="1"/>
                <w:szCs w:val="1"/>
                <w:color w:val="auto"/>
              </w:rPr>
            </w:pPr>
          </w:p>
        </w:tc>
        <w:tc>
          <w:tcPr>
            <w:tcW w:w="180" w:type="dxa"/>
            <w:vAlign w:val="bottom"/>
            <w:tcBorders>
              <w:right w:val="single" w:sz="8" w:color="ACACAC"/>
            </w:tcBorders>
            <w:shd w:val="clear" w:color="auto" w:fill="ACACA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CACAC"/>
            </w:tcBorders>
            <w:shd w:val="clear" w:color="auto" w:fill="000000"/>
          </w:tcPr>
          <w:p>
            <w:pPr>
              <w:spacing w:after="0" w:line="20" w:lineRule="exact"/>
              <w:rPr>
                <w:sz w:val="1"/>
                <w:szCs w:val="1"/>
                <w:color w:val="auto"/>
              </w:rPr>
            </w:pPr>
          </w:p>
        </w:tc>
        <w:tc>
          <w:tcPr>
            <w:tcW w:w="120" w:type="dxa"/>
            <w:vAlign w:val="bottom"/>
            <w:tcBorders>
              <w:left w:val="single" w:sz="8" w:color="ACACAC"/>
            </w:tcBorders>
            <w:shd w:val="clear" w:color="auto" w:fill="ACACAC"/>
          </w:tcPr>
          <w:p>
            <w:pPr>
              <w:spacing w:after="0" w:line="20" w:lineRule="exact"/>
              <w:rPr>
                <w:sz w:val="1"/>
                <w:szCs w:val="1"/>
                <w:color w:val="auto"/>
              </w:rPr>
            </w:pPr>
          </w:p>
        </w:tc>
        <w:tc>
          <w:tcPr>
            <w:tcW w:w="80" w:type="dxa"/>
            <w:vAlign w:val="bottom"/>
            <w:shd w:val="clear" w:color="auto" w:fill="ACACAC"/>
          </w:tcPr>
          <w:p>
            <w:pPr>
              <w:spacing w:after="0" w:line="20" w:lineRule="exact"/>
              <w:rPr>
                <w:sz w:val="1"/>
                <w:szCs w:val="1"/>
                <w:color w:val="auto"/>
              </w:rPr>
            </w:pPr>
          </w:p>
        </w:tc>
        <w:tc>
          <w:tcPr>
            <w:tcW w:w="20" w:type="dxa"/>
            <w:vAlign w:val="bottom"/>
            <w:shd w:val="clear" w:color="auto" w:fill="ACACAC"/>
          </w:tcPr>
          <w:p>
            <w:pPr>
              <w:spacing w:after="0" w:line="20" w:lineRule="exact"/>
              <w:rPr>
                <w:sz w:val="1"/>
                <w:szCs w:val="1"/>
                <w:color w:val="auto"/>
              </w:rPr>
            </w:pPr>
          </w:p>
        </w:tc>
        <w:tc>
          <w:tcPr>
            <w:tcW w:w="380" w:type="dxa"/>
            <w:vAlign w:val="bottom"/>
            <w:tcBorders>
              <w:right w:val="single" w:sz="8" w:color="auto"/>
            </w:tcBorders>
            <w:shd w:val="clear" w:color="auto" w:fill="ACACA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0" w:type="dxa"/>
            <w:vAlign w:val="bottom"/>
            <w:tcBorders>
              <w:left w:val="single" w:sz="8" w:color="auto"/>
            </w:tcBorders>
            <w:shd w:val="clear" w:color="auto" w:fill="ACACAC"/>
          </w:tcPr>
          <w:p>
            <w:pPr>
              <w:spacing w:after="0"/>
              <w:rPr>
                <w:sz w:val="16"/>
                <w:szCs w:val="16"/>
                <w:color w:val="auto"/>
              </w:rPr>
            </w:pPr>
          </w:p>
        </w:tc>
        <w:tc>
          <w:tcPr>
            <w:tcW w:w="300" w:type="dxa"/>
            <w:vAlign w:val="bottom"/>
            <w:shd w:val="clear" w:color="auto" w:fill="ACACAC"/>
          </w:tcPr>
          <w:p>
            <w:pPr>
              <w:spacing w:after="0"/>
              <w:rPr>
                <w:sz w:val="16"/>
                <w:szCs w:val="16"/>
                <w:color w:val="auto"/>
              </w:rPr>
            </w:pPr>
          </w:p>
        </w:tc>
        <w:tc>
          <w:tcPr>
            <w:tcW w:w="1060" w:type="dxa"/>
            <w:vAlign w:val="bottom"/>
            <w:shd w:val="clear" w:color="auto" w:fill="ACACAC"/>
          </w:tcPr>
          <w:p>
            <w:pPr>
              <w:spacing w:after="0"/>
              <w:rPr>
                <w:sz w:val="16"/>
                <w:szCs w:val="16"/>
                <w:color w:val="auto"/>
              </w:rPr>
            </w:pPr>
          </w:p>
        </w:tc>
        <w:tc>
          <w:tcPr>
            <w:tcW w:w="2600" w:type="dxa"/>
            <w:vAlign w:val="bottom"/>
            <w:tcBorders>
              <w:right w:val="single" w:sz="8" w:color="auto"/>
            </w:tcBorders>
            <w:gridSpan w:val="4"/>
            <w:vMerge w:val="continue"/>
            <w:shd w:val="clear" w:color="auto" w:fill="ACACAC"/>
          </w:tcPr>
          <w:p>
            <w:pPr>
              <w:spacing w:after="0"/>
              <w:rPr>
                <w:sz w:val="16"/>
                <w:szCs w:val="16"/>
                <w:color w:val="auto"/>
              </w:rPr>
            </w:pPr>
          </w:p>
        </w:tc>
        <w:tc>
          <w:tcPr>
            <w:tcW w:w="1020" w:type="dxa"/>
            <w:vAlign w:val="bottom"/>
            <w:shd w:val="clear" w:color="auto" w:fill="ACACAC"/>
          </w:tcPr>
          <w:p>
            <w:pPr>
              <w:spacing w:after="0"/>
              <w:rPr>
                <w:sz w:val="16"/>
                <w:szCs w:val="16"/>
                <w:color w:val="auto"/>
              </w:rPr>
            </w:pPr>
          </w:p>
        </w:tc>
        <w:tc>
          <w:tcPr>
            <w:tcW w:w="18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3160" w:type="dxa"/>
            <w:vAlign w:val="bottom"/>
            <w:tcBorders>
              <w:right w:val="single" w:sz="8" w:color="auto"/>
            </w:tcBorders>
            <w:gridSpan w:val="7"/>
            <w:vMerge w:val="continue"/>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1340" w:type="dxa"/>
            <w:vAlign w:val="bottom"/>
            <w:tcBorders>
              <w:right w:val="single" w:sz="8" w:color="auto"/>
            </w:tcBorders>
            <w:gridSpan w:val="9"/>
            <w:shd w:val="clear" w:color="auto" w:fill="ACACAC"/>
          </w:tcPr>
          <w:p>
            <w:pPr>
              <w:jc w:val="center"/>
              <w:ind w:right="480"/>
              <w:spacing w:after="0" w:line="193" w:lineRule="exact"/>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0"/>
        </w:trPr>
        <w:tc>
          <w:tcPr>
            <w:tcW w:w="340" w:type="dxa"/>
            <w:vAlign w:val="bottom"/>
            <w:tcBorders>
              <w:left w:val="single" w:sz="8" w:color="auto"/>
            </w:tcBorders>
            <w:shd w:val="clear" w:color="auto" w:fill="ACACAC"/>
          </w:tcPr>
          <w:p>
            <w:pPr>
              <w:spacing w:after="0" w:line="20" w:lineRule="exact"/>
              <w:rPr>
                <w:sz w:val="1"/>
                <w:szCs w:val="1"/>
                <w:color w:val="auto"/>
              </w:rPr>
            </w:pPr>
          </w:p>
        </w:tc>
        <w:tc>
          <w:tcPr>
            <w:tcW w:w="300" w:type="dxa"/>
            <w:vAlign w:val="bottom"/>
            <w:shd w:val="clear" w:color="auto" w:fill="ACACAC"/>
          </w:tcPr>
          <w:p>
            <w:pPr>
              <w:spacing w:after="0" w:line="20" w:lineRule="exact"/>
              <w:rPr>
                <w:sz w:val="1"/>
                <w:szCs w:val="1"/>
                <w:color w:val="auto"/>
              </w:rPr>
            </w:pPr>
          </w:p>
        </w:tc>
        <w:tc>
          <w:tcPr>
            <w:tcW w:w="1060" w:type="dxa"/>
            <w:vAlign w:val="bottom"/>
            <w:shd w:val="clear" w:color="auto" w:fill="ACACA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60" w:type="dxa"/>
            <w:vAlign w:val="bottom"/>
            <w:shd w:val="clear" w:color="auto" w:fill="ACACAC"/>
          </w:tcPr>
          <w:p>
            <w:pPr>
              <w:spacing w:after="0" w:line="20" w:lineRule="exact"/>
              <w:rPr>
                <w:sz w:val="1"/>
                <w:szCs w:val="1"/>
                <w:color w:val="auto"/>
              </w:rPr>
            </w:pPr>
          </w:p>
        </w:tc>
        <w:tc>
          <w:tcPr>
            <w:tcW w:w="60" w:type="dxa"/>
            <w:vAlign w:val="bottom"/>
            <w:tcBorders>
              <w:right w:val="single" w:sz="8" w:color="auto"/>
            </w:tcBorders>
            <w:shd w:val="clear" w:color="auto" w:fill="ACACAC"/>
          </w:tcPr>
          <w:p>
            <w:pPr>
              <w:spacing w:after="0" w:line="20" w:lineRule="exact"/>
              <w:rPr>
                <w:sz w:val="1"/>
                <w:szCs w:val="1"/>
                <w:color w:val="auto"/>
              </w:rPr>
            </w:pPr>
          </w:p>
        </w:tc>
        <w:tc>
          <w:tcPr>
            <w:tcW w:w="1020" w:type="dxa"/>
            <w:vAlign w:val="bottom"/>
            <w:shd w:val="clear" w:color="auto" w:fill="ACACAC"/>
          </w:tcPr>
          <w:p>
            <w:pPr>
              <w:spacing w:after="0" w:line="20" w:lineRule="exact"/>
              <w:rPr>
                <w:sz w:val="1"/>
                <w:szCs w:val="1"/>
                <w:color w:val="auto"/>
              </w:rPr>
            </w:pPr>
          </w:p>
        </w:tc>
        <w:tc>
          <w:tcPr>
            <w:tcW w:w="180" w:type="dxa"/>
            <w:vAlign w:val="bottom"/>
            <w:shd w:val="clear" w:color="auto" w:fill="ACACAC"/>
          </w:tcPr>
          <w:p>
            <w:pPr>
              <w:spacing w:after="0" w:line="20" w:lineRule="exact"/>
              <w:rPr>
                <w:sz w:val="1"/>
                <w:szCs w:val="1"/>
                <w:color w:val="auto"/>
              </w:rPr>
            </w:pPr>
          </w:p>
        </w:tc>
        <w:tc>
          <w:tcPr>
            <w:tcW w:w="20" w:type="dxa"/>
            <w:vAlign w:val="bottom"/>
            <w:shd w:val="clear" w:color="auto" w:fill="ACACAC"/>
          </w:tcPr>
          <w:p>
            <w:pPr>
              <w:spacing w:after="0" w:line="20" w:lineRule="exact"/>
              <w:rPr>
                <w:sz w:val="1"/>
                <w:szCs w:val="1"/>
                <w:color w:val="auto"/>
              </w:rPr>
            </w:pPr>
          </w:p>
        </w:tc>
        <w:tc>
          <w:tcPr>
            <w:tcW w:w="280" w:type="dxa"/>
            <w:vAlign w:val="bottom"/>
            <w:shd w:val="clear" w:color="auto" w:fill="ACACA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ACACAC"/>
          </w:tcPr>
          <w:p>
            <w:pPr>
              <w:spacing w:after="0" w:line="20" w:lineRule="exact"/>
              <w:rPr>
                <w:sz w:val="1"/>
                <w:szCs w:val="1"/>
                <w:color w:val="auto"/>
              </w:rPr>
            </w:pPr>
          </w:p>
        </w:tc>
        <w:tc>
          <w:tcPr>
            <w:tcW w:w="1380" w:type="dxa"/>
            <w:vAlign w:val="bottom"/>
            <w:tcBorders>
              <w:right w:val="single" w:sz="8" w:color="auto"/>
            </w:tcBorders>
            <w:shd w:val="clear" w:color="auto" w:fill="ACACAC"/>
          </w:tcPr>
          <w:p>
            <w:pPr>
              <w:spacing w:after="0" w:line="20" w:lineRule="exact"/>
              <w:rPr>
                <w:sz w:val="1"/>
                <w:szCs w:val="1"/>
                <w:color w:val="auto"/>
              </w:rPr>
            </w:pPr>
          </w:p>
        </w:tc>
        <w:tc>
          <w:tcPr>
            <w:tcW w:w="440" w:type="dxa"/>
            <w:vAlign w:val="bottom"/>
            <w:shd w:val="clear" w:color="auto" w:fill="ACACAC"/>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ACACAC"/>
          </w:tcPr>
          <w:p>
            <w:pPr>
              <w:spacing w:after="0" w:line="20" w:lineRule="exact"/>
              <w:rPr>
                <w:sz w:val="1"/>
                <w:szCs w:val="1"/>
                <w:color w:val="auto"/>
              </w:rPr>
            </w:pPr>
          </w:p>
        </w:tc>
        <w:tc>
          <w:tcPr>
            <w:tcW w:w="20" w:type="dxa"/>
            <w:vAlign w:val="bottom"/>
            <w:shd w:val="clear" w:color="auto" w:fill="ACACAC"/>
          </w:tcPr>
          <w:p>
            <w:pPr>
              <w:spacing w:after="0" w:line="20" w:lineRule="exact"/>
              <w:rPr>
                <w:sz w:val="1"/>
                <w:szCs w:val="1"/>
                <w:color w:val="auto"/>
              </w:rPr>
            </w:pPr>
          </w:p>
        </w:tc>
        <w:tc>
          <w:tcPr>
            <w:tcW w:w="380" w:type="dxa"/>
            <w:vAlign w:val="bottom"/>
            <w:tcBorders>
              <w:right w:val="single" w:sz="8" w:color="auto"/>
            </w:tcBorders>
            <w:shd w:val="clear" w:color="auto" w:fill="ACACA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40" w:type="dxa"/>
            <w:vAlign w:val="bottom"/>
            <w:tcBorders>
              <w:left w:val="single" w:sz="8" w:color="auto"/>
              <w:bottom w:val="single" w:sz="8" w:color="auto"/>
            </w:tcBorders>
            <w:shd w:val="clear" w:color="auto" w:fill="ACACAC"/>
          </w:tcPr>
          <w:p>
            <w:pPr>
              <w:spacing w:after="0"/>
              <w:rPr>
                <w:sz w:val="22"/>
                <w:szCs w:val="22"/>
                <w:color w:val="auto"/>
              </w:rPr>
            </w:pPr>
          </w:p>
        </w:tc>
        <w:tc>
          <w:tcPr>
            <w:tcW w:w="300" w:type="dxa"/>
            <w:vAlign w:val="bottom"/>
            <w:tcBorders>
              <w:bottom w:val="single" w:sz="8" w:color="auto"/>
            </w:tcBorders>
            <w:shd w:val="clear" w:color="auto" w:fill="ACACAC"/>
          </w:tcPr>
          <w:p>
            <w:pPr>
              <w:spacing w:after="0"/>
              <w:rPr>
                <w:sz w:val="22"/>
                <w:szCs w:val="22"/>
                <w:color w:val="auto"/>
              </w:rPr>
            </w:pPr>
          </w:p>
        </w:tc>
        <w:tc>
          <w:tcPr>
            <w:tcW w:w="1060" w:type="dxa"/>
            <w:vAlign w:val="bottom"/>
            <w:tcBorders>
              <w:bottom w:val="single" w:sz="8" w:color="auto"/>
            </w:tcBorders>
            <w:shd w:val="clear" w:color="auto" w:fill="ACACAC"/>
          </w:tcPr>
          <w:p>
            <w:pPr>
              <w:spacing w:after="0"/>
              <w:rPr>
                <w:sz w:val="22"/>
                <w:szCs w:val="22"/>
                <w:color w:val="auto"/>
              </w:rPr>
            </w:pPr>
          </w:p>
        </w:tc>
        <w:tc>
          <w:tcPr>
            <w:tcW w:w="680" w:type="dxa"/>
            <w:vAlign w:val="bottom"/>
            <w:tcBorders>
              <w:bottom w:val="single" w:sz="8" w:color="auto"/>
            </w:tcBorders>
            <w:shd w:val="clear" w:color="auto" w:fill="ACACAC"/>
          </w:tcPr>
          <w:p>
            <w:pPr>
              <w:spacing w:after="0"/>
              <w:rPr>
                <w:sz w:val="22"/>
                <w:szCs w:val="22"/>
                <w:color w:val="auto"/>
              </w:rPr>
            </w:pPr>
          </w:p>
        </w:tc>
        <w:tc>
          <w:tcPr>
            <w:tcW w:w="200" w:type="dxa"/>
            <w:vAlign w:val="bottom"/>
            <w:tcBorders>
              <w:bottom w:val="single" w:sz="8" w:color="auto"/>
            </w:tcBorders>
            <w:shd w:val="clear" w:color="auto" w:fill="ACACAC"/>
          </w:tcPr>
          <w:p>
            <w:pPr>
              <w:spacing w:after="0"/>
              <w:rPr>
                <w:sz w:val="22"/>
                <w:szCs w:val="22"/>
                <w:color w:val="auto"/>
              </w:rPr>
            </w:pPr>
          </w:p>
        </w:tc>
        <w:tc>
          <w:tcPr>
            <w:tcW w:w="1660" w:type="dxa"/>
            <w:vAlign w:val="bottom"/>
            <w:tcBorders>
              <w:bottom w:val="single" w:sz="8" w:color="auto"/>
            </w:tcBorders>
            <w:shd w:val="clear" w:color="auto" w:fill="ACACAC"/>
          </w:tcPr>
          <w:p>
            <w:pPr>
              <w:spacing w:after="0"/>
              <w:rPr>
                <w:sz w:val="22"/>
                <w:szCs w:val="22"/>
                <w:color w:val="auto"/>
              </w:rPr>
            </w:pPr>
          </w:p>
        </w:tc>
        <w:tc>
          <w:tcPr>
            <w:tcW w:w="60" w:type="dxa"/>
            <w:vAlign w:val="bottom"/>
            <w:tcBorders>
              <w:bottom w:val="single" w:sz="8" w:color="auto"/>
              <w:right w:val="single" w:sz="8" w:color="auto"/>
            </w:tcBorders>
            <w:shd w:val="clear" w:color="auto" w:fill="ACACAC"/>
          </w:tcPr>
          <w:p>
            <w:pPr>
              <w:spacing w:after="0"/>
              <w:rPr>
                <w:sz w:val="22"/>
                <w:szCs w:val="22"/>
                <w:color w:val="auto"/>
              </w:rPr>
            </w:pPr>
          </w:p>
        </w:tc>
        <w:tc>
          <w:tcPr>
            <w:tcW w:w="1020" w:type="dxa"/>
            <w:vAlign w:val="bottom"/>
            <w:tcBorders>
              <w:bottom w:val="single" w:sz="8" w:color="auto"/>
            </w:tcBorders>
            <w:shd w:val="clear" w:color="auto" w:fill="ACACAC"/>
          </w:tcPr>
          <w:p>
            <w:pPr>
              <w:spacing w:after="0"/>
              <w:rPr>
                <w:sz w:val="22"/>
                <w:szCs w:val="22"/>
                <w:color w:val="auto"/>
              </w:rPr>
            </w:pPr>
          </w:p>
        </w:tc>
        <w:tc>
          <w:tcPr>
            <w:tcW w:w="180" w:type="dxa"/>
            <w:vAlign w:val="bottom"/>
            <w:tcBorders>
              <w:bottom w:val="single" w:sz="8" w:color="auto"/>
            </w:tcBorders>
            <w:shd w:val="clear" w:color="auto" w:fill="ACACAC"/>
          </w:tcPr>
          <w:p>
            <w:pPr>
              <w:spacing w:after="0"/>
              <w:rPr>
                <w:sz w:val="22"/>
                <w:szCs w:val="22"/>
                <w:color w:val="auto"/>
              </w:rPr>
            </w:pPr>
          </w:p>
        </w:tc>
        <w:tc>
          <w:tcPr>
            <w:tcW w:w="20" w:type="dxa"/>
            <w:vAlign w:val="bottom"/>
            <w:tcBorders>
              <w:bottom w:val="single" w:sz="8" w:color="auto"/>
            </w:tcBorders>
            <w:shd w:val="clear" w:color="auto" w:fill="ACACAC"/>
          </w:tcPr>
          <w:p>
            <w:pPr>
              <w:spacing w:after="0"/>
              <w:rPr>
                <w:sz w:val="22"/>
                <w:szCs w:val="22"/>
                <w:color w:val="auto"/>
              </w:rPr>
            </w:pPr>
          </w:p>
        </w:tc>
        <w:tc>
          <w:tcPr>
            <w:tcW w:w="280" w:type="dxa"/>
            <w:vAlign w:val="bottom"/>
            <w:tcBorders>
              <w:bottom w:val="single" w:sz="8" w:color="auto"/>
            </w:tcBorders>
            <w:shd w:val="clear" w:color="auto" w:fill="ACACAC"/>
          </w:tcPr>
          <w:p>
            <w:pPr>
              <w:spacing w:after="0"/>
              <w:rPr>
                <w:sz w:val="22"/>
                <w:szCs w:val="22"/>
                <w:color w:val="auto"/>
              </w:rPr>
            </w:pPr>
          </w:p>
        </w:tc>
        <w:tc>
          <w:tcPr>
            <w:tcW w:w="120" w:type="dxa"/>
            <w:vAlign w:val="bottom"/>
            <w:tcBorders>
              <w:bottom w:val="single" w:sz="8" w:color="auto"/>
            </w:tcBorders>
            <w:shd w:val="clear" w:color="auto" w:fill="ACACAC"/>
          </w:tcPr>
          <w:p>
            <w:pPr>
              <w:spacing w:after="0"/>
              <w:rPr>
                <w:sz w:val="22"/>
                <w:szCs w:val="22"/>
                <w:color w:val="auto"/>
              </w:rPr>
            </w:pPr>
          </w:p>
        </w:tc>
        <w:tc>
          <w:tcPr>
            <w:tcW w:w="280" w:type="dxa"/>
            <w:vAlign w:val="bottom"/>
            <w:tcBorders>
              <w:bottom w:val="single" w:sz="8" w:color="auto"/>
            </w:tcBorders>
            <w:shd w:val="clear" w:color="auto" w:fill="ACACAC"/>
          </w:tcPr>
          <w:p>
            <w:pPr>
              <w:spacing w:after="0"/>
              <w:rPr>
                <w:sz w:val="22"/>
                <w:szCs w:val="22"/>
                <w:color w:val="auto"/>
              </w:rPr>
            </w:pPr>
          </w:p>
        </w:tc>
        <w:tc>
          <w:tcPr>
            <w:tcW w:w="820" w:type="dxa"/>
            <w:vAlign w:val="bottom"/>
            <w:tcBorders>
              <w:bottom w:val="single" w:sz="8" w:color="auto"/>
            </w:tcBorders>
            <w:shd w:val="clear" w:color="auto" w:fill="ACACAC"/>
          </w:tcPr>
          <w:p>
            <w:pPr>
              <w:spacing w:after="0"/>
              <w:rPr>
                <w:sz w:val="22"/>
                <w:szCs w:val="22"/>
                <w:color w:val="auto"/>
              </w:rPr>
            </w:pPr>
          </w:p>
        </w:tc>
        <w:tc>
          <w:tcPr>
            <w:tcW w:w="120" w:type="dxa"/>
            <w:vAlign w:val="bottom"/>
            <w:tcBorders>
              <w:bottom w:val="single" w:sz="8" w:color="auto"/>
            </w:tcBorders>
            <w:shd w:val="clear" w:color="auto" w:fill="ACACAC"/>
          </w:tcPr>
          <w:p>
            <w:pPr>
              <w:spacing w:after="0"/>
              <w:rPr>
                <w:sz w:val="22"/>
                <w:szCs w:val="22"/>
                <w:color w:val="auto"/>
              </w:rPr>
            </w:pPr>
          </w:p>
        </w:tc>
        <w:tc>
          <w:tcPr>
            <w:tcW w:w="160" w:type="dxa"/>
            <w:vAlign w:val="bottom"/>
            <w:tcBorders>
              <w:bottom w:val="single" w:sz="8" w:color="auto"/>
            </w:tcBorders>
            <w:shd w:val="clear" w:color="auto" w:fill="ACACAC"/>
          </w:tcPr>
          <w:p>
            <w:pPr>
              <w:spacing w:after="0"/>
              <w:rPr>
                <w:sz w:val="22"/>
                <w:szCs w:val="22"/>
                <w:color w:val="auto"/>
              </w:rPr>
            </w:pPr>
          </w:p>
        </w:tc>
        <w:tc>
          <w:tcPr>
            <w:tcW w:w="1380" w:type="dxa"/>
            <w:vAlign w:val="bottom"/>
            <w:tcBorders>
              <w:bottom w:val="single" w:sz="8" w:color="auto"/>
              <w:right w:val="single" w:sz="8" w:color="auto"/>
            </w:tcBorders>
            <w:shd w:val="clear" w:color="auto" w:fill="ACACAC"/>
          </w:tcPr>
          <w:p>
            <w:pPr>
              <w:spacing w:after="0"/>
              <w:rPr>
                <w:sz w:val="22"/>
                <w:szCs w:val="22"/>
                <w:color w:val="auto"/>
              </w:rPr>
            </w:pPr>
          </w:p>
        </w:tc>
        <w:tc>
          <w:tcPr>
            <w:tcW w:w="440" w:type="dxa"/>
            <w:vAlign w:val="bottom"/>
            <w:tcBorders>
              <w:bottom w:val="single" w:sz="8" w:color="auto"/>
            </w:tcBorders>
            <w:shd w:val="clear" w:color="auto" w:fill="ACACAC"/>
          </w:tcPr>
          <w:p>
            <w:pPr>
              <w:spacing w:after="0"/>
              <w:rPr>
                <w:sz w:val="22"/>
                <w:szCs w:val="22"/>
                <w:color w:val="auto"/>
              </w:rPr>
            </w:pPr>
          </w:p>
        </w:tc>
        <w:tc>
          <w:tcPr>
            <w:tcW w:w="1340" w:type="dxa"/>
            <w:vAlign w:val="bottom"/>
            <w:tcBorders>
              <w:bottom w:val="single" w:sz="8" w:color="auto"/>
              <w:right w:val="single" w:sz="8" w:color="auto"/>
            </w:tcBorders>
            <w:gridSpan w:val="9"/>
            <w:shd w:val="clear" w:color="auto" w:fill="ACACAC"/>
          </w:tcPr>
          <w:p>
            <w:pPr>
              <w:jc w:val="center"/>
              <w:ind w:right="480"/>
              <w:spacing w:after="0" w:line="193" w:lineRule="exact"/>
              <w:rPr>
                <w:sz w:val="20"/>
                <w:szCs w:val="20"/>
                <w:color w:val="auto"/>
              </w:rPr>
            </w:pPr>
            <w:r>
              <w:rPr>
                <w:rFonts w:ascii="Arial" w:cs="Arial" w:eastAsia="Arial" w:hAnsi="Arial"/>
                <w:sz w:val="18"/>
                <w:szCs w:val="18"/>
                <w:b w:val="1"/>
                <w:bCs w:val="1"/>
                <w:color w:val="auto"/>
                <w:w w:val="92"/>
              </w:rPr>
              <w:t>Ownership</w:t>
            </w:r>
          </w:p>
        </w:tc>
        <w:tc>
          <w:tcPr>
            <w:tcW w:w="0" w:type="dxa"/>
            <w:vAlign w:val="bottom"/>
          </w:tcPr>
          <w:p>
            <w:pPr>
              <w:spacing w:after="0"/>
              <w:rPr>
                <w:sz w:val="1"/>
                <w:szCs w:val="1"/>
                <w:color w:val="auto"/>
              </w:rPr>
            </w:pPr>
          </w:p>
        </w:tc>
      </w:tr>
      <w:tr>
        <w:trPr>
          <w:trHeight w:val="20"/>
        </w:trPr>
        <w:tc>
          <w:tcPr>
            <w:tcW w:w="4300" w:type="dxa"/>
            <w:vAlign w:val="bottom"/>
            <w:tcBorders>
              <w:left w:val="single" w:sz="8" w:color="auto"/>
              <w:right w:val="single" w:sz="8" w:color="auto"/>
            </w:tcBorders>
            <w:gridSpan w:val="7"/>
            <w:vMerge w:val="restart"/>
          </w:tcPr>
          <w:p>
            <w:pPr>
              <w:ind w:left="40"/>
              <w:spacing w:after="0" w:line="193" w:lineRule="exact"/>
              <w:rPr>
                <w:sz w:val="20"/>
                <w:szCs w:val="20"/>
                <w:color w:val="auto"/>
              </w:rPr>
            </w:pPr>
            <w:r>
              <w:rPr>
                <w:rFonts w:ascii="Arial" w:cs="Arial" w:eastAsia="Arial" w:hAnsi="Arial"/>
                <w:sz w:val="18"/>
                <w:szCs w:val="18"/>
                <w:color w:val="auto"/>
              </w:rPr>
              <w:t>American Assets Trust, Inc.</w:t>
            </w:r>
          </w:p>
        </w:tc>
        <w:tc>
          <w:tcPr>
            <w:tcW w:w="4380" w:type="dxa"/>
            <w:vAlign w:val="bottom"/>
            <w:tcBorders>
              <w:right w:val="single" w:sz="8" w:color="auto"/>
            </w:tcBorders>
            <w:gridSpan w:val="10"/>
            <w:vMerge w:val="restart"/>
          </w:tcPr>
          <w:p>
            <w:pPr>
              <w:ind w:left="20"/>
              <w:spacing w:after="0" w:line="193" w:lineRule="exact"/>
              <w:rPr>
                <w:sz w:val="20"/>
                <w:szCs w:val="20"/>
                <w:color w:val="auto"/>
              </w:rPr>
            </w:pPr>
            <w:r>
              <w:rPr>
                <w:rFonts w:ascii="Arial" w:cs="Arial" w:eastAsia="Arial" w:hAnsi="Arial"/>
                <w:sz w:val="18"/>
                <w:szCs w:val="18"/>
                <w:color w:val="auto"/>
              </w:rPr>
              <w:t>American Assets Trust, L.P.</w:t>
            </w:r>
          </w:p>
        </w:tc>
        <w:tc>
          <w:tcPr>
            <w:tcW w:w="880" w:type="dxa"/>
            <w:vAlign w:val="bottom"/>
            <w:gridSpan w:val="4"/>
            <w:vMerge w:val="restart"/>
          </w:tcPr>
          <w:p>
            <w:pPr>
              <w:ind w:left="220"/>
              <w:spacing w:after="0" w:line="193" w:lineRule="exact"/>
              <w:rPr>
                <w:sz w:val="20"/>
                <w:szCs w:val="20"/>
                <w:color w:val="auto"/>
              </w:rPr>
            </w:pPr>
            <w:r>
              <w:rPr>
                <w:rFonts w:ascii="Arial" w:cs="Arial" w:eastAsia="Arial" w:hAnsi="Arial"/>
                <w:sz w:val="18"/>
                <w:szCs w:val="18"/>
                <w:color w:val="auto"/>
              </w:rPr>
              <w:t>Approx.</w:t>
            </w:r>
          </w:p>
        </w:tc>
        <w:tc>
          <w:tcPr>
            <w:tcW w:w="300" w:type="dxa"/>
            <w:vAlign w:val="bottom"/>
            <w:gridSpan w:val="2"/>
            <w:vMerge w:val="restart"/>
          </w:tcPr>
          <w:p>
            <w:pPr>
              <w:jc w:val="right"/>
              <w:spacing w:after="0" w:line="193" w:lineRule="exact"/>
              <w:rPr>
                <w:sz w:val="20"/>
                <w:szCs w:val="20"/>
                <w:color w:val="auto"/>
              </w:rPr>
            </w:pPr>
            <w:r>
              <w:rPr>
                <w:rFonts w:ascii="Arial" w:cs="Arial" w:eastAsia="Arial" w:hAnsi="Arial"/>
                <w:sz w:val="18"/>
                <w:szCs w:val="18"/>
                <w:color w:val="FF0000"/>
                <w:strike w:val="1"/>
                <w:w w:val="79"/>
              </w:rPr>
              <w:t>71.7</w:t>
            </w:r>
          </w:p>
        </w:tc>
        <w:tc>
          <w:tcPr>
            <w:tcW w:w="200" w:type="dxa"/>
            <w:vAlign w:val="bottom"/>
            <w:gridSpan w:val="2"/>
          </w:tcPr>
          <w:p>
            <w:pPr>
              <w:spacing w:after="0" w:line="20" w:lineRule="exact"/>
              <w:rPr>
                <w:sz w:val="1"/>
                <w:szCs w:val="1"/>
                <w:color w:val="auto"/>
              </w:rPr>
            </w:pPr>
          </w:p>
        </w:tc>
        <w:tc>
          <w:tcPr>
            <w:tcW w:w="400" w:type="dxa"/>
            <w:vAlign w:val="bottom"/>
            <w:tcBorders>
              <w:right w:val="single" w:sz="8" w:color="auto"/>
            </w:tcBorders>
            <w:gridSpan w:val="2"/>
            <w:vMerge w:val="restart"/>
          </w:tcPr>
          <w:p>
            <w:pPr>
              <w:jc w:val="right"/>
              <w:ind w:right="260"/>
              <w:spacing w:after="0" w:line="19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2"/>
        </w:trPr>
        <w:tc>
          <w:tcPr>
            <w:tcW w:w="4300" w:type="dxa"/>
            <w:vAlign w:val="bottom"/>
            <w:tcBorders>
              <w:left w:val="single" w:sz="8" w:color="auto"/>
              <w:right w:val="single" w:sz="8" w:color="auto"/>
            </w:tcBorders>
            <w:gridSpan w:val="7"/>
            <w:vMerge w:val="continue"/>
          </w:tcPr>
          <w:p>
            <w:pPr>
              <w:spacing w:after="0"/>
              <w:rPr>
                <w:sz w:val="16"/>
                <w:szCs w:val="16"/>
                <w:color w:val="auto"/>
              </w:rPr>
            </w:pPr>
          </w:p>
        </w:tc>
        <w:tc>
          <w:tcPr>
            <w:tcW w:w="4380" w:type="dxa"/>
            <w:vAlign w:val="bottom"/>
            <w:tcBorders>
              <w:right w:val="single" w:sz="8" w:color="auto"/>
            </w:tcBorders>
            <w:gridSpan w:val="10"/>
            <w:vMerge w:val="continue"/>
          </w:tcPr>
          <w:p>
            <w:pPr>
              <w:spacing w:after="0"/>
              <w:rPr>
                <w:sz w:val="16"/>
                <w:szCs w:val="16"/>
                <w:color w:val="auto"/>
              </w:rPr>
            </w:pPr>
          </w:p>
        </w:tc>
        <w:tc>
          <w:tcPr>
            <w:tcW w:w="880" w:type="dxa"/>
            <w:vAlign w:val="bottom"/>
            <w:gridSpan w:val="4"/>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200" w:type="dxa"/>
            <w:vAlign w:val="bottom"/>
            <w:tcBorders>
              <w:left w:val="single" w:sz="8" w:color="D6D6D6"/>
            </w:tcBorders>
            <w:gridSpan w:val="2"/>
            <w:shd w:val="clear" w:color="auto" w:fill="D6D6D6"/>
          </w:tcPr>
          <w:p>
            <w:pPr>
              <w:jc w:val="right"/>
              <w:spacing w:after="0" w:line="172" w:lineRule="exact"/>
              <w:rPr>
                <w:sz w:val="20"/>
                <w:szCs w:val="20"/>
                <w:color w:val="auto"/>
              </w:rPr>
            </w:pPr>
            <w:r>
              <w:rPr>
                <w:rFonts w:ascii="Arial" w:cs="Arial" w:eastAsia="Arial" w:hAnsi="Arial"/>
                <w:sz w:val="18"/>
                <w:szCs w:val="18"/>
                <w:b w:val="1"/>
                <w:bCs w:val="1"/>
                <w:color w:val="0000FF"/>
                <w:highlight w:val="lightGray"/>
                <w:w w:val="89"/>
              </w:rPr>
              <w:t>73</w:t>
            </w:r>
          </w:p>
        </w:tc>
        <w:tc>
          <w:tcPr>
            <w:tcW w:w="40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4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00" w:type="dxa"/>
            <w:vAlign w:val="bottom"/>
            <w:tcBorders>
              <w:left w:val="single" w:sz="8" w:color="auto"/>
              <w:right w:val="single" w:sz="8" w:color="auto"/>
            </w:tcBorders>
            <w:gridSpan w:val="7"/>
          </w:tcPr>
          <w:p>
            <w:pPr>
              <w:ind w:left="40"/>
              <w:spacing w:after="0"/>
              <w:rPr>
                <w:sz w:val="20"/>
                <w:szCs w:val="20"/>
                <w:color w:val="auto"/>
              </w:rPr>
            </w:pPr>
            <w:r>
              <w:rPr>
                <w:rFonts w:ascii="Arial" w:cs="Arial" w:eastAsia="Arial" w:hAnsi="Arial"/>
                <w:sz w:val="18"/>
                <w:szCs w:val="18"/>
                <w:color w:val="auto"/>
              </w:rPr>
              <w:t>American Assets Trust, L.P.</w:t>
            </w:r>
          </w:p>
        </w:tc>
        <w:tc>
          <w:tcPr>
            <w:tcW w:w="438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rPr>
              <w:t>Pacific Del Mar Assets LLC</w:t>
            </w:r>
          </w:p>
        </w:tc>
        <w:tc>
          <w:tcPr>
            <w:tcW w:w="1180" w:type="dxa"/>
            <w:vAlign w:val="bottom"/>
            <w:gridSpan w:val="6"/>
          </w:tcPr>
          <w:p>
            <w:pPr>
              <w:jc w:val="center"/>
              <w:ind w:left="468"/>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4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2380" w:type="dxa"/>
            <w:vAlign w:val="bottom"/>
            <w:tcBorders>
              <w:left w:val="single" w:sz="8" w:color="auto"/>
              <w:bottom w:val="single" w:sz="8" w:color="FFDEAD"/>
            </w:tcBorders>
            <w:gridSpan w:val="4"/>
            <w:shd w:val="clear" w:color="auto" w:fill="FFDEAD"/>
          </w:tcPr>
          <w:p>
            <w:pPr>
              <w:ind w:left="40"/>
              <w:spacing w:after="0"/>
              <w:rPr>
                <w:sz w:val="20"/>
                <w:szCs w:val="20"/>
                <w:color w:val="auto"/>
              </w:rPr>
            </w:pPr>
            <w:r>
              <w:rPr>
                <w:rFonts w:ascii="Arial" w:cs="Arial" w:eastAsia="Arial" w:hAnsi="Arial"/>
                <w:sz w:val="18"/>
                <w:szCs w:val="18"/>
                <w:color w:val="FF0000"/>
                <w:strike w:val="1"/>
              </w:rPr>
              <w:t>Pacific Del Mar Assets LLC</w:t>
            </w:r>
          </w:p>
        </w:tc>
        <w:tc>
          <w:tcPr>
            <w:tcW w:w="200" w:type="dxa"/>
            <w:vAlign w:val="bottom"/>
            <w:tcBorders>
              <w:bottom w:val="single" w:sz="8" w:color="FFDEAD"/>
            </w:tcBorders>
            <w:shd w:val="clear" w:color="auto" w:fill="FFDEAD"/>
          </w:tcPr>
          <w:p>
            <w:pPr>
              <w:spacing w:after="0"/>
              <w:rPr>
                <w:sz w:val="22"/>
                <w:szCs w:val="22"/>
                <w:color w:val="auto"/>
              </w:rPr>
            </w:pPr>
          </w:p>
        </w:tc>
        <w:tc>
          <w:tcPr>
            <w:tcW w:w="1660" w:type="dxa"/>
            <w:vAlign w:val="bottom"/>
            <w:tcBorders>
              <w:bottom w:val="single" w:sz="8" w:color="FFDEAD"/>
            </w:tcBorders>
            <w:shd w:val="clear" w:color="auto" w:fill="FFDEAD"/>
          </w:tcPr>
          <w:p>
            <w:pPr>
              <w:spacing w:after="0"/>
              <w:rPr>
                <w:sz w:val="22"/>
                <w:szCs w:val="22"/>
                <w:color w:val="auto"/>
              </w:rPr>
            </w:pPr>
          </w:p>
        </w:tc>
        <w:tc>
          <w:tcPr>
            <w:tcW w:w="60" w:type="dxa"/>
            <w:vAlign w:val="bottom"/>
            <w:tcBorders>
              <w:bottom w:val="single" w:sz="8" w:color="FFDEAD"/>
              <w:right w:val="single" w:sz="8" w:color="auto"/>
            </w:tcBorders>
            <w:shd w:val="clear" w:color="auto" w:fill="FFDEAD"/>
          </w:tcPr>
          <w:p>
            <w:pPr>
              <w:spacing w:after="0"/>
              <w:rPr>
                <w:sz w:val="22"/>
                <w:szCs w:val="22"/>
                <w:color w:val="auto"/>
              </w:rPr>
            </w:pPr>
          </w:p>
        </w:tc>
        <w:tc>
          <w:tcPr>
            <w:tcW w:w="2720" w:type="dxa"/>
            <w:vAlign w:val="bottom"/>
            <w:tcBorders>
              <w:bottom w:val="single" w:sz="8" w:color="FFDEAD"/>
            </w:tcBorders>
            <w:gridSpan w:val="7"/>
            <w:shd w:val="clear" w:color="auto" w:fill="FFDEAD"/>
          </w:tcPr>
          <w:p>
            <w:pPr>
              <w:ind w:left="20"/>
              <w:spacing w:after="0"/>
              <w:rPr>
                <w:sz w:val="20"/>
                <w:szCs w:val="20"/>
                <w:color w:val="auto"/>
              </w:rPr>
            </w:pPr>
            <w:r>
              <w:rPr>
                <w:rFonts w:ascii="Arial" w:cs="Arial" w:eastAsia="Arial" w:hAnsi="Arial"/>
                <w:sz w:val="18"/>
                <w:szCs w:val="18"/>
                <w:color w:val="FF0000"/>
                <w:strike w:val="1"/>
              </w:rPr>
              <w:t>Carmel Country Plaza, L.P.</w:t>
            </w:r>
          </w:p>
        </w:tc>
        <w:tc>
          <w:tcPr>
            <w:tcW w:w="120" w:type="dxa"/>
            <w:vAlign w:val="bottom"/>
            <w:tcBorders>
              <w:bottom w:val="single" w:sz="8" w:color="FFDEAD"/>
            </w:tcBorders>
            <w:shd w:val="clear" w:color="auto" w:fill="FFDEAD"/>
          </w:tcPr>
          <w:p>
            <w:pPr>
              <w:spacing w:after="0"/>
              <w:rPr>
                <w:sz w:val="22"/>
                <w:szCs w:val="22"/>
                <w:color w:val="auto"/>
              </w:rPr>
            </w:pPr>
          </w:p>
        </w:tc>
        <w:tc>
          <w:tcPr>
            <w:tcW w:w="160" w:type="dxa"/>
            <w:vAlign w:val="bottom"/>
            <w:tcBorders>
              <w:bottom w:val="single" w:sz="8" w:color="FFDEAD"/>
            </w:tcBorders>
            <w:shd w:val="clear" w:color="auto" w:fill="FFDEAD"/>
          </w:tcPr>
          <w:p>
            <w:pPr>
              <w:spacing w:after="0"/>
              <w:rPr>
                <w:sz w:val="22"/>
                <w:szCs w:val="22"/>
                <w:color w:val="auto"/>
              </w:rPr>
            </w:pPr>
          </w:p>
        </w:tc>
        <w:tc>
          <w:tcPr>
            <w:tcW w:w="1380" w:type="dxa"/>
            <w:vAlign w:val="bottom"/>
            <w:tcBorders>
              <w:bottom w:val="single" w:sz="8" w:color="FFDEAD"/>
              <w:right w:val="single" w:sz="8" w:color="auto"/>
            </w:tcBorders>
            <w:shd w:val="clear" w:color="auto" w:fill="FFDEAD"/>
          </w:tcPr>
          <w:p>
            <w:pPr>
              <w:spacing w:after="0"/>
              <w:rPr>
                <w:sz w:val="22"/>
                <w:szCs w:val="22"/>
                <w:color w:val="auto"/>
              </w:rPr>
            </w:pPr>
          </w:p>
        </w:tc>
        <w:tc>
          <w:tcPr>
            <w:tcW w:w="620" w:type="dxa"/>
            <w:vAlign w:val="bottom"/>
            <w:tcBorders>
              <w:bottom w:val="single" w:sz="8" w:color="FFDEAD"/>
              <w:right w:val="single" w:sz="8" w:color="FFDEAD"/>
            </w:tcBorders>
            <w:gridSpan w:val="2"/>
            <w:shd w:val="clear" w:color="auto" w:fill="FFDEAD"/>
          </w:tcPr>
          <w:p>
            <w:pPr>
              <w:spacing w:after="0"/>
              <w:rPr>
                <w:sz w:val="22"/>
                <w:szCs w:val="22"/>
                <w:color w:val="auto"/>
              </w:rPr>
            </w:pPr>
          </w:p>
        </w:tc>
        <w:tc>
          <w:tcPr>
            <w:tcW w:w="120" w:type="dxa"/>
            <w:vAlign w:val="bottom"/>
            <w:tcBorders>
              <w:bottom w:val="single" w:sz="8" w:color="FFDEAD"/>
            </w:tcBorders>
            <w:shd w:val="clear" w:color="auto" w:fill="FFDEAD"/>
          </w:tcPr>
          <w:p>
            <w:pPr>
              <w:spacing w:after="0"/>
              <w:rPr>
                <w:sz w:val="22"/>
                <w:szCs w:val="22"/>
                <w:color w:val="auto"/>
              </w:rPr>
            </w:pPr>
          </w:p>
        </w:tc>
        <w:tc>
          <w:tcPr>
            <w:tcW w:w="280" w:type="dxa"/>
            <w:vAlign w:val="bottom"/>
            <w:tcBorders>
              <w:bottom w:val="single" w:sz="8" w:color="FFDEAD"/>
            </w:tcBorders>
            <w:gridSpan w:val="2"/>
            <w:shd w:val="clear" w:color="auto" w:fill="FFDEAD"/>
          </w:tcPr>
          <w:p>
            <w:pPr>
              <w:jc w:val="center"/>
              <w:spacing w:after="0"/>
              <w:rPr>
                <w:sz w:val="20"/>
                <w:szCs w:val="20"/>
                <w:color w:val="auto"/>
              </w:rPr>
            </w:pPr>
            <w:r>
              <w:rPr>
                <w:rFonts w:ascii="Arial" w:cs="Arial" w:eastAsia="Arial" w:hAnsi="Arial"/>
                <w:sz w:val="18"/>
                <w:szCs w:val="18"/>
                <w:color w:val="FF0000"/>
                <w:strike w:val="1"/>
                <w:w w:val="92"/>
              </w:rPr>
              <w:t>1%</w:t>
            </w:r>
          </w:p>
        </w:tc>
        <w:tc>
          <w:tcPr>
            <w:tcW w:w="160" w:type="dxa"/>
            <w:vAlign w:val="bottom"/>
            <w:tcBorders>
              <w:bottom w:val="single" w:sz="8" w:color="FFDEAD"/>
              <w:right w:val="single" w:sz="8" w:color="FFDEAD"/>
            </w:tcBorders>
            <w:shd w:val="clear" w:color="auto" w:fill="FFDEAD"/>
          </w:tcPr>
          <w:p>
            <w:pPr>
              <w:spacing w:after="0"/>
              <w:rPr>
                <w:sz w:val="22"/>
                <w:szCs w:val="22"/>
                <w:color w:val="auto"/>
              </w:rPr>
            </w:pPr>
          </w:p>
        </w:tc>
        <w:tc>
          <w:tcPr>
            <w:tcW w:w="120" w:type="dxa"/>
            <w:vAlign w:val="bottom"/>
            <w:tcBorders>
              <w:left w:val="single" w:sz="8" w:color="FFDEAD"/>
              <w:bottom w:val="single" w:sz="8" w:color="FFDEAD"/>
            </w:tcBorders>
            <w:shd w:val="clear" w:color="auto" w:fill="FFDEAD"/>
          </w:tcPr>
          <w:p>
            <w:pPr>
              <w:spacing w:after="0"/>
              <w:rPr>
                <w:sz w:val="22"/>
                <w:szCs w:val="22"/>
                <w:color w:val="auto"/>
              </w:rPr>
            </w:pPr>
          </w:p>
        </w:tc>
        <w:tc>
          <w:tcPr>
            <w:tcW w:w="80" w:type="dxa"/>
            <w:vAlign w:val="bottom"/>
            <w:tcBorders>
              <w:bottom w:val="single" w:sz="8" w:color="FFDEAD"/>
            </w:tcBorders>
            <w:shd w:val="clear" w:color="auto" w:fill="FFDEAD"/>
          </w:tcPr>
          <w:p>
            <w:pPr>
              <w:spacing w:after="0"/>
              <w:rPr>
                <w:sz w:val="22"/>
                <w:szCs w:val="22"/>
                <w:color w:val="auto"/>
              </w:rPr>
            </w:pPr>
          </w:p>
        </w:tc>
        <w:tc>
          <w:tcPr>
            <w:tcW w:w="20" w:type="dxa"/>
            <w:vAlign w:val="bottom"/>
            <w:tcBorders>
              <w:bottom w:val="single" w:sz="8" w:color="FFDEAD"/>
            </w:tcBorders>
            <w:shd w:val="clear" w:color="auto" w:fill="FFDEAD"/>
          </w:tcPr>
          <w:p>
            <w:pPr>
              <w:spacing w:after="0"/>
              <w:rPr>
                <w:sz w:val="22"/>
                <w:szCs w:val="22"/>
                <w:color w:val="auto"/>
              </w:rPr>
            </w:pPr>
          </w:p>
        </w:tc>
        <w:tc>
          <w:tcPr>
            <w:tcW w:w="380" w:type="dxa"/>
            <w:vAlign w:val="bottom"/>
            <w:tcBorders>
              <w:bottom w:val="single" w:sz="8" w:color="FFDEAD"/>
              <w:right w:val="single" w:sz="8" w:color="auto"/>
            </w:tcBorders>
            <w:shd w:val="clear" w:color="auto" w:fill="FFDEAD"/>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300" w:type="dxa"/>
            <w:vAlign w:val="bottom"/>
            <w:tcBorders>
              <w:top w:val="single" w:sz="8" w:color="auto"/>
              <w:left w:val="single" w:sz="8" w:color="auto"/>
              <w:right w:val="single" w:sz="8" w:color="auto"/>
            </w:tcBorders>
            <w:gridSpan w:val="7"/>
          </w:tcPr>
          <w:p>
            <w:pPr>
              <w:ind w:left="40"/>
              <w:spacing w:after="0"/>
              <w:rPr>
                <w:sz w:val="20"/>
                <w:szCs w:val="20"/>
                <w:color w:val="auto"/>
              </w:rPr>
            </w:pPr>
            <w:r>
              <w:rPr>
                <w:rFonts w:ascii="Arial" w:cs="Arial" w:eastAsia="Arial" w:hAnsi="Arial"/>
                <w:sz w:val="18"/>
                <w:szCs w:val="18"/>
                <w:color w:val="auto"/>
              </w:rPr>
              <w:t>American Assets Trust, L.P.</w:t>
            </w:r>
          </w:p>
        </w:tc>
        <w:tc>
          <w:tcPr>
            <w:tcW w:w="4380" w:type="dxa"/>
            <w:vAlign w:val="bottom"/>
            <w:tcBorders>
              <w:top w:val="single" w:sz="8" w:color="auto"/>
              <w:right w:val="single" w:sz="8" w:color="auto"/>
            </w:tcBorders>
            <w:gridSpan w:val="10"/>
          </w:tcPr>
          <w:p>
            <w:pPr>
              <w:ind w:left="20"/>
              <w:spacing w:after="0"/>
              <w:rPr>
                <w:sz w:val="20"/>
                <w:szCs w:val="20"/>
                <w:color w:val="auto"/>
              </w:rPr>
            </w:pPr>
            <w:r>
              <w:rPr>
                <w:rFonts w:ascii="Arial" w:cs="Arial" w:eastAsia="Arial" w:hAnsi="Arial"/>
                <w:sz w:val="18"/>
                <w:szCs w:val="18"/>
                <w:color w:val="auto"/>
              </w:rPr>
              <w:t>Carmel Country Plaza, L.P.</w:t>
            </w:r>
          </w:p>
        </w:tc>
        <w:tc>
          <w:tcPr>
            <w:tcW w:w="1180" w:type="dxa"/>
            <w:vAlign w:val="bottom"/>
            <w:tcBorders>
              <w:top w:val="single" w:sz="8" w:color="auto"/>
            </w:tcBorders>
            <w:gridSpan w:val="6"/>
          </w:tcPr>
          <w:p>
            <w:pPr>
              <w:jc w:val="center"/>
              <w:ind w:left="468"/>
              <w:spacing w:after="0"/>
              <w:rPr>
                <w:sz w:val="20"/>
                <w:szCs w:val="20"/>
                <w:color w:val="auto"/>
              </w:rPr>
            </w:pPr>
            <w:r>
              <w:rPr>
                <w:rFonts w:ascii="Arial" w:cs="Arial" w:eastAsia="Arial" w:hAnsi="Arial"/>
                <w:sz w:val="18"/>
                <w:szCs w:val="18"/>
                <w:color w:val="auto"/>
                <w:w w:val="94"/>
              </w:rPr>
              <w:t>99%</w:t>
            </w: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8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4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00" w:type="dxa"/>
            <w:vAlign w:val="bottom"/>
            <w:tcBorders>
              <w:left w:val="single" w:sz="8" w:color="auto"/>
              <w:right w:val="single" w:sz="8" w:color="auto"/>
            </w:tcBorders>
            <w:gridSpan w:val="7"/>
          </w:tcPr>
          <w:p>
            <w:pPr>
              <w:ind w:left="40"/>
              <w:spacing w:after="0"/>
              <w:rPr>
                <w:sz w:val="20"/>
                <w:szCs w:val="20"/>
                <w:color w:val="auto"/>
              </w:rPr>
            </w:pPr>
            <w:r>
              <w:rPr>
                <w:rFonts w:ascii="Arial" w:cs="Arial" w:eastAsia="Arial" w:hAnsi="Arial"/>
                <w:sz w:val="18"/>
                <w:szCs w:val="18"/>
                <w:color w:val="auto"/>
              </w:rPr>
              <w:t>American Assets Trust, L.P.</w:t>
            </w:r>
          </w:p>
        </w:tc>
        <w:tc>
          <w:tcPr>
            <w:tcW w:w="438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rPr>
              <w:t>Pacific Carmel Mountain Assets LLC</w:t>
            </w:r>
          </w:p>
        </w:tc>
        <w:tc>
          <w:tcPr>
            <w:tcW w:w="1180" w:type="dxa"/>
            <w:vAlign w:val="bottom"/>
            <w:gridSpan w:val="6"/>
          </w:tcPr>
          <w:p>
            <w:pPr>
              <w:jc w:val="center"/>
              <w:ind w:left="468"/>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4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4240" w:type="dxa"/>
            <w:vAlign w:val="bottom"/>
            <w:tcBorders>
              <w:left w:val="single" w:sz="8" w:color="auto"/>
              <w:bottom w:val="single" w:sz="8" w:color="FFDEAD"/>
            </w:tcBorders>
            <w:gridSpan w:val="6"/>
            <w:shd w:val="clear" w:color="auto" w:fill="FFDEAD"/>
          </w:tcPr>
          <w:p>
            <w:pPr>
              <w:ind w:left="40"/>
              <w:spacing w:after="0"/>
              <w:rPr>
                <w:sz w:val="20"/>
                <w:szCs w:val="20"/>
                <w:color w:val="auto"/>
              </w:rPr>
            </w:pPr>
            <w:r>
              <w:rPr>
                <w:rFonts w:ascii="Arial" w:cs="Arial" w:eastAsia="Arial" w:hAnsi="Arial"/>
                <w:sz w:val="18"/>
                <w:szCs w:val="18"/>
                <w:color w:val="FF0000"/>
                <w:strike w:val="1"/>
              </w:rPr>
              <w:t>Pacific Carmel Mountain Assets LLC</w:t>
            </w:r>
          </w:p>
        </w:tc>
        <w:tc>
          <w:tcPr>
            <w:tcW w:w="60" w:type="dxa"/>
            <w:vAlign w:val="bottom"/>
            <w:tcBorders>
              <w:bottom w:val="single" w:sz="8" w:color="FFDEAD"/>
              <w:right w:val="single" w:sz="8" w:color="auto"/>
            </w:tcBorders>
            <w:shd w:val="clear" w:color="auto" w:fill="FFDEAD"/>
          </w:tcPr>
          <w:p>
            <w:pPr>
              <w:spacing w:after="0"/>
              <w:rPr>
                <w:sz w:val="22"/>
                <w:szCs w:val="22"/>
                <w:color w:val="auto"/>
              </w:rPr>
            </w:pPr>
          </w:p>
        </w:tc>
        <w:tc>
          <w:tcPr>
            <w:tcW w:w="3000" w:type="dxa"/>
            <w:vAlign w:val="bottom"/>
            <w:tcBorders>
              <w:bottom w:val="single" w:sz="8" w:color="FFDEAD"/>
            </w:tcBorders>
            <w:gridSpan w:val="9"/>
            <w:shd w:val="clear" w:color="auto" w:fill="FFDEAD"/>
          </w:tcPr>
          <w:p>
            <w:pPr>
              <w:ind w:left="20"/>
              <w:spacing w:after="0"/>
              <w:rPr>
                <w:sz w:val="20"/>
                <w:szCs w:val="20"/>
                <w:color w:val="auto"/>
              </w:rPr>
            </w:pPr>
            <w:r>
              <w:rPr>
                <w:rFonts w:ascii="Arial" w:cs="Arial" w:eastAsia="Arial" w:hAnsi="Arial"/>
                <w:sz w:val="18"/>
                <w:szCs w:val="18"/>
                <w:color w:val="FF0000"/>
                <w:strike w:val="1"/>
                <w:w w:val="94"/>
              </w:rPr>
              <w:t>Pacific Carmel Mountain Holdings, L.P.</w:t>
            </w:r>
          </w:p>
        </w:tc>
        <w:tc>
          <w:tcPr>
            <w:tcW w:w="1380" w:type="dxa"/>
            <w:vAlign w:val="bottom"/>
            <w:tcBorders>
              <w:bottom w:val="single" w:sz="8" w:color="FFDEAD"/>
              <w:right w:val="single" w:sz="8" w:color="auto"/>
            </w:tcBorders>
            <w:shd w:val="clear" w:color="auto" w:fill="FFDEAD"/>
          </w:tcPr>
          <w:p>
            <w:pPr>
              <w:spacing w:after="0"/>
              <w:rPr>
                <w:sz w:val="22"/>
                <w:szCs w:val="22"/>
                <w:color w:val="auto"/>
              </w:rPr>
            </w:pPr>
          </w:p>
        </w:tc>
        <w:tc>
          <w:tcPr>
            <w:tcW w:w="620" w:type="dxa"/>
            <w:vAlign w:val="bottom"/>
            <w:tcBorders>
              <w:bottom w:val="single" w:sz="8" w:color="FFDEAD"/>
              <w:right w:val="single" w:sz="8" w:color="FFDEAD"/>
            </w:tcBorders>
            <w:gridSpan w:val="2"/>
            <w:shd w:val="clear" w:color="auto" w:fill="FFDEAD"/>
          </w:tcPr>
          <w:p>
            <w:pPr>
              <w:spacing w:after="0"/>
              <w:rPr>
                <w:sz w:val="22"/>
                <w:szCs w:val="22"/>
                <w:color w:val="auto"/>
              </w:rPr>
            </w:pPr>
          </w:p>
        </w:tc>
        <w:tc>
          <w:tcPr>
            <w:tcW w:w="120" w:type="dxa"/>
            <w:vAlign w:val="bottom"/>
            <w:tcBorders>
              <w:bottom w:val="single" w:sz="8" w:color="FFDEAD"/>
            </w:tcBorders>
            <w:shd w:val="clear" w:color="auto" w:fill="FFDEAD"/>
          </w:tcPr>
          <w:p>
            <w:pPr>
              <w:spacing w:after="0"/>
              <w:rPr>
                <w:sz w:val="22"/>
                <w:szCs w:val="22"/>
                <w:color w:val="auto"/>
              </w:rPr>
            </w:pPr>
          </w:p>
        </w:tc>
        <w:tc>
          <w:tcPr>
            <w:tcW w:w="280" w:type="dxa"/>
            <w:vAlign w:val="bottom"/>
            <w:tcBorders>
              <w:bottom w:val="single" w:sz="8" w:color="FFDEAD"/>
            </w:tcBorders>
            <w:gridSpan w:val="2"/>
            <w:shd w:val="clear" w:color="auto" w:fill="FFDEAD"/>
          </w:tcPr>
          <w:p>
            <w:pPr>
              <w:jc w:val="center"/>
              <w:spacing w:after="0"/>
              <w:rPr>
                <w:sz w:val="20"/>
                <w:szCs w:val="20"/>
                <w:color w:val="auto"/>
              </w:rPr>
            </w:pPr>
            <w:r>
              <w:rPr>
                <w:rFonts w:ascii="Arial" w:cs="Arial" w:eastAsia="Arial" w:hAnsi="Arial"/>
                <w:sz w:val="18"/>
                <w:szCs w:val="18"/>
                <w:color w:val="FF0000"/>
                <w:strike w:val="1"/>
                <w:w w:val="92"/>
              </w:rPr>
              <w:t>1%</w:t>
            </w:r>
          </w:p>
        </w:tc>
        <w:tc>
          <w:tcPr>
            <w:tcW w:w="160" w:type="dxa"/>
            <w:vAlign w:val="bottom"/>
            <w:tcBorders>
              <w:bottom w:val="single" w:sz="8" w:color="FFDEAD"/>
              <w:right w:val="single" w:sz="8" w:color="FFDEAD"/>
            </w:tcBorders>
            <w:shd w:val="clear" w:color="auto" w:fill="FFDEAD"/>
          </w:tcPr>
          <w:p>
            <w:pPr>
              <w:spacing w:after="0"/>
              <w:rPr>
                <w:sz w:val="22"/>
                <w:szCs w:val="22"/>
                <w:color w:val="auto"/>
              </w:rPr>
            </w:pPr>
          </w:p>
        </w:tc>
        <w:tc>
          <w:tcPr>
            <w:tcW w:w="120" w:type="dxa"/>
            <w:vAlign w:val="bottom"/>
            <w:tcBorders>
              <w:left w:val="single" w:sz="8" w:color="FFDEAD"/>
              <w:bottom w:val="single" w:sz="8" w:color="FFDEAD"/>
            </w:tcBorders>
            <w:shd w:val="clear" w:color="auto" w:fill="FFDEAD"/>
          </w:tcPr>
          <w:p>
            <w:pPr>
              <w:spacing w:after="0"/>
              <w:rPr>
                <w:sz w:val="22"/>
                <w:szCs w:val="22"/>
                <w:color w:val="auto"/>
              </w:rPr>
            </w:pPr>
          </w:p>
        </w:tc>
        <w:tc>
          <w:tcPr>
            <w:tcW w:w="80" w:type="dxa"/>
            <w:vAlign w:val="bottom"/>
            <w:tcBorders>
              <w:bottom w:val="single" w:sz="8" w:color="FFDEAD"/>
            </w:tcBorders>
            <w:shd w:val="clear" w:color="auto" w:fill="FFDEAD"/>
          </w:tcPr>
          <w:p>
            <w:pPr>
              <w:spacing w:after="0"/>
              <w:rPr>
                <w:sz w:val="22"/>
                <w:szCs w:val="22"/>
                <w:color w:val="auto"/>
              </w:rPr>
            </w:pPr>
          </w:p>
        </w:tc>
        <w:tc>
          <w:tcPr>
            <w:tcW w:w="20" w:type="dxa"/>
            <w:vAlign w:val="bottom"/>
            <w:tcBorders>
              <w:bottom w:val="single" w:sz="8" w:color="FFDEAD"/>
            </w:tcBorders>
            <w:shd w:val="clear" w:color="auto" w:fill="FFDEAD"/>
          </w:tcPr>
          <w:p>
            <w:pPr>
              <w:spacing w:after="0"/>
              <w:rPr>
                <w:sz w:val="22"/>
                <w:szCs w:val="22"/>
                <w:color w:val="auto"/>
              </w:rPr>
            </w:pPr>
          </w:p>
        </w:tc>
        <w:tc>
          <w:tcPr>
            <w:tcW w:w="380" w:type="dxa"/>
            <w:vAlign w:val="bottom"/>
            <w:tcBorders>
              <w:bottom w:val="single" w:sz="8" w:color="FFDEAD"/>
              <w:right w:val="single" w:sz="8" w:color="auto"/>
            </w:tcBorders>
            <w:shd w:val="clear" w:color="auto" w:fill="FFDEAD"/>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300" w:type="dxa"/>
            <w:vAlign w:val="bottom"/>
            <w:tcBorders>
              <w:top w:val="single" w:sz="8" w:color="auto"/>
              <w:left w:val="single" w:sz="8" w:color="auto"/>
              <w:right w:val="single" w:sz="8" w:color="auto"/>
            </w:tcBorders>
            <w:gridSpan w:val="7"/>
          </w:tcPr>
          <w:p>
            <w:pPr>
              <w:ind w:left="40"/>
              <w:spacing w:after="0"/>
              <w:rPr>
                <w:sz w:val="20"/>
                <w:szCs w:val="20"/>
                <w:color w:val="auto"/>
              </w:rPr>
            </w:pPr>
            <w:r>
              <w:rPr>
                <w:rFonts w:ascii="Arial" w:cs="Arial" w:eastAsia="Arial" w:hAnsi="Arial"/>
                <w:sz w:val="18"/>
                <w:szCs w:val="18"/>
                <w:color w:val="auto"/>
              </w:rPr>
              <w:t>American Assets Trust, L.P.</w:t>
            </w:r>
          </w:p>
        </w:tc>
        <w:tc>
          <w:tcPr>
            <w:tcW w:w="4380" w:type="dxa"/>
            <w:vAlign w:val="bottom"/>
            <w:tcBorders>
              <w:top w:val="single" w:sz="8" w:color="auto"/>
              <w:right w:val="single" w:sz="8" w:color="auto"/>
            </w:tcBorders>
            <w:gridSpan w:val="10"/>
          </w:tcPr>
          <w:p>
            <w:pPr>
              <w:ind w:left="20"/>
              <w:spacing w:after="0"/>
              <w:rPr>
                <w:sz w:val="20"/>
                <w:szCs w:val="20"/>
                <w:color w:val="auto"/>
              </w:rPr>
            </w:pPr>
            <w:r>
              <w:rPr>
                <w:rFonts w:ascii="Arial" w:cs="Arial" w:eastAsia="Arial" w:hAnsi="Arial"/>
                <w:sz w:val="18"/>
                <w:szCs w:val="18"/>
                <w:color w:val="auto"/>
              </w:rPr>
              <w:t>Pacific Carmel Mountain Holdings, L.P.</w:t>
            </w:r>
          </w:p>
        </w:tc>
        <w:tc>
          <w:tcPr>
            <w:tcW w:w="1180" w:type="dxa"/>
            <w:vAlign w:val="bottom"/>
            <w:tcBorders>
              <w:top w:val="single" w:sz="8" w:color="auto"/>
            </w:tcBorders>
            <w:gridSpan w:val="6"/>
          </w:tcPr>
          <w:p>
            <w:pPr>
              <w:jc w:val="center"/>
              <w:ind w:left="468"/>
              <w:spacing w:after="0"/>
              <w:rPr>
                <w:sz w:val="20"/>
                <w:szCs w:val="20"/>
                <w:color w:val="auto"/>
              </w:rPr>
            </w:pPr>
            <w:r>
              <w:rPr>
                <w:rFonts w:ascii="Arial" w:cs="Arial" w:eastAsia="Arial" w:hAnsi="Arial"/>
                <w:sz w:val="18"/>
                <w:szCs w:val="18"/>
                <w:color w:val="auto"/>
                <w:w w:val="94"/>
              </w:rPr>
              <w:t>99%</w:t>
            </w: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8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4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00" w:type="dxa"/>
            <w:vAlign w:val="bottom"/>
            <w:tcBorders>
              <w:left w:val="single" w:sz="8" w:color="auto"/>
              <w:right w:val="single" w:sz="8" w:color="auto"/>
            </w:tcBorders>
            <w:gridSpan w:val="7"/>
          </w:tcPr>
          <w:p>
            <w:pPr>
              <w:ind w:left="40"/>
              <w:spacing w:after="0"/>
              <w:rPr>
                <w:sz w:val="20"/>
                <w:szCs w:val="20"/>
                <w:color w:val="auto"/>
              </w:rPr>
            </w:pPr>
            <w:r>
              <w:rPr>
                <w:rFonts w:ascii="Arial" w:cs="Arial" w:eastAsia="Arial" w:hAnsi="Arial"/>
                <w:sz w:val="18"/>
                <w:szCs w:val="18"/>
                <w:color w:val="auto"/>
              </w:rPr>
              <w:t>American Assets Trust, L.P.</w:t>
            </w:r>
          </w:p>
        </w:tc>
        <w:tc>
          <w:tcPr>
            <w:tcW w:w="438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rPr>
              <w:t>Carmel Mountain Pad, LLC</w:t>
            </w:r>
          </w:p>
        </w:tc>
        <w:tc>
          <w:tcPr>
            <w:tcW w:w="1180" w:type="dxa"/>
            <w:vAlign w:val="bottom"/>
            <w:gridSpan w:val="6"/>
          </w:tcPr>
          <w:p>
            <w:pPr>
              <w:jc w:val="center"/>
              <w:ind w:left="468"/>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4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00" w:type="dxa"/>
            <w:vAlign w:val="bottom"/>
            <w:tcBorders>
              <w:left w:val="single" w:sz="8" w:color="auto"/>
              <w:right w:val="single" w:sz="8" w:color="auto"/>
            </w:tcBorders>
            <w:gridSpan w:val="7"/>
          </w:tcPr>
          <w:p>
            <w:pPr>
              <w:ind w:left="40"/>
              <w:spacing w:after="0"/>
              <w:rPr>
                <w:sz w:val="20"/>
                <w:szCs w:val="20"/>
                <w:color w:val="auto"/>
              </w:rPr>
            </w:pPr>
            <w:r>
              <w:rPr>
                <w:rFonts w:ascii="Arial" w:cs="Arial" w:eastAsia="Arial" w:hAnsi="Arial"/>
                <w:sz w:val="18"/>
                <w:szCs w:val="18"/>
                <w:color w:val="auto"/>
              </w:rPr>
              <w:t>American Assets Trust, L.P.</w:t>
            </w:r>
          </w:p>
        </w:tc>
        <w:tc>
          <w:tcPr>
            <w:tcW w:w="438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rPr>
              <w:t>Pacific Solana Beach Assets LLC</w:t>
            </w:r>
          </w:p>
        </w:tc>
        <w:tc>
          <w:tcPr>
            <w:tcW w:w="1180" w:type="dxa"/>
            <w:vAlign w:val="bottom"/>
            <w:gridSpan w:val="6"/>
          </w:tcPr>
          <w:p>
            <w:pPr>
              <w:jc w:val="center"/>
              <w:ind w:left="468"/>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4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2580" w:type="dxa"/>
            <w:vAlign w:val="bottom"/>
            <w:tcBorders>
              <w:left w:val="single" w:sz="8" w:color="auto"/>
              <w:bottom w:val="single" w:sz="8" w:color="FFDEAD"/>
            </w:tcBorders>
            <w:gridSpan w:val="5"/>
            <w:shd w:val="clear" w:color="auto" w:fill="FFDEAD"/>
          </w:tcPr>
          <w:p>
            <w:pPr>
              <w:ind w:left="40"/>
              <w:spacing w:after="0"/>
              <w:rPr>
                <w:sz w:val="20"/>
                <w:szCs w:val="20"/>
                <w:color w:val="auto"/>
              </w:rPr>
            </w:pPr>
            <w:r>
              <w:rPr>
                <w:rFonts w:ascii="Arial" w:cs="Arial" w:eastAsia="Arial" w:hAnsi="Arial"/>
                <w:sz w:val="18"/>
                <w:szCs w:val="18"/>
                <w:color w:val="FF0000"/>
                <w:strike w:val="1"/>
                <w:w w:val="94"/>
              </w:rPr>
              <w:t>Pacific Solana Beach Assets LLC</w:t>
            </w:r>
          </w:p>
        </w:tc>
        <w:tc>
          <w:tcPr>
            <w:tcW w:w="1660" w:type="dxa"/>
            <w:vAlign w:val="bottom"/>
            <w:tcBorders>
              <w:bottom w:val="single" w:sz="8" w:color="FFDEAD"/>
            </w:tcBorders>
            <w:shd w:val="clear" w:color="auto" w:fill="FFDEAD"/>
          </w:tcPr>
          <w:p>
            <w:pPr>
              <w:spacing w:after="0"/>
              <w:rPr>
                <w:sz w:val="22"/>
                <w:szCs w:val="22"/>
                <w:color w:val="auto"/>
              </w:rPr>
            </w:pPr>
          </w:p>
        </w:tc>
        <w:tc>
          <w:tcPr>
            <w:tcW w:w="60" w:type="dxa"/>
            <w:vAlign w:val="bottom"/>
            <w:tcBorders>
              <w:bottom w:val="single" w:sz="8" w:color="FFDEAD"/>
              <w:right w:val="single" w:sz="8" w:color="auto"/>
            </w:tcBorders>
            <w:shd w:val="clear" w:color="auto" w:fill="FFDEAD"/>
          </w:tcPr>
          <w:p>
            <w:pPr>
              <w:spacing w:after="0"/>
              <w:rPr>
                <w:sz w:val="22"/>
                <w:szCs w:val="22"/>
                <w:color w:val="auto"/>
              </w:rPr>
            </w:pPr>
          </w:p>
        </w:tc>
        <w:tc>
          <w:tcPr>
            <w:tcW w:w="2720" w:type="dxa"/>
            <w:vAlign w:val="bottom"/>
            <w:tcBorders>
              <w:bottom w:val="single" w:sz="8" w:color="FFDEAD"/>
            </w:tcBorders>
            <w:gridSpan w:val="7"/>
            <w:shd w:val="clear" w:color="auto" w:fill="FFDEAD"/>
          </w:tcPr>
          <w:p>
            <w:pPr>
              <w:ind w:left="20"/>
              <w:spacing w:after="0"/>
              <w:rPr>
                <w:sz w:val="20"/>
                <w:szCs w:val="20"/>
                <w:color w:val="auto"/>
              </w:rPr>
            </w:pPr>
            <w:r>
              <w:rPr>
                <w:rFonts w:ascii="Arial" w:cs="Arial" w:eastAsia="Arial" w:hAnsi="Arial"/>
                <w:sz w:val="18"/>
                <w:szCs w:val="18"/>
                <w:color w:val="FF0000"/>
                <w:strike w:val="1"/>
                <w:w w:val="93"/>
              </w:rPr>
              <w:t>Pacific Solana Beach Holdings, L.P.</w:t>
            </w:r>
          </w:p>
        </w:tc>
        <w:tc>
          <w:tcPr>
            <w:tcW w:w="120" w:type="dxa"/>
            <w:vAlign w:val="bottom"/>
            <w:tcBorders>
              <w:bottom w:val="single" w:sz="8" w:color="FFDEAD"/>
            </w:tcBorders>
            <w:shd w:val="clear" w:color="auto" w:fill="FFDEAD"/>
          </w:tcPr>
          <w:p>
            <w:pPr>
              <w:spacing w:after="0"/>
              <w:rPr>
                <w:sz w:val="22"/>
                <w:szCs w:val="22"/>
                <w:color w:val="auto"/>
              </w:rPr>
            </w:pPr>
          </w:p>
        </w:tc>
        <w:tc>
          <w:tcPr>
            <w:tcW w:w="160" w:type="dxa"/>
            <w:vAlign w:val="bottom"/>
            <w:tcBorders>
              <w:bottom w:val="single" w:sz="8" w:color="FFDEAD"/>
            </w:tcBorders>
            <w:shd w:val="clear" w:color="auto" w:fill="FFDEAD"/>
          </w:tcPr>
          <w:p>
            <w:pPr>
              <w:spacing w:after="0"/>
              <w:rPr>
                <w:sz w:val="22"/>
                <w:szCs w:val="22"/>
                <w:color w:val="auto"/>
              </w:rPr>
            </w:pPr>
          </w:p>
        </w:tc>
        <w:tc>
          <w:tcPr>
            <w:tcW w:w="1380" w:type="dxa"/>
            <w:vAlign w:val="bottom"/>
            <w:tcBorders>
              <w:bottom w:val="single" w:sz="8" w:color="FFDEAD"/>
              <w:right w:val="single" w:sz="8" w:color="auto"/>
            </w:tcBorders>
            <w:shd w:val="clear" w:color="auto" w:fill="FFDEAD"/>
          </w:tcPr>
          <w:p>
            <w:pPr>
              <w:spacing w:after="0"/>
              <w:rPr>
                <w:sz w:val="22"/>
                <w:szCs w:val="22"/>
                <w:color w:val="auto"/>
              </w:rPr>
            </w:pPr>
          </w:p>
        </w:tc>
        <w:tc>
          <w:tcPr>
            <w:tcW w:w="620" w:type="dxa"/>
            <w:vAlign w:val="bottom"/>
            <w:tcBorders>
              <w:bottom w:val="single" w:sz="8" w:color="FFDEAD"/>
              <w:right w:val="single" w:sz="8" w:color="FFDEAD"/>
            </w:tcBorders>
            <w:gridSpan w:val="2"/>
            <w:shd w:val="clear" w:color="auto" w:fill="FFDEAD"/>
          </w:tcPr>
          <w:p>
            <w:pPr>
              <w:spacing w:after="0"/>
              <w:rPr>
                <w:sz w:val="22"/>
                <w:szCs w:val="22"/>
                <w:color w:val="auto"/>
              </w:rPr>
            </w:pPr>
          </w:p>
        </w:tc>
        <w:tc>
          <w:tcPr>
            <w:tcW w:w="560" w:type="dxa"/>
            <w:vAlign w:val="bottom"/>
            <w:tcBorders>
              <w:bottom w:val="single" w:sz="8" w:color="FFDEAD"/>
              <w:right w:val="single" w:sz="8" w:color="FFDEAD"/>
            </w:tcBorders>
            <w:gridSpan w:val="4"/>
            <w:shd w:val="clear" w:color="auto" w:fill="FFDEAD"/>
          </w:tcPr>
          <w:p>
            <w:pPr>
              <w:jc w:val="center"/>
              <w:spacing w:after="0"/>
              <w:rPr>
                <w:sz w:val="20"/>
                <w:szCs w:val="20"/>
                <w:color w:val="auto"/>
              </w:rPr>
            </w:pPr>
            <w:r>
              <w:rPr>
                <w:rFonts w:ascii="Arial" w:cs="Arial" w:eastAsia="Arial" w:hAnsi="Arial"/>
                <w:sz w:val="18"/>
                <w:szCs w:val="18"/>
                <w:color w:val="FF0000"/>
                <w:strike w:val="1"/>
                <w:w w:val="94"/>
              </w:rPr>
              <w:t>20%</w:t>
            </w:r>
          </w:p>
        </w:tc>
        <w:tc>
          <w:tcPr>
            <w:tcW w:w="120" w:type="dxa"/>
            <w:vAlign w:val="bottom"/>
            <w:tcBorders>
              <w:left w:val="single" w:sz="8" w:color="FFDEAD"/>
              <w:bottom w:val="single" w:sz="8" w:color="FFDEAD"/>
            </w:tcBorders>
            <w:shd w:val="clear" w:color="auto" w:fill="FFDEAD"/>
          </w:tcPr>
          <w:p>
            <w:pPr>
              <w:spacing w:after="0"/>
              <w:rPr>
                <w:sz w:val="22"/>
                <w:szCs w:val="22"/>
                <w:color w:val="auto"/>
              </w:rPr>
            </w:pPr>
          </w:p>
        </w:tc>
        <w:tc>
          <w:tcPr>
            <w:tcW w:w="80" w:type="dxa"/>
            <w:vAlign w:val="bottom"/>
            <w:tcBorders>
              <w:bottom w:val="single" w:sz="8" w:color="FFDEAD"/>
            </w:tcBorders>
            <w:shd w:val="clear" w:color="auto" w:fill="FFDEAD"/>
          </w:tcPr>
          <w:p>
            <w:pPr>
              <w:spacing w:after="0"/>
              <w:rPr>
                <w:sz w:val="22"/>
                <w:szCs w:val="22"/>
                <w:color w:val="auto"/>
              </w:rPr>
            </w:pPr>
          </w:p>
        </w:tc>
        <w:tc>
          <w:tcPr>
            <w:tcW w:w="20" w:type="dxa"/>
            <w:vAlign w:val="bottom"/>
            <w:tcBorders>
              <w:bottom w:val="single" w:sz="8" w:color="FFDEAD"/>
            </w:tcBorders>
            <w:shd w:val="clear" w:color="auto" w:fill="FFDEAD"/>
          </w:tcPr>
          <w:p>
            <w:pPr>
              <w:spacing w:after="0"/>
              <w:rPr>
                <w:sz w:val="22"/>
                <w:szCs w:val="22"/>
                <w:color w:val="auto"/>
              </w:rPr>
            </w:pPr>
          </w:p>
        </w:tc>
        <w:tc>
          <w:tcPr>
            <w:tcW w:w="380" w:type="dxa"/>
            <w:vAlign w:val="bottom"/>
            <w:tcBorders>
              <w:bottom w:val="single" w:sz="8" w:color="FFDEAD"/>
              <w:right w:val="single" w:sz="8" w:color="auto"/>
            </w:tcBorders>
            <w:shd w:val="clear" w:color="auto" w:fill="FFDEAD"/>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300" w:type="dxa"/>
            <w:vAlign w:val="bottom"/>
            <w:tcBorders>
              <w:top w:val="single" w:sz="8" w:color="auto"/>
              <w:left w:val="single" w:sz="8" w:color="auto"/>
              <w:right w:val="single" w:sz="8" w:color="auto"/>
            </w:tcBorders>
            <w:gridSpan w:val="7"/>
          </w:tcPr>
          <w:p>
            <w:pPr>
              <w:ind w:left="40"/>
              <w:spacing w:after="0"/>
              <w:rPr>
                <w:sz w:val="20"/>
                <w:szCs w:val="20"/>
                <w:color w:val="auto"/>
              </w:rPr>
            </w:pPr>
            <w:r>
              <w:rPr>
                <w:rFonts w:ascii="Arial" w:cs="Arial" w:eastAsia="Arial" w:hAnsi="Arial"/>
                <w:sz w:val="18"/>
                <w:szCs w:val="18"/>
                <w:color w:val="auto"/>
              </w:rPr>
              <w:t>American Assets Trust, L.P.</w:t>
            </w:r>
          </w:p>
        </w:tc>
        <w:tc>
          <w:tcPr>
            <w:tcW w:w="4380" w:type="dxa"/>
            <w:vAlign w:val="bottom"/>
            <w:tcBorders>
              <w:top w:val="single" w:sz="8" w:color="auto"/>
              <w:right w:val="single" w:sz="8" w:color="auto"/>
            </w:tcBorders>
            <w:gridSpan w:val="10"/>
          </w:tcPr>
          <w:p>
            <w:pPr>
              <w:ind w:left="20"/>
              <w:spacing w:after="0"/>
              <w:rPr>
                <w:sz w:val="20"/>
                <w:szCs w:val="20"/>
                <w:color w:val="auto"/>
              </w:rPr>
            </w:pPr>
            <w:r>
              <w:rPr>
                <w:rFonts w:ascii="Arial" w:cs="Arial" w:eastAsia="Arial" w:hAnsi="Arial"/>
                <w:sz w:val="18"/>
                <w:szCs w:val="18"/>
                <w:color w:val="auto"/>
              </w:rPr>
              <w:t>Pacific Solana Beach Holdings, L.P.</w:t>
            </w:r>
          </w:p>
        </w:tc>
        <w:tc>
          <w:tcPr>
            <w:tcW w:w="1180" w:type="dxa"/>
            <w:vAlign w:val="bottom"/>
            <w:tcBorders>
              <w:top w:val="single" w:sz="8" w:color="auto"/>
            </w:tcBorders>
            <w:gridSpan w:val="6"/>
          </w:tcPr>
          <w:p>
            <w:pPr>
              <w:jc w:val="center"/>
              <w:ind w:left="468"/>
              <w:spacing w:after="0"/>
              <w:rPr>
                <w:sz w:val="20"/>
                <w:szCs w:val="20"/>
                <w:color w:val="auto"/>
              </w:rPr>
            </w:pPr>
            <w:r>
              <w:rPr>
                <w:rFonts w:ascii="Arial" w:cs="Arial" w:eastAsia="Arial" w:hAnsi="Arial"/>
                <w:sz w:val="18"/>
                <w:szCs w:val="18"/>
                <w:color w:val="auto"/>
                <w:w w:val="94"/>
              </w:rPr>
              <w:t>80%</w:t>
            </w: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8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4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00" w:type="dxa"/>
            <w:vAlign w:val="bottom"/>
            <w:tcBorders>
              <w:left w:val="single" w:sz="8" w:color="auto"/>
              <w:right w:val="single" w:sz="8" w:color="auto"/>
            </w:tcBorders>
            <w:gridSpan w:val="7"/>
          </w:tcPr>
          <w:p>
            <w:pPr>
              <w:ind w:left="40"/>
              <w:spacing w:after="0"/>
              <w:rPr>
                <w:sz w:val="20"/>
                <w:szCs w:val="20"/>
                <w:color w:val="auto"/>
              </w:rPr>
            </w:pPr>
            <w:r>
              <w:rPr>
                <w:rFonts w:ascii="Arial" w:cs="Arial" w:eastAsia="Arial" w:hAnsi="Arial"/>
                <w:sz w:val="18"/>
                <w:szCs w:val="18"/>
                <w:color w:val="auto"/>
              </w:rPr>
              <w:t>American Assets Trust, L.P.</w:t>
            </w:r>
          </w:p>
        </w:tc>
        <w:tc>
          <w:tcPr>
            <w:tcW w:w="438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rPr>
              <w:t>AAT Del Monte, LLC</w:t>
            </w:r>
          </w:p>
        </w:tc>
        <w:tc>
          <w:tcPr>
            <w:tcW w:w="1180" w:type="dxa"/>
            <w:vAlign w:val="bottom"/>
            <w:gridSpan w:val="6"/>
          </w:tcPr>
          <w:p>
            <w:pPr>
              <w:jc w:val="center"/>
              <w:ind w:left="468"/>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4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300" w:type="dxa"/>
            <w:vAlign w:val="bottom"/>
            <w:tcBorders>
              <w:left w:val="single" w:sz="8" w:color="auto"/>
              <w:right w:val="single" w:sz="8" w:color="auto"/>
            </w:tcBorders>
            <w:gridSpan w:val="7"/>
            <w:vMerge w:val="restart"/>
          </w:tcPr>
          <w:p>
            <w:pPr>
              <w:ind w:left="40"/>
              <w:spacing w:after="0" w:line="193" w:lineRule="exact"/>
              <w:rPr>
                <w:sz w:val="20"/>
                <w:szCs w:val="20"/>
                <w:color w:val="auto"/>
              </w:rPr>
            </w:pPr>
            <w:r>
              <w:rPr>
                <w:rFonts w:ascii="Arial" w:cs="Arial" w:eastAsia="Arial" w:hAnsi="Arial"/>
                <w:sz w:val="18"/>
                <w:szCs w:val="18"/>
                <w:color w:val="auto"/>
              </w:rPr>
              <w:t>American Assets Trust, L.P.</w:t>
            </w:r>
          </w:p>
        </w:tc>
        <w:tc>
          <w:tcPr>
            <w:tcW w:w="1620" w:type="dxa"/>
            <w:vAlign w:val="bottom"/>
            <w:gridSpan w:val="5"/>
            <w:vMerge w:val="restart"/>
          </w:tcPr>
          <w:p>
            <w:pPr>
              <w:ind w:left="20"/>
              <w:spacing w:after="0" w:line="193" w:lineRule="exact"/>
              <w:rPr>
                <w:sz w:val="20"/>
                <w:szCs w:val="20"/>
                <w:color w:val="auto"/>
              </w:rPr>
            </w:pPr>
            <w:r>
              <w:rPr>
                <w:rFonts w:ascii="Arial" w:cs="Arial" w:eastAsia="Arial" w:hAnsi="Arial"/>
                <w:sz w:val="18"/>
                <w:szCs w:val="18"/>
                <w:color w:val="FF0000"/>
                <w:strike w:val="1"/>
                <w:w w:val="92"/>
              </w:rPr>
              <w:t>Beach Walk Holdings</w:t>
            </w: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right w:val="single" w:sz="8" w:color="auto"/>
            </w:tcBorders>
            <w:vMerge w:val="restart"/>
          </w:tcPr>
          <w:p>
            <w:pPr>
              <w:spacing w:after="0" w:line="193" w:lineRule="exact"/>
              <w:rPr>
                <w:sz w:val="20"/>
                <w:szCs w:val="20"/>
                <w:color w:val="auto"/>
              </w:rPr>
            </w:pPr>
            <w:r>
              <w:rPr>
                <w:rFonts w:ascii="Arial" w:cs="Arial" w:eastAsia="Arial" w:hAnsi="Arial"/>
                <w:sz w:val="18"/>
                <w:szCs w:val="18"/>
                <w:b w:val="1"/>
                <w:bCs w:val="1"/>
                <w:color w:val="0000FF"/>
              </w:rPr>
              <w:t xml:space="preserve">, </w:t>
            </w:r>
            <w:r>
              <w:rPr>
                <w:rFonts w:ascii="Arial" w:cs="Arial" w:eastAsia="Arial" w:hAnsi="Arial"/>
                <w:sz w:val="18"/>
                <w:szCs w:val="18"/>
                <w:color w:val="000000"/>
              </w:rPr>
              <w:t>LLC</w:t>
            </w:r>
          </w:p>
        </w:tc>
        <w:tc>
          <w:tcPr>
            <w:tcW w:w="1180" w:type="dxa"/>
            <w:vAlign w:val="bottom"/>
            <w:gridSpan w:val="6"/>
            <w:vMerge w:val="restart"/>
          </w:tcPr>
          <w:p>
            <w:pPr>
              <w:jc w:val="center"/>
              <w:ind w:left="468"/>
              <w:spacing w:after="0" w:line="193" w:lineRule="exact"/>
              <w:rPr>
                <w:sz w:val="20"/>
                <w:szCs w:val="20"/>
                <w:color w:val="auto"/>
              </w:rPr>
            </w:pPr>
            <w:r>
              <w:rPr>
                <w:rFonts w:ascii="Arial" w:cs="Arial" w:eastAsia="Arial" w:hAnsi="Arial"/>
                <w:sz w:val="18"/>
                <w:szCs w:val="18"/>
                <w:color w:val="auto"/>
                <w:w w:val="91"/>
              </w:rPr>
              <w:t>100%</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tcBorders>
              <w:left w:val="single" w:sz="8" w:color="auto"/>
              <w:right w:val="single" w:sz="8" w:color="auto"/>
            </w:tcBorders>
            <w:gridSpan w:val="7"/>
            <w:vMerge w:val="continue"/>
          </w:tcPr>
          <w:p>
            <w:pPr>
              <w:spacing w:after="0"/>
              <w:rPr>
                <w:sz w:val="16"/>
                <w:szCs w:val="16"/>
                <w:color w:val="auto"/>
              </w:rPr>
            </w:pPr>
          </w:p>
        </w:tc>
        <w:tc>
          <w:tcPr>
            <w:tcW w:w="1620" w:type="dxa"/>
            <w:vAlign w:val="bottom"/>
            <w:gridSpan w:val="5"/>
            <w:vMerge w:val="continue"/>
          </w:tcPr>
          <w:p>
            <w:pPr>
              <w:spacing w:after="0"/>
              <w:rPr>
                <w:sz w:val="16"/>
                <w:szCs w:val="16"/>
                <w:color w:val="auto"/>
              </w:rPr>
            </w:pPr>
          </w:p>
        </w:tc>
        <w:tc>
          <w:tcPr>
            <w:tcW w:w="1380" w:type="dxa"/>
            <w:vAlign w:val="bottom"/>
            <w:tcBorders>
              <w:bottom w:val="single" w:sz="8" w:color="0000FF"/>
            </w:tcBorders>
            <w:gridSpan w:val="4"/>
            <w:shd w:val="clear" w:color="auto" w:fill="D6D6D6"/>
          </w:tcPr>
          <w:p>
            <w:pPr>
              <w:spacing w:after="0" w:line="172" w:lineRule="exact"/>
              <w:rPr>
                <w:sz w:val="20"/>
                <w:szCs w:val="20"/>
                <w:color w:val="auto"/>
              </w:rPr>
            </w:pPr>
            <w:r>
              <w:rPr>
                <w:rFonts w:ascii="Arial" w:cs="Arial" w:eastAsia="Arial" w:hAnsi="Arial"/>
                <w:sz w:val="18"/>
                <w:szCs w:val="18"/>
                <w:b w:val="1"/>
                <w:bCs w:val="1"/>
                <w:color w:val="0000FF"/>
                <w:highlight w:val="lightGray"/>
                <w:w w:val="95"/>
              </w:rPr>
              <w:t xml:space="preserve">AAT Del Monte </w:t>
            </w:r>
            <w:r>
              <w:rPr>
                <w:rFonts w:ascii="Arial" w:cs="Arial" w:eastAsia="Arial" w:hAnsi="Arial"/>
                <w:sz w:val="18"/>
                <w:szCs w:val="18"/>
                <w:b w:val="1"/>
                <w:bCs w:val="1"/>
                <w:color w:val="0000FF"/>
                <w:w w:val="95"/>
              </w:rPr>
              <w:t>2</w:t>
            </w:r>
          </w:p>
        </w:tc>
        <w:tc>
          <w:tcPr>
            <w:tcW w:w="1380" w:type="dxa"/>
            <w:vAlign w:val="bottom"/>
            <w:tcBorders>
              <w:right w:val="single" w:sz="8" w:color="auto"/>
            </w:tcBorders>
            <w:vMerge w:val="continue"/>
          </w:tcPr>
          <w:p>
            <w:pPr>
              <w:spacing w:after="0"/>
              <w:rPr>
                <w:sz w:val="16"/>
                <w:szCs w:val="16"/>
                <w:color w:val="auto"/>
              </w:rPr>
            </w:pPr>
          </w:p>
        </w:tc>
        <w:tc>
          <w:tcPr>
            <w:tcW w:w="118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4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D6D6D6"/>
              <w:bottom w:val="single" w:sz="8" w:color="auto"/>
            </w:tcBorders>
          </w:tcPr>
          <w:p>
            <w:pPr>
              <w:spacing w:after="0" w:line="20" w:lineRule="exact"/>
              <w:rPr>
                <w:sz w:val="1"/>
                <w:szCs w:val="1"/>
                <w:color w:val="auto"/>
              </w:rPr>
            </w:pPr>
          </w:p>
        </w:tc>
        <w:tc>
          <w:tcPr>
            <w:tcW w:w="820" w:type="dxa"/>
            <w:vAlign w:val="bottom"/>
            <w:tcBorders>
              <w:top w:val="single" w:sz="8" w:color="D6D6D6"/>
              <w:bottom w:val="single" w:sz="8" w:color="auto"/>
            </w:tcBorders>
          </w:tcPr>
          <w:p>
            <w:pPr>
              <w:spacing w:after="0" w:line="20" w:lineRule="exact"/>
              <w:rPr>
                <w:sz w:val="1"/>
                <w:szCs w:val="1"/>
                <w:color w:val="auto"/>
              </w:rPr>
            </w:pPr>
          </w:p>
        </w:tc>
        <w:tc>
          <w:tcPr>
            <w:tcW w:w="120" w:type="dxa"/>
            <w:vAlign w:val="bottom"/>
            <w:tcBorders>
              <w:top w:val="single" w:sz="8" w:color="D6D6D6"/>
              <w:bottom w:val="single" w:sz="8" w:color="auto"/>
            </w:tcBorders>
          </w:tcPr>
          <w:p>
            <w:pPr>
              <w:spacing w:after="0" w:line="20" w:lineRule="exact"/>
              <w:rPr>
                <w:sz w:val="1"/>
                <w:szCs w:val="1"/>
                <w:color w:val="auto"/>
              </w:rPr>
            </w:pPr>
          </w:p>
        </w:tc>
        <w:tc>
          <w:tcPr>
            <w:tcW w:w="160" w:type="dxa"/>
            <w:vAlign w:val="bottom"/>
            <w:tcBorders>
              <w:top w:val="single" w:sz="8" w:color="D6D6D6"/>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auto"/>
            </w:tcBorders>
          </w:tcPr>
          <w:p>
            <w:pPr>
              <w:spacing w:after="0" w:line="20" w:lineRule="exact"/>
              <w:rPr>
                <w:sz w:val="1"/>
                <w:szCs w:val="1"/>
                <w:color w:val="auto"/>
              </w:rPr>
            </w:pPr>
          </w:p>
        </w:tc>
        <w:tc>
          <w:tcPr>
            <w:tcW w:w="2040" w:type="dxa"/>
            <w:vAlign w:val="bottom"/>
            <w:gridSpan w:val="3"/>
            <w:vMerge w:val="restart"/>
          </w:tcPr>
          <w:p>
            <w:pPr>
              <w:spacing w:after="0" w:line="193" w:lineRule="exact"/>
              <w:rPr>
                <w:sz w:val="20"/>
                <w:szCs w:val="20"/>
                <w:color w:val="auto"/>
              </w:rPr>
            </w:pPr>
            <w:r>
              <w:rPr>
                <w:rFonts w:ascii="Arial" w:cs="Arial" w:eastAsia="Arial" w:hAnsi="Arial"/>
                <w:sz w:val="18"/>
                <w:szCs w:val="18"/>
                <w:color w:val="FF0000"/>
                <w:strike w:val="1"/>
                <w:w w:val="96"/>
              </w:rPr>
              <w:t>Beach Walk Holdings LLC</w:t>
            </w: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Borders>
              <w:right w:val="single" w:sz="8" w:color="auto"/>
            </w:tcBorders>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Borders>
              <w:left w:val="single" w:sz="8" w:color="auto"/>
            </w:tcBorders>
          </w:tcPr>
          <w:p>
            <w:pPr>
              <w:spacing w:after="0"/>
              <w:rPr>
                <w:sz w:val="16"/>
                <w:szCs w:val="16"/>
                <w:color w:val="auto"/>
              </w:rPr>
            </w:pPr>
          </w:p>
        </w:tc>
        <w:tc>
          <w:tcPr>
            <w:tcW w:w="2040" w:type="dxa"/>
            <w:vAlign w:val="bottom"/>
            <w:gridSpan w:val="3"/>
            <w:vMerge w:val="continue"/>
          </w:tcPr>
          <w:p>
            <w:pPr>
              <w:spacing w:after="0"/>
              <w:rPr>
                <w:sz w:val="16"/>
                <w:szCs w:val="16"/>
                <w:color w:val="auto"/>
              </w:rPr>
            </w:pPr>
          </w:p>
        </w:tc>
        <w:tc>
          <w:tcPr>
            <w:tcW w:w="1860" w:type="dxa"/>
            <w:vAlign w:val="bottom"/>
            <w:tcBorders>
              <w:bottom w:val="single" w:sz="8" w:color="0000FF"/>
            </w:tcBorders>
            <w:gridSpan w:val="2"/>
            <w:shd w:val="clear" w:color="auto" w:fill="D6D6D6"/>
          </w:tcPr>
          <w:p>
            <w:pPr>
              <w:spacing w:after="0" w:line="172" w:lineRule="exact"/>
              <w:rPr>
                <w:sz w:val="20"/>
                <w:szCs w:val="20"/>
                <w:color w:val="auto"/>
              </w:rPr>
            </w:pPr>
            <w:r>
              <w:rPr>
                <w:rFonts w:ascii="Arial" w:cs="Arial" w:eastAsia="Arial" w:hAnsi="Arial"/>
                <w:sz w:val="18"/>
                <w:szCs w:val="18"/>
                <w:b w:val="1"/>
                <w:bCs w:val="1"/>
                <w:color w:val="0000FF"/>
                <w:highlight w:val="lightGray"/>
                <w:w w:val="91"/>
              </w:rPr>
              <w:t>American Assets Trust,</w:t>
            </w:r>
          </w:p>
        </w:tc>
        <w:tc>
          <w:tcPr>
            <w:tcW w:w="60" w:type="dxa"/>
            <w:vAlign w:val="bottom"/>
            <w:tcBorders>
              <w:right w:val="single" w:sz="8" w:color="auto"/>
            </w:tcBorders>
            <w:vMerge w:val="continue"/>
          </w:tcPr>
          <w:p>
            <w:pPr>
              <w:spacing w:after="0"/>
              <w:rPr>
                <w:sz w:val="16"/>
                <w:szCs w:val="16"/>
                <w:color w:val="auto"/>
              </w:rPr>
            </w:pPr>
          </w:p>
        </w:tc>
        <w:tc>
          <w:tcPr>
            <w:tcW w:w="1020" w:type="dxa"/>
            <w:vAlign w:val="bottom"/>
            <w:vMerge w:val="restart"/>
          </w:tcPr>
          <w:p>
            <w:pPr>
              <w:ind w:left="20"/>
              <w:spacing w:after="0"/>
              <w:rPr>
                <w:sz w:val="20"/>
                <w:szCs w:val="20"/>
                <w:color w:val="auto"/>
              </w:rPr>
            </w:pPr>
            <w:r>
              <w:rPr>
                <w:rFonts w:ascii="Arial" w:cs="Arial" w:eastAsia="Arial" w:hAnsi="Arial"/>
                <w:sz w:val="18"/>
                <w:szCs w:val="18"/>
                <w:color w:val="FF0000"/>
                <w:strike w:val="1"/>
                <w:w w:val="94"/>
              </w:rPr>
              <w:t>ABW Lewers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6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8"/>
                <w:szCs w:val="18"/>
                <w:color w:val="auto"/>
              </w:rPr>
              <w:t>LLC</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b w:val="1"/>
                <w:bCs w:val="1"/>
                <w:color w:val="FF0000"/>
                <w:strike w:val="1"/>
                <w:w w:val="74"/>
              </w:rPr>
              <w:t>80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gridSpan w:val="2"/>
            <w:vMerge w:val="restart"/>
          </w:tcPr>
          <w:p>
            <w:pPr>
              <w:jc w:val="right"/>
              <w:ind w:right="8"/>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D6D6D6"/>
            </w:tcBorders>
          </w:tcPr>
          <w:p>
            <w:pPr>
              <w:spacing w:after="0" w:line="20" w:lineRule="exact"/>
              <w:rPr>
                <w:sz w:val="1"/>
                <w:szCs w:val="1"/>
                <w:color w:val="auto"/>
              </w:rPr>
            </w:pPr>
          </w:p>
        </w:tc>
        <w:tc>
          <w:tcPr>
            <w:tcW w:w="1660" w:type="dxa"/>
            <w:vAlign w:val="bottom"/>
            <w:tcBorders>
              <w:top w:val="single" w:sz="8" w:color="D6D6D6"/>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Borders>
              <w:right w:val="single" w:sz="8" w:color="auto"/>
            </w:tcBorders>
            <w:gridSpan w:val="3"/>
            <w:vMerge w:val="continue"/>
          </w:tcPr>
          <w:p>
            <w:pPr>
              <w:spacing w:after="0" w:line="20" w:lineRule="exact"/>
              <w:rPr>
                <w:sz w:val="1"/>
                <w:szCs w:val="1"/>
                <w:color w:val="auto"/>
              </w:rPr>
            </w:pPr>
          </w:p>
        </w:tc>
        <w:tc>
          <w:tcPr>
            <w:tcW w:w="620" w:type="dxa"/>
            <w:vAlign w:val="bottom"/>
            <w:gridSpan w:val="2"/>
            <w:vMerge w:val="restart"/>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40" w:type="dxa"/>
            <w:vAlign w:val="bottom"/>
            <w:tcBorders>
              <w:left w:val="single" w:sz="8" w:color="auto"/>
            </w:tcBorders>
          </w:tcPr>
          <w:p>
            <w:pPr>
              <w:spacing w:after="0"/>
              <w:rPr>
                <w:sz w:val="14"/>
                <w:szCs w:val="14"/>
                <w:color w:val="auto"/>
              </w:rPr>
            </w:pPr>
          </w:p>
        </w:tc>
        <w:tc>
          <w:tcPr>
            <w:tcW w:w="300" w:type="dxa"/>
            <w:vAlign w:val="bottom"/>
            <w:tcBorders>
              <w:bottom w:val="single" w:sz="8" w:color="0000FF"/>
            </w:tcBorders>
            <w:shd w:val="clear" w:color="auto" w:fill="D6D6D6"/>
          </w:tcPr>
          <w:p>
            <w:pPr>
              <w:spacing w:after="0" w:line="153" w:lineRule="exact"/>
              <w:rPr>
                <w:sz w:val="20"/>
                <w:szCs w:val="20"/>
                <w:color w:val="auto"/>
              </w:rPr>
            </w:pPr>
            <w:r>
              <w:rPr>
                <w:rFonts w:ascii="Arial" w:cs="Arial" w:eastAsia="Arial" w:hAnsi="Arial"/>
                <w:sz w:val="17"/>
                <w:szCs w:val="17"/>
                <w:b w:val="1"/>
                <w:bCs w:val="1"/>
                <w:color w:val="0000FF"/>
                <w:highlight w:val="lightGray"/>
                <w:w w:val="89"/>
              </w:rPr>
              <w:t>L.P.</w:t>
            </w: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20" w:type="dxa"/>
            <w:vAlign w:val="bottom"/>
            <w:vMerge w:val="continue"/>
          </w:tcPr>
          <w:p>
            <w:pPr>
              <w:spacing w:after="0"/>
              <w:rPr>
                <w:sz w:val="14"/>
                <w:szCs w:val="14"/>
                <w:color w:val="auto"/>
              </w:rPr>
            </w:pPr>
          </w:p>
        </w:tc>
        <w:tc>
          <w:tcPr>
            <w:tcW w:w="1700" w:type="dxa"/>
            <w:vAlign w:val="bottom"/>
            <w:tcBorders>
              <w:bottom w:val="single" w:sz="8" w:color="0000FF"/>
            </w:tcBorders>
            <w:gridSpan w:val="6"/>
            <w:shd w:val="clear" w:color="auto" w:fill="D6D6D6"/>
          </w:tcPr>
          <w:p>
            <w:pPr>
              <w:spacing w:after="0" w:line="153" w:lineRule="exact"/>
              <w:rPr>
                <w:sz w:val="20"/>
                <w:szCs w:val="20"/>
                <w:color w:val="auto"/>
              </w:rPr>
            </w:pPr>
            <w:r>
              <w:rPr>
                <w:rFonts w:ascii="Arial" w:cs="Arial" w:eastAsia="Arial" w:hAnsi="Arial"/>
                <w:sz w:val="17"/>
                <w:szCs w:val="17"/>
                <w:b w:val="1"/>
                <w:bCs w:val="1"/>
                <w:color w:val="0000FF"/>
                <w:highlight w:val="lightGray"/>
                <w:w w:val="97"/>
              </w:rPr>
              <w:t>Beach Walk Holdings</w:t>
            </w:r>
          </w:p>
        </w:tc>
        <w:tc>
          <w:tcPr>
            <w:tcW w:w="1660" w:type="dxa"/>
            <w:vAlign w:val="bottom"/>
            <w:tcBorders>
              <w:right w:val="single" w:sz="8" w:color="auto"/>
            </w:tcBorders>
            <w:gridSpan w:val="3"/>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80" w:type="dxa"/>
            <w:vAlign w:val="bottom"/>
            <w:tcBorders>
              <w:bottom w:val="single" w:sz="8" w:color="0000FF"/>
            </w:tcBorders>
            <w:gridSpan w:val="2"/>
            <w:shd w:val="clear" w:color="auto" w:fill="D6D6D6"/>
          </w:tcPr>
          <w:p>
            <w:pPr>
              <w:jc w:val="center"/>
              <w:spacing w:after="0" w:line="153" w:lineRule="exact"/>
              <w:rPr>
                <w:sz w:val="20"/>
                <w:szCs w:val="20"/>
                <w:color w:val="auto"/>
              </w:rPr>
            </w:pPr>
            <w:r>
              <w:rPr>
                <w:rFonts w:ascii="Arial" w:cs="Arial" w:eastAsia="Arial" w:hAnsi="Arial"/>
                <w:sz w:val="17"/>
                <w:szCs w:val="17"/>
                <w:b w:val="1"/>
                <w:bCs w:val="1"/>
                <w:color w:val="0000FF"/>
                <w:highlight w:val="lightGray"/>
                <w:w w:val="98"/>
              </w:rPr>
              <w:t>100</w:t>
            </w:r>
          </w:p>
        </w:tc>
        <w:tc>
          <w:tcPr>
            <w:tcW w:w="2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34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top w:val="single" w:sz="8" w:color="D6D6D6"/>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D6D6D6"/>
              <w:bottom w:val="single" w:sz="8" w:color="auto"/>
            </w:tcBorders>
          </w:tcPr>
          <w:p>
            <w:pPr>
              <w:spacing w:after="0" w:line="20" w:lineRule="exact"/>
              <w:rPr>
                <w:sz w:val="1"/>
                <w:szCs w:val="1"/>
                <w:color w:val="auto"/>
              </w:rPr>
            </w:pPr>
          </w:p>
        </w:tc>
        <w:tc>
          <w:tcPr>
            <w:tcW w:w="20" w:type="dxa"/>
            <w:vAlign w:val="bottom"/>
            <w:tcBorders>
              <w:top w:val="single" w:sz="8" w:color="D6D6D6"/>
              <w:bottom w:val="single" w:sz="8" w:color="auto"/>
            </w:tcBorders>
          </w:tcPr>
          <w:p>
            <w:pPr>
              <w:spacing w:after="0" w:line="20" w:lineRule="exact"/>
              <w:rPr>
                <w:sz w:val="1"/>
                <w:szCs w:val="1"/>
                <w:color w:val="auto"/>
              </w:rPr>
            </w:pPr>
          </w:p>
        </w:tc>
        <w:tc>
          <w:tcPr>
            <w:tcW w:w="280" w:type="dxa"/>
            <w:vAlign w:val="bottom"/>
            <w:tcBorders>
              <w:top w:val="single" w:sz="8" w:color="D6D6D6"/>
              <w:bottom w:val="single" w:sz="8" w:color="auto"/>
            </w:tcBorders>
          </w:tcPr>
          <w:p>
            <w:pPr>
              <w:spacing w:after="0" w:line="20" w:lineRule="exact"/>
              <w:rPr>
                <w:sz w:val="1"/>
                <w:szCs w:val="1"/>
                <w:color w:val="auto"/>
              </w:rPr>
            </w:pPr>
          </w:p>
        </w:tc>
        <w:tc>
          <w:tcPr>
            <w:tcW w:w="120" w:type="dxa"/>
            <w:vAlign w:val="bottom"/>
            <w:tcBorders>
              <w:top w:val="single" w:sz="8" w:color="D6D6D6"/>
              <w:bottom w:val="single" w:sz="8" w:color="auto"/>
            </w:tcBorders>
          </w:tcPr>
          <w:p>
            <w:pPr>
              <w:spacing w:after="0" w:line="20" w:lineRule="exact"/>
              <w:rPr>
                <w:sz w:val="1"/>
                <w:szCs w:val="1"/>
                <w:color w:val="auto"/>
              </w:rPr>
            </w:pPr>
          </w:p>
        </w:tc>
        <w:tc>
          <w:tcPr>
            <w:tcW w:w="280" w:type="dxa"/>
            <w:vAlign w:val="bottom"/>
            <w:tcBorders>
              <w:top w:val="single" w:sz="8" w:color="D6D6D6"/>
              <w:bottom w:val="single" w:sz="8" w:color="auto"/>
            </w:tcBorders>
          </w:tcPr>
          <w:p>
            <w:pPr>
              <w:spacing w:after="0" w:line="20" w:lineRule="exact"/>
              <w:rPr>
                <w:sz w:val="1"/>
                <w:szCs w:val="1"/>
                <w:color w:val="auto"/>
              </w:rPr>
            </w:pPr>
          </w:p>
        </w:tc>
        <w:tc>
          <w:tcPr>
            <w:tcW w:w="820" w:type="dxa"/>
            <w:vAlign w:val="bottom"/>
            <w:tcBorders>
              <w:top w:val="single" w:sz="8" w:color="D6D6D6"/>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D6D6D6"/>
              <w:bottom w:val="single" w:sz="8" w:color="auto"/>
            </w:tcBorders>
          </w:tcPr>
          <w:p>
            <w:pPr>
              <w:spacing w:after="0" w:line="20" w:lineRule="exact"/>
              <w:rPr>
                <w:sz w:val="1"/>
                <w:szCs w:val="1"/>
                <w:color w:val="auto"/>
              </w:rPr>
            </w:pPr>
          </w:p>
        </w:tc>
        <w:tc>
          <w:tcPr>
            <w:tcW w:w="140" w:type="dxa"/>
            <w:vAlign w:val="bottom"/>
            <w:tcBorders>
              <w:top w:val="single" w:sz="8" w:color="D6D6D6"/>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00" w:type="dxa"/>
            <w:vAlign w:val="bottom"/>
            <w:tcBorders>
              <w:left w:val="single" w:sz="8" w:color="auto"/>
              <w:right w:val="single" w:sz="8" w:color="auto"/>
            </w:tcBorders>
            <w:gridSpan w:val="7"/>
          </w:tcPr>
          <w:p>
            <w:pPr>
              <w:ind w:left="40"/>
              <w:spacing w:after="0"/>
              <w:rPr>
                <w:sz w:val="20"/>
                <w:szCs w:val="20"/>
                <w:color w:val="auto"/>
              </w:rPr>
            </w:pPr>
            <w:r>
              <w:rPr>
                <w:rFonts w:ascii="Arial" w:cs="Arial" w:eastAsia="Arial" w:hAnsi="Arial"/>
                <w:sz w:val="18"/>
                <w:szCs w:val="18"/>
                <w:color w:val="auto"/>
              </w:rPr>
              <w:t>American Assets Trust, L.P.</w:t>
            </w:r>
          </w:p>
        </w:tc>
        <w:tc>
          <w:tcPr>
            <w:tcW w:w="438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rPr>
              <w:t>ABW Lewers LLC</w:t>
            </w:r>
          </w:p>
        </w:tc>
        <w:tc>
          <w:tcPr>
            <w:tcW w:w="1180" w:type="dxa"/>
            <w:vAlign w:val="bottom"/>
            <w:gridSpan w:val="6"/>
          </w:tcPr>
          <w:p>
            <w:pPr>
              <w:jc w:val="center"/>
              <w:ind w:left="468"/>
              <w:spacing w:after="0"/>
              <w:rPr>
                <w:sz w:val="20"/>
                <w:szCs w:val="20"/>
                <w:color w:val="auto"/>
              </w:rPr>
            </w:pPr>
            <w:r>
              <w:rPr>
                <w:rFonts w:ascii="Arial" w:cs="Arial" w:eastAsia="Arial" w:hAnsi="Arial"/>
                <w:sz w:val="18"/>
                <w:szCs w:val="18"/>
                <w:color w:val="auto"/>
                <w:w w:val="94"/>
              </w:rPr>
              <w:t>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4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1700" w:type="dxa"/>
            <w:vAlign w:val="bottom"/>
            <w:tcBorders>
              <w:left w:val="single" w:sz="8" w:color="auto"/>
              <w:bottom w:val="single" w:sz="8" w:color="FFDEAD"/>
            </w:tcBorders>
            <w:gridSpan w:val="3"/>
            <w:shd w:val="clear" w:color="auto" w:fill="FFDEAD"/>
          </w:tcPr>
          <w:p>
            <w:pPr>
              <w:ind w:left="40"/>
              <w:spacing w:after="0"/>
              <w:rPr>
                <w:sz w:val="20"/>
                <w:szCs w:val="20"/>
                <w:color w:val="auto"/>
              </w:rPr>
            </w:pPr>
            <w:r>
              <w:rPr>
                <w:rFonts w:ascii="Arial" w:cs="Arial" w:eastAsia="Arial" w:hAnsi="Arial"/>
                <w:sz w:val="18"/>
                <w:szCs w:val="18"/>
                <w:color w:val="FF0000"/>
                <w:strike w:val="1"/>
              </w:rPr>
              <w:t>ABW Lewers LLC</w:t>
            </w:r>
          </w:p>
        </w:tc>
        <w:tc>
          <w:tcPr>
            <w:tcW w:w="680" w:type="dxa"/>
            <w:vAlign w:val="bottom"/>
            <w:tcBorders>
              <w:bottom w:val="single" w:sz="8" w:color="FFDEAD"/>
            </w:tcBorders>
            <w:shd w:val="clear" w:color="auto" w:fill="FFDEAD"/>
          </w:tcPr>
          <w:p>
            <w:pPr>
              <w:spacing w:after="0"/>
              <w:rPr>
                <w:sz w:val="22"/>
                <w:szCs w:val="22"/>
                <w:color w:val="auto"/>
              </w:rPr>
            </w:pPr>
          </w:p>
        </w:tc>
        <w:tc>
          <w:tcPr>
            <w:tcW w:w="200" w:type="dxa"/>
            <w:vAlign w:val="bottom"/>
            <w:tcBorders>
              <w:bottom w:val="single" w:sz="8" w:color="FFDEAD"/>
            </w:tcBorders>
            <w:shd w:val="clear" w:color="auto" w:fill="FFDEAD"/>
          </w:tcPr>
          <w:p>
            <w:pPr>
              <w:spacing w:after="0"/>
              <w:rPr>
                <w:sz w:val="22"/>
                <w:szCs w:val="22"/>
                <w:color w:val="auto"/>
              </w:rPr>
            </w:pPr>
          </w:p>
        </w:tc>
        <w:tc>
          <w:tcPr>
            <w:tcW w:w="1660" w:type="dxa"/>
            <w:vAlign w:val="bottom"/>
            <w:tcBorders>
              <w:bottom w:val="single" w:sz="8" w:color="FFDEAD"/>
            </w:tcBorders>
            <w:shd w:val="clear" w:color="auto" w:fill="FFDEAD"/>
          </w:tcPr>
          <w:p>
            <w:pPr>
              <w:spacing w:after="0"/>
              <w:rPr>
                <w:sz w:val="22"/>
                <w:szCs w:val="22"/>
                <w:color w:val="auto"/>
              </w:rPr>
            </w:pPr>
          </w:p>
        </w:tc>
        <w:tc>
          <w:tcPr>
            <w:tcW w:w="60" w:type="dxa"/>
            <w:vAlign w:val="bottom"/>
            <w:tcBorders>
              <w:bottom w:val="single" w:sz="8" w:color="FFDEAD"/>
              <w:right w:val="single" w:sz="8" w:color="auto"/>
            </w:tcBorders>
            <w:shd w:val="clear" w:color="auto" w:fill="FFDEAD"/>
          </w:tcPr>
          <w:p>
            <w:pPr>
              <w:spacing w:after="0"/>
              <w:rPr>
                <w:sz w:val="22"/>
                <w:szCs w:val="22"/>
                <w:color w:val="auto"/>
              </w:rPr>
            </w:pPr>
          </w:p>
        </w:tc>
        <w:tc>
          <w:tcPr>
            <w:tcW w:w="2720" w:type="dxa"/>
            <w:vAlign w:val="bottom"/>
            <w:tcBorders>
              <w:bottom w:val="single" w:sz="8" w:color="FFDEAD"/>
            </w:tcBorders>
            <w:gridSpan w:val="7"/>
            <w:shd w:val="clear" w:color="auto" w:fill="FFDEAD"/>
          </w:tcPr>
          <w:p>
            <w:pPr>
              <w:ind w:left="20"/>
              <w:spacing w:after="0"/>
              <w:rPr>
                <w:sz w:val="20"/>
                <w:szCs w:val="20"/>
                <w:color w:val="auto"/>
              </w:rPr>
            </w:pPr>
            <w:r>
              <w:rPr>
                <w:rFonts w:ascii="Arial" w:cs="Arial" w:eastAsia="Arial" w:hAnsi="Arial"/>
                <w:sz w:val="18"/>
                <w:szCs w:val="18"/>
                <w:color w:val="FF0000"/>
                <w:strike w:val="1"/>
              </w:rPr>
              <w:t>ABW 2181 Holdings LLC</w:t>
            </w:r>
          </w:p>
        </w:tc>
        <w:tc>
          <w:tcPr>
            <w:tcW w:w="120" w:type="dxa"/>
            <w:vAlign w:val="bottom"/>
            <w:tcBorders>
              <w:bottom w:val="single" w:sz="8" w:color="FFDEAD"/>
            </w:tcBorders>
            <w:shd w:val="clear" w:color="auto" w:fill="FFDEAD"/>
          </w:tcPr>
          <w:p>
            <w:pPr>
              <w:spacing w:after="0"/>
              <w:rPr>
                <w:sz w:val="22"/>
                <w:szCs w:val="22"/>
                <w:color w:val="auto"/>
              </w:rPr>
            </w:pPr>
          </w:p>
        </w:tc>
        <w:tc>
          <w:tcPr>
            <w:tcW w:w="1540" w:type="dxa"/>
            <w:vAlign w:val="bottom"/>
            <w:tcBorders>
              <w:bottom w:val="single" w:sz="8" w:color="FFDEAD"/>
              <w:right w:val="single" w:sz="8" w:color="auto"/>
            </w:tcBorders>
            <w:gridSpan w:val="2"/>
            <w:shd w:val="clear" w:color="auto" w:fill="FFDEAD"/>
          </w:tcPr>
          <w:p>
            <w:pPr>
              <w:spacing w:after="0"/>
              <w:rPr>
                <w:sz w:val="22"/>
                <w:szCs w:val="22"/>
                <w:color w:val="auto"/>
              </w:rPr>
            </w:pPr>
          </w:p>
        </w:tc>
        <w:tc>
          <w:tcPr>
            <w:tcW w:w="620" w:type="dxa"/>
            <w:vAlign w:val="bottom"/>
            <w:tcBorders>
              <w:bottom w:val="single" w:sz="8" w:color="FFDEAD"/>
              <w:right w:val="single" w:sz="8" w:color="FFDEAD"/>
            </w:tcBorders>
            <w:gridSpan w:val="2"/>
            <w:shd w:val="clear" w:color="auto" w:fill="FFDEAD"/>
          </w:tcPr>
          <w:p>
            <w:pPr>
              <w:spacing w:after="0"/>
              <w:rPr>
                <w:sz w:val="22"/>
                <w:szCs w:val="22"/>
                <w:color w:val="auto"/>
              </w:rPr>
            </w:pPr>
          </w:p>
        </w:tc>
        <w:tc>
          <w:tcPr>
            <w:tcW w:w="560" w:type="dxa"/>
            <w:vAlign w:val="bottom"/>
            <w:tcBorders>
              <w:bottom w:val="single" w:sz="8" w:color="FFDEAD"/>
              <w:right w:val="single" w:sz="8" w:color="FFDEAD"/>
            </w:tcBorders>
            <w:gridSpan w:val="4"/>
            <w:shd w:val="clear" w:color="auto" w:fill="FFDEAD"/>
          </w:tcPr>
          <w:p>
            <w:pPr>
              <w:jc w:val="center"/>
              <w:spacing w:after="0"/>
              <w:rPr>
                <w:sz w:val="20"/>
                <w:szCs w:val="20"/>
                <w:color w:val="auto"/>
              </w:rPr>
            </w:pPr>
            <w:r>
              <w:rPr>
                <w:rFonts w:ascii="Arial" w:cs="Arial" w:eastAsia="Arial" w:hAnsi="Arial"/>
                <w:sz w:val="18"/>
                <w:szCs w:val="18"/>
                <w:color w:val="FF0000"/>
                <w:strike w:val="1"/>
                <w:w w:val="91"/>
              </w:rPr>
              <w:t>100%</w:t>
            </w:r>
          </w:p>
        </w:tc>
        <w:tc>
          <w:tcPr>
            <w:tcW w:w="120" w:type="dxa"/>
            <w:vAlign w:val="bottom"/>
            <w:tcBorders>
              <w:left w:val="single" w:sz="8" w:color="FFDEAD"/>
              <w:bottom w:val="single" w:sz="8" w:color="FFDEAD"/>
            </w:tcBorders>
            <w:shd w:val="clear" w:color="auto" w:fill="FFDEAD"/>
          </w:tcPr>
          <w:p>
            <w:pPr>
              <w:spacing w:after="0"/>
              <w:rPr>
                <w:sz w:val="22"/>
                <w:szCs w:val="22"/>
                <w:color w:val="auto"/>
              </w:rPr>
            </w:pPr>
          </w:p>
        </w:tc>
        <w:tc>
          <w:tcPr>
            <w:tcW w:w="80" w:type="dxa"/>
            <w:vAlign w:val="bottom"/>
            <w:tcBorders>
              <w:bottom w:val="single" w:sz="8" w:color="FFDEAD"/>
            </w:tcBorders>
            <w:shd w:val="clear" w:color="auto" w:fill="FFDEAD"/>
          </w:tcPr>
          <w:p>
            <w:pPr>
              <w:spacing w:after="0"/>
              <w:rPr>
                <w:sz w:val="22"/>
                <w:szCs w:val="22"/>
                <w:color w:val="auto"/>
              </w:rPr>
            </w:pPr>
          </w:p>
        </w:tc>
        <w:tc>
          <w:tcPr>
            <w:tcW w:w="20" w:type="dxa"/>
            <w:vAlign w:val="bottom"/>
            <w:tcBorders>
              <w:bottom w:val="single" w:sz="8" w:color="FFDEAD"/>
            </w:tcBorders>
            <w:shd w:val="clear" w:color="auto" w:fill="FFDEAD"/>
          </w:tcPr>
          <w:p>
            <w:pPr>
              <w:spacing w:after="0"/>
              <w:rPr>
                <w:sz w:val="22"/>
                <w:szCs w:val="22"/>
                <w:color w:val="auto"/>
              </w:rPr>
            </w:pPr>
          </w:p>
        </w:tc>
        <w:tc>
          <w:tcPr>
            <w:tcW w:w="380" w:type="dxa"/>
            <w:vAlign w:val="bottom"/>
            <w:tcBorders>
              <w:bottom w:val="single" w:sz="8" w:color="FFDEAD"/>
              <w:right w:val="single" w:sz="8" w:color="auto"/>
            </w:tcBorders>
            <w:shd w:val="clear" w:color="auto" w:fill="FFDEAD"/>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700" w:type="dxa"/>
            <w:vAlign w:val="bottom"/>
            <w:tcBorders>
              <w:top w:val="single" w:sz="8" w:color="auto"/>
              <w:left w:val="single" w:sz="8" w:color="auto"/>
              <w:bottom w:val="single" w:sz="8" w:color="FFDEAD"/>
            </w:tcBorders>
            <w:gridSpan w:val="3"/>
            <w:shd w:val="clear" w:color="auto" w:fill="FFDEAD"/>
          </w:tcPr>
          <w:p>
            <w:pPr>
              <w:ind w:left="40"/>
              <w:spacing w:after="0"/>
              <w:rPr>
                <w:sz w:val="20"/>
                <w:szCs w:val="20"/>
                <w:color w:val="auto"/>
              </w:rPr>
            </w:pPr>
            <w:r>
              <w:rPr>
                <w:rFonts w:ascii="Arial" w:cs="Arial" w:eastAsia="Arial" w:hAnsi="Arial"/>
                <w:sz w:val="18"/>
                <w:szCs w:val="18"/>
                <w:color w:val="FF0000"/>
                <w:strike w:val="1"/>
              </w:rPr>
              <w:t>ABW Lewers LLC</w:t>
            </w:r>
          </w:p>
        </w:tc>
        <w:tc>
          <w:tcPr>
            <w:tcW w:w="680" w:type="dxa"/>
            <w:vAlign w:val="bottom"/>
            <w:tcBorders>
              <w:top w:val="single" w:sz="8" w:color="auto"/>
              <w:bottom w:val="single" w:sz="8" w:color="FFDEAD"/>
            </w:tcBorders>
            <w:shd w:val="clear" w:color="auto" w:fill="FFDEAD"/>
          </w:tcPr>
          <w:p>
            <w:pPr>
              <w:spacing w:after="0"/>
              <w:rPr>
                <w:sz w:val="22"/>
                <w:szCs w:val="22"/>
                <w:color w:val="auto"/>
              </w:rPr>
            </w:pPr>
          </w:p>
        </w:tc>
        <w:tc>
          <w:tcPr>
            <w:tcW w:w="200" w:type="dxa"/>
            <w:vAlign w:val="bottom"/>
            <w:tcBorders>
              <w:top w:val="single" w:sz="8" w:color="auto"/>
              <w:bottom w:val="single" w:sz="8" w:color="FFDEAD"/>
            </w:tcBorders>
            <w:shd w:val="clear" w:color="auto" w:fill="FFDEAD"/>
          </w:tcPr>
          <w:p>
            <w:pPr>
              <w:spacing w:after="0"/>
              <w:rPr>
                <w:sz w:val="22"/>
                <w:szCs w:val="22"/>
                <w:color w:val="auto"/>
              </w:rPr>
            </w:pPr>
          </w:p>
        </w:tc>
        <w:tc>
          <w:tcPr>
            <w:tcW w:w="1660" w:type="dxa"/>
            <w:vAlign w:val="bottom"/>
            <w:tcBorders>
              <w:top w:val="single" w:sz="8" w:color="auto"/>
              <w:bottom w:val="single" w:sz="8" w:color="FFDEAD"/>
            </w:tcBorders>
            <w:shd w:val="clear" w:color="auto" w:fill="FFDEAD"/>
          </w:tcPr>
          <w:p>
            <w:pPr>
              <w:spacing w:after="0"/>
              <w:rPr>
                <w:sz w:val="22"/>
                <w:szCs w:val="22"/>
                <w:color w:val="auto"/>
              </w:rPr>
            </w:pPr>
          </w:p>
        </w:tc>
        <w:tc>
          <w:tcPr>
            <w:tcW w:w="6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1620" w:type="dxa"/>
            <w:vAlign w:val="bottom"/>
            <w:tcBorders>
              <w:top w:val="single" w:sz="8" w:color="auto"/>
              <w:bottom w:val="single" w:sz="8" w:color="FFDEAD"/>
            </w:tcBorders>
            <w:gridSpan w:val="5"/>
            <w:shd w:val="clear" w:color="auto" w:fill="FFDEAD"/>
          </w:tcPr>
          <w:p>
            <w:pPr>
              <w:ind w:left="20"/>
              <w:spacing w:after="0"/>
              <w:rPr>
                <w:sz w:val="20"/>
                <w:szCs w:val="20"/>
                <w:color w:val="auto"/>
              </w:rPr>
            </w:pPr>
            <w:r>
              <w:rPr>
                <w:rFonts w:ascii="Arial" w:cs="Arial" w:eastAsia="Arial" w:hAnsi="Arial"/>
                <w:sz w:val="18"/>
                <w:szCs w:val="18"/>
                <w:color w:val="FF0000"/>
                <w:strike w:val="1"/>
              </w:rPr>
              <w:t>ABW Holdings LLC</w:t>
            </w:r>
          </w:p>
        </w:tc>
        <w:tc>
          <w:tcPr>
            <w:tcW w:w="280" w:type="dxa"/>
            <w:vAlign w:val="bottom"/>
            <w:tcBorders>
              <w:top w:val="single" w:sz="8" w:color="auto"/>
              <w:bottom w:val="single" w:sz="8" w:color="FFDEAD"/>
            </w:tcBorders>
            <w:shd w:val="clear" w:color="auto" w:fill="FFDEAD"/>
          </w:tcPr>
          <w:p>
            <w:pPr>
              <w:spacing w:after="0"/>
              <w:rPr>
                <w:sz w:val="22"/>
                <w:szCs w:val="22"/>
                <w:color w:val="auto"/>
              </w:rPr>
            </w:pPr>
          </w:p>
        </w:tc>
        <w:tc>
          <w:tcPr>
            <w:tcW w:w="820" w:type="dxa"/>
            <w:vAlign w:val="bottom"/>
            <w:tcBorders>
              <w:top w:val="single" w:sz="8" w:color="auto"/>
              <w:bottom w:val="single" w:sz="8" w:color="FFDEAD"/>
            </w:tcBorders>
            <w:shd w:val="clear" w:color="auto" w:fill="FFDEAD"/>
          </w:tcPr>
          <w:p>
            <w:pPr>
              <w:spacing w:after="0"/>
              <w:rPr>
                <w:sz w:val="22"/>
                <w:szCs w:val="22"/>
                <w:color w:val="auto"/>
              </w:rPr>
            </w:pPr>
          </w:p>
        </w:tc>
        <w:tc>
          <w:tcPr>
            <w:tcW w:w="120" w:type="dxa"/>
            <w:vAlign w:val="bottom"/>
            <w:tcBorders>
              <w:top w:val="single" w:sz="8" w:color="auto"/>
              <w:bottom w:val="single" w:sz="8" w:color="FFDEAD"/>
            </w:tcBorders>
            <w:shd w:val="clear" w:color="auto" w:fill="FFDEAD"/>
          </w:tcPr>
          <w:p>
            <w:pPr>
              <w:spacing w:after="0"/>
              <w:rPr>
                <w:sz w:val="22"/>
                <w:szCs w:val="22"/>
                <w:color w:val="auto"/>
              </w:rPr>
            </w:pPr>
          </w:p>
        </w:tc>
        <w:tc>
          <w:tcPr>
            <w:tcW w:w="1540" w:type="dxa"/>
            <w:vAlign w:val="bottom"/>
            <w:tcBorders>
              <w:top w:val="single" w:sz="8" w:color="auto"/>
              <w:bottom w:val="single" w:sz="8" w:color="FFDEAD"/>
              <w:right w:val="single" w:sz="8" w:color="auto"/>
            </w:tcBorders>
            <w:gridSpan w:val="2"/>
            <w:shd w:val="clear" w:color="auto" w:fill="FFDEAD"/>
          </w:tcPr>
          <w:p>
            <w:pPr>
              <w:spacing w:after="0"/>
              <w:rPr>
                <w:sz w:val="22"/>
                <w:szCs w:val="22"/>
                <w:color w:val="auto"/>
              </w:rPr>
            </w:pPr>
          </w:p>
        </w:tc>
        <w:tc>
          <w:tcPr>
            <w:tcW w:w="620" w:type="dxa"/>
            <w:vAlign w:val="bottom"/>
            <w:tcBorders>
              <w:top w:val="single" w:sz="8" w:color="auto"/>
              <w:bottom w:val="single" w:sz="8" w:color="FFDEAD"/>
              <w:right w:val="single" w:sz="8" w:color="FFDEAD"/>
            </w:tcBorders>
            <w:gridSpan w:val="2"/>
            <w:shd w:val="clear" w:color="auto" w:fill="FFDEAD"/>
          </w:tcPr>
          <w:p>
            <w:pPr>
              <w:spacing w:after="0"/>
              <w:rPr>
                <w:sz w:val="22"/>
                <w:szCs w:val="22"/>
                <w:color w:val="auto"/>
              </w:rPr>
            </w:pPr>
          </w:p>
        </w:tc>
        <w:tc>
          <w:tcPr>
            <w:tcW w:w="560" w:type="dxa"/>
            <w:vAlign w:val="bottom"/>
            <w:tcBorders>
              <w:top w:val="single" w:sz="8" w:color="auto"/>
              <w:bottom w:val="single" w:sz="8" w:color="FFDEAD"/>
              <w:right w:val="single" w:sz="8" w:color="FFDEAD"/>
            </w:tcBorders>
            <w:gridSpan w:val="4"/>
            <w:shd w:val="clear" w:color="auto" w:fill="FFDEAD"/>
          </w:tcPr>
          <w:p>
            <w:pPr>
              <w:jc w:val="center"/>
              <w:spacing w:after="0"/>
              <w:rPr>
                <w:sz w:val="20"/>
                <w:szCs w:val="20"/>
                <w:color w:val="auto"/>
              </w:rPr>
            </w:pPr>
            <w:r>
              <w:rPr>
                <w:rFonts w:ascii="Arial" w:cs="Arial" w:eastAsia="Arial" w:hAnsi="Arial"/>
                <w:sz w:val="18"/>
                <w:szCs w:val="18"/>
                <w:color w:val="FF0000"/>
                <w:strike w:val="1"/>
                <w:w w:val="91"/>
              </w:rPr>
              <w:t>100%</w:t>
            </w:r>
          </w:p>
        </w:tc>
        <w:tc>
          <w:tcPr>
            <w:tcW w:w="120" w:type="dxa"/>
            <w:vAlign w:val="bottom"/>
            <w:tcBorders>
              <w:top w:val="single" w:sz="8" w:color="auto"/>
              <w:left w:val="single" w:sz="8" w:color="FFDEAD"/>
              <w:bottom w:val="single" w:sz="8" w:color="FFDEAD"/>
            </w:tcBorders>
            <w:shd w:val="clear" w:color="auto" w:fill="FFDEAD"/>
          </w:tcPr>
          <w:p>
            <w:pPr>
              <w:spacing w:after="0"/>
              <w:rPr>
                <w:sz w:val="22"/>
                <w:szCs w:val="22"/>
                <w:color w:val="auto"/>
              </w:rPr>
            </w:pPr>
          </w:p>
        </w:tc>
        <w:tc>
          <w:tcPr>
            <w:tcW w:w="80" w:type="dxa"/>
            <w:vAlign w:val="bottom"/>
            <w:tcBorders>
              <w:top w:val="single" w:sz="8" w:color="auto"/>
              <w:bottom w:val="single" w:sz="8" w:color="FFDEAD"/>
            </w:tcBorders>
            <w:shd w:val="clear" w:color="auto" w:fill="FFDEAD"/>
          </w:tcPr>
          <w:p>
            <w:pPr>
              <w:spacing w:after="0"/>
              <w:rPr>
                <w:sz w:val="22"/>
                <w:szCs w:val="22"/>
                <w:color w:val="auto"/>
              </w:rPr>
            </w:pPr>
          </w:p>
        </w:tc>
        <w:tc>
          <w:tcPr>
            <w:tcW w:w="20" w:type="dxa"/>
            <w:vAlign w:val="bottom"/>
            <w:tcBorders>
              <w:top w:val="single" w:sz="8" w:color="auto"/>
              <w:bottom w:val="single" w:sz="8" w:color="FFDEAD"/>
            </w:tcBorders>
            <w:shd w:val="clear" w:color="auto" w:fill="FFDEAD"/>
          </w:tcPr>
          <w:p>
            <w:pPr>
              <w:spacing w:after="0"/>
              <w:rPr>
                <w:sz w:val="22"/>
                <w:szCs w:val="22"/>
                <w:color w:val="auto"/>
              </w:rPr>
            </w:pPr>
          </w:p>
        </w:tc>
        <w:tc>
          <w:tcPr>
            <w:tcW w:w="380" w:type="dxa"/>
            <w:vAlign w:val="bottom"/>
            <w:tcBorders>
              <w:top w:val="single" w:sz="8" w:color="auto"/>
              <w:bottom w:val="single" w:sz="8" w:color="FFDEAD"/>
              <w:right w:val="single" w:sz="8" w:color="auto"/>
            </w:tcBorders>
            <w:shd w:val="clear" w:color="auto" w:fill="FFDEAD"/>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300" w:type="dxa"/>
            <w:vAlign w:val="bottom"/>
            <w:tcBorders>
              <w:top w:val="single" w:sz="8" w:color="auto"/>
              <w:left w:val="single" w:sz="8" w:color="auto"/>
              <w:right w:val="single" w:sz="8" w:color="auto"/>
            </w:tcBorders>
            <w:gridSpan w:val="7"/>
          </w:tcPr>
          <w:p>
            <w:pPr>
              <w:ind w:left="40"/>
              <w:spacing w:after="0"/>
              <w:rPr>
                <w:sz w:val="20"/>
                <w:szCs w:val="20"/>
                <w:color w:val="auto"/>
              </w:rPr>
            </w:pPr>
            <w:r>
              <w:rPr>
                <w:rFonts w:ascii="Arial" w:cs="Arial" w:eastAsia="Arial" w:hAnsi="Arial"/>
                <w:sz w:val="18"/>
                <w:szCs w:val="18"/>
                <w:color w:val="auto"/>
              </w:rPr>
              <w:t>American Assets Trust, L.P.</w:t>
            </w:r>
          </w:p>
        </w:tc>
        <w:tc>
          <w:tcPr>
            <w:tcW w:w="4380" w:type="dxa"/>
            <w:vAlign w:val="bottom"/>
            <w:tcBorders>
              <w:top w:val="single" w:sz="8" w:color="auto"/>
              <w:right w:val="single" w:sz="8" w:color="auto"/>
            </w:tcBorders>
            <w:gridSpan w:val="10"/>
          </w:tcPr>
          <w:p>
            <w:pPr>
              <w:ind w:left="20"/>
              <w:spacing w:after="0"/>
              <w:rPr>
                <w:sz w:val="20"/>
                <w:szCs w:val="20"/>
                <w:color w:val="auto"/>
              </w:rPr>
            </w:pPr>
            <w:r>
              <w:rPr>
                <w:rFonts w:ascii="Arial" w:cs="Arial" w:eastAsia="Arial" w:hAnsi="Arial"/>
                <w:sz w:val="18"/>
                <w:szCs w:val="18"/>
                <w:color w:val="auto"/>
              </w:rPr>
              <w:t>ICW Plaza Merger Sub LLC</w:t>
            </w:r>
          </w:p>
        </w:tc>
        <w:tc>
          <w:tcPr>
            <w:tcW w:w="1180" w:type="dxa"/>
            <w:vAlign w:val="bottom"/>
            <w:tcBorders>
              <w:top w:val="single" w:sz="8" w:color="auto"/>
            </w:tcBorders>
            <w:gridSpan w:val="6"/>
          </w:tcPr>
          <w:p>
            <w:pPr>
              <w:jc w:val="center"/>
              <w:ind w:left="468"/>
              <w:spacing w:after="0"/>
              <w:rPr>
                <w:sz w:val="20"/>
                <w:szCs w:val="20"/>
                <w:color w:val="auto"/>
              </w:rPr>
            </w:pPr>
            <w:r>
              <w:rPr>
                <w:rFonts w:ascii="Arial" w:cs="Arial" w:eastAsia="Arial" w:hAnsi="Arial"/>
                <w:sz w:val="18"/>
                <w:szCs w:val="18"/>
                <w:color w:val="auto"/>
                <w:w w:val="91"/>
              </w:rPr>
              <w:t>100%</w:t>
            </w: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8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4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2380" w:type="dxa"/>
            <w:vAlign w:val="bottom"/>
            <w:tcBorders>
              <w:left w:val="single" w:sz="8" w:color="auto"/>
              <w:bottom w:val="single" w:sz="8" w:color="FFDEAD"/>
            </w:tcBorders>
            <w:gridSpan w:val="4"/>
            <w:shd w:val="clear" w:color="auto" w:fill="FFDEAD"/>
          </w:tcPr>
          <w:p>
            <w:pPr>
              <w:ind w:left="40"/>
              <w:spacing w:after="0"/>
              <w:rPr>
                <w:sz w:val="20"/>
                <w:szCs w:val="20"/>
                <w:color w:val="auto"/>
              </w:rPr>
            </w:pPr>
            <w:r>
              <w:rPr>
                <w:rFonts w:ascii="Arial" w:cs="Arial" w:eastAsia="Arial" w:hAnsi="Arial"/>
                <w:sz w:val="18"/>
                <w:szCs w:val="18"/>
                <w:color w:val="FF0000"/>
                <w:strike w:val="1"/>
              </w:rPr>
              <w:t>ICW Plaza Merger Sub LLC</w:t>
            </w:r>
          </w:p>
        </w:tc>
        <w:tc>
          <w:tcPr>
            <w:tcW w:w="200" w:type="dxa"/>
            <w:vAlign w:val="bottom"/>
            <w:tcBorders>
              <w:bottom w:val="single" w:sz="8" w:color="FFDEAD"/>
            </w:tcBorders>
            <w:shd w:val="clear" w:color="auto" w:fill="FFDEAD"/>
          </w:tcPr>
          <w:p>
            <w:pPr>
              <w:spacing w:after="0"/>
              <w:rPr>
                <w:sz w:val="22"/>
                <w:szCs w:val="22"/>
                <w:color w:val="auto"/>
              </w:rPr>
            </w:pPr>
          </w:p>
        </w:tc>
        <w:tc>
          <w:tcPr>
            <w:tcW w:w="1660" w:type="dxa"/>
            <w:vAlign w:val="bottom"/>
            <w:tcBorders>
              <w:bottom w:val="single" w:sz="8" w:color="FFDEAD"/>
            </w:tcBorders>
            <w:shd w:val="clear" w:color="auto" w:fill="FFDEAD"/>
          </w:tcPr>
          <w:p>
            <w:pPr>
              <w:spacing w:after="0"/>
              <w:rPr>
                <w:sz w:val="22"/>
                <w:szCs w:val="22"/>
                <w:color w:val="auto"/>
              </w:rPr>
            </w:pPr>
          </w:p>
        </w:tc>
        <w:tc>
          <w:tcPr>
            <w:tcW w:w="60" w:type="dxa"/>
            <w:vAlign w:val="bottom"/>
            <w:tcBorders>
              <w:bottom w:val="single" w:sz="8" w:color="FFDEAD"/>
              <w:right w:val="single" w:sz="8" w:color="auto"/>
            </w:tcBorders>
            <w:shd w:val="clear" w:color="auto" w:fill="FFDEAD"/>
          </w:tcPr>
          <w:p>
            <w:pPr>
              <w:spacing w:after="0"/>
              <w:rPr>
                <w:sz w:val="22"/>
                <w:szCs w:val="22"/>
                <w:color w:val="auto"/>
              </w:rPr>
            </w:pPr>
          </w:p>
        </w:tc>
        <w:tc>
          <w:tcPr>
            <w:tcW w:w="2720" w:type="dxa"/>
            <w:vAlign w:val="bottom"/>
            <w:tcBorders>
              <w:bottom w:val="single" w:sz="8" w:color="FFDEAD"/>
            </w:tcBorders>
            <w:gridSpan w:val="7"/>
            <w:shd w:val="clear" w:color="auto" w:fill="FFDEAD"/>
          </w:tcPr>
          <w:p>
            <w:pPr>
              <w:ind w:left="20"/>
              <w:spacing w:after="0"/>
              <w:rPr>
                <w:sz w:val="20"/>
                <w:szCs w:val="20"/>
                <w:color w:val="auto"/>
              </w:rPr>
            </w:pPr>
            <w:r>
              <w:rPr>
                <w:rFonts w:ascii="Arial" w:cs="Arial" w:eastAsia="Arial" w:hAnsi="Arial"/>
                <w:sz w:val="18"/>
                <w:szCs w:val="18"/>
                <w:color w:val="FF0000"/>
                <w:strike w:val="1"/>
              </w:rPr>
              <w:t>ICW Plaza Holdings, LLC</w:t>
            </w:r>
          </w:p>
        </w:tc>
        <w:tc>
          <w:tcPr>
            <w:tcW w:w="120" w:type="dxa"/>
            <w:vAlign w:val="bottom"/>
            <w:tcBorders>
              <w:bottom w:val="single" w:sz="8" w:color="FFDEAD"/>
            </w:tcBorders>
            <w:shd w:val="clear" w:color="auto" w:fill="FFDEAD"/>
          </w:tcPr>
          <w:p>
            <w:pPr>
              <w:spacing w:after="0"/>
              <w:rPr>
                <w:sz w:val="22"/>
                <w:szCs w:val="22"/>
                <w:color w:val="auto"/>
              </w:rPr>
            </w:pPr>
          </w:p>
        </w:tc>
        <w:tc>
          <w:tcPr>
            <w:tcW w:w="1540" w:type="dxa"/>
            <w:vAlign w:val="bottom"/>
            <w:tcBorders>
              <w:bottom w:val="single" w:sz="8" w:color="FFDEAD"/>
              <w:right w:val="single" w:sz="8" w:color="auto"/>
            </w:tcBorders>
            <w:gridSpan w:val="2"/>
            <w:shd w:val="clear" w:color="auto" w:fill="FFDEAD"/>
          </w:tcPr>
          <w:p>
            <w:pPr>
              <w:spacing w:after="0"/>
              <w:rPr>
                <w:sz w:val="22"/>
                <w:szCs w:val="22"/>
                <w:color w:val="auto"/>
              </w:rPr>
            </w:pPr>
          </w:p>
        </w:tc>
        <w:tc>
          <w:tcPr>
            <w:tcW w:w="620" w:type="dxa"/>
            <w:vAlign w:val="bottom"/>
            <w:tcBorders>
              <w:bottom w:val="single" w:sz="8" w:color="FFDEAD"/>
              <w:right w:val="single" w:sz="8" w:color="FFDEAD"/>
            </w:tcBorders>
            <w:gridSpan w:val="2"/>
            <w:shd w:val="clear" w:color="auto" w:fill="FFDEAD"/>
          </w:tcPr>
          <w:p>
            <w:pPr>
              <w:spacing w:after="0"/>
              <w:rPr>
                <w:sz w:val="22"/>
                <w:szCs w:val="22"/>
                <w:color w:val="auto"/>
              </w:rPr>
            </w:pPr>
          </w:p>
        </w:tc>
        <w:tc>
          <w:tcPr>
            <w:tcW w:w="560" w:type="dxa"/>
            <w:vAlign w:val="bottom"/>
            <w:tcBorders>
              <w:bottom w:val="single" w:sz="8" w:color="FFDEAD"/>
              <w:right w:val="single" w:sz="8" w:color="FFDEAD"/>
            </w:tcBorders>
            <w:gridSpan w:val="4"/>
            <w:shd w:val="clear" w:color="auto" w:fill="FFDEAD"/>
          </w:tcPr>
          <w:p>
            <w:pPr>
              <w:jc w:val="center"/>
              <w:spacing w:after="0"/>
              <w:rPr>
                <w:sz w:val="20"/>
                <w:szCs w:val="20"/>
                <w:color w:val="auto"/>
              </w:rPr>
            </w:pPr>
            <w:r>
              <w:rPr>
                <w:rFonts w:ascii="Arial" w:cs="Arial" w:eastAsia="Arial" w:hAnsi="Arial"/>
                <w:sz w:val="18"/>
                <w:szCs w:val="18"/>
                <w:color w:val="FF0000"/>
                <w:strike w:val="1"/>
                <w:w w:val="91"/>
              </w:rPr>
              <w:t>100%</w:t>
            </w:r>
          </w:p>
        </w:tc>
        <w:tc>
          <w:tcPr>
            <w:tcW w:w="120" w:type="dxa"/>
            <w:vAlign w:val="bottom"/>
            <w:tcBorders>
              <w:left w:val="single" w:sz="8" w:color="FFDEAD"/>
              <w:bottom w:val="single" w:sz="8" w:color="FFDEAD"/>
            </w:tcBorders>
            <w:shd w:val="clear" w:color="auto" w:fill="FFDEAD"/>
          </w:tcPr>
          <w:p>
            <w:pPr>
              <w:spacing w:after="0"/>
              <w:rPr>
                <w:sz w:val="22"/>
                <w:szCs w:val="22"/>
                <w:color w:val="auto"/>
              </w:rPr>
            </w:pPr>
          </w:p>
        </w:tc>
        <w:tc>
          <w:tcPr>
            <w:tcW w:w="80" w:type="dxa"/>
            <w:vAlign w:val="bottom"/>
            <w:tcBorders>
              <w:bottom w:val="single" w:sz="8" w:color="FFDEAD"/>
            </w:tcBorders>
            <w:shd w:val="clear" w:color="auto" w:fill="FFDEAD"/>
          </w:tcPr>
          <w:p>
            <w:pPr>
              <w:spacing w:after="0"/>
              <w:rPr>
                <w:sz w:val="22"/>
                <w:szCs w:val="22"/>
                <w:color w:val="auto"/>
              </w:rPr>
            </w:pPr>
          </w:p>
        </w:tc>
        <w:tc>
          <w:tcPr>
            <w:tcW w:w="20" w:type="dxa"/>
            <w:vAlign w:val="bottom"/>
            <w:tcBorders>
              <w:bottom w:val="single" w:sz="8" w:color="FFDEAD"/>
            </w:tcBorders>
            <w:shd w:val="clear" w:color="auto" w:fill="FFDEAD"/>
          </w:tcPr>
          <w:p>
            <w:pPr>
              <w:spacing w:after="0"/>
              <w:rPr>
                <w:sz w:val="22"/>
                <w:szCs w:val="22"/>
                <w:color w:val="auto"/>
              </w:rPr>
            </w:pPr>
          </w:p>
        </w:tc>
        <w:tc>
          <w:tcPr>
            <w:tcW w:w="380" w:type="dxa"/>
            <w:vAlign w:val="bottom"/>
            <w:tcBorders>
              <w:bottom w:val="single" w:sz="8" w:color="FFDEAD"/>
              <w:right w:val="single" w:sz="8" w:color="auto"/>
            </w:tcBorders>
            <w:shd w:val="clear" w:color="auto" w:fill="FFDEAD"/>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300" w:type="dxa"/>
            <w:vAlign w:val="bottom"/>
            <w:tcBorders>
              <w:top w:val="single" w:sz="8" w:color="auto"/>
              <w:left w:val="single" w:sz="8" w:color="auto"/>
              <w:right w:val="single" w:sz="8" w:color="auto"/>
            </w:tcBorders>
            <w:gridSpan w:val="7"/>
          </w:tcPr>
          <w:p>
            <w:pPr>
              <w:ind w:left="40"/>
              <w:spacing w:after="0"/>
              <w:rPr>
                <w:sz w:val="20"/>
                <w:szCs w:val="20"/>
                <w:color w:val="auto"/>
              </w:rPr>
            </w:pPr>
            <w:r>
              <w:rPr>
                <w:rFonts w:ascii="Arial" w:cs="Arial" w:eastAsia="Arial" w:hAnsi="Arial"/>
                <w:sz w:val="18"/>
                <w:szCs w:val="18"/>
                <w:color w:val="auto"/>
              </w:rPr>
              <w:t>American Assets Trust, L.P.</w:t>
            </w:r>
          </w:p>
        </w:tc>
        <w:tc>
          <w:tcPr>
            <w:tcW w:w="4380" w:type="dxa"/>
            <w:vAlign w:val="bottom"/>
            <w:tcBorders>
              <w:top w:val="single" w:sz="8" w:color="auto"/>
              <w:right w:val="single" w:sz="8" w:color="auto"/>
            </w:tcBorders>
            <w:gridSpan w:val="10"/>
          </w:tcPr>
          <w:p>
            <w:pPr>
              <w:ind w:left="20"/>
              <w:spacing w:after="0"/>
              <w:rPr>
                <w:sz w:val="20"/>
                <w:szCs w:val="20"/>
                <w:color w:val="auto"/>
              </w:rPr>
            </w:pPr>
            <w:r>
              <w:rPr>
                <w:rFonts w:ascii="Arial" w:cs="Arial" w:eastAsia="Arial" w:hAnsi="Arial"/>
                <w:sz w:val="18"/>
                <w:szCs w:val="18"/>
                <w:color w:val="auto"/>
              </w:rPr>
              <w:t>Pacific North Court GP LLC</w:t>
            </w:r>
          </w:p>
        </w:tc>
        <w:tc>
          <w:tcPr>
            <w:tcW w:w="1180" w:type="dxa"/>
            <w:vAlign w:val="bottom"/>
            <w:tcBorders>
              <w:top w:val="single" w:sz="8" w:color="auto"/>
            </w:tcBorders>
            <w:gridSpan w:val="6"/>
          </w:tcPr>
          <w:p>
            <w:pPr>
              <w:jc w:val="center"/>
              <w:ind w:left="468"/>
              <w:spacing w:after="0"/>
              <w:rPr>
                <w:sz w:val="20"/>
                <w:szCs w:val="20"/>
                <w:color w:val="auto"/>
              </w:rPr>
            </w:pPr>
            <w:r>
              <w:rPr>
                <w:rFonts w:ascii="Arial" w:cs="Arial" w:eastAsia="Arial" w:hAnsi="Arial"/>
                <w:sz w:val="18"/>
                <w:szCs w:val="18"/>
                <w:color w:val="auto"/>
                <w:w w:val="91"/>
              </w:rPr>
              <w:t>100%</w:t>
            </w: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8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4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00" w:type="dxa"/>
            <w:vAlign w:val="bottom"/>
            <w:tcBorders>
              <w:left w:val="single" w:sz="8" w:color="auto"/>
              <w:right w:val="single" w:sz="8" w:color="auto"/>
            </w:tcBorders>
            <w:gridSpan w:val="7"/>
          </w:tcPr>
          <w:p>
            <w:pPr>
              <w:ind w:left="40"/>
              <w:spacing w:after="0"/>
              <w:rPr>
                <w:sz w:val="20"/>
                <w:szCs w:val="20"/>
                <w:color w:val="auto"/>
              </w:rPr>
            </w:pPr>
            <w:r>
              <w:rPr>
                <w:rFonts w:ascii="Arial" w:cs="Arial" w:eastAsia="Arial" w:hAnsi="Arial"/>
                <w:sz w:val="18"/>
                <w:szCs w:val="18"/>
                <w:color w:val="auto"/>
              </w:rPr>
              <w:t>American Assets Trust, L.P.</w:t>
            </w:r>
          </w:p>
        </w:tc>
        <w:tc>
          <w:tcPr>
            <w:tcW w:w="438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rPr>
              <w:t>Pacific North Court Holdings, L.P.</w:t>
            </w:r>
          </w:p>
        </w:tc>
        <w:tc>
          <w:tcPr>
            <w:tcW w:w="1180" w:type="dxa"/>
            <w:vAlign w:val="bottom"/>
            <w:gridSpan w:val="6"/>
          </w:tcPr>
          <w:p>
            <w:pPr>
              <w:jc w:val="center"/>
              <w:ind w:left="468"/>
              <w:spacing w:after="0"/>
              <w:rPr>
                <w:sz w:val="20"/>
                <w:szCs w:val="20"/>
                <w:color w:val="auto"/>
              </w:rPr>
            </w:pPr>
            <w:r>
              <w:rPr>
                <w:rFonts w:ascii="Arial" w:cs="Arial" w:eastAsia="Arial" w:hAnsi="Arial"/>
                <w:sz w:val="18"/>
                <w:szCs w:val="18"/>
                <w:color w:val="auto"/>
                <w:w w:val="94"/>
              </w:rPr>
              <w:t>99%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4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00" w:type="dxa"/>
            <w:vAlign w:val="bottom"/>
            <w:tcBorders>
              <w:left w:val="single" w:sz="8" w:color="auto"/>
              <w:right w:val="single" w:sz="8" w:color="auto"/>
            </w:tcBorders>
            <w:gridSpan w:val="7"/>
          </w:tcPr>
          <w:p>
            <w:pPr>
              <w:ind w:left="40"/>
              <w:spacing w:after="0"/>
              <w:rPr>
                <w:sz w:val="20"/>
                <w:szCs w:val="20"/>
                <w:color w:val="auto"/>
              </w:rPr>
            </w:pPr>
            <w:r>
              <w:rPr>
                <w:rFonts w:ascii="Arial" w:cs="Arial" w:eastAsia="Arial" w:hAnsi="Arial"/>
                <w:sz w:val="18"/>
                <w:szCs w:val="18"/>
                <w:color w:val="auto"/>
              </w:rPr>
              <w:t>American Assets Trust, L.P.</w:t>
            </w:r>
          </w:p>
        </w:tc>
        <w:tc>
          <w:tcPr>
            <w:tcW w:w="438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rPr>
              <w:t>Pacific South Court Assets LLC</w:t>
            </w:r>
          </w:p>
        </w:tc>
        <w:tc>
          <w:tcPr>
            <w:tcW w:w="1180" w:type="dxa"/>
            <w:vAlign w:val="bottom"/>
            <w:gridSpan w:val="6"/>
          </w:tcPr>
          <w:p>
            <w:pPr>
              <w:jc w:val="center"/>
              <w:ind w:left="468"/>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4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2380" w:type="dxa"/>
            <w:vAlign w:val="bottom"/>
            <w:tcBorders>
              <w:left w:val="single" w:sz="8" w:color="auto"/>
              <w:bottom w:val="single" w:sz="8" w:color="FFDEAD"/>
            </w:tcBorders>
            <w:gridSpan w:val="4"/>
            <w:shd w:val="clear" w:color="auto" w:fill="FFDEAD"/>
          </w:tcPr>
          <w:p>
            <w:pPr>
              <w:ind w:left="40"/>
              <w:spacing w:after="0"/>
              <w:rPr>
                <w:sz w:val="20"/>
                <w:szCs w:val="20"/>
                <w:color w:val="auto"/>
              </w:rPr>
            </w:pPr>
            <w:r>
              <w:rPr>
                <w:rFonts w:ascii="Arial" w:cs="Arial" w:eastAsia="Arial" w:hAnsi="Arial"/>
                <w:sz w:val="18"/>
                <w:szCs w:val="18"/>
                <w:color w:val="FF0000"/>
                <w:strike w:val="1"/>
                <w:w w:val="92"/>
              </w:rPr>
              <w:t>Pacific South Court Assets LLC</w:t>
            </w:r>
          </w:p>
        </w:tc>
        <w:tc>
          <w:tcPr>
            <w:tcW w:w="200" w:type="dxa"/>
            <w:vAlign w:val="bottom"/>
            <w:tcBorders>
              <w:bottom w:val="single" w:sz="8" w:color="FFDEAD"/>
            </w:tcBorders>
            <w:shd w:val="clear" w:color="auto" w:fill="FFDEAD"/>
          </w:tcPr>
          <w:p>
            <w:pPr>
              <w:spacing w:after="0"/>
              <w:rPr>
                <w:sz w:val="22"/>
                <w:szCs w:val="22"/>
                <w:color w:val="auto"/>
              </w:rPr>
            </w:pPr>
          </w:p>
        </w:tc>
        <w:tc>
          <w:tcPr>
            <w:tcW w:w="1660" w:type="dxa"/>
            <w:vAlign w:val="bottom"/>
            <w:tcBorders>
              <w:bottom w:val="single" w:sz="8" w:color="FFDEAD"/>
            </w:tcBorders>
            <w:shd w:val="clear" w:color="auto" w:fill="FFDEAD"/>
          </w:tcPr>
          <w:p>
            <w:pPr>
              <w:spacing w:after="0"/>
              <w:rPr>
                <w:sz w:val="22"/>
                <w:szCs w:val="22"/>
                <w:color w:val="auto"/>
              </w:rPr>
            </w:pPr>
          </w:p>
        </w:tc>
        <w:tc>
          <w:tcPr>
            <w:tcW w:w="60" w:type="dxa"/>
            <w:vAlign w:val="bottom"/>
            <w:tcBorders>
              <w:bottom w:val="single" w:sz="8" w:color="FFDEAD"/>
              <w:right w:val="single" w:sz="8" w:color="auto"/>
            </w:tcBorders>
            <w:shd w:val="clear" w:color="auto" w:fill="FFDEAD"/>
          </w:tcPr>
          <w:p>
            <w:pPr>
              <w:spacing w:after="0"/>
              <w:rPr>
                <w:sz w:val="22"/>
                <w:szCs w:val="22"/>
                <w:color w:val="auto"/>
              </w:rPr>
            </w:pPr>
          </w:p>
        </w:tc>
        <w:tc>
          <w:tcPr>
            <w:tcW w:w="2720" w:type="dxa"/>
            <w:vAlign w:val="bottom"/>
            <w:tcBorders>
              <w:bottom w:val="single" w:sz="8" w:color="FFDEAD"/>
            </w:tcBorders>
            <w:gridSpan w:val="7"/>
            <w:shd w:val="clear" w:color="auto" w:fill="FFDEAD"/>
          </w:tcPr>
          <w:p>
            <w:pPr>
              <w:ind w:left="20"/>
              <w:spacing w:after="0"/>
              <w:rPr>
                <w:sz w:val="20"/>
                <w:szCs w:val="20"/>
                <w:color w:val="auto"/>
              </w:rPr>
            </w:pPr>
            <w:r>
              <w:rPr>
                <w:rFonts w:ascii="Arial" w:cs="Arial" w:eastAsia="Arial" w:hAnsi="Arial"/>
                <w:sz w:val="18"/>
                <w:szCs w:val="18"/>
                <w:color w:val="FF0000"/>
                <w:strike w:val="1"/>
                <w:w w:val="98"/>
              </w:rPr>
              <w:t>Pacific South Court Holdings, L.P.</w:t>
            </w:r>
          </w:p>
        </w:tc>
        <w:tc>
          <w:tcPr>
            <w:tcW w:w="120" w:type="dxa"/>
            <w:vAlign w:val="bottom"/>
            <w:tcBorders>
              <w:bottom w:val="single" w:sz="8" w:color="FFDEAD"/>
            </w:tcBorders>
            <w:shd w:val="clear" w:color="auto" w:fill="FFDEAD"/>
          </w:tcPr>
          <w:p>
            <w:pPr>
              <w:spacing w:after="0"/>
              <w:rPr>
                <w:sz w:val="22"/>
                <w:szCs w:val="22"/>
                <w:color w:val="auto"/>
              </w:rPr>
            </w:pPr>
          </w:p>
        </w:tc>
        <w:tc>
          <w:tcPr>
            <w:tcW w:w="1540" w:type="dxa"/>
            <w:vAlign w:val="bottom"/>
            <w:tcBorders>
              <w:bottom w:val="single" w:sz="8" w:color="FFDEAD"/>
              <w:right w:val="single" w:sz="8" w:color="auto"/>
            </w:tcBorders>
            <w:gridSpan w:val="2"/>
            <w:shd w:val="clear" w:color="auto" w:fill="FFDEAD"/>
          </w:tcPr>
          <w:p>
            <w:pPr>
              <w:spacing w:after="0"/>
              <w:rPr>
                <w:sz w:val="22"/>
                <w:szCs w:val="22"/>
                <w:color w:val="auto"/>
              </w:rPr>
            </w:pPr>
          </w:p>
        </w:tc>
        <w:tc>
          <w:tcPr>
            <w:tcW w:w="740" w:type="dxa"/>
            <w:vAlign w:val="bottom"/>
            <w:tcBorders>
              <w:bottom w:val="single" w:sz="8" w:color="FFDEAD"/>
            </w:tcBorders>
            <w:gridSpan w:val="3"/>
            <w:shd w:val="clear" w:color="auto" w:fill="FFDEAD"/>
          </w:tcPr>
          <w:p>
            <w:pPr>
              <w:spacing w:after="0"/>
              <w:rPr>
                <w:sz w:val="22"/>
                <w:szCs w:val="22"/>
                <w:color w:val="auto"/>
              </w:rPr>
            </w:pPr>
          </w:p>
        </w:tc>
        <w:tc>
          <w:tcPr>
            <w:tcW w:w="280" w:type="dxa"/>
            <w:vAlign w:val="bottom"/>
            <w:tcBorders>
              <w:bottom w:val="single" w:sz="8" w:color="FFDEAD"/>
            </w:tcBorders>
            <w:gridSpan w:val="2"/>
            <w:shd w:val="clear" w:color="auto" w:fill="FFDEAD"/>
          </w:tcPr>
          <w:p>
            <w:pPr>
              <w:jc w:val="center"/>
              <w:spacing w:after="0"/>
              <w:rPr>
                <w:sz w:val="20"/>
                <w:szCs w:val="20"/>
                <w:color w:val="auto"/>
              </w:rPr>
            </w:pPr>
            <w:r>
              <w:rPr>
                <w:rFonts w:ascii="Arial" w:cs="Arial" w:eastAsia="Arial" w:hAnsi="Arial"/>
                <w:sz w:val="18"/>
                <w:szCs w:val="18"/>
                <w:color w:val="FF0000"/>
                <w:strike w:val="1"/>
                <w:w w:val="92"/>
              </w:rPr>
              <w:t>1%</w:t>
            </w:r>
          </w:p>
        </w:tc>
        <w:tc>
          <w:tcPr>
            <w:tcW w:w="160" w:type="dxa"/>
            <w:vAlign w:val="bottom"/>
            <w:tcBorders>
              <w:bottom w:val="single" w:sz="8" w:color="FFDEAD"/>
              <w:right w:val="single" w:sz="8" w:color="FFDEAD"/>
            </w:tcBorders>
            <w:shd w:val="clear" w:color="auto" w:fill="FFDEAD"/>
          </w:tcPr>
          <w:p>
            <w:pPr>
              <w:spacing w:after="0"/>
              <w:rPr>
                <w:sz w:val="22"/>
                <w:szCs w:val="22"/>
                <w:color w:val="auto"/>
              </w:rPr>
            </w:pPr>
          </w:p>
        </w:tc>
        <w:tc>
          <w:tcPr>
            <w:tcW w:w="120" w:type="dxa"/>
            <w:vAlign w:val="bottom"/>
            <w:tcBorders>
              <w:left w:val="single" w:sz="8" w:color="FFDEAD"/>
              <w:bottom w:val="single" w:sz="8" w:color="FFDEAD"/>
            </w:tcBorders>
            <w:shd w:val="clear" w:color="auto" w:fill="FFDEAD"/>
          </w:tcPr>
          <w:p>
            <w:pPr>
              <w:spacing w:after="0"/>
              <w:rPr>
                <w:sz w:val="22"/>
                <w:szCs w:val="22"/>
                <w:color w:val="auto"/>
              </w:rPr>
            </w:pPr>
          </w:p>
        </w:tc>
        <w:tc>
          <w:tcPr>
            <w:tcW w:w="80" w:type="dxa"/>
            <w:vAlign w:val="bottom"/>
            <w:tcBorders>
              <w:bottom w:val="single" w:sz="8" w:color="FFDEAD"/>
            </w:tcBorders>
            <w:shd w:val="clear" w:color="auto" w:fill="FFDEAD"/>
          </w:tcPr>
          <w:p>
            <w:pPr>
              <w:spacing w:after="0"/>
              <w:rPr>
                <w:sz w:val="22"/>
                <w:szCs w:val="22"/>
                <w:color w:val="auto"/>
              </w:rPr>
            </w:pPr>
          </w:p>
        </w:tc>
        <w:tc>
          <w:tcPr>
            <w:tcW w:w="20" w:type="dxa"/>
            <w:vAlign w:val="bottom"/>
            <w:tcBorders>
              <w:bottom w:val="single" w:sz="8" w:color="FFDEAD"/>
            </w:tcBorders>
            <w:shd w:val="clear" w:color="auto" w:fill="FFDEAD"/>
          </w:tcPr>
          <w:p>
            <w:pPr>
              <w:spacing w:after="0"/>
              <w:rPr>
                <w:sz w:val="22"/>
                <w:szCs w:val="22"/>
                <w:color w:val="auto"/>
              </w:rPr>
            </w:pPr>
          </w:p>
        </w:tc>
        <w:tc>
          <w:tcPr>
            <w:tcW w:w="380" w:type="dxa"/>
            <w:vAlign w:val="bottom"/>
            <w:tcBorders>
              <w:bottom w:val="single" w:sz="8" w:color="FFDEAD"/>
              <w:right w:val="single" w:sz="8" w:color="auto"/>
            </w:tcBorders>
            <w:shd w:val="clear" w:color="auto" w:fill="FFDEAD"/>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300" w:type="dxa"/>
            <w:vAlign w:val="bottom"/>
            <w:tcBorders>
              <w:top w:val="single" w:sz="8" w:color="auto"/>
              <w:left w:val="single" w:sz="8" w:color="auto"/>
              <w:right w:val="single" w:sz="8" w:color="auto"/>
            </w:tcBorders>
            <w:gridSpan w:val="7"/>
          </w:tcPr>
          <w:p>
            <w:pPr>
              <w:ind w:left="40"/>
              <w:spacing w:after="0"/>
              <w:rPr>
                <w:sz w:val="20"/>
                <w:szCs w:val="20"/>
                <w:color w:val="auto"/>
              </w:rPr>
            </w:pPr>
            <w:r>
              <w:rPr>
                <w:rFonts w:ascii="Arial" w:cs="Arial" w:eastAsia="Arial" w:hAnsi="Arial"/>
                <w:sz w:val="18"/>
                <w:szCs w:val="18"/>
                <w:color w:val="auto"/>
              </w:rPr>
              <w:t>American Assets Trust, L.P.</w:t>
            </w:r>
          </w:p>
        </w:tc>
        <w:tc>
          <w:tcPr>
            <w:tcW w:w="4380" w:type="dxa"/>
            <w:vAlign w:val="bottom"/>
            <w:tcBorders>
              <w:top w:val="single" w:sz="8" w:color="auto"/>
              <w:right w:val="single" w:sz="8" w:color="auto"/>
            </w:tcBorders>
            <w:gridSpan w:val="10"/>
          </w:tcPr>
          <w:p>
            <w:pPr>
              <w:ind w:left="20"/>
              <w:spacing w:after="0"/>
              <w:rPr>
                <w:sz w:val="20"/>
                <w:szCs w:val="20"/>
                <w:color w:val="auto"/>
              </w:rPr>
            </w:pPr>
            <w:r>
              <w:rPr>
                <w:rFonts w:ascii="Arial" w:cs="Arial" w:eastAsia="Arial" w:hAnsi="Arial"/>
                <w:sz w:val="18"/>
                <w:szCs w:val="18"/>
                <w:color w:val="auto"/>
              </w:rPr>
              <w:t>Pacific South Court Holdings, L.P.</w:t>
            </w:r>
          </w:p>
        </w:tc>
        <w:tc>
          <w:tcPr>
            <w:tcW w:w="1180" w:type="dxa"/>
            <w:vAlign w:val="bottom"/>
            <w:tcBorders>
              <w:top w:val="single" w:sz="8" w:color="auto"/>
            </w:tcBorders>
            <w:gridSpan w:val="6"/>
          </w:tcPr>
          <w:p>
            <w:pPr>
              <w:jc w:val="center"/>
              <w:ind w:left="468"/>
              <w:spacing w:after="0"/>
              <w:rPr>
                <w:sz w:val="20"/>
                <w:szCs w:val="20"/>
                <w:color w:val="auto"/>
              </w:rPr>
            </w:pPr>
            <w:r>
              <w:rPr>
                <w:rFonts w:ascii="Arial" w:cs="Arial" w:eastAsia="Arial" w:hAnsi="Arial"/>
                <w:sz w:val="18"/>
                <w:szCs w:val="18"/>
                <w:color w:val="auto"/>
                <w:w w:val="94"/>
              </w:rPr>
              <w:t>99%</w:t>
            </w: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8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4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00" w:type="dxa"/>
            <w:vAlign w:val="bottom"/>
            <w:tcBorders>
              <w:left w:val="single" w:sz="8" w:color="auto"/>
              <w:right w:val="single" w:sz="8" w:color="auto"/>
            </w:tcBorders>
            <w:gridSpan w:val="7"/>
          </w:tcPr>
          <w:p>
            <w:pPr>
              <w:ind w:left="40"/>
              <w:spacing w:after="0"/>
              <w:rPr>
                <w:sz w:val="20"/>
                <w:szCs w:val="20"/>
                <w:color w:val="auto"/>
              </w:rPr>
            </w:pPr>
            <w:r>
              <w:rPr>
                <w:rFonts w:ascii="Arial" w:cs="Arial" w:eastAsia="Arial" w:hAnsi="Arial"/>
                <w:sz w:val="18"/>
                <w:szCs w:val="18"/>
                <w:color w:val="auto"/>
              </w:rPr>
              <w:t>American Assets Trust, L.P.</w:t>
            </w:r>
          </w:p>
        </w:tc>
        <w:tc>
          <w:tcPr>
            <w:tcW w:w="438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rPr>
              <w:t>Pacific Torrey Daycare Assets LLC</w:t>
            </w:r>
          </w:p>
        </w:tc>
        <w:tc>
          <w:tcPr>
            <w:tcW w:w="1180" w:type="dxa"/>
            <w:vAlign w:val="bottom"/>
            <w:gridSpan w:val="6"/>
          </w:tcPr>
          <w:p>
            <w:pPr>
              <w:jc w:val="center"/>
              <w:ind w:left="468"/>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4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4240" w:type="dxa"/>
            <w:vAlign w:val="bottom"/>
            <w:tcBorders>
              <w:left w:val="single" w:sz="8" w:color="auto"/>
              <w:bottom w:val="single" w:sz="8" w:color="FFDEAD"/>
            </w:tcBorders>
            <w:gridSpan w:val="6"/>
            <w:shd w:val="clear" w:color="auto" w:fill="FFDEAD"/>
          </w:tcPr>
          <w:p>
            <w:pPr>
              <w:ind w:left="40"/>
              <w:spacing w:after="0"/>
              <w:rPr>
                <w:sz w:val="20"/>
                <w:szCs w:val="20"/>
                <w:color w:val="auto"/>
              </w:rPr>
            </w:pPr>
            <w:r>
              <w:rPr>
                <w:rFonts w:ascii="Arial" w:cs="Arial" w:eastAsia="Arial" w:hAnsi="Arial"/>
                <w:sz w:val="18"/>
                <w:szCs w:val="18"/>
                <w:color w:val="FF0000"/>
                <w:strike w:val="1"/>
              </w:rPr>
              <w:t>Pacific Torrey Daycare Assets LLC</w:t>
            </w:r>
          </w:p>
        </w:tc>
        <w:tc>
          <w:tcPr>
            <w:tcW w:w="60" w:type="dxa"/>
            <w:vAlign w:val="bottom"/>
            <w:tcBorders>
              <w:bottom w:val="single" w:sz="8" w:color="FFDEAD"/>
              <w:right w:val="single" w:sz="8" w:color="auto"/>
            </w:tcBorders>
            <w:shd w:val="clear" w:color="auto" w:fill="FFDEAD"/>
          </w:tcPr>
          <w:p>
            <w:pPr>
              <w:spacing w:after="0"/>
              <w:rPr>
                <w:sz w:val="22"/>
                <w:szCs w:val="22"/>
                <w:color w:val="auto"/>
              </w:rPr>
            </w:pPr>
          </w:p>
        </w:tc>
        <w:tc>
          <w:tcPr>
            <w:tcW w:w="2840" w:type="dxa"/>
            <w:vAlign w:val="bottom"/>
            <w:tcBorders>
              <w:bottom w:val="single" w:sz="8" w:color="FFDEAD"/>
            </w:tcBorders>
            <w:gridSpan w:val="8"/>
            <w:shd w:val="clear" w:color="auto" w:fill="FFDEAD"/>
          </w:tcPr>
          <w:p>
            <w:pPr>
              <w:ind w:left="20"/>
              <w:spacing w:after="0"/>
              <w:rPr>
                <w:sz w:val="20"/>
                <w:szCs w:val="20"/>
                <w:color w:val="auto"/>
              </w:rPr>
            </w:pPr>
            <w:r>
              <w:rPr>
                <w:rFonts w:ascii="Arial" w:cs="Arial" w:eastAsia="Arial" w:hAnsi="Arial"/>
                <w:sz w:val="18"/>
                <w:szCs w:val="18"/>
                <w:color w:val="FF0000"/>
                <w:strike w:val="1"/>
                <w:w w:val="93"/>
              </w:rPr>
              <w:t>Pacific Torrey Daycare Holdings, L.P.</w:t>
            </w:r>
          </w:p>
        </w:tc>
        <w:tc>
          <w:tcPr>
            <w:tcW w:w="1540" w:type="dxa"/>
            <w:vAlign w:val="bottom"/>
            <w:tcBorders>
              <w:bottom w:val="single" w:sz="8" w:color="FFDEAD"/>
              <w:right w:val="single" w:sz="8" w:color="auto"/>
            </w:tcBorders>
            <w:gridSpan w:val="2"/>
            <w:shd w:val="clear" w:color="auto" w:fill="FFDEAD"/>
          </w:tcPr>
          <w:p>
            <w:pPr>
              <w:spacing w:after="0"/>
              <w:rPr>
                <w:sz w:val="22"/>
                <w:szCs w:val="22"/>
                <w:color w:val="auto"/>
              </w:rPr>
            </w:pPr>
          </w:p>
        </w:tc>
        <w:tc>
          <w:tcPr>
            <w:tcW w:w="740" w:type="dxa"/>
            <w:vAlign w:val="bottom"/>
            <w:tcBorders>
              <w:bottom w:val="single" w:sz="8" w:color="FFDEAD"/>
            </w:tcBorders>
            <w:gridSpan w:val="3"/>
            <w:shd w:val="clear" w:color="auto" w:fill="FFDEAD"/>
          </w:tcPr>
          <w:p>
            <w:pPr>
              <w:spacing w:after="0"/>
              <w:rPr>
                <w:sz w:val="22"/>
                <w:szCs w:val="22"/>
                <w:color w:val="auto"/>
              </w:rPr>
            </w:pPr>
          </w:p>
        </w:tc>
        <w:tc>
          <w:tcPr>
            <w:tcW w:w="280" w:type="dxa"/>
            <w:vAlign w:val="bottom"/>
            <w:tcBorders>
              <w:bottom w:val="single" w:sz="8" w:color="FFDEAD"/>
            </w:tcBorders>
            <w:gridSpan w:val="2"/>
            <w:shd w:val="clear" w:color="auto" w:fill="FFDEAD"/>
          </w:tcPr>
          <w:p>
            <w:pPr>
              <w:jc w:val="center"/>
              <w:spacing w:after="0"/>
              <w:rPr>
                <w:sz w:val="20"/>
                <w:szCs w:val="20"/>
                <w:color w:val="auto"/>
              </w:rPr>
            </w:pPr>
            <w:r>
              <w:rPr>
                <w:rFonts w:ascii="Arial" w:cs="Arial" w:eastAsia="Arial" w:hAnsi="Arial"/>
                <w:sz w:val="18"/>
                <w:szCs w:val="18"/>
                <w:color w:val="FF0000"/>
                <w:strike w:val="1"/>
                <w:w w:val="92"/>
              </w:rPr>
              <w:t>1%</w:t>
            </w:r>
          </w:p>
        </w:tc>
        <w:tc>
          <w:tcPr>
            <w:tcW w:w="160" w:type="dxa"/>
            <w:vAlign w:val="bottom"/>
            <w:tcBorders>
              <w:bottom w:val="single" w:sz="8" w:color="FFDEAD"/>
              <w:right w:val="single" w:sz="8" w:color="FFDEAD"/>
            </w:tcBorders>
            <w:shd w:val="clear" w:color="auto" w:fill="FFDEAD"/>
          </w:tcPr>
          <w:p>
            <w:pPr>
              <w:spacing w:after="0"/>
              <w:rPr>
                <w:sz w:val="22"/>
                <w:szCs w:val="22"/>
                <w:color w:val="auto"/>
              </w:rPr>
            </w:pPr>
          </w:p>
        </w:tc>
        <w:tc>
          <w:tcPr>
            <w:tcW w:w="120" w:type="dxa"/>
            <w:vAlign w:val="bottom"/>
            <w:tcBorders>
              <w:left w:val="single" w:sz="8" w:color="FFDEAD"/>
              <w:bottom w:val="single" w:sz="8" w:color="FFDEAD"/>
            </w:tcBorders>
            <w:shd w:val="clear" w:color="auto" w:fill="FFDEAD"/>
          </w:tcPr>
          <w:p>
            <w:pPr>
              <w:spacing w:after="0"/>
              <w:rPr>
                <w:sz w:val="22"/>
                <w:szCs w:val="22"/>
                <w:color w:val="auto"/>
              </w:rPr>
            </w:pPr>
          </w:p>
        </w:tc>
        <w:tc>
          <w:tcPr>
            <w:tcW w:w="80" w:type="dxa"/>
            <w:vAlign w:val="bottom"/>
            <w:tcBorders>
              <w:bottom w:val="single" w:sz="8" w:color="FFDEAD"/>
            </w:tcBorders>
            <w:shd w:val="clear" w:color="auto" w:fill="FFDEAD"/>
          </w:tcPr>
          <w:p>
            <w:pPr>
              <w:spacing w:after="0"/>
              <w:rPr>
                <w:sz w:val="22"/>
                <w:szCs w:val="22"/>
                <w:color w:val="auto"/>
              </w:rPr>
            </w:pPr>
          </w:p>
        </w:tc>
        <w:tc>
          <w:tcPr>
            <w:tcW w:w="20" w:type="dxa"/>
            <w:vAlign w:val="bottom"/>
            <w:tcBorders>
              <w:bottom w:val="single" w:sz="8" w:color="FFDEAD"/>
            </w:tcBorders>
            <w:shd w:val="clear" w:color="auto" w:fill="FFDEAD"/>
          </w:tcPr>
          <w:p>
            <w:pPr>
              <w:spacing w:after="0"/>
              <w:rPr>
                <w:sz w:val="22"/>
                <w:szCs w:val="22"/>
                <w:color w:val="auto"/>
              </w:rPr>
            </w:pPr>
          </w:p>
        </w:tc>
        <w:tc>
          <w:tcPr>
            <w:tcW w:w="380" w:type="dxa"/>
            <w:vAlign w:val="bottom"/>
            <w:tcBorders>
              <w:bottom w:val="single" w:sz="8" w:color="FFDEAD"/>
              <w:right w:val="single" w:sz="8" w:color="auto"/>
            </w:tcBorders>
            <w:shd w:val="clear" w:color="auto" w:fill="FFDEAD"/>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300" w:type="dxa"/>
            <w:vAlign w:val="bottom"/>
            <w:tcBorders>
              <w:top w:val="single" w:sz="8" w:color="auto"/>
              <w:left w:val="single" w:sz="8" w:color="auto"/>
              <w:right w:val="single" w:sz="8" w:color="auto"/>
            </w:tcBorders>
            <w:gridSpan w:val="7"/>
          </w:tcPr>
          <w:p>
            <w:pPr>
              <w:ind w:left="40"/>
              <w:spacing w:after="0"/>
              <w:rPr>
                <w:sz w:val="20"/>
                <w:szCs w:val="20"/>
                <w:color w:val="auto"/>
              </w:rPr>
            </w:pPr>
            <w:r>
              <w:rPr>
                <w:rFonts w:ascii="Arial" w:cs="Arial" w:eastAsia="Arial" w:hAnsi="Arial"/>
                <w:sz w:val="18"/>
                <w:szCs w:val="18"/>
                <w:color w:val="auto"/>
              </w:rPr>
              <w:t>American Assets Trust, L.P.</w:t>
            </w:r>
          </w:p>
        </w:tc>
        <w:tc>
          <w:tcPr>
            <w:tcW w:w="4380" w:type="dxa"/>
            <w:vAlign w:val="bottom"/>
            <w:tcBorders>
              <w:top w:val="single" w:sz="8" w:color="auto"/>
              <w:right w:val="single" w:sz="8" w:color="auto"/>
            </w:tcBorders>
            <w:gridSpan w:val="10"/>
          </w:tcPr>
          <w:p>
            <w:pPr>
              <w:ind w:left="20"/>
              <w:spacing w:after="0"/>
              <w:rPr>
                <w:sz w:val="20"/>
                <w:szCs w:val="20"/>
                <w:color w:val="auto"/>
              </w:rPr>
            </w:pPr>
            <w:r>
              <w:rPr>
                <w:rFonts w:ascii="Arial" w:cs="Arial" w:eastAsia="Arial" w:hAnsi="Arial"/>
                <w:sz w:val="18"/>
                <w:szCs w:val="18"/>
                <w:color w:val="auto"/>
              </w:rPr>
              <w:t>Pacific Torrey Daycare Holdings, L.P.</w:t>
            </w:r>
          </w:p>
        </w:tc>
        <w:tc>
          <w:tcPr>
            <w:tcW w:w="1180" w:type="dxa"/>
            <w:vAlign w:val="bottom"/>
            <w:tcBorders>
              <w:top w:val="single" w:sz="8" w:color="auto"/>
            </w:tcBorders>
            <w:gridSpan w:val="6"/>
          </w:tcPr>
          <w:p>
            <w:pPr>
              <w:jc w:val="center"/>
              <w:ind w:left="468"/>
              <w:spacing w:after="0"/>
              <w:rPr>
                <w:sz w:val="20"/>
                <w:szCs w:val="20"/>
                <w:color w:val="auto"/>
              </w:rPr>
            </w:pPr>
            <w:r>
              <w:rPr>
                <w:rFonts w:ascii="Arial" w:cs="Arial" w:eastAsia="Arial" w:hAnsi="Arial"/>
                <w:sz w:val="18"/>
                <w:szCs w:val="18"/>
                <w:color w:val="auto"/>
                <w:w w:val="94"/>
              </w:rPr>
              <w:t>99%</w:t>
            </w: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8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4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00" w:type="dxa"/>
            <w:vAlign w:val="bottom"/>
            <w:tcBorders>
              <w:left w:val="single" w:sz="8" w:color="auto"/>
              <w:right w:val="single" w:sz="8" w:color="auto"/>
            </w:tcBorders>
            <w:gridSpan w:val="7"/>
          </w:tcPr>
          <w:p>
            <w:pPr>
              <w:ind w:left="40"/>
              <w:spacing w:after="0"/>
              <w:rPr>
                <w:sz w:val="20"/>
                <w:szCs w:val="20"/>
                <w:color w:val="auto"/>
              </w:rPr>
            </w:pPr>
            <w:r>
              <w:rPr>
                <w:rFonts w:ascii="Arial" w:cs="Arial" w:eastAsia="Arial" w:hAnsi="Arial"/>
                <w:sz w:val="18"/>
                <w:szCs w:val="18"/>
                <w:color w:val="auto"/>
              </w:rPr>
              <w:t>American Assets Trust, L.P.</w:t>
            </w:r>
          </w:p>
        </w:tc>
        <w:tc>
          <w:tcPr>
            <w:tcW w:w="438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rPr>
              <w:t>Landmark Venture JV, LLC</w:t>
            </w:r>
          </w:p>
        </w:tc>
        <w:tc>
          <w:tcPr>
            <w:tcW w:w="1180" w:type="dxa"/>
            <w:vAlign w:val="bottom"/>
            <w:gridSpan w:val="6"/>
          </w:tcPr>
          <w:p>
            <w:pPr>
              <w:jc w:val="center"/>
              <w:ind w:left="468"/>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4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2380" w:type="dxa"/>
            <w:vAlign w:val="bottom"/>
            <w:tcBorders>
              <w:left w:val="single" w:sz="8" w:color="auto"/>
              <w:bottom w:val="single" w:sz="8" w:color="FFDEAD"/>
            </w:tcBorders>
            <w:gridSpan w:val="4"/>
            <w:shd w:val="clear" w:color="auto" w:fill="FFDEAD"/>
          </w:tcPr>
          <w:p>
            <w:pPr>
              <w:ind w:left="40"/>
              <w:spacing w:after="0"/>
              <w:rPr>
                <w:sz w:val="20"/>
                <w:szCs w:val="20"/>
                <w:color w:val="auto"/>
              </w:rPr>
            </w:pPr>
            <w:r>
              <w:rPr>
                <w:rFonts w:ascii="Arial" w:cs="Arial" w:eastAsia="Arial" w:hAnsi="Arial"/>
                <w:sz w:val="18"/>
                <w:szCs w:val="18"/>
                <w:color w:val="FF0000"/>
                <w:strike w:val="1"/>
              </w:rPr>
              <w:t>Landmark Venture JV, LLC</w:t>
            </w:r>
          </w:p>
        </w:tc>
        <w:tc>
          <w:tcPr>
            <w:tcW w:w="200" w:type="dxa"/>
            <w:vAlign w:val="bottom"/>
            <w:tcBorders>
              <w:bottom w:val="single" w:sz="8" w:color="FFDEAD"/>
            </w:tcBorders>
            <w:shd w:val="clear" w:color="auto" w:fill="FFDEAD"/>
          </w:tcPr>
          <w:p>
            <w:pPr>
              <w:spacing w:after="0"/>
              <w:rPr>
                <w:sz w:val="22"/>
                <w:szCs w:val="22"/>
                <w:color w:val="auto"/>
              </w:rPr>
            </w:pPr>
          </w:p>
        </w:tc>
        <w:tc>
          <w:tcPr>
            <w:tcW w:w="1720" w:type="dxa"/>
            <w:vAlign w:val="bottom"/>
            <w:tcBorders>
              <w:bottom w:val="single" w:sz="8" w:color="FFDEAD"/>
              <w:right w:val="single" w:sz="8" w:color="auto"/>
            </w:tcBorders>
            <w:gridSpan w:val="2"/>
            <w:shd w:val="clear" w:color="auto" w:fill="FFDEAD"/>
          </w:tcPr>
          <w:p>
            <w:pPr>
              <w:spacing w:after="0"/>
              <w:rPr>
                <w:sz w:val="22"/>
                <w:szCs w:val="22"/>
                <w:color w:val="auto"/>
              </w:rPr>
            </w:pPr>
          </w:p>
        </w:tc>
        <w:tc>
          <w:tcPr>
            <w:tcW w:w="2720" w:type="dxa"/>
            <w:vAlign w:val="bottom"/>
            <w:tcBorders>
              <w:bottom w:val="single" w:sz="8" w:color="FFDEAD"/>
            </w:tcBorders>
            <w:gridSpan w:val="7"/>
            <w:shd w:val="clear" w:color="auto" w:fill="FFDEAD"/>
          </w:tcPr>
          <w:p>
            <w:pPr>
              <w:ind w:left="20"/>
              <w:spacing w:after="0"/>
              <w:rPr>
                <w:sz w:val="20"/>
                <w:szCs w:val="20"/>
                <w:color w:val="auto"/>
              </w:rPr>
            </w:pPr>
            <w:r>
              <w:rPr>
                <w:rFonts w:ascii="Arial" w:cs="Arial" w:eastAsia="Arial" w:hAnsi="Arial"/>
                <w:sz w:val="18"/>
                <w:szCs w:val="18"/>
                <w:color w:val="FF0000"/>
                <w:strike w:val="1"/>
              </w:rPr>
              <w:t>Landmark Venture Holdings, LLC</w:t>
            </w:r>
          </w:p>
        </w:tc>
        <w:tc>
          <w:tcPr>
            <w:tcW w:w="1660" w:type="dxa"/>
            <w:vAlign w:val="bottom"/>
            <w:tcBorders>
              <w:bottom w:val="single" w:sz="8" w:color="FFDEAD"/>
              <w:right w:val="single" w:sz="8" w:color="auto"/>
            </w:tcBorders>
            <w:gridSpan w:val="3"/>
            <w:shd w:val="clear" w:color="auto" w:fill="FFDEAD"/>
          </w:tcPr>
          <w:p>
            <w:pPr>
              <w:spacing w:after="0"/>
              <w:rPr>
                <w:sz w:val="22"/>
                <w:szCs w:val="22"/>
                <w:color w:val="auto"/>
              </w:rPr>
            </w:pPr>
          </w:p>
        </w:tc>
        <w:tc>
          <w:tcPr>
            <w:tcW w:w="620" w:type="dxa"/>
            <w:vAlign w:val="bottom"/>
            <w:tcBorders>
              <w:bottom w:val="single" w:sz="8" w:color="FFDEAD"/>
              <w:right w:val="single" w:sz="8" w:color="FFDEAD"/>
            </w:tcBorders>
            <w:gridSpan w:val="2"/>
            <w:shd w:val="clear" w:color="auto" w:fill="FFDEAD"/>
          </w:tcPr>
          <w:p>
            <w:pPr>
              <w:spacing w:after="0"/>
              <w:rPr>
                <w:sz w:val="22"/>
                <w:szCs w:val="22"/>
                <w:color w:val="auto"/>
              </w:rPr>
            </w:pPr>
          </w:p>
        </w:tc>
        <w:tc>
          <w:tcPr>
            <w:tcW w:w="560" w:type="dxa"/>
            <w:vAlign w:val="bottom"/>
            <w:tcBorders>
              <w:bottom w:val="single" w:sz="8" w:color="FFDEAD"/>
              <w:right w:val="single" w:sz="8" w:color="FFDEAD"/>
            </w:tcBorders>
            <w:gridSpan w:val="4"/>
            <w:shd w:val="clear" w:color="auto" w:fill="FFDEAD"/>
          </w:tcPr>
          <w:p>
            <w:pPr>
              <w:jc w:val="center"/>
              <w:spacing w:after="0"/>
              <w:rPr>
                <w:sz w:val="20"/>
                <w:szCs w:val="20"/>
                <w:color w:val="auto"/>
              </w:rPr>
            </w:pPr>
            <w:r>
              <w:rPr>
                <w:rFonts w:ascii="Arial" w:cs="Arial" w:eastAsia="Arial" w:hAnsi="Arial"/>
                <w:sz w:val="18"/>
                <w:szCs w:val="18"/>
                <w:color w:val="FF0000"/>
                <w:strike w:val="1"/>
                <w:w w:val="91"/>
              </w:rPr>
              <w:t>100%</w:t>
            </w:r>
          </w:p>
        </w:tc>
        <w:tc>
          <w:tcPr>
            <w:tcW w:w="120" w:type="dxa"/>
            <w:vAlign w:val="bottom"/>
            <w:tcBorders>
              <w:left w:val="single" w:sz="8" w:color="FFDEAD"/>
              <w:bottom w:val="single" w:sz="8" w:color="FFDEAD"/>
            </w:tcBorders>
            <w:shd w:val="clear" w:color="auto" w:fill="FFDEAD"/>
          </w:tcPr>
          <w:p>
            <w:pPr>
              <w:spacing w:after="0"/>
              <w:rPr>
                <w:sz w:val="22"/>
                <w:szCs w:val="22"/>
                <w:color w:val="auto"/>
              </w:rPr>
            </w:pPr>
          </w:p>
        </w:tc>
        <w:tc>
          <w:tcPr>
            <w:tcW w:w="80" w:type="dxa"/>
            <w:vAlign w:val="bottom"/>
            <w:tcBorders>
              <w:bottom w:val="single" w:sz="8" w:color="FFDEAD"/>
            </w:tcBorders>
            <w:shd w:val="clear" w:color="auto" w:fill="FFDEAD"/>
          </w:tcPr>
          <w:p>
            <w:pPr>
              <w:spacing w:after="0"/>
              <w:rPr>
                <w:sz w:val="22"/>
                <w:szCs w:val="22"/>
                <w:color w:val="auto"/>
              </w:rPr>
            </w:pPr>
          </w:p>
        </w:tc>
        <w:tc>
          <w:tcPr>
            <w:tcW w:w="20" w:type="dxa"/>
            <w:vAlign w:val="bottom"/>
            <w:tcBorders>
              <w:bottom w:val="single" w:sz="8" w:color="FFDEAD"/>
            </w:tcBorders>
            <w:shd w:val="clear" w:color="auto" w:fill="FFDEAD"/>
          </w:tcPr>
          <w:p>
            <w:pPr>
              <w:spacing w:after="0"/>
              <w:rPr>
                <w:sz w:val="22"/>
                <w:szCs w:val="22"/>
                <w:color w:val="auto"/>
              </w:rPr>
            </w:pPr>
          </w:p>
        </w:tc>
        <w:tc>
          <w:tcPr>
            <w:tcW w:w="380" w:type="dxa"/>
            <w:vAlign w:val="bottom"/>
            <w:tcBorders>
              <w:bottom w:val="single" w:sz="8" w:color="FFDEAD"/>
              <w:right w:val="single" w:sz="8" w:color="auto"/>
            </w:tcBorders>
            <w:shd w:val="clear" w:color="auto" w:fill="FFDEAD"/>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300" w:type="dxa"/>
            <w:vAlign w:val="bottom"/>
            <w:tcBorders>
              <w:top w:val="single" w:sz="8" w:color="auto"/>
              <w:left w:val="single" w:sz="8" w:color="auto"/>
              <w:right w:val="single" w:sz="8" w:color="auto"/>
            </w:tcBorders>
            <w:gridSpan w:val="7"/>
          </w:tcPr>
          <w:p>
            <w:pPr>
              <w:ind w:left="40"/>
              <w:spacing w:after="0"/>
              <w:rPr>
                <w:sz w:val="20"/>
                <w:szCs w:val="20"/>
                <w:color w:val="auto"/>
              </w:rPr>
            </w:pPr>
            <w:r>
              <w:rPr>
                <w:rFonts w:ascii="Arial" w:cs="Arial" w:eastAsia="Arial" w:hAnsi="Arial"/>
                <w:sz w:val="18"/>
                <w:szCs w:val="18"/>
                <w:color w:val="auto"/>
              </w:rPr>
              <w:t>American Assets Trust, L.P.</w:t>
            </w:r>
          </w:p>
        </w:tc>
        <w:tc>
          <w:tcPr>
            <w:tcW w:w="4380" w:type="dxa"/>
            <w:vAlign w:val="bottom"/>
            <w:tcBorders>
              <w:top w:val="single" w:sz="8" w:color="auto"/>
              <w:right w:val="single" w:sz="8" w:color="auto"/>
            </w:tcBorders>
            <w:gridSpan w:val="10"/>
          </w:tcPr>
          <w:p>
            <w:pPr>
              <w:ind w:left="20"/>
              <w:spacing w:after="0"/>
              <w:rPr>
                <w:sz w:val="20"/>
                <w:szCs w:val="20"/>
                <w:color w:val="auto"/>
              </w:rPr>
            </w:pPr>
            <w:r>
              <w:rPr>
                <w:rFonts w:ascii="Arial" w:cs="Arial" w:eastAsia="Arial" w:hAnsi="Arial"/>
                <w:sz w:val="18"/>
                <w:szCs w:val="18"/>
                <w:color w:val="auto"/>
              </w:rPr>
              <w:t>Pacific Firecreek Holdings, LLC</w:t>
            </w:r>
          </w:p>
        </w:tc>
        <w:tc>
          <w:tcPr>
            <w:tcW w:w="1180" w:type="dxa"/>
            <w:vAlign w:val="bottom"/>
            <w:tcBorders>
              <w:top w:val="single" w:sz="8" w:color="auto"/>
            </w:tcBorders>
            <w:gridSpan w:val="6"/>
          </w:tcPr>
          <w:p>
            <w:pPr>
              <w:jc w:val="center"/>
              <w:ind w:left="468"/>
              <w:spacing w:after="0"/>
              <w:rPr>
                <w:sz w:val="20"/>
                <w:szCs w:val="20"/>
                <w:color w:val="auto"/>
              </w:rPr>
            </w:pPr>
            <w:r>
              <w:rPr>
                <w:rFonts w:ascii="Arial" w:cs="Arial" w:eastAsia="Arial" w:hAnsi="Arial"/>
                <w:sz w:val="18"/>
                <w:szCs w:val="18"/>
                <w:color w:val="auto"/>
                <w:w w:val="91"/>
              </w:rPr>
              <w:t>100%</w:t>
            </w: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8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4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2580" w:type="dxa"/>
            <w:vAlign w:val="bottom"/>
            <w:tcBorders>
              <w:left w:val="single" w:sz="8" w:color="auto"/>
              <w:bottom w:val="single" w:sz="8" w:color="FFDEAD"/>
            </w:tcBorders>
            <w:gridSpan w:val="5"/>
            <w:shd w:val="clear" w:color="auto" w:fill="FFDEAD"/>
          </w:tcPr>
          <w:p>
            <w:pPr>
              <w:ind w:left="40"/>
              <w:spacing w:after="0"/>
              <w:rPr>
                <w:sz w:val="20"/>
                <w:szCs w:val="20"/>
                <w:color w:val="auto"/>
              </w:rPr>
            </w:pPr>
            <w:r>
              <w:rPr>
                <w:rFonts w:ascii="Arial" w:cs="Arial" w:eastAsia="Arial" w:hAnsi="Arial"/>
                <w:sz w:val="18"/>
                <w:szCs w:val="18"/>
                <w:color w:val="FF0000"/>
                <w:strike w:val="1"/>
              </w:rPr>
              <w:t>Pacific Firecreek Holdings, LLC</w:t>
            </w:r>
          </w:p>
        </w:tc>
        <w:tc>
          <w:tcPr>
            <w:tcW w:w="1720" w:type="dxa"/>
            <w:vAlign w:val="bottom"/>
            <w:tcBorders>
              <w:bottom w:val="single" w:sz="8" w:color="FFDEAD"/>
              <w:right w:val="single" w:sz="8" w:color="auto"/>
            </w:tcBorders>
            <w:gridSpan w:val="2"/>
            <w:shd w:val="clear" w:color="auto" w:fill="FFDEAD"/>
          </w:tcPr>
          <w:p>
            <w:pPr>
              <w:spacing w:after="0"/>
              <w:rPr>
                <w:sz w:val="22"/>
                <w:szCs w:val="22"/>
                <w:color w:val="auto"/>
              </w:rPr>
            </w:pPr>
          </w:p>
        </w:tc>
        <w:tc>
          <w:tcPr>
            <w:tcW w:w="2720" w:type="dxa"/>
            <w:vAlign w:val="bottom"/>
            <w:tcBorders>
              <w:bottom w:val="single" w:sz="8" w:color="FFDEAD"/>
            </w:tcBorders>
            <w:gridSpan w:val="7"/>
            <w:shd w:val="clear" w:color="auto" w:fill="FFDEAD"/>
          </w:tcPr>
          <w:p>
            <w:pPr>
              <w:ind w:left="20"/>
              <w:spacing w:after="0"/>
              <w:rPr>
                <w:sz w:val="20"/>
                <w:szCs w:val="20"/>
                <w:color w:val="auto"/>
              </w:rPr>
            </w:pPr>
            <w:r>
              <w:rPr>
                <w:rFonts w:ascii="Arial" w:cs="Arial" w:eastAsia="Arial" w:hAnsi="Arial"/>
                <w:sz w:val="18"/>
                <w:szCs w:val="18"/>
                <w:color w:val="FF0000"/>
                <w:strike w:val="1"/>
              </w:rPr>
              <w:t>Landmark FireHill Holdings, LLC</w:t>
            </w:r>
          </w:p>
        </w:tc>
        <w:tc>
          <w:tcPr>
            <w:tcW w:w="1660" w:type="dxa"/>
            <w:vAlign w:val="bottom"/>
            <w:tcBorders>
              <w:bottom w:val="single" w:sz="8" w:color="FFDEAD"/>
              <w:right w:val="single" w:sz="8" w:color="auto"/>
            </w:tcBorders>
            <w:gridSpan w:val="3"/>
            <w:shd w:val="clear" w:color="auto" w:fill="FFDEAD"/>
          </w:tcPr>
          <w:p>
            <w:pPr>
              <w:spacing w:after="0"/>
              <w:rPr>
                <w:sz w:val="22"/>
                <w:szCs w:val="22"/>
                <w:color w:val="auto"/>
              </w:rPr>
            </w:pPr>
          </w:p>
        </w:tc>
        <w:tc>
          <w:tcPr>
            <w:tcW w:w="620" w:type="dxa"/>
            <w:vAlign w:val="bottom"/>
            <w:tcBorders>
              <w:bottom w:val="single" w:sz="8" w:color="FFDEAD"/>
              <w:right w:val="single" w:sz="8" w:color="FFDEAD"/>
            </w:tcBorders>
            <w:gridSpan w:val="2"/>
            <w:shd w:val="clear" w:color="auto" w:fill="FFDEAD"/>
          </w:tcPr>
          <w:p>
            <w:pPr>
              <w:spacing w:after="0"/>
              <w:rPr>
                <w:sz w:val="22"/>
                <w:szCs w:val="22"/>
                <w:color w:val="auto"/>
              </w:rPr>
            </w:pPr>
          </w:p>
        </w:tc>
        <w:tc>
          <w:tcPr>
            <w:tcW w:w="560" w:type="dxa"/>
            <w:vAlign w:val="bottom"/>
            <w:tcBorders>
              <w:bottom w:val="single" w:sz="8" w:color="FFDEAD"/>
              <w:right w:val="single" w:sz="8" w:color="FFDEAD"/>
            </w:tcBorders>
            <w:gridSpan w:val="4"/>
            <w:shd w:val="clear" w:color="auto" w:fill="FFDEAD"/>
          </w:tcPr>
          <w:p>
            <w:pPr>
              <w:jc w:val="center"/>
              <w:spacing w:after="0"/>
              <w:rPr>
                <w:sz w:val="20"/>
                <w:szCs w:val="20"/>
                <w:color w:val="auto"/>
              </w:rPr>
            </w:pPr>
            <w:r>
              <w:rPr>
                <w:rFonts w:ascii="Arial" w:cs="Arial" w:eastAsia="Arial" w:hAnsi="Arial"/>
                <w:sz w:val="18"/>
                <w:szCs w:val="18"/>
                <w:color w:val="FF0000"/>
                <w:strike w:val="1"/>
                <w:w w:val="91"/>
              </w:rPr>
              <w:t>100%</w:t>
            </w:r>
          </w:p>
        </w:tc>
        <w:tc>
          <w:tcPr>
            <w:tcW w:w="120" w:type="dxa"/>
            <w:vAlign w:val="bottom"/>
            <w:tcBorders>
              <w:left w:val="single" w:sz="8" w:color="FFDEAD"/>
              <w:bottom w:val="single" w:sz="8" w:color="FFDEAD"/>
            </w:tcBorders>
            <w:shd w:val="clear" w:color="auto" w:fill="FFDEAD"/>
          </w:tcPr>
          <w:p>
            <w:pPr>
              <w:spacing w:after="0"/>
              <w:rPr>
                <w:sz w:val="22"/>
                <w:szCs w:val="22"/>
                <w:color w:val="auto"/>
              </w:rPr>
            </w:pPr>
          </w:p>
        </w:tc>
        <w:tc>
          <w:tcPr>
            <w:tcW w:w="80" w:type="dxa"/>
            <w:vAlign w:val="bottom"/>
            <w:tcBorders>
              <w:bottom w:val="single" w:sz="8" w:color="FFDEAD"/>
            </w:tcBorders>
            <w:shd w:val="clear" w:color="auto" w:fill="FFDEAD"/>
          </w:tcPr>
          <w:p>
            <w:pPr>
              <w:spacing w:after="0"/>
              <w:rPr>
                <w:sz w:val="22"/>
                <w:szCs w:val="22"/>
                <w:color w:val="auto"/>
              </w:rPr>
            </w:pPr>
          </w:p>
        </w:tc>
        <w:tc>
          <w:tcPr>
            <w:tcW w:w="20" w:type="dxa"/>
            <w:vAlign w:val="bottom"/>
            <w:tcBorders>
              <w:bottom w:val="single" w:sz="8" w:color="FFDEAD"/>
            </w:tcBorders>
            <w:shd w:val="clear" w:color="auto" w:fill="FFDEAD"/>
          </w:tcPr>
          <w:p>
            <w:pPr>
              <w:spacing w:after="0"/>
              <w:rPr>
                <w:sz w:val="22"/>
                <w:szCs w:val="22"/>
                <w:color w:val="auto"/>
              </w:rPr>
            </w:pPr>
          </w:p>
        </w:tc>
        <w:tc>
          <w:tcPr>
            <w:tcW w:w="380" w:type="dxa"/>
            <w:vAlign w:val="bottom"/>
            <w:tcBorders>
              <w:bottom w:val="single" w:sz="8" w:color="FFDEAD"/>
              <w:right w:val="single" w:sz="8" w:color="auto"/>
            </w:tcBorders>
            <w:shd w:val="clear" w:color="auto" w:fill="FFDEAD"/>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300" w:type="dxa"/>
            <w:vAlign w:val="bottom"/>
            <w:tcBorders>
              <w:top w:val="single" w:sz="8" w:color="auto"/>
              <w:left w:val="single" w:sz="8" w:color="auto"/>
              <w:right w:val="single" w:sz="8" w:color="auto"/>
            </w:tcBorders>
            <w:gridSpan w:val="7"/>
          </w:tcPr>
          <w:p>
            <w:pPr>
              <w:ind w:left="40"/>
              <w:spacing w:after="0"/>
              <w:rPr>
                <w:sz w:val="20"/>
                <w:szCs w:val="20"/>
                <w:color w:val="auto"/>
              </w:rPr>
            </w:pPr>
            <w:r>
              <w:rPr>
                <w:rFonts w:ascii="Arial" w:cs="Arial" w:eastAsia="Arial" w:hAnsi="Arial"/>
                <w:sz w:val="18"/>
                <w:szCs w:val="18"/>
                <w:color w:val="auto"/>
              </w:rPr>
              <w:t>American Assets Trust, L.P.</w:t>
            </w:r>
          </w:p>
        </w:tc>
        <w:tc>
          <w:tcPr>
            <w:tcW w:w="4380" w:type="dxa"/>
            <w:vAlign w:val="bottom"/>
            <w:tcBorders>
              <w:top w:val="single" w:sz="8" w:color="auto"/>
              <w:right w:val="single" w:sz="8" w:color="auto"/>
            </w:tcBorders>
            <w:gridSpan w:val="10"/>
          </w:tcPr>
          <w:p>
            <w:pPr>
              <w:ind w:left="20"/>
              <w:spacing w:after="0"/>
              <w:rPr>
                <w:sz w:val="20"/>
                <w:szCs w:val="20"/>
                <w:color w:val="auto"/>
              </w:rPr>
            </w:pPr>
            <w:r>
              <w:rPr>
                <w:rFonts w:ascii="Arial" w:cs="Arial" w:eastAsia="Arial" w:hAnsi="Arial"/>
                <w:sz w:val="18"/>
                <w:szCs w:val="18"/>
                <w:color w:val="auto"/>
              </w:rPr>
              <w:t>AAT Oregon Office I, LLC</w:t>
            </w:r>
          </w:p>
        </w:tc>
        <w:tc>
          <w:tcPr>
            <w:tcW w:w="1180" w:type="dxa"/>
            <w:vAlign w:val="bottom"/>
            <w:tcBorders>
              <w:top w:val="single" w:sz="8" w:color="auto"/>
            </w:tcBorders>
            <w:gridSpan w:val="6"/>
          </w:tcPr>
          <w:p>
            <w:pPr>
              <w:jc w:val="center"/>
              <w:ind w:left="468"/>
              <w:spacing w:after="0"/>
              <w:rPr>
                <w:sz w:val="20"/>
                <w:szCs w:val="20"/>
                <w:color w:val="auto"/>
              </w:rPr>
            </w:pPr>
            <w:r>
              <w:rPr>
                <w:rFonts w:ascii="Arial" w:cs="Arial" w:eastAsia="Arial" w:hAnsi="Arial"/>
                <w:sz w:val="18"/>
                <w:szCs w:val="18"/>
                <w:color w:val="auto"/>
                <w:w w:val="91"/>
              </w:rPr>
              <w:t>100%</w:t>
            </w: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8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4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00" w:type="dxa"/>
            <w:vAlign w:val="bottom"/>
            <w:tcBorders>
              <w:left w:val="single" w:sz="8" w:color="auto"/>
              <w:right w:val="single" w:sz="8" w:color="auto"/>
            </w:tcBorders>
            <w:gridSpan w:val="7"/>
          </w:tcPr>
          <w:p>
            <w:pPr>
              <w:ind w:left="40"/>
              <w:spacing w:after="0"/>
              <w:rPr>
                <w:sz w:val="20"/>
                <w:szCs w:val="20"/>
                <w:color w:val="auto"/>
              </w:rPr>
            </w:pPr>
            <w:r>
              <w:rPr>
                <w:rFonts w:ascii="Arial" w:cs="Arial" w:eastAsia="Arial" w:hAnsi="Arial"/>
                <w:sz w:val="18"/>
                <w:szCs w:val="18"/>
                <w:color w:val="auto"/>
              </w:rPr>
              <w:t>American Assets Trust, L.P.</w:t>
            </w:r>
          </w:p>
        </w:tc>
        <w:tc>
          <w:tcPr>
            <w:tcW w:w="438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rPr>
              <w:t>AAT Lloyd District, LLC</w:t>
            </w:r>
          </w:p>
        </w:tc>
        <w:tc>
          <w:tcPr>
            <w:tcW w:w="1180" w:type="dxa"/>
            <w:vAlign w:val="bottom"/>
            <w:gridSpan w:val="6"/>
          </w:tcPr>
          <w:p>
            <w:pPr>
              <w:jc w:val="center"/>
              <w:ind w:left="468"/>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4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00" w:type="dxa"/>
            <w:vAlign w:val="bottom"/>
            <w:tcBorders>
              <w:left w:val="single" w:sz="8" w:color="auto"/>
              <w:right w:val="single" w:sz="8" w:color="auto"/>
            </w:tcBorders>
            <w:gridSpan w:val="7"/>
          </w:tcPr>
          <w:p>
            <w:pPr>
              <w:ind w:left="40"/>
              <w:spacing w:after="0"/>
              <w:rPr>
                <w:sz w:val="20"/>
                <w:szCs w:val="20"/>
                <w:color w:val="auto"/>
              </w:rPr>
            </w:pPr>
            <w:r>
              <w:rPr>
                <w:rFonts w:ascii="Arial" w:cs="Arial" w:eastAsia="Arial" w:hAnsi="Arial"/>
                <w:sz w:val="18"/>
                <w:szCs w:val="18"/>
                <w:color w:val="auto"/>
              </w:rPr>
              <w:t>American Assets Trust, L.P.</w:t>
            </w:r>
          </w:p>
        </w:tc>
        <w:tc>
          <w:tcPr>
            <w:tcW w:w="438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rPr>
              <w:t>AAT One Beach, LLC</w:t>
            </w:r>
          </w:p>
        </w:tc>
        <w:tc>
          <w:tcPr>
            <w:tcW w:w="1180" w:type="dxa"/>
            <w:vAlign w:val="bottom"/>
            <w:gridSpan w:val="6"/>
          </w:tcPr>
          <w:p>
            <w:pPr>
              <w:jc w:val="center"/>
              <w:ind w:left="468"/>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4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00" w:type="dxa"/>
            <w:vAlign w:val="bottom"/>
            <w:tcBorders>
              <w:left w:val="single" w:sz="8" w:color="auto"/>
              <w:right w:val="single" w:sz="8" w:color="auto"/>
            </w:tcBorders>
            <w:gridSpan w:val="7"/>
          </w:tcPr>
          <w:p>
            <w:pPr>
              <w:ind w:left="40"/>
              <w:spacing w:after="0"/>
              <w:rPr>
                <w:sz w:val="20"/>
                <w:szCs w:val="20"/>
                <w:color w:val="auto"/>
              </w:rPr>
            </w:pPr>
            <w:r>
              <w:rPr>
                <w:rFonts w:ascii="Arial" w:cs="Arial" w:eastAsia="Arial" w:hAnsi="Arial"/>
                <w:sz w:val="18"/>
                <w:szCs w:val="18"/>
                <w:color w:val="auto"/>
              </w:rPr>
              <w:t>American Assets Trust, L.P.</w:t>
            </w:r>
          </w:p>
        </w:tc>
        <w:tc>
          <w:tcPr>
            <w:tcW w:w="4380" w:type="dxa"/>
            <w:vAlign w:val="bottom"/>
            <w:tcBorders>
              <w:right w:val="single" w:sz="8" w:color="auto"/>
            </w:tcBorders>
            <w:gridSpan w:val="10"/>
          </w:tcPr>
          <w:p>
            <w:pPr>
              <w:ind w:left="20"/>
              <w:spacing w:after="0"/>
              <w:rPr>
                <w:sz w:val="20"/>
                <w:szCs w:val="20"/>
                <w:color w:val="auto"/>
              </w:rPr>
            </w:pPr>
            <w:r>
              <w:rPr>
                <w:rFonts w:ascii="Arial" w:cs="Arial" w:eastAsia="Arial" w:hAnsi="Arial"/>
                <w:sz w:val="18"/>
                <w:szCs w:val="18"/>
                <w:color w:val="auto"/>
              </w:rPr>
              <w:t>AAT CC Bellevue, LLC</w:t>
            </w:r>
          </w:p>
        </w:tc>
        <w:tc>
          <w:tcPr>
            <w:tcW w:w="1180" w:type="dxa"/>
            <w:vAlign w:val="bottom"/>
            <w:gridSpan w:val="6"/>
          </w:tcPr>
          <w:p>
            <w:pPr>
              <w:jc w:val="center"/>
              <w:ind w:left="468"/>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4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4300" w:type="dxa"/>
            <w:vAlign w:val="bottom"/>
            <w:tcBorders>
              <w:left w:val="single" w:sz="8" w:color="auto"/>
              <w:right w:val="single" w:sz="8" w:color="auto"/>
            </w:tcBorders>
            <w:gridSpan w:val="7"/>
          </w:tcPr>
          <w:p>
            <w:pPr>
              <w:ind w:left="40"/>
              <w:spacing w:after="0" w:line="193" w:lineRule="exact"/>
              <w:rPr>
                <w:sz w:val="20"/>
                <w:szCs w:val="20"/>
                <w:color w:val="auto"/>
              </w:rPr>
            </w:pPr>
            <w:r>
              <w:rPr>
                <w:rFonts w:ascii="Arial" w:cs="Arial" w:eastAsia="Arial" w:hAnsi="Arial"/>
                <w:sz w:val="18"/>
                <w:szCs w:val="18"/>
                <w:color w:val="auto"/>
              </w:rPr>
              <w:t>American Assets Trust, L.P.</w:t>
            </w:r>
          </w:p>
        </w:tc>
        <w:tc>
          <w:tcPr>
            <w:tcW w:w="1220" w:type="dxa"/>
            <w:vAlign w:val="bottom"/>
            <w:gridSpan w:val="3"/>
          </w:tcPr>
          <w:p>
            <w:pPr>
              <w:ind w:left="20"/>
              <w:spacing w:after="0" w:line="193" w:lineRule="exact"/>
              <w:rPr>
                <w:sz w:val="20"/>
                <w:szCs w:val="20"/>
                <w:color w:val="auto"/>
              </w:rPr>
            </w:pPr>
            <w:r>
              <w:rPr>
                <w:rFonts w:ascii="Arial" w:cs="Arial" w:eastAsia="Arial" w:hAnsi="Arial"/>
                <w:sz w:val="18"/>
                <w:szCs w:val="18"/>
                <w:color w:val="auto"/>
                <w:w w:val="96"/>
              </w:rPr>
              <w:t>Imperial Strand</w:t>
            </w:r>
          </w:p>
        </w:tc>
        <w:tc>
          <w:tcPr>
            <w:tcW w:w="680" w:type="dxa"/>
            <w:vAlign w:val="bottom"/>
            <w:gridSpan w:val="3"/>
            <w:shd w:val="clear" w:color="auto" w:fill="D6D6D6"/>
          </w:tcPr>
          <w:p>
            <w:pPr>
              <w:spacing w:after="0" w:line="193" w:lineRule="exact"/>
              <w:rPr>
                <w:sz w:val="20"/>
                <w:szCs w:val="20"/>
                <w:color w:val="auto"/>
              </w:rPr>
            </w:pPr>
            <w:r>
              <w:rPr>
                <w:rFonts w:ascii="Arial" w:cs="Arial" w:eastAsia="Arial" w:hAnsi="Arial"/>
                <w:sz w:val="18"/>
                <w:szCs w:val="18"/>
                <w:b w:val="1"/>
                <w:bCs w:val="1"/>
                <w:color w:val="0000FF"/>
                <w:w w:val="85"/>
              </w:rPr>
              <w:t>Holdings</w:t>
            </w:r>
          </w:p>
        </w:tc>
        <w:tc>
          <w:tcPr>
            <w:tcW w:w="2480" w:type="dxa"/>
            <w:vAlign w:val="bottom"/>
            <w:tcBorders>
              <w:right w:val="single" w:sz="8" w:color="auto"/>
            </w:tcBorders>
            <w:gridSpan w:val="4"/>
          </w:tcPr>
          <w:p>
            <w:pPr>
              <w:spacing w:after="0" w:line="193" w:lineRule="exact"/>
              <w:rPr>
                <w:sz w:val="20"/>
                <w:szCs w:val="20"/>
                <w:color w:val="auto"/>
              </w:rPr>
            </w:pPr>
            <w:r>
              <w:rPr>
                <w:rFonts w:ascii="Arial" w:cs="Arial" w:eastAsia="Arial" w:hAnsi="Arial"/>
                <w:sz w:val="18"/>
                <w:szCs w:val="18"/>
                <w:b w:val="1"/>
                <w:bCs w:val="1"/>
                <w:color w:val="0000FF"/>
              </w:rPr>
              <w:t xml:space="preserve">, </w:t>
            </w:r>
            <w:r>
              <w:rPr>
                <w:rFonts w:ascii="Arial" w:cs="Arial" w:eastAsia="Arial" w:hAnsi="Arial"/>
                <w:sz w:val="18"/>
                <w:szCs w:val="18"/>
                <w:color w:val="000000"/>
              </w:rPr>
              <w:t>LLC</w:t>
            </w:r>
          </w:p>
        </w:tc>
        <w:tc>
          <w:tcPr>
            <w:tcW w:w="1180" w:type="dxa"/>
            <w:vAlign w:val="bottom"/>
            <w:gridSpan w:val="6"/>
          </w:tcPr>
          <w:p>
            <w:pPr>
              <w:jc w:val="center"/>
              <w:ind w:left="468"/>
              <w:spacing w:after="0" w:line="193" w:lineRule="exact"/>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34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85" w:right="239" w:bottom="1440" w:gutter="0" w:footer="0" w:header="0"/>
        </w:sectPr>
      </w:pPr>
    </w:p>
    <w:bookmarkStart w:id="357" w:name="page358"/>
    <w:bookmarkEnd w:id="357"/>
    <w:p>
      <w:pPr>
        <w:spacing w:after="0" w:line="1" w:lineRule="exact"/>
        <w:rPr>
          <w:sz w:val="20"/>
          <w:szCs w:val="20"/>
          <w:color w:val="auto"/>
        </w:rPr>
      </w:pPr>
    </w:p>
    <w:tbl>
      <w:tblPr>
        <w:tblLayout w:type="fixed"/>
        <w:tblInd w:w="510" w:type="dxa"/>
        <w:tblCellMar>
          <w:top w:w="0" w:type="dxa"/>
          <w:left w:w="0" w:type="dxa"/>
          <w:bottom w:w="0" w:type="dxa"/>
          <w:right w:w="0" w:type="dxa"/>
        </w:tblCellMar>
      </w:tblPr>
      <w:tr>
        <w:trPr>
          <w:trHeight w:val="280"/>
        </w:trPr>
        <w:tc>
          <w:tcPr>
            <w:tcW w:w="2200" w:type="dxa"/>
            <w:vAlign w:val="bottom"/>
            <w:tcBorders>
              <w:top w:val="single" w:sz="8" w:color="auto"/>
              <w:left w:val="single" w:sz="8" w:color="FFDEAD"/>
              <w:bottom w:val="single" w:sz="8" w:color="FFDEAD"/>
            </w:tcBorders>
            <w:shd w:val="clear" w:color="auto" w:fill="FFDEAD"/>
          </w:tcPr>
          <w:p>
            <w:pPr>
              <w:ind w:left="40"/>
              <w:spacing w:after="0"/>
              <w:rPr>
                <w:sz w:val="20"/>
                <w:szCs w:val="20"/>
                <w:color w:val="auto"/>
              </w:rPr>
            </w:pPr>
            <w:r>
              <w:rPr>
                <w:rFonts w:ascii="Arial" w:cs="Arial" w:eastAsia="Arial" w:hAnsi="Arial"/>
                <w:sz w:val="18"/>
                <w:szCs w:val="18"/>
                <w:color w:val="FF0000"/>
                <w:strike w:val="1"/>
              </w:rPr>
              <w:t>Imperial Strand LLC</w:t>
            </w:r>
          </w:p>
        </w:tc>
        <w:tc>
          <w:tcPr>
            <w:tcW w:w="20" w:type="dxa"/>
            <w:vAlign w:val="bottom"/>
            <w:tcBorders>
              <w:top w:val="single" w:sz="8" w:color="auto"/>
              <w:bottom w:val="single" w:sz="8" w:color="FFDEAD"/>
            </w:tcBorders>
            <w:shd w:val="clear" w:color="auto" w:fill="FFDEAD"/>
          </w:tcPr>
          <w:p>
            <w:pPr>
              <w:spacing w:after="0"/>
              <w:rPr>
                <w:sz w:val="23"/>
                <w:szCs w:val="23"/>
                <w:color w:val="auto"/>
              </w:rPr>
            </w:pPr>
          </w:p>
        </w:tc>
        <w:tc>
          <w:tcPr>
            <w:tcW w:w="2100" w:type="dxa"/>
            <w:vAlign w:val="bottom"/>
            <w:tcBorders>
              <w:top w:val="single" w:sz="8" w:color="auto"/>
              <w:bottom w:val="single" w:sz="8" w:color="FFDEAD"/>
              <w:right w:val="single" w:sz="8" w:color="auto"/>
            </w:tcBorders>
            <w:shd w:val="clear" w:color="auto" w:fill="FFDEAD"/>
          </w:tcPr>
          <w:p>
            <w:pPr>
              <w:spacing w:after="0"/>
              <w:rPr>
                <w:sz w:val="23"/>
                <w:szCs w:val="23"/>
                <w:color w:val="auto"/>
              </w:rPr>
            </w:pPr>
          </w:p>
        </w:tc>
        <w:tc>
          <w:tcPr>
            <w:tcW w:w="2540" w:type="dxa"/>
            <w:vAlign w:val="bottom"/>
            <w:tcBorders>
              <w:top w:val="single" w:sz="8" w:color="auto"/>
              <w:bottom w:val="single" w:sz="8" w:color="FFDEAD"/>
            </w:tcBorders>
            <w:gridSpan w:val="8"/>
            <w:shd w:val="clear" w:color="auto" w:fill="FFDEAD"/>
          </w:tcPr>
          <w:p>
            <w:pPr>
              <w:spacing w:after="0"/>
              <w:rPr>
                <w:sz w:val="20"/>
                <w:szCs w:val="20"/>
                <w:color w:val="auto"/>
              </w:rPr>
            </w:pPr>
            <w:r>
              <w:rPr>
                <w:rFonts w:ascii="Arial" w:cs="Arial" w:eastAsia="Arial" w:hAnsi="Arial"/>
                <w:sz w:val="18"/>
                <w:szCs w:val="18"/>
                <w:color w:val="FF0000"/>
                <w:strike w:val="1"/>
              </w:rPr>
              <w:t>Imperial Strand Holdings, LLC</w:t>
            </w:r>
          </w:p>
        </w:tc>
        <w:tc>
          <w:tcPr>
            <w:tcW w:w="80" w:type="dxa"/>
            <w:vAlign w:val="bottom"/>
            <w:tcBorders>
              <w:top w:val="single" w:sz="8" w:color="auto"/>
              <w:bottom w:val="single" w:sz="8" w:color="FFDEAD"/>
            </w:tcBorders>
            <w:shd w:val="clear" w:color="auto" w:fill="FFDEAD"/>
          </w:tcPr>
          <w:p>
            <w:pPr>
              <w:spacing w:after="0"/>
              <w:rPr>
                <w:sz w:val="23"/>
                <w:szCs w:val="23"/>
                <w:color w:val="auto"/>
              </w:rPr>
            </w:pPr>
          </w:p>
        </w:tc>
        <w:tc>
          <w:tcPr>
            <w:tcW w:w="1740" w:type="dxa"/>
            <w:vAlign w:val="bottom"/>
            <w:tcBorders>
              <w:top w:val="single" w:sz="8" w:color="auto"/>
              <w:bottom w:val="single" w:sz="8" w:color="FFDEAD"/>
              <w:right w:val="single" w:sz="8" w:color="auto"/>
            </w:tcBorders>
            <w:shd w:val="clear" w:color="auto" w:fill="FFDEAD"/>
          </w:tcPr>
          <w:p>
            <w:pPr>
              <w:spacing w:after="0"/>
              <w:rPr>
                <w:sz w:val="23"/>
                <w:szCs w:val="23"/>
                <w:color w:val="auto"/>
              </w:rPr>
            </w:pPr>
          </w:p>
        </w:tc>
        <w:tc>
          <w:tcPr>
            <w:tcW w:w="600" w:type="dxa"/>
            <w:vAlign w:val="bottom"/>
            <w:tcBorders>
              <w:top w:val="single" w:sz="8" w:color="auto"/>
              <w:bottom w:val="single" w:sz="8" w:color="FFDEAD"/>
            </w:tcBorders>
            <w:shd w:val="clear" w:color="auto" w:fill="FFDEAD"/>
          </w:tcPr>
          <w:p>
            <w:pPr>
              <w:spacing w:after="0"/>
              <w:rPr>
                <w:sz w:val="23"/>
                <w:szCs w:val="23"/>
                <w:color w:val="auto"/>
              </w:rPr>
            </w:pPr>
          </w:p>
        </w:tc>
        <w:tc>
          <w:tcPr>
            <w:tcW w:w="60" w:type="dxa"/>
            <w:vAlign w:val="bottom"/>
            <w:tcBorders>
              <w:top w:val="single" w:sz="8" w:color="auto"/>
              <w:bottom w:val="single" w:sz="8" w:color="FFDEAD"/>
              <w:right w:val="single" w:sz="8" w:color="FFDEAD"/>
            </w:tcBorders>
            <w:shd w:val="clear" w:color="auto" w:fill="FFDEAD"/>
          </w:tcPr>
          <w:p>
            <w:pPr>
              <w:spacing w:after="0"/>
              <w:rPr>
                <w:sz w:val="23"/>
                <w:szCs w:val="23"/>
                <w:color w:val="auto"/>
              </w:rPr>
            </w:pPr>
          </w:p>
        </w:tc>
        <w:tc>
          <w:tcPr>
            <w:tcW w:w="460" w:type="dxa"/>
            <w:vAlign w:val="bottom"/>
            <w:tcBorders>
              <w:top w:val="single" w:sz="8" w:color="auto"/>
              <w:bottom w:val="single" w:sz="8" w:color="FFDEAD"/>
              <w:right w:val="single" w:sz="8" w:color="FFDEAD"/>
            </w:tcBorders>
            <w:gridSpan w:val="4"/>
            <w:shd w:val="clear" w:color="auto" w:fill="FFDEAD"/>
          </w:tcPr>
          <w:p>
            <w:pPr>
              <w:jc w:val="center"/>
              <w:ind w:right="40"/>
              <w:spacing w:after="0"/>
              <w:rPr>
                <w:sz w:val="20"/>
                <w:szCs w:val="20"/>
                <w:color w:val="auto"/>
              </w:rPr>
            </w:pPr>
            <w:r>
              <w:rPr>
                <w:rFonts w:ascii="Arial" w:cs="Arial" w:eastAsia="Arial" w:hAnsi="Arial"/>
                <w:sz w:val="18"/>
                <w:szCs w:val="18"/>
                <w:color w:val="FF0000"/>
                <w:strike w:val="1"/>
                <w:w w:val="91"/>
              </w:rPr>
              <w:t>100%</w:t>
            </w:r>
          </w:p>
        </w:tc>
        <w:tc>
          <w:tcPr>
            <w:tcW w:w="660" w:type="dxa"/>
            <w:vAlign w:val="bottom"/>
            <w:tcBorders>
              <w:top w:val="single" w:sz="8" w:color="auto"/>
              <w:bottom w:val="single" w:sz="8" w:color="FFDEAD"/>
              <w:right w:val="single" w:sz="8" w:color="auto"/>
            </w:tcBorders>
            <w:shd w:val="clear" w:color="auto" w:fill="FFDEAD"/>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4320" w:type="dxa"/>
            <w:vAlign w:val="bottom"/>
            <w:tcBorders>
              <w:top w:val="single" w:sz="8" w:color="auto"/>
              <w:right w:val="single" w:sz="8" w:color="auto"/>
            </w:tcBorders>
            <w:gridSpan w:val="3"/>
          </w:tcPr>
          <w:p>
            <w:pPr>
              <w:ind w:left="40"/>
              <w:spacing w:after="0" w:line="193" w:lineRule="exact"/>
              <w:rPr>
                <w:sz w:val="20"/>
                <w:szCs w:val="20"/>
                <w:color w:val="auto"/>
              </w:rPr>
            </w:pPr>
            <w:r>
              <w:rPr>
                <w:rFonts w:ascii="Arial" w:cs="Arial" w:eastAsia="Arial" w:hAnsi="Arial"/>
                <w:sz w:val="18"/>
                <w:szCs w:val="18"/>
                <w:color w:val="auto"/>
              </w:rPr>
              <w:t>American Assets Trust, L.P.</w:t>
            </w:r>
          </w:p>
        </w:tc>
        <w:tc>
          <w:tcPr>
            <w:tcW w:w="1180" w:type="dxa"/>
            <w:vAlign w:val="bottom"/>
            <w:tcBorders>
              <w:top w:val="single" w:sz="8" w:color="auto"/>
            </w:tcBorders>
            <w:gridSpan w:val="2"/>
          </w:tcPr>
          <w:p>
            <w:pPr>
              <w:spacing w:after="0" w:line="193" w:lineRule="exact"/>
              <w:rPr>
                <w:sz w:val="20"/>
                <w:szCs w:val="20"/>
                <w:color w:val="auto"/>
              </w:rPr>
            </w:pPr>
            <w:r>
              <w:rPr>
                <w:rFonts w:ascii="Arial" w:cs="Arial" w:eastAsia="Arial" w:hAnsi="Arial"/>
                <w:sz w:val="18"/>
                <w:szCs w:val="18"/>
                <w:color w:val="auto"/>
                <w:w w:val="96"/>
              </w:rPr>
              <w:t>Mariner’s Point</w:t>
            </w:r>
          </w:p>
        </w:tc>
        <w:tc>
          <w:tcPr>
            <w:tcW w:w="700" w:type="dxa"/>
            <w:vAlign w:val="bottom"/>
            <w:tcBorders>
              <w:top w:val="single" w:sz="8" w:color="auto"/>
            </w:tcBorders>
            <w:gridSpan w:val="3"/>
            <w:shd w:val="clear" w:color="auto" w:fill="D6D6D6"/>
          </w:tcPr>
          <w:p>
            <w:pPr>
              <w:ind w:left="20"/>
              <w:spacing w:after="0" w:line="193" w:lineRule="exact"/>
              <w:rPr>
                <w:sz w:val="20"/>
                <w:szCs w:val="20"/>
                <w:color w:val="auto"/>
              </w:rPr>
            </w:pPr>
            <w:r>
              <w:rPr>
                <w:rFonts w:ascii="Arial" w:cs="Arial" w:eastAsia="Arial" w:hAnsi="Arial"/>
                <w:sz w:val="18"/>
                <w:szCs w:val="18"/>
                <w:b w:val="1"/>
                <w:bCs w:val="1"/>
                <w:color w:val="0000FF"/>
                <w:highlight w:val="lightGray"/>
                <w:w w:val="85"/>
              </w:rPr>
              <w:t>Holdings</w:t>
            </w:r>
          </w:p>
        </w:tc>
        <w:tc>
          <w:tcPr>
            <w:tcW w:w="20" w:type="dxa"/>
            <w:vAlign w:val="bottom"/>
            <w:tcBorders>
              <w:top w:val="single" w:sz="8" w:color="auto"/>
            </w:tcBorders>
          </w:tcPr>
          <w:p>
            <w:pPr>
              <w:spacing w:after="0"/>
              <w:rPr>
                <w:sz w:val="18"/>
                <w:szCs w:val="18"/>
                <w:color w:val="auto"/>
              </w:rPr>
            </w:pPr>
          </w:p>
        </w:tc>
        <w:tc>
          <w:tcPr>
            <w:tcW w:w="2460" w:type="dxa"/>
            <w:vAlign w:val="bottom"/>
            <w:tcBorders>
              <w:top w:val="single" w:sz="8" w:color="auto"/>
              <w:right w:val="single" w:sz="8" w:color="auto"/>
            </w:tcBorders>
            <w:gridSpan w:val="4"/>
          </w:tcPr>
          <w:p>
            <w:pPr>
              <w:spacing w:after="0" w:line="193" w:lineRule="exact"/>
              <w:rPr>
                <w:sz w:val="20"/>
                <w:szCs w:val="20"/>
                <w:color w:val="auto"/>
              </w:rPr>
            </w:pPr>
            <w:r>
              <w:rPr>
                <w:rFonts w:ascii="Arial" w:cs="Arial" w:eastAsia="Arial" w:hAnsi="Arial"/>
                <w:sz w:val="18"/>
                <w:szCs w:val="18"/>
                <w:color w:val="auto"/>
              </w:rPr>
              <w:t>, LLC</w:t>
            </w:r>
          </w:p>
        </w:tc>
        <w:tc>
          <w:tcPr>
            <w:tcW w:w="1120" w:type="dxa"/>
            <w:vAlign w:val="bottom"/>
            <w:tcBorders>
              <w:top w:val="single" w:sz="8" w:color="auto"/>
            </w:tcBorders>
            <w:gridSpan w:val="6"/>
          </w:tcPr>
          <w:p>
            <w:pPr>
              <w:jc w:val="center"/>
              <w:ind w:left="528"/>
              <w:spacing w:after="0" w:line="193" w:lineRule="exact"/>
              <w:rPr>
                <w:sz w:val="20"/>
                <w:szCs w:val="20"/>
                <w:color w:val="auto"/>
              </w:rPr>
            </w:pPr>
            <w:r>
              <w:rPr>
                <w:rFonts w:ascii="Arial" w:cs="Arial" w:eastAsia="Arial" w:hAnsi="Arial"/>
                <w:sz w:val="18"/>
                <w:szCs w:val="18"/>
                <w:color w:val="auto"/>
                <w:w w:val="91"/>
              </w:rPr>
              <w:t>100%</w:t>
            </w:r>
          </w:p>
        </w:tc>
        <w:tc>
          <w:tcPr>
            <w:tcW w:w="6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D6D6D6"/>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FFDEAD"/>
              <w:bottom w:val="single" w:sz="8" w:color="FFDEAD"/>
            </w:tcBorders>
            <w:shd w:val="clear" w:color="auto" w:fill="FFDEAD"/>
          </w:tcPr>
          <w:p>
            <w:pPr>
              <w:ind w:left="40"/>
              <w:spacing w:after="0"/>
              <w:rPr>
                <w:sz w:val="20"/>
                <w:szCs w:val="20"/>
                <w:color w:val="auto"/>
              </w:rPr>
            </w:pPr>
            <w:r>
              <w:rPr>
                <w:rFonts w:ascii="Arial" w:cs="Arial" w:eastAsia="Arial" w:hAnsi="Arial"/>
                <w:sz w:val="18"/>
                <w:szCs w:val="18"/>
                <w:color w:val="FF0000"/>
                <w:strike w:val="1"/>
              </w:rPr>
              <w:t>Mariner’s Point, LLC</w:t>
            </w:r>
          </w:p>
        </w:tc>
        <w:tc>
          <w:tcPr>
            <w:tcW w:w="20" w:type="dxa"/>
            <w:vAlign w:val="bottom"/>
            <w:tcBorders>
              <w:bottom w:val="single" w:sz="8" w:color="FFDEAD"/>
            </w:tcBorders>
            <w:shd w:val="clear" w:color="auto" w:fill="FFDEAD"/>
          </w:tcPr>
          <w:p>
            <w:pPr>
              <w:spacing w:after="0"/>
              <w:rPr>
                <w:sz w:val="22"/>
                <w:szCs w:val="22"/>
                <w:color w:val="auto"/>
              </w:rPr>
            </w:pPr>
          </w:p>
        </w:tc>
        <w:tc>
          <w:tcPr>
            <w:tcW w:w="2100" w:type="dxa"/>
            <w:vAlign w:val="bottom"/>
            <w:tcBorders>
              <w:bottom w:val="single" w:sz="8" w:color="FFDEAD"/>
              <w:right w:val="single" w:sz="8" w:color="auto"/>
            </w:tcBorders>
            <w:shd w:val="clear" w:color="auto" w:fill="FFDEAD"/>
          </w:tcPr>
          <w:p>
            <w:pPr>
              <w:spacing w:after="0"/>
              <w:rPr>
                <w:sz w:val="22"/>
                <w:szCs w:val="22"/>
                <w:color w:val="auto"/>
              </w:rPr>
            </w:pPr>
          </w:p>
        </w:tc>
        <w:tc>
          <w:tcPr>
            <w:tcW w:w="2540" w:type="dxa"/>
            <w:vAlign w:val="bottom"/>
            <w:tcBorders>
              <w:bottom w:val="single" w:sz="8" w:color="FFDEAD"/>
            </w:tcBorders>
            <w:gridSpan w:val="8"/>
            <w:shd w:val="clear" w:color="auto" w:fill="FFDEAD"/>
          </w:tcPr>
          <w:p>
            <w:pPr>
              <w:spacing w:after="0"/>
              <w:rPr>
                <w:sz w:val="20"/>
                <w:szCs w:val="20"/>
                <w:color w:val="auto"/>
              </w:rPr>
            </w:pPr>
            <w:r>
              <w:rPr>
                <w:rFonts w:ascii="Arial" w:cs="Arial" w:eastAsia="Arial" w:hAnsi="Arial"/>
                <w:sz w:val="18"/>
                <w:szCs w:val="18"/>
                <w:color w:val="FF0000"/>
                <w:strike w:val="1"/>
              </w:rPr>
              <w:t>Mariner’s Point Holdings, LLC</w:t>
            </w:r>
          </w:p>
        </w:tc>
        <w:tc>
          <w:tcPr>
            <w:tcW w:w="80" w:type="dxa"/>
            <w:vAlign w:val="bottom"/>
            <w:tcBorders>
              <w:bottom w:val="single" w:sz="8" w:color="FFDEAD"/>
            </w:tcBorders>
            <w:shd w:val="clear" w:color="auto" w:fill="FFDEAD"/>
          </w:tcPr>
          <w:p>
            <w:pPr>
              <w:spacing w:after="0"/>
              <w:rPr>
                <w:sz w:val="22"/>
                <w:szCs w:val="22"/>
                <w:color w:val="auto"/>
              </w:rPr>
            </w:pPr>
          </w:p>
        </w:tc>
        <w:tc>
          <w:tcPr>
            <w:tcW w:w="1740" w:type="dxa"/>
            <w:vAlign w:val="bottom"/>
            <w:tcBorders>
              <w:bottom w:val="single" w:sz="8" w:color="FFDEAD"/>
              <w:right w:val="single" w:sz="8" w:color="auto"/>
            </w:tcBorders>
            <w:shd w:val="clear" w:color="auto" w:fill="FFDEAD"/>
          </w:tcPr>
          <w:p>
            <w:pPr>
              <w:spacing w:after="0"/>
              <w:rPr>
                <w:sz w:val="22"/>
                <w:szCs w:val="22"/>
                <w:color w:val="auto"/>
              </w:rPr>
            </w:pPr>
          </w:p>
        </w:tc>
        <w:tc>
          <w:tcPr>
            <w:tcW w:w="600" w:type="dxa"/>
            <w:vAlign w:val="bottom"/>
            <w:tcBorders>
              <w:bottom w:val="single" w:sz="8" w:color="FFDEAD"/>
            </w:tcBorders>
            <w:shd w:val="clear" w:color="auto" w:fill="FFDEAD"/>
          </w:tcPr>
          <w:p>
            <w:pPr>
              <w:spacing w:after="0"/>
              <w:rPr>
                <w:sz w:val="22"/>
                <w:szCs w:val="22"/>
                <w:color w:val="auto"/>
              </w:rPr>
            </w:pPr>
          </w:p>
        </w:tc>
        <w:tc>
          <w:tcPr>
            <w:tcW w:w="60" w:type="dxa"/>
            <w:vAlign w:val="bottom"/>
            <w:tcBorders>
              <w:bottom w:val="single" w:sz="8" w:color="FFDEAD"/>
              <w:right w:val="single" w:sz="8" w:color="FFDEAD"/>
            </w:tcBorders>
            <w:shd w:val="clear" w:color="auto" w:fill="FFDEAD"/>
          </w:tcPr>
          <w:p>
            <w:pPr>
              <w:spacing w:after="0"/>
              <w:rPr>
                <w:sz w:val="22"/>
                <w:szCs w:val="22"/>
                <w:color w:val="auto"/>
              </w:rPr>
            </w:pPr>
          </w:p>
        </w:tc>
        <w:tc>
          <w:tcPr>
            <w:tcW w:w="460" w:type="dxa"/>
            <w:vAlign w:val="bottom"/>
            <w:tcBorders>
              <w:bottom w:val="single" w:sz="8" w:color="FFDEAD"/>
              <w:right w:val="single" w:sz="8" w:color="FFDEAD"/>
            </w:tcBorders>
            <w:gridSpan w:val="4"/>
            <w:shd w:val="clear" w:color="auto" w:fill="FFDEAD"/>
          </w:tcPr>
          <w:p>
            <w:pPr>
              <w:jc w:val="center"/>
              <w:ind w:right="40"/>
              <w:spacing w:after="0"/>
              <w:rPr>
                <w:sz w:val="20"/>
                <w:szCs w:val="20"/>
                <w:color w:val="auto"/>
              </w:rPr>
            </w:pPr>
            <w:r>
              <w:rPr>
                <w:rFonts w:ascii="Arial" w:cs="Arial" w:eastAsia="Arial" w:hAnsi="Arial"/>
                <w:sz w:val="18"/>
                <w:szCs w:val="18"/>
                <w:color w:val="FF0000"/>
                <w:strike w:val="1"/>
                <w:w w:val="91"/>
              </w:rPr>
              <w:t>100%</w:t>
            </w:r>
          </w:p>
        </w:tc>
        <w:tc>
          <w:tcPr>
            <w:tcW w:w="660" w:type="dxa"/>
            <w:vAlign w:val="bottom"/>
            <w:tcBorders>
              <w:bottom w:val="single" w:sz="8" w:color="FFDEAD"/>
              <w:right w:val="single" w:sz="8" w:color="auto"/>
            </w:tcBorders>
            <w:shd w:val="clear" w:color="auto" w:fill="FFDEAD"/>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320" w:type="dxa"/>
            <w:vAlign w:val="bottom"/>
            <w:tcBorders>
              <w:top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360" w:type="dxa"/>
            <w:vAlign w:val="bottom"/>
            <w:tcBorders>
              <w:top w:val="single" w:sz="8" w:color="auto"/>
              <w:right w:val="single" w:sz="8" w:color="auto"/>
            </w:tcBorders>
            <w:gridSpan w:val="10"/>
          </w:tcPr>
          <w:p>
            <w:pPr>
              <w:spacing w:after="0"/>
              <w:rPr>
                <w:sz w:val="20"/>
                <w:szCs w:val="20"/>
                <w:color w:val="auto"/>
              </w:rPr>
            </w:pPr>
            <w:r>
              <w:rPr>
                <w:rFonts w:ascii="Arial" w:cs="Arial" w:eastAsia="Arial" w:hAnsi="Arial"/>
                <w:sz w:val="18"/>
                <w:szCs w:val="18"/>
                <w:color w:val="auto"/>
              </w:rPr>
              <w:t>AAT Waikele Center, LLC</w:t>
            </w:r>
          </w:p>
        </w:tc>
        <w:tc>
          <w:tcPr>
            <w:tcW w:w="1120" w:type="dxa"/>
            <w:vAlign w:val="bottom"/>
            <w:tcBorders>
              <w:top w:val="single" w:sz="8" w:color="auto"/>
            </w:tcBorders>
            <w:gridSpan w:val="6"/>
          </w:tcPr>
          <w:p>
            <w:pPr>
              <w:jc w:val="center"/>
              <w:ind w:left="528"/>
              <w:spacing w:after="0"/>
              <w:rPr>
                <w:sz w:val="20"/>
                <w:szCs w:val="20"/>
                <w:color w:val="auto"/>
              </w:rPr>
            </w:pPr>
            <w:r>
              <w:rPr>
                <w:rFonts w:ascii="Arial" w:cs="Arial" w:eastAsia="Arial" w:hAnsi="Arial"/>
                <w:sz w:val="18"/>
                <w:szCs w:val="18"/>
                <w:color w:val="auto"/>
                <w:w w:val="91"/>
              </w:rPr>
              <w:t>100%</w:t>
            </w:r>
          </w:p>
        </w:tc>
        <w:tc>
          <w:tcPr>
            <w:tcW w:w="66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36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rPr>
              <w:t>Broadway 225 Stonecrest Holdings, LLC</w:t>
            </w:r>
          </w:p>
        </w:tc>
        <w:tc>
          <w:tcPr>
            <w:tcW w:w="1120" w:type="dxa"/>
            <w:vAlign w:val="bottom"/>
            <w:gridSpan w:val="6"/>
          </w:tcPr>
          <w:p>
            <w:pPr>
              <w:jc w:val="center"/>
              <w:ind w:left="528"/>
              <w:spacing w:after="0"/>
              <w:rPr>
                <w:sz w:val="20"/>
                <w:szCs w:val="20"/>
                <w:color w:val="auto"/>
              </w:rPr>
            </w:pPr>
            <w:r>
              <w:rPr>
                <w:rFonts w:ascii="Arial" w:cs="Arial" w:eastAsia="Arial" w:hAnsi="Arial"/>
                <w:sz w:val="18"/>
                <w:szCs w:val="18"/>
                <w:color w:val="auto"/>
                <w:w w:val="91"/>
              </w:rPr>
              <w:t>100%</w:t>
            </w: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36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rPr>
              <w:t>Broadway 225 Sorrento Holdings, LLC</w:t>
            </w:r>
          </w:p>
        </w:tc>
        <w:tc>
          <w:tcPr>
            <w:tcW w:w="1120" w:type="dxa"/>
            <w:vAlign w:val="bottom"/>
            <w:gridSpan w:val="6"/>
          </w:tcPr>
          <w:p>
            <w:pPr>
              <w:jc w:val="center"/>
              <w:ind w:left="528"/>
              <w:spacing w:after="0"/>
              <w:rPr>
                <w:sz w:val="20"/>
                <w:szCs w:val="20"/>
                <w:color w:val="auto"/>
              </w:rPr>
            </w:pPr>
            <w:r>
              <w:rPr>
                <w:rFonts w:ascii="Arial" w:cs="Arial" w:eastAsia="Arial" w:hAnsi="Arial"/>
                <w:sz w:val="18"/>
                <w:szCs w:val="18"/>
                <w:color w:val="auto"/>
                <w:w w:val="91"/>
              </w:rPr>
              <w:t>100%</w:t>
            </w: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36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rPr>
              <w:t>EBW Hotel LLC</w:t>
            </w:r>
          </w:p>
        </w:tc>
        <w:tc>
          <w:tcPr>
            <w:tcW w:w="1120" w:type="dxa"/>
            <w:vAlign w:val="bottom"/>
            <w:gridSpan w:val="6"/>
          </w:tcPr>
          <w:p>
            <w:pPr>
              <w:jc w:val="center"/>
              <w:ind w:left="528"/>
              <w:spacing w:after="0"/>
              <w:rPr>
                <w:sz w:val="20"/>
                <w:szCs w:val="20"/>
                <w:color w:val="auto"/>
              </w:rPr>
            </w:pPr>
            <w:r>
              <w:rPr>
                <w:rFonts w:ascii="Arial" w:cs="Arial" w:eastAsia="Arial" w:hAnsi="Arial"/>
                <w:sz w:val="18"/>
                <w:szCs w:val="18"/>
                <w:color w:val="auto"/>
                <w:w w:val="91"/>
              </w:rPr>
              <w:t>100%</w:t>
            </w: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36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rPr>
              <w:t>Waikele Venture Holdings, LLC</w:t>
            </w:r>
          </w:p>
        </w:tc>
        <w:tc>
          <w:tcPr>
            <w:tcW w:w="1120" w:type="dxa"/>
            <w:vAlign w:val="bottom"/>
            <w:gridSpan w:val="6"/>
          </w:tcPr>
          <w:p>
            <w:pPr>
              <w:jc w:val="center"/>
              <w:ind w:left="528"/>
              <w:spacing w:after="0"/>
              <w:rPr>
                <w:sz w:val="20"/>
                <w:szCs w:val="20"/>
                <w:color w:val="auto"/>
              </w:rPr>
            </w:pPr>
            <w:r>
              <w:rPr>
                <w:rFonts w:ascii="Arial" w:cs="Arial" w:eastAsia="Arial" w:hAnsi="Arial"/>
                <w:sz w:val="18"/>
                <w:szCs w:val="18"/>
                <w:color w:val="auto"/>
                <w:w w:val="91"/>
              </w:rPr>
              <w:t>100%</w:t>
            </w: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36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rPr>
              <w:t>AAT Alamo Quarry, LLC</w:t>
            </w:r>
          </w:p>
        </w:tc>
        <w:tc>
          <w:tcPr>
            <w:tcW w:w="1120" w:type="dxa"/>
            <w:vAlign w:val="bottom"/>
            <w:gridSpan w:val="6"/>
          </w:tcPr>
          <w:p>
            <w:pPr>
              <w:jc w:val="center"/>
              <w:ind w:left="528"/>
              <w:spacing w:after="0"/>
              <w:rPr>
                <w:sz w:val="20"/>
                <w:szCs w:val="20"/>
                <w:color w:val="auto"/>
              </w:rPr>
            </w:pPr>
            <w:r>
              <w:rPr>
                <w:rFonts w:ascii="Arial" w:cs="Arial" w:eastAsia="Arial" w:hAnsi="Arial"/>
                <w:sz w:val="18"/>
                <w:szCs w:val="18"/>
                <w:color w:val="auto"/>
                <w:w w:val="91"/>
              </w:rPr>
              <w:t>100%</w:t>
            </w: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36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rPr>
              <w:t>AAT Solana 101, LLC</w:t>
            </w:r>
          </w:p>
        </w:tc>
        <w:tc>
          <w:tcPr>
            <w:tcW w:w="1120" w:type="dxa"/>
            <w:vAlign w:val="bottom"/>
            <w:gridSpan w:val="6"/>
          </w:tcPr>
          <w:p>
            <w:pPr>
              <w:jc w:val="center"/>
              <w:ind w:left="528"/>
              <w:spacing w:after="0"/>
              <w:rPr>
                <w:sz w:val="20"/>
                <w:szCs w:val="20"/>
                <w:color w:val="auto"/>
              </w:rPr>
            </w:pPr>
            <w:r>
              <w:rPr>
                <w:rFonts w:ascii="Arial" w:cs="Arial" w:eastAsia="Arial" w:hAnsi="Arial"/>
                <w:sz w:val="18"/>
                <w:szCs w:val="18"/>
                <w:color w:val="auto"/>
                <w:w w:val="91"/>
              </w:rPr>
              <w:t>100%</w:t>
            </w: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36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rPr>
              <w:t>AAT Geary Marketplace, LLC</w:t>
            </w:r>
          </w:p>
        </w:tc>
        <w:tc>
          <w:tcPr>
            <w:tcW w:w="1120" w:type="dxa"/>
            <w:vAlign w:val="bottom"/>
            <w:gridSpan w:val="6"/>
          </w:tcPr>
          <w:p>
            <w:pPr>
              <w:jc w:val="center"/>
              <w:ind w:left="528"/>
              <w:spacing w:after="0"/>
              <w:rPr>
                <w:sz w:val="20"/>
                <w:szCs w:val="20"/>
                <w:color w:val="auto"/>
              </w:rPr>
            </w:pPr>
            <w:r>
              <w:rPr>
                <w:rFonts w:ascii="Arial" w:cs="Arial" w:eastAsia="Arial" w:hAnsi="Arial"/>
                <w:sz w:val="18"/>
                <w:szCs w:val="18"/>
                <w:color w:val="auto"/>
                <w:w w:val="91"/>
              </w:rPr>
              <w:t>100%</w:t>
            </w: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36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rPr>
              <w:t>Pacific Santa Fe Assets LLC</w:t>
            </w:r>
          </w:p>
        </w:tc>
        <w:tc>
          <w:tcPr>
            <w:tcW w:w="1120" w:type="dxa"/>
            <w:vAlign w:val="bottom"/>
            <w:gridSpan w:val="6"/>
          </w:tcPr>
          <w:p>
            <w:pPr>
              <w:jc w:val="center"/>
              <w:ind w:left="528"/>
              <w:spacing w:after="0"/>
              <w:rPr>
                <w:sz w:val="20"/>
                <w:szCs w:val="20"/>
                <w:color w:val="auto"/>
              </w:rPr>
            </w:pPr>
            <w:r>
              <w:rPr>
                <w:rFonts w:ascii="Arial" w:cs="Arial" w:eastAsia="Arial" w:hAnsi="Arial"/>
                <w:sz w:val="18"/>
                <w:szCs w:val="18"/>
                <w:color w:val="auto"/>
                <w:w w:val="91"/>
              </w:rPr>
              <w:t>100%</w:t>
            </w: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FFDEAD"/>
              <w:bottom w:val="single" w:sz="8" w:color="FFDEAD"/>
            </w:tcBorders>
            <w:shd w:val="clear" w:color="auto" w:fill="FFDEAD"/>
          </w:tcPr>
          <w:p>
            <w:pPr>
              <w:ind w:left="40"/>
              <w:spacing w:after="0"/>
              <w:rPr>
                <w:sz w:val="20"/>
                <w:szCs w:val="20"/>
                <w:color w:val="auto"/>
              </w:rPr>
            </w:pPr>
            <w:r>
              <w:rPr>
                <w:rFonts w:ascii="Arial" w:cs="Arial" w:eastAsia="Arial" w:hAnsi="Arial"/>
                <w:sz w:val="18"/>
                <w:szCs w:val="18"/>
                <w:color w:val="FF0000"/>
                <w:strike w:val="1"/>
                <w:w w:val="93"/>
              </w:rPr>
              <w:t>Pacific Santa Fe Assets LLC</w:t>
            </w:r>
          </w:p>
        </w:tc>
        <w:tc>
          <w:tcPr>
            <w:tcW w:w="20" w:type="dxa"/>
            <w:vAlign w:val="bottom"/>
            <w:tcBorders>
              <w:bottom w:val="single" w:sz="8" w:color="FFDEAD"/>
            </w:tcBorders>
            <w:shd w:val="clear" w:color="auto" w:fill="FFDEAD"/>
          </w:tcPr>
          <w:p>
            <w:pPr>
              <w:spacing w:after="0"/>
              <w:rPr>
                <w:sz w:val="22"/>
                <w:szCs w:val="22"/>
                <w:color w:val="auto"/>
              </w:rPr>
            </w:pPr>
          </w:p>
        </w:tc>
        <w:tc>
          <w:tcPr>
            <w:tcW w:w="2100" w:type="dxa"/>
            <w:vAlign w:val="bottom"/>
            <w:tcBorders>
              <w:bottom w:val="single" w:sz="8" w:color="FFDEAD"/>
              <w:right w:val="single" w:sz="8" w:color="auto"/>
            </w:tcBorders>
            <w:shd w:val="clear" w:color="auto" w:fill="FFDEAD"/>
          </w:tcPr>
          <w:p>
            <w:pPr>
              <w:spacing w:after="0"/>
              <w:rPr>
                <w:sz w:val="22"/>
                <w:szCs w:val="22"/>
                <w:color w:val="auto"/>
              </w:rPr>
            </w:pPr>
          </w:p>
        </w:tc>
        <w:tc>
          <w:tcPr>
            <w:tcW w:w="2540" w:type="dxa"/>
            <w:vAlign w:val="bottom"/>
            <w:tcBorders>
              <w:bottom w:val="single" w:sz="8" w:color="FFDEAD"/>
            </w:tcBorders>
            <w:gridSpan w:val="8"/>
            <w:shd w:val="clear" w:color="auto" w:fill="FFDEAD"/>
          </w:tcPr>
          <w:p>
            <w:pPr>
              <w:spacing w:after="0"/>
              <w:rPr>
                <w:sz w:val="20"/>
                <w:szCs w:val="20"/>
                <w:color w:val="auto"/>
              </w:rPr>
            </w:pPr>
            <w:r>
              <w:rPr>
                <w:rFonts w:ascii="Arial" w:cs="Arial" w:eastAsia="Arial" w:hAnsi="Arial"/>
                <w:sz w:val="18"/>
                <w:szCs w:val="18"/>
                <w:color w:val="FF0000"/>
                <w:strike w:val="1"/>
              </w:rPr>
              <w:t>Pacific Santa Fe Holdings, L.P.</w:t>
            </w:r>
          </w:p>
        </w:tc>
        <w:tc>
          <w:tcPr>
            <w:tcW w:w="80" w:type="dxa"/>
            <w:vAlign w:val="bottom"/>
            <w:tcBorders>
              <w:bottom w:val="single" w:sz="8" w:color="FFDEAD"/>
            </w:tcBorders>
            <w:shd w:val="clear" w:color="auto" w:fill="FFDEAD"/>
          </w:tcPr>
          <w:p>
            <w:pPr>
              <w:spacing w:after="0"/>
              <w:rPr>
                <w:sz w:val="22"/>
                <w:szCs w:val="22"/>
                <w:color w:val="auto"/>
              </w:rPr>
            </w:pPr>
          </w:p>
        </w:tc>
        <w:tc>
          <w:tcPr>
            <w:tcW w:w="1740" w:type="dxa"/>
            <w:vAlign w:val="bottom"/>
            <w:tcBorders>
              <w:bottom w:val="single" w:sz="8" w:color="FFDEAD"/>
              <w:right w:val="single" w:sz="8" w:color="auto"/>
            </w:tcBorders>
            <w:shd w:val="clear" w:color="auto" w:fill="FFDEAD"/>
          </w:tcPr>
          <w:p>
            <w:pPr>
              <w:spacing w:after="0"/>
              <w:rPr>
                <w:sz w:val="22"/>
                <w:szCs w:val="22"/>
                <w:color w:val="auto"/>
              </w:rPr>
            </w:pPr>
          </w:p>
        </w:tc>
        <w:tc>
          <w:tcPr>
            <w:tcW w:w="600" w:type="dxa"/>
            <w:vAlign w:val="bottom"/>
            <w:tcBorders>
              <w:bottom w:val="single" w:sz="8" w:color="FFDEAD"/>
            </w:tcBorders>
            <w:shd w:val="clear" w:color="auto" w:fill="FFDEAD"/>
          </w:tcPr>
          <w:p>
            <w:pPr>
              <w:spacing w:after="0"/>
              <w:rPr>
                <w:sz w:val="22"/>
                <w:szCs w:val="22"/>
                <w:color w:val="auto"/>
              </w:rPr>
            </w:pPr>
          </w:p>
        </w:tc>
        <w:tc>
          <w:tcPr>
            <w:tcW w:w="60" w:type="dxa"/>
            <w:vAlign w:val="bottom"/>
            <w:tcBorders>
              <w:bottom w:val="single" w:sz="8" w:color="FFDEAD"/>
              <w:right w:val="single" w:sz="8" w:color="FFDEAD"/>
            </w:tcBorders>
            <w:shd w:val="clear" w:color="auto" w:fill="FFDEAD"/>
          </w:tcPr>
          <w:p>
            <w:pPr>
              <w:spacing w:after="0"/>
              <w:rPr>
                <w:sz w:val="22"/>
                <w:szCs w:val="22"/>
                <w:color w:val="auto"/>
              </w:rPr>
            </w:pPr>
          </w:p>
        </w:tc>
        <w:tc>
          <w:tcPr>
            <w:tcW w:w="460" w:type="dxa"/>
            <w:vAlign w:val="bottom"/>
            <w:tcBorders>
              <w:bottom w:val="single" w:sz="8" w:color="FFDEAD"/>
              <w:right w:val="single" w:sz="8" w:color="FFDEAD"/>
            </w:tcBorders>
            <w:gridSpan w:val="4"/>
            <w:shd w:val="clear" w:color="auto" w:fill="FFDEAD"/>
          </w:tcPr>
          <w:p>
            <w:pPr>
              <w:jc w:val="center"/>
              <w:ind w:right="20"/>
              <w:spacing w:after="0"/>
              <w:rPr>
                <w:sz w:val="20"/>
                <w:szCs w:val="20"/>
                <w:color w:val="auto"/>
              </w:rPr>
            </w:pPr>
            <w:r>
              <w:rPr>
                <w:rFonts w:ascii="Arial" w:cs="Arial" w:eastAsia="Arial" w:hAnsi="Arial"/>
                <w:sz w:val="18"/>
                <w:szCs w:val="18"/>
                <w:color w:val="FF0000"/>
                <w:strike w:val="1"/>
                <w:w w:val="92"/>
              </w:rPr>
              <w:t>1%</w:t>
            </w:r>
          </w:p>
        </w:tc>
        <w:tc>
          <w:tcPr>
            <w:tcW w:w="660" w:type="dxa"/>
            <w:vAlign w:val="bottom"/>
            <w:tcBorders>
              <w:bottom w:val="single" w:sz="8" w:color="FFDEAD"/>
              <w:right w:val="single" w:sz="8" w:color="auto"/>
            </w:tcBorders>
            <w:shd w:val="clear" w:color="auto" w:fill="FFDEAD"/>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320" w:type="dxa"/>
            <w:vAlign w:val="bottom"/>
            <w:tcBorders>
              <w:top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360" w:type="dxa"/>
            <w:vAlign w:val="bottom"/>
            <w:tcBorders>
              <w:top w:val="single" w:sz="8" w:color="auto"/>
              <w:right w:val="single" w:sz="8" w:color="auto"/>
            </w:tcBorders>
            <w:gridSpan w:val="10"/>
          </w:tcPr>
          <w:p>
            <w:pPr>
              <w:spacing w:after="0"/>
              <w:rPr>
                <w:sz w:val="20"/>
                <w:szCs w:val="20"/>
                <w:color w:val="auto"/>
              </w:rPr>
            </w:pPr>
            <w:r>
              <w:rPr>
                <w:rFonts w:ascii="Arial" w:cs="Arial" w:eastAsia="Arial" w:hAnsi="Arial"/>
                <w:sz w:val="18"/>
                <w:szCs w:val="18"/>
                <w:color w:val="auto"/>
              </w:rPr>
              <w:t>Pacific Santa Fe Holdings, L.P.</w:t>
            </w:r>
          </w:p>
        </w:tc>
        <w:tc>
          <w:tcPr>
            <w:tcW w:w="1120" w:type="dxa"/>
            <w:vAlign w:val="bottom"/>
            <w:tcBorders>
              <w:top w:val="single" w:sz="8" w:color="auto"/>
            </w:tcBorders>
            <w:gridSpan w:val="6"/>
          </w:tcPr>
          <w:p>
            <w:pPr>
              <w:jc w:val="center"/>
              <w:ind w:left="528"/>
              <w:spacing w:after="0"/>
              <w:rPr>
                <w:sz w:val="20"/>
                <w:szCs w:val="20"/>
                <w:color w:val="auto"/>
              </w:rPr>
            </w:pPr>
            <w:r>
              <w:rPr>
                <w:rFonts w:ascii="Arial" w:cs="Arial" w:eastAsia="Arial" w:hAnsi="Arial"/>
                <w:sz w:val="18"/>
                <w:szCs w:val="18"/>
                <w:color w:val="auto"/>
                <w:w w:val="94"/>
              </w:rPr>
              <w:t>99%</w:t>
            </w:r>
          </w:p>
        </w:tc>
        <w:tc>
          <w:tcPr>
            <w:tcW w:w="66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36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rPr>
              <w:t>American Assets Services, Inc.</w:t>
            </w:r>
          </w:p>
        </w:tc>
        <w:tc>
          <w:tcPr>
            <w:tcW w:w="1120" w:type="dxa"/>
            <w:vAlign w:val="bottom"/>
            <w:gridSpan w:val="6"/>
          </w:tcPr>
          <w:p>
            <w:pPr>
              <w:jc w:val="center"/>
              <w:ind w:left="528"/>
              <w:spacing w:after="0"/>
              <w:rPr>
                <w:sz w:val="20"/>
                <w:szCs w:val="20"/>
                <w:color w:val="auto"/>
              </w:rPr>
            </w:pPr>
            <w:r>
              <w:rPr>
                <w:rFonts w:ascii="Arial" w:cs="Arial" w:eastAsia="Arial" w:hAnsi="Arial"/>
                <w:sz w:val="18"/>
                <w:szCs w:val="18"/>
                <w:color w:val="auto"/>
                <w:w w:val="91"/>
              </w:rPr>
              <w:t>100%</w:t>
            </w: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36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rPr>
              <w:t>American Assets Trust Management, LLC</w:t>
            </w:r>
          </w:p>
        </w:tc>
        <w:tc>
          <w:tcPr>
            <w:tcW w:w="1120" w:type="dxa"/>
            <w:vAlign w:val="bottom"/>
            <w:gridSpan w:val="6"/>
          </w:tcPr>
          <w:p>
            <w:pPr>
              <w:jc w:val="center"/>
              <w:ind w:left="528"/>
              <w:spacing w:after="0"/>
              <w:rPr>
                <w:sz w:val="20"/>
                <w:szCs w:val="20"/>
                <w:color w:val="auto"/>
              </w:rPr>
            </w:pPr>
            <w:r>
              <w:rPr>
                <w:rFonts w:ascii="Arial" w:cs="Arial" w:eastAsia="Arial" w:hAnsi="Arial"/>
                <w:sz w:val="18"/>
                <w:szCs w:val="18"/>
                <w:color w:val="auto"/>
                <w:w w:val="91"/>
              </w:rPr>
              <w:t>100%</w:t>
            </w: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36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rPr>
              <w:t>Southbay Marketplace Holdings, LLC</w:t>
            </w:r>
          </w:p>
        </w:tc>
        <w:tc>
          <w:tcPr>
            <w:tcW w:w="1120" w:type="dxa"/>
            <w:vAlign w:val="bottom"/>
            <w:gridSpan w:val="6"/>
          </w:tcPr>
          <w:p>
            <w:pPr>
              <w:jc w:val="center"/>
              <w:ind w:left="528"/>
              <w:spacing w:after="0"/>
              <w:rPr>
                <w:sz w:val="20"/>
                <w:szCs w:val="20"/>
                <w:color w:val="auto"/>
              </w:rPr>
            </w:pPr>
            <w:r>
              <w:rPr>
                <w:rFonts w:ascii="Arial" w:cs="Arial" w:eastAsia="Arial" w:hAnsi="Arial"/>
                <w:sz w:val="18"/>
                <w:szCs w:val="18"/>
                <w:color w:val="auto"/>
                <w:w w:val="91"/>
              </w:rPr>
              <w:t>100%</w:t>
            </w: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36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rPr>
              <w:t>SB Towne Centre LLC</w:t>
            </w:r>
          </w:p>
        </w:tc>
        <w:tc>
          <w:tcPr>
            <w:tcW w:w="1120" w:type="dxa"/>
            <w:vAlign w:val="bottom"/>
            <w:gridSpan w:val="6"/>
          </w:tcPr>
          <w:p>
            <w:pPr>
              <w:jc w:val="center"/>
              <w:ind w:left="528"/>
              <w:spacing w:after="0"/>
              <w:rPr>
                <w:sz w:val="20"/>
                <w:szCs w:val="20"/>
                <w:color w:val="auto"/>
              </w:rPr>
            </w:pPr>
            <w:r>
              <w:rPr>
                <w:rFonts w:ascii="Arial" w:cs="Arial" w:eastAsia="Arial" w:hAnsi="Arial"/>
                <w:sz w:val="18"/>
                <w:szCs w:val="18"/>
                <w:color w:val="auto"/>
                <w:w w:val="91"/>
              </w:rPr>
              <w:t>100%</w:t>
            </w: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FFDEAD"/>
              <w:bottom w:val="single" w:sz="8" w:color="FFDEAD"/>
            </w:tcBorders>
            <w:shd w:val="clear" w:color="auto" w:fill="FFDEAD"/>
          </w:tcPr>
          <w:p>
            <w:pPr>
              <w:ind w:left="40"/>
              <w:spacing w:after="0"/>
              <w:rPr>
                <w:sz w:val="20"/>
                <w:szCs w:val="20"/>
                <w:color w:val="auto"/>
              </w:rPr>
            </w:pPr>
            <w:r>
              <w:rPr>
                <w:rFonts w:ascii="Arial" w:cs="Arial" w:eastAsia="Arial" w:hAnsi="Arial"/>
                <w:sz w:val="18"/>
                <w:szCs w:val="18"/>
                <w:color w:val="FF0000"/>
                <w:strike w:val="1"/>
              </w:rPr>
              <w:t>SB Towne Centre LLC</w:t>
            </w:r>
          </w:p>
        </w:tc>
        <w:tc>
          <w:tcPr>
            <w:tcW w:w="20" w:type="dxa"/>
            <w:vAlign w:val="bottom"/>
            <w:tcBorders>
              <w:bottom w:val="single" w:sz="8" w:color="FFDEAD"/>
            </w:tcBorders>
            <w:shd w:val="clear" w:color="auto" w:fill="FFDEAD"/>
          </w:tcPr>
          <w:p>
            <w:pPr>
              <w:spacing w:after="0"/>
              <w:rPr>
                <w:sz w:val="22"/>
                <w:szCs w:val="22"/>
                <w:color w:val="auto"/>
              </w:rPr>
            </w:pPr>
          </w:p>
        </w:tc>
        <w:tc>
          <w:tcPr>
            <w:tcW w:w="2100" w:type="dxa"/>
            <w:vAlign w:val="bottom"/>
            <w:tcBorders>
              <w:bottom w:val="single" w:sz="8" w:color="FFDEAD"/>
              <w:right w:val="single" w:sz="8" w:color="auto"/>
            </w:tcBorders>
            <w:shd w:val="clear" w:color="auto" w:fill="FFDEAD"/>
          </w:tcPr>
          <w:p>
            <w:pPr>
              <w:spacing w:after="0"/>
              <w:rPr>
                <w:sz w:val="22"/>
                <w:szCs w:val="22"/>
                <w:color w:val="auto"/>
              </w:rPr>
            </w:pPr>
          </w:p>
        </w:tc>
        <w:tc>
          <w:tcPr>
            <w:tcW w:w="1880" w:type="dxa"/>
            <w:vAlign w:val="bottom"/>
            <w:tcBorders>
              <w:bottom w:val="single" w:sz="8" w:color="FFDEAD"/>
            </w:tcBorders>
            <w:gridSpan w:val="5"/>
            <w:shd w:val="clear" w:color="auto" w:fill="FFDEAD"/>
          </w:tcPr>
          <w:p>
            <w:pPr>
              <w:spacing w:after="0"/>
              <w:rPr>
                <w:sz w:val="20"/>
                <w:szCs w:val="20"/>
                <w:color w:val="auto"/>
              </w:rPr>
            </w:pPr>
            <w:r>
              <w:rPr>
                <w:rFonts w:ascii="Arial" w:cs="Arial" w:eastAsia="Arial" w:hAnsi="Arial"/>
                <w:sz w:val="18"/>
                <w:szCs w:val="18"/>
                <w:color w:val="FF0000"/>
                <w:strike w:val="1"/>
              </w:rPr>
              <w:t>SBTC Holdings LLC</w:t>
            </w:r>
          </w:p>
        </w:tc>
        <w:tc>
          <w:tcPr>
            <w:tcW w:w="40" w:type="dxa"/>
            <w:vAlign w:val="bottom"/>
            <w:tcBorders>
              <w:bottom w:val="single" w:sz="8" w:color="FFDEAD"/>
            </w:tcBorders>
            <w:gridSpan w:val="2"/>
            <w:shd w:val="clear" w:color="auto" w:fill="FFDEAD"/>
          </w:tcPr>
          <w:p>
            <w:pPr>
              <w:spacing w:after="0"/>
              <w:rPr>
                <w:sz w:val="22"/>
                <w:szCs w:val="22"/>
                <w:color w:val="auto"/>
              </w:rPr>
            </w:pPr>
          </w:p>
        </w:tc>
        <w:tc>
          <w:tcPr>
            <w:tcW w:w="620" w:type="dxa"/>
            <w:vAlign w:val="bottom"/>
            <w:tcBorders>
              <w:bottom w:val="single" w:sz="8" w:color="FFDEAD"/>
            </w:tcBorders>
            <w:shd w:val="clear" w:color="auto" w:fill="FFDEAD"/>
          </w:tcPr>
          <w:p>
            <w:pPr>
              <w:spacing w:after="0"/>
              <w:rPr>
                <w:sz w:val="22"/>
                <w:szCs w:val="22"/>
                <w:color w:val="auto"/>
              </w:rPr>
            </w:pPr>
          </w:p>
        </w:tc>
        <w:tc>
          <w:tcPr>
            <w:tcW w:w="80" w:type="dxa"/>
            <w:vAlign w:val="bottom"/>
            <w:tcBorders>
              <w:bottom w:val="single" w:sz="8" w:color="FFDEAD"/>
            </w:tcBorders>
            <w:shd w:val="clear" w:color="auto" w:fill="FFDEAD"/>
          </w:tcPr>
          <w:p>
            <w:pPr>
              <w:spacing w:after="0"/>
              <w:rPr>
                <w:sz w:val="22"/>
                <w:szCs w:val="22"/>
                <w:color w:val="auto"/>
              </w:rPr>
            </w:pPr>
          </w:p>
        </w:tc>
        <w:tc>
          <w:tcPr>
            <w:tcW w:w="1740" w:type="dxa"/>
            <w:vAlign w:val="bottom"/>
            <w:tcBorders>
              <w:bottom w:val="single" w:sz="8" w:color="FFDEAD"/>
              <w:right w:val="single" w:sz="8" w:color="auto"/>
            </w:tcBorders>
            <w:shd w:val="clear" w:color="auto" w:fill="FFDEAD"/>
          </w:tcPr>
          <w:p>
            <w:pPr>
              <w:spacing w:after="0"/>
              <w:rPr>
                <w:sz w:val="22"/>
                <w:szCs w:val="22"/>
                <w:color w:val="auto"/>
              </w:rPr>
            </w:pPr>
          </w:p>
        </w:tc>
        <w:tc>
          <w:tcPr>
            <w:tcW w:w="600" w:type="dxa"/>
            <w:vAlign w:val="bottom"/>
            <w:tcBorders>
              <w:bottom w:val="single" w:sz="8" w:color="FFDEAD"/>
            </w:tcBorders>
            <w:shd w:val="clear" w:color="auto" w:fill="FFDEAD"/>
          </w:tcPr>
          <w:p>
            <w:pPr>
              <w:spacing w:after="0"/>
              <w:rPr>
                <w:sz w:val="22"/>
                <w:szCs w:val="22"/>
                <w:color w:val="auto"/>
              </w:rPr>
            </w:pPr>
          </w:p>
        </w:tc>
        <w:tc>
          <w:tcPr>
            <w:tcW w:w="60" w:type="dxa"/>
            <w:vAlign w:val="bottom"/>
            <w:tcBorders>
              <w:bottom w:val="single" w:sz="8" w:color="FFDEAD"/>
              <w:right w:val="single" w:sz="8" w:color="FFDEAD"/>
            </w:tcBorders>
            <w:shd w:val="clear" w:color="auto" w:fill="FFDEAD"/>
          </w:tcPr>
          <w:p>
            <w:pPr>
              <w:spacing w:after="0"/>
              <w:rPr>
                <w:sz w:val="22"/>
                <w:szCs w:val="22"/>
                <w:color w:val="auto"/>
              </w:rPr>
            </w:pPr>
          </w:p>
        </w:tc>
        <w:tc>
          <w:tcPr>
            <w:tcW w:w="460" w:type="dxa"/>
            <w:vAlign w:val="bottom"/>
            <w:tcBorders>
              <w:bottom w:val="single" w:sz="8" w:color="FFDEAD"/>
              <w:right w:val="single" w:sz="8" w:color="FFDEAD"/>
            </w:tcBorders>
            <w:gridSpan w:val="4"/>
            <w:shd w:val="clear" w:color="auto" w:fill="FFDEAD"/>
          </w:tcPr>
          <w:p>
            <w:pPr>
              <w:jc w:val="center"/>
              <w:ind w:right="40"/>
              <w:spacing w:after="0"/>
              <w:rPr>
                <w:sz w:val="20"/>
                <w:szCs w:val="20"/>
                <w:color w:val="auto"/>
              </w:rPr>
            </w:pPr>
            <w:r>
              <w:rPr>
                <w:rFonts w:ascii="Arial" w:cs="Arial" w:eastAsia="Arial" w:hAnsi="Arial"/>
                <w:sz w:val="18"/>
                <w:szCs w:val="18"/>
                <w:color w:val="FF0000"/>
                <w:strike w:val="1"/>
                <w:w w:val="91"/>
              </w:rPr>
              <w:t>100%</w:t>
            </w:r>
          </w:p>
        </w:tc>
        <w:tc>
          <w:tcPr>
            <w:tcW w:w="660" w:type="dxa"/>
            <w:vAlign w:val="bottom"/>
            <w:tcBorders>
              <w:bottom w:val="single" w:sz="8" w:color="FFDEAD"/>
              <w:right w:val="single" w:sz="8" w:color="auto"/>
            </w:tcBorders>
            <w:shd w:val="clear" w:color="auto" w:fill="FFDEAD"/>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320" w:type="dxa"/>
            <w:vAlign w:val="bottom"/>
            <w:tcBorders>
              <w:top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360" w:type="dxa"/>
            <w:vAlign w:val="bottom"/>
            <w:tcBorders>
              <w:top w:val="single" w:sz="8" w:color="auto"/>
              <w:right w:val="single" w:sz="8" w:color="auto"/>
            </w:tcBorders>
            <w:gridSpan w:val="10"/>
          </w:tcPr>
          <w:p>
            <w:pPr>
              <w:spacing w:after="0"/>
              <w:rPr>
                <w:sz w:val="20"/>
                <w:szCs w:val="20"/>
                <w:color w:val="auto"/>
              </w:rPr>
            </w:pPr>
            <w:r>
              <w:rPr>
                <w:rFonts w:ascii="Arial" w:cs="Arial" w:eastAsia="Arial" w:hAnsi="Arial"/>
                <w:sz w:val="18"/>
                <w:szCs w:val="18"/>
                <w:color w:val="auto"/>
              </w:rPr>
              <w:t>Pacific Waikiki Assets, LLC</w:t>
            </w:r>
          </w:p>
        </w:tc>
        <w:tc>
          <w:tcPr>
            <w:tcW w:w="1120" w:type="dxa"/>
            <w:vAlign w:val="bottom"/>
            <w:tcBorders>
              <w:top w:val="single" w:sz="8" w:color="auto"/>
            </w:tcBorders>
            <w:gridSpan w:val="6"/>
          </w:tcPr>
          <w:p>
            <w:pPr>
              <w:jc w:val="center"/>
              <w:ind w:left="528"/>
              <w:spacing w:after="0"/>
              <w:rPr>
                <w:sz w:val="20"/>
                <w:szCs w:val="20"/>
                <w:color w:val="auto"/>
              </w:rPr>
            </w:pPr>
            <w:r>
              <w:rPr>
                <w:rFonts w:ascii="Arial" w:cs="Arial" w:eastAsia="Arial" w:hAnsi="Arial"/>
                <w:sz w:val="18"/>
                <w:szCs w:val="18"/>
                <w:color w:val="auto"/>
                <w:w w:val="91"/>
              </w:rPr>
              <w:t>100%</w:t>
            </w:r>
          </w:p>
        </w:tc>
        <w:tc>
          <w:tcPr>
            <w:tcW w:w="66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FFDEAD"/>
              <w:bottom w:val="single" w:sz="8" w:color="FFDEAD"/>
            </w:tcBorders>
            <w:shd w:val="clear" w:color="auto" w:fill="FFDEAD"/>
          </w:tcPr>
          <w:p>
            <w:pPr>
              <w:ind w:left="40"/>
              <w:spacing w:after="0"/>
              <w:rPr>
                <w:sz w:val="20"/>
                <w:szCs w:val="20"/>
                <w:color w:val="auto"/>
              </w:rPr>
            </w:pPr>
            <w:r>
              <w:rPr>
                <w:rFonts w:ascii="Arial" w:cs="Arial" w:eastAsia="Arial" w:hAnsi="Arial"/>
                <w:sz w:val="18"/>
                <w:szCs w:val="18"/>
                <w:color w:val="FF0000"/>
                <w:strike w:val="1"/>
                <w:w w:val="98"/>
              </w:rPr>
              <w:t>Pacific Waikiki Assets, LLC</w:t>
            </w:r>
          </w:p>
        </w:tc>
        <w:tc>
          <w:tcPr>
            <w:tcW w:w="20" w:type="dxa"/>
            <w:vAlign w:val="bottom"/>
            <w:tcBorders>
              <w:bottom w:val="single" w:sz="8" w:color="FFDEAD"/>
            </w:tcBorders>
            <w:shd w:val="clear" w:color="auto" w:fill="FFDEAD"/>
          </w:tcPr>
          <w:p>
            <w:pPr>
              <w:spacing w:after="0"/>
              <w:rPr>
                <w:sz w:val="22"/>
                <w:szCs w:val="22"/>
                <w:color w:val="auto"/>
              </w:rPr>
            </w:pPr>
          </w:p>
        </w:tc>
        <w:tc>
          <w:tcPr>
            <w:tcW w:w="2100" w:type="dxa"/>
            <w:vAlign w:val="bottom"/>
            <w:tcBorders>
              <w:bottom w:val="single" w:sz="8" w:color="FFDEAD"/>
              <w:right w:val="single" w:sz="8" w:color="auto"/>
            </w:tcBorders>
            <w:shd w:val="clear" w:color="auto" w:fill="FFDEAD"/>
          </w:tcPr>
          <w:p>
            <w:pPr>
              <w:spacing w:after="0"/>
              <w:rPr>
                <w:sz w:val="22"/>
                <w:szCs w:val="22"/>
                <w:color w:val="auto"/>
              </w:rPr>
            </w:pPr>
          </w:p>
        </w:tc>
        <w:tc>
          <w:tcPr>
            <w:tcW w:w="2540" w:type="dxa"/>
            <w:vAlign w:val="bottom"/>
            <w:tcBorders>
              <w:bottom w:val="single" w:sz="8" w:color="FFDEAD"/>
            </w:tcBorders>
            <w:gridSpan w:val="8"/>
            <w:shd w:val="clear" w:color="auto" w:fill="FFDEAD"/>
          </w:tcPr>
          <w:p>
            <w:pPr>
              <w:spacing w:after="0"/>
              <w:rPr>
                <w:sz w:val="20"/>
                <w:szCs w:val="20"/>
                <w:color w:val="auto"/>
              </w:rPr>
            </w:pPr>
            <w:r>
              <w:rPr>
                <w:rFonts w:ascii="Arial" w:cs="Arial" w:eastAsia="Arial" w:hAnsi="Arial"/>
                <w:sz w:val="18"/>
                <w:szCs w:val="18"/>
                <w:color w:val="FF0000"/>
                <w:strike w:val="1"/>
              </w:rPr>
              <w:t>Pacific Waikiki Holdings, L.P.</w:t>
            </w:r>
          </w:p>
        </w:tc>
        <w:tc>
          <w:tcPr>
            <w:tcW w:w="80" w:type="dxa"/>
            <w:vAlign w:val="bottom"/>
            <w:tcBorders>
              <w:bottom w:val="single" w:sz="8" w:color="FFDEAD"/>
            </w:tcBorders>
            <w:shd w:val="clear" w:color="auto" w:fill="FFDEAD"/>
          </w:tcPr>
          <w:p>
            <w:pPr>
              <w:spacing w:after="0"/>
              <w:rPr>
                <w:sz w:val="22"/>
                <w:szCs w:val="22"/>
                <w:color w:val="auto"/>
              </w:rPr>
            </w:pPr>
          </w:p>
        </w:tc>
        <w:tc>
          <w:tcPr>
            <w:tcW w:w="1740" w:type="dxa"/>
            <w:vAlign w:val="bottom"/>
            <w:tcBorders>
              <w:bottom w:val="single" w:sz="8" w:color="FFDEAD"/>
              <w:right w:val="single" w:sz="8" w:color="auto"/>
            </w:tcBorders>
            <w:shd w:val="clear" w:color="auto" w:fill="FFDEAD"/>
          </w:tcPr>
          <w:p>
            <w:pPr>
              <w:spacing w:after="0"/>
              <w:rPr>
                <w:sz w:val="22"/>
                <w:szCs w:val="22"/>
                <w:color w:val="auto"/>
              </w:rPr>
            </w:pPr>
          </w:p>
        </w:tc>
        <w:tc>
          <w:tcPr>
            <w:tcW w:w="600" w:type="dxa"/>
            <w:vAlign w:val="bottom"/>
            <w:tcBorders>
              <w:bottom w:val="single" w:sz="8" w:color="FFDEAD"/>
            </w:tcBorders>
            <w:shd w:val="clear" w:color="auto" w:fill="FFDEAD"/>
          </w:tcPr>
          <w:p>
            <w:pPr>
              <w:spacing w:after="0"/>
              <w:rPr>
                <w:sz w:val="22"/>
                <w:szCs w:val="22"/>
                <w:color w:val="auto"/>
              </w:rPr>
            </w:pPr>
          </w:p>
        </w:tc>
        <w:tc>
          <w:tcPr>
            <w:tcW w:w="60" w:type="dxa"/>
            <w:vAlign w:val="bottom"/>
            <w:tcBorders>
              <w:bottom w:val="single" w:sz="8" w:color="FFDEAD"/>
              <w:right w:val="single" w:sz="8" w:color="FFDEAD"/>
            </w:tcBorders>
            <w:shd w:val="clear" w:color="auto" w:fill="FFDEAD"/>
          </w:tcPr>
          <w:p>
            <w:pPr>
              <w:spacing w:after="0"/>
              <w:rPr>
                <w:sz w:val="22"/>
                <w:szCs w:val="22"/>
                <w:color w:val="auto"/>
              </w:rPr>
            </w:pPr>
          </w:p>
        </w:tc>
        <w:tc>
          <w:tcPr>
            <w:tcW w:w="460" w:type="dxa"/>
            <w:vAlign w:val="bottom"/>
            <w:tcBorders>
              <w:bottom w:val="single" w:sz="8" w:color="FFDEAD"/>
              <w:right w:val="single" w:sz="8" w:color="FFDEAD"/>
            </w:tcBorders>
            <w:gridSpan w:val="4"/>
            <w:shd w:val="clear" w:color="auto" w:fill="FFDEAD"/>
          </w:tcPr>
          <w:p>
            <w:pPr>
              <w:jc w:val="center"/>
              <w:ind w:right="40"/>
              <w:spacing w:after="0"/>
              <w:rPr>
                <w:sz w:val="20"/>
                <w:szCs w:val="20"/>
                <w:color w:val="auto"/>
              </w:rPr>
            </w:pPr>
            <w:r>
              <w:rPr>
                <w:rFonts w:ascii="Arial" w:cs="Arial" w:eastAsia="Arial" w:hAnsi="Arial"/>
                <w:sz w:val="18"/>
                <w:szCs w:val="18"/>
                <w:color w:val="FF0000"/>
                <w:strike w:val="1"/>
                <w:w w:val="94"/>
              </w:rPr>
              <w:t>25%</w:t>
            </w:r>
          </w:p>
        </w:tc>
        <w:tc>
          <w:tcPr>
            <w:tcW w:w="660" w:type="dxa"/>
            <w:vAlign w:val="bottom"/>
            <w:tcBorders>
              <w:bottom w:val="single" w:sz="8" w:color="FFDEAD"/>
              <w:right w:val="single" w:sz="8" w:color="auto"/>
            </w:tcBorders>
            <w:shd w:val="clear" w:color="auto" w:fill="FFDEAD"/>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320" w:type="dxa"/>
            <w:vAlign w:val="bottom"/>
            <w:tcBorders>
              <w:top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360" w:type="dxa"/>
            <w:vAlign w:val="bottom"/>
            <w:tcBorders>
              <w:top w:val="single" w:sz="8" w:color="auto"/>
              <w:right w:val="single" w:sz="8" w:color="auto"/>
            </w:tcBorders>
            <w:gridSpan w:val="10"/>
          </w:tcPr>
          <w:p>
            <w:pPr>
              <w:spacing w:after="0"/>
              <w:rPr>
                <w:sz w:val="20"/>
                <w:szCs w:val="20"/>
                <w:color w:val="auto"/>
              </w:rPr>
            </w:pPr>
            <w:r>
              <w:rPr>
                <w:rFonts w:ascii="Arial" w:cs="Arial" w:eastAsia="Arial" w:hAnsi="Arial"/>
                <w:sz w:val="18"/>
                <w:szCs w:val="18"/>
                <w:color w:val="auto"/>
              </w:rPr>
              <w:t>Pacific Waikiki Holdings, L.P.</w:t>
            </w:r>
          </w:p>
        </w:tc>
        <w:tc>
          <w:tcPr>
            <w:tcW w:w="1120" w:type="dxa"/>
            <w:vAlign w:val="bottom"/>
            <w:tcBorders>
              <w:top w:val="single" w:sz="8" w:color="auto"/>
            </w:tcBorders>
            <w:gridSpan w:val="6"/>
          </w:tcPr>
          <w:p>
            <w:pPr>
              <w:jc w:val="center"/>
              <w:ind w:left="528"/>
              <w:spacing w:after="0"/>
              <w:rPr>
                <w:sz w:val="20"/>
                <w:szCs w:val="20"/>
                <w:color w:val="auto"/>
              </w:rPr>
            </w:pPr>
            <w:r>
              <w:rPr>
                <w:rFonts w:ascii="Arial" w:cs="Arial" w:eastAsia="Arial" w:hAnsi="Arial"/>
                <w:sz w:val="18"/>
                <w:szCs w:val="18"/>
                <w:color w:val="auto"/>
                <w:w w:val="94"/>
              </w:rPr>
              <w:t>75%</w:t>
            </w:r>
          </w:p>
        </w:tc>
        <w:tc>
          <w:tcPr>
            <w:tcW w:w="66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36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rPr>
              <w:t>Pacific VC Holdings, LLC</w:t>
            </w:r>
          </w:p>
        </w:tc>
        <w:tc>
          <w:tcPr>
            <w:tcW w:w="1120" w:type="dxa"/>
            <w:vAlign w:val="bottom"/>
            <w:gridSpan w:val="6"/>
          </w:tcPr>
          <w:p>
            <w:pPr>
              <w:jc w:val="center"/>
              <w:ind w:left="528"/>
              <w:spacing w:after="0"/>
              <w:rPr>
                <w:sz w:val="20"/>
                <w:szCs w:val="20"/>
                <w:color w:val="auto"/>
              </w:rPr>
            </w:pPr>
            <w:r>
              <w:rPr>
                <w:rFonts w:ascii="Arial" w:cs="Arial" w:eastAsia="Arial" w:hAnsi="Arial"/>
                <w:sz w:val="18"/>
                <w:szCs w:val="18"/>
                <w:color w:val="auto"/>
                <w:w w:val="91"/>
              </w:rPr>
              <w:t>100%</w:t>
            </w: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36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rPr>
              <w:t>AAT Torrey Reserve 6, LLC</w:t>
            </w:r>
          </w:p>
        </w:tc>
        <w:tc>
          <w:tcPr>
            <w:tcW w:w="1120" w:type="dxa"/>
            <w:vAlign w:val="bottom"/>
            <w:gridSpan w:val="6"/>
          </w:tcPr>
          <w:p>
            <w:pPr>
              <w:jc w:val="center"/>
              <w:ind w:left="528"/>
              <w:spacing w:after="0"/>
              <w:rPr>
                <w:sz w:val="20"/>
                <w:szCs w:val="20"/>
                <w:color w:val="auto"/>
              </w:rPr>
            </w:pPr>
            <w:r>
              <w:rPr>
                <w:rFonts w:ascii="Arial" w:cs="Arial" w:eastAsia="Arial" w:hAnsi="Arial"/>
                <w:sz w:val="18"/>
                <w:szCs w:val="18"/>
                <w:color w:val="auto"/>
                <w:w w:val="91"/>
              </w:rPr>
              <w:t>100%</w:t>
            </w: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36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rPr>
              <w:t>AAT Torrey Reserve 5, LLC</w:t>
            </w:r>
          </w:p>
        </w:tc>
        <w:tc>
          <w:tcPr>
            <w:tcW w:w="1120" w:type="dxa"/>
            <w:vAlign w:val="bottom"/>
            <w:gridSpan w:val="6"/>
          </w:tcPr>
          <w:p>
            <w:pPr>
              <w:jc w:val="center"/>
              <w:ind w:left="528"/>
              <w:spacing w:after="0"/>
              <w:rPr>
                <w:sz w:val="20"/>
                <w:szCs w:val="20"/>
                <w:color w:val="auto"/>
              </w:rPr>
            </w:pPr>
            <w:r>
              <w:rPr>
                <w:rFonts w:ascii="Arial" w:cs="Arial" w:eastAsia="Arial" w:hAnsi="Arial"/>
                <w:sz w:val="18"/>
                <w:szCs w:val="18"/>
                <w:color w:val="auto"/>
                <w:w w:val="91"/>
              </w:rPr>
              <w:t>100%</w:t>
            </w: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36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rPr>
              <w:t>AAT Torrey 13-14, LLC</w:t>
            </w:r>
          </w:p>
        </w:tc>
        <w:tc>
          <w:tcPr>
            <w:tcW w:w="1120" w:type="dxa"/>
            <w:vAlign w:val="bottom"/>
            <w:gridSpan w:val="6"/>
          </w:tcPr>
          <w:p>
            <w:pPr>
              <w:jc w:val="center"/>
              <w:ind w:left="528"/>
              <w:spacing w:after="0"/>
              <w:rPr>
                <w:sz w:val="20"/>
                <w:szCs w:val="20"/>
                <w:color w:val="auto"/>
              </w:rPr>
            </w:pPr>
            <w:r>
              <w:rPr>
                <w:rFonts w:ascii="Arial" w:cs="Arial" w:eastAsia="Arial" w:hAnsi="Arial"/>
                <w:sz w:val="18"/>
                <w:szCs w:val="18"/>
                <w:color w:val="auto"/>
                <w:w w:val="91"/>
              </w:rPr>
              <w:t>100%</w:t>
            </w: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320" w:type="dxa"/>
            <w:vAlign w:val="bottom"/>
            <w:tcBorders>
              <w:right w:val="single" w:sz="8" w:color="auto"/>
            </w:tcBorders>
            <w:gridSpan w:val="3"/>
            <w:vMerge w:val="restart"/>
          </w:tcPr>
          <w:p>
            <w:pPr>
              <w:ind w:left="40"/>
              <w:spacing w:after="0" w:line="193" w:lineRule="exact"/>
              <w:rPr>
                <w:sz w:val="20"/>
                <w:szCs w:val="20"/>
                <w:color w:val="auto"/>
              </w:rPr>
            </w:pPr>
            <w:r>
              <w:rPr>
                <w:rFonts w:ascii="Arial" w:cs="Arial" w:eastAsia="Arial" w:hAnsi="Arial"/>
                <w:sz w:val="18"/>
                <w:szCs w:val="18"/>
                <w:color w:val="auto"/>
              </w:rPr>
              <w:t>American Assets Trust, L.P.</w:t>
            </w:r>
          </w:p>
        </w:tc>
        <w:tc>
          <w:tcPr>
            <w:tcW w:w="400" w:type="dxa"/>
            <w:vAlign w:val="bottom"/>
            <w:vMerge w:val="restart"/>
          </w:tcPr>
          <w:p>
            <w:pPr>
              <w:spacing w:after="0" w:line="193" w:lineRule="exact"/>
              <w:rPr>
                <w:sz w:val="20"/>
                <w:szCs w:val="20"/>
                <w:color w:val="auto"/>
              </w:rPr>
            </w:pPr>
            <w:r>
              <w:rPr>
                <w:rFonts w:ascii="Arial" w:cs="Arial" w:eastAsia="Arial" w:hAnsi="Arial"/>
                <w:sz w:val="18"/>
                <w:szCs w:val="18"/>
                <w:color w:val="auto"/>
              </w:rPr>
              <w:t>AAT</w:t>
            </w:r>
          </w:p>
        </w:tc>
        <w:tc>
          <w:tcPr>
            <w:tcW w:w="1140" w:type="dxa"/>
            <w:vAlign w:val="bottom"/>
            <w:gridSpan w:val="3"/>
            <w:vMerge w:val="restart"/>
          </w:tcPr>
          <w:p>
            <w:pPr>
              <w:spacing w:after="0" w:line="193" w:lineRule="exact"/>
              <w:rPr>
                <w:sz w:val="20"/>
                <w:szCs w:val="20"/>
                <w:color w:val="auto"/>
              </w:rPr>
            </w:pPr>
            <w:r>
              <w:rPr>
                <w:rFonts w:ascii="Arial" w:cs="Arial" w:eastAsia="Arial" w:hAnsi="Arial"/>
                <w:sz w:val="18"/>
                <w:szCs w:val="18"/>
                <w:color w:val="FF0000"/>
                <w:strike w:val="1"/>
                <w:w w:val="89"/>
              </w:rPr>
              <w:t>Sorrento Pointe</w:t>
            </w: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tcBorders>
              <w:right w:val="single" w:sz="8" w:color="auto"/>
            </w:tcBorders>
            <w:gridSpan w:val="2"/>
            <w:vMerge w:val="restart"/>
          </w:tcPr>
          <w:p>
            <w:pPr>
              <w:spacing w:after="0" w:line="193" w:lineRule="exact"/>
              <w:rPr>
                <w:sz w:val="20"/>
                <w:szCs w:val="20"/>
                <w:color w:val="auto"/>
              </w:rPr>
            </w:pPr>
            <w:r>
              <w:rPr>
                <w:rFonts w:ascii="Arial" w:cs="Arial" w:eastAsia="Arial" w:hAnsi="Arial"/>
                <w:sz w:val="18"/>
                <w:szCs w:val="18"/>
                <w:color w:val="auto"/>
              </w:rPr>
              <w:t>, LLC</w:t>
            </w:r>
          </w:p>
        </w:tc>
        <w:tc>
          <w:tcPr>
            <w:tcW w:w="1120" w:type="dxa"/>
            <w:vAlign w:val="bottom"/>
            <w:gridSpan w:val="6"/>
            <w:vMerge w:val="restart"/>
          </w:tcPr>
          <w:p>
            <w:pPr>
              <w:jc w:val="center"/>
              <w:ind w:left="528"/>
              <w:spacing w:after="0" w:line="193" w:lineRule="exact"/>
              <w:rPr>
                <w:sz w:val="20"/>
                <w:szCs w:val="20"/>
                <w:color w:val="auto"/>
              </w:rPr>
            </w:pPr>
            <w:r>
              <w:rPr>
                <w:rFonts w:ascii="Arial" w:cs="Arial" w:eastAsia="Arial" w:hAnsi="Arial"/>
                <w:sz w:val="18"/>
                <w:szCs w:val="18"/>
                <w:color w:val="auto"/>
                <w:w w:val="91"/>
              </w:rPr>
              <w:t>100%</w:t>
            </w:r>
          </w:p>
        </w:tc>
        <w:tc>
          <w:tcPr>
            <w:tcW w:w="66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tcBorders>
              <w:right w:val="single" w:sz="8" w:color="auto"/>
            </w:tcBorders>
            <w:gridSpan w:val="3"/>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000" w:type="dxa"/>
            <w:vAlign w:val="bottom"/>
            <w:tcBorders>
              <w:bottom w:val="single" w:sz="8" w:color="0000FF"/>
            </w:tcBorders>
            <w:gridSpan w:val="4"/>
            <w:shd w:val="clear" w:color="auto" w:fill="D6D6D6"/>
          </w:tcPr>
          <w:p>
            <w:pPr>
              <w:spacing w:after="0" w:line="172" w:lineRule="exact"/>
              <w:rPr>
                <w:sz w:val="20"/>
                <w:szCs w:val="20"/>
                <w:color w:val="auto"/>
              </w:rPr>
            </w:pPr>
            <w:r>
              <w:rPr>
                <w:rFonts w:ascii="Arial" w:cs="Arial" w:eastAsia="Arial" w:hAnsi="Arial"/>
                <w:sz w:val="18"/>
                <w:szCs w:val="18"/>
                <w:b w:val="1"/>
                <w:bCs w:val="1"/>
                <w:color w:val="0000FF"/>
                <w:highlight w:val="lightGray"/>
                <w:w w:val="92"/>
              </w:rPr>
              <w:t>Torrey Point</w:t>
            </w:r>
          </w:p>
        </w:tc>
        <w:tc>
          <w:tcPr>
            <w:tcW w:w="1820" w:type="dxa"/>
            <w:vAlign w:val="bottom"/>
            <w:tcBorders>
              <w:right w:val="single" w:sz="8" w:color="auto"/>
            </w:tcBorders>
            <w:gridSpan w:val="2"/>
            <w:vMerge w:val="continue"/>
          </w:tcPr>
          <w:p>
            <w:pPr>
              <w:spacing w:after="0"/>
              <w:rPr>
                <w:sz w:val="16"/>
                <w:szCs w:val="16"/>
                <w:color w:val="auto"/>
              </w:rPr>
            </w:pPr>
          </w:p>
        </w:tc>
        <w:tc>
          <w:tcPr>
            <w:tcW w:w="1120" w:type="dxa"/>
            <w:vAlign w:val="bottom"/>
            <w:gridSpan w:val="6"/>
            <w:vMerge w:val="continue"/>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D6D6D6"/>
              <w:bottom w:val="single" w:sz="8" w:color="auto"/>
            </w:tcBorders>
          </w:tcPr>
          <w:p>
            <w:pPr>
              <w:spacing w:after="0" w:line="20" w:lineRule="exact"/>
              <w:rPr>
                <w:sz w:val="1"/>
                <w:szCs w:val="1"/>
                <w:color w:val="auto"/>
              </w:rPr>
            </w:pPr>
          </w:p>
        </w:tc>
        <w:tc>
          <w:tcPr>
            <w:tcW w:w="20" w:type="dxa"/>
            <w:vAlign w:val="bottom"/>
            <w:tcBorders>
              <w:top w:val="single" w:sz="8" w:color="D6D6D6"/>
              <w:bottom w:val="single" w:sz="8" w:color="auto"/>
            </w:tcBorders>
          </w:tcPr>
          <w:p>
            <w:pPr>
              <w:spacing w:after="0" w:line="20" w:lineRule="exact"/>
              <w:rPr>
                <w:sz w:val="1"/>
                <w:szCs w:val="1"/>
                <w:color w:val="auto"/>
              </w:rPr>
            </w:pPr>
          </w:p>
        </w:tc>
        <w:tc>
          <w:tcPr>
            <w:tcW w:w="20" w:type="dxa"/>
            <w:vAlign w:val="bottom"/>
            <w:tcBorders>
              <w:top w:val="single" w:sz="8" w:color="D6D6D6"/>
              <w:bottom w:val="single" w:sz="8" w:color="auto"/>
            </w:tcBorders>
          </w:tcPr>
          <w:p>
            <w:pPr>
              <w:spacing w:after="0" w:line="20" w:lineRule="exact"/>
              <w:rPr>
                <w:sz w:val="1"/>
                <w:szCs w:val="1"/>
                <w:color w:val="auto"/>
              </w:rPr>
            </w:pPr>
          </w:p>
        </w:tc>
        <w:tc>
          <w:tcPr>
            <w:tcW w:w="620" w:type="dxa"/>
            <w:vAlign w:val="bottom"/>
            <w:tcBorders>
              <w:top w:val="single" w:sz="8" w:color="D6D6D6"/>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36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rPr>
              <w:t>SB Corporate Centre, LLC</w:t>
            </w:r>
          </w:p>
        </w:tc>
        <w:tc>
          <w:tcPr>
            <w:tcW w:w="1120" w:type="dxa"/>
            <w:vAlign w:val="bottom"/>
            <w:gridSpan w:val="6"/>
          </w:tcPr>
          <w:p>
            <w:pPr>
              <w:jc w:val="center"/>
              <w:ind w:left="528"/>
              <w:spacing w:after="0"/>
              <w:rPr>
                <w:sz w:val="20"/>
                <w:szCs w:val="20"/>
                <w:color w:val="auto"/>
              </w:rPr>
            </w:pPr>
            <w:r>
              <w:rPr>
                <w:rFonts w:ascii="Arial" w:cs="Arial" w:eastAsia="Arial" w:hAnsi="Arial"/>
                <w:sz w:val="18"/>
                <w:szCs w:val="18"/>
                <w:color w:val="auto"/>
                <w:w w:val="91"/>
              </w:rPr>
              <w:t>100%</w:t>
            </w: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FFDEAD"/>
              <w:bottom w:val="single" w:sz="8" w:color="FFDEAD"/>
            </w:tcBorders>
            <w:shd w:val="clear" w:color="auto" w:fill="FFDEAD"/>
          </w:tcPr>
          <w:p>
            <w:pPr>
              <w:ind w:left="40"/>
              <w:spacing w:after="0"/>
              <w:rPr>
                <w:sz w:val="20"/>
                <w:szCs w:val="20"/>
                <w:color w:val="auto"/>
              </w:rPr>
            </w:pPr>
            <w:r>
              <w:rPr>
                <w:rFonts w:ascii="Arial" w:cs="Arial" w:eastAsia="Arial" w:hAnsi="Arial"/>
                <w:sz w:val="18"/>
                <w:szCs w:val="18"/>
                <w:color w:val="FF0000"/>
                <w:strike w:val="1"/>
              </w:rPr>
              <w:t>SB Corporate Centre, LLC</w:t>
            </w:r>
          </w:p>
        </w:tc>
        <w:tc>
          <w:tcPr>
            <w:tcW w:w="20" w:type="dxa"/>
            <w:vAlign w:val="bottom"/>
            <w:tcBorders>
              <w:bottom w:val="single" w:sz="8" w:color="FFDEAD"/>
            </w:tcBorders>
            <w:shd w:val="clear" w:color="auto" w:fill="FFDEAD"/>
          </w:tcPr>
          <w:p>
            <w:pPr>
              <w:spacing w:after="0"/>
              <w:rPr>
                <w:sz w:val="22"/>
                <w:szCs w:val="22"/>
                <w:color w:val="auto"/>
              </w:rPr>
            </w:pPr>
          </w:p>
        </w:tc>
        <w:tc>
          <w:tcPr>
            <w:tcW w:w="2100" w:type="dxa"/>
            <w:vAlign w:val="bottom"/>
            <w:tcBorders>
              <w:bottom w:val="single" w:sz="8" w:color="FFDEAD"/>
              <w:right w:val="single" w:sz="8" w:color="auto"/>
            </w:tcBorders>
            <w:shd w:val="clear" w:color="auto" w:fill="FFDEAD"/>
          </w:tcPr>
          <w:p>
            <w:pPr>
              <w:spacing w:after="0"/>
              <w:rPr>
                <w:sz w:val="22"/>
                <w:szCs w:val="22"/>
                <w:color w:val="auto"/>
              </w:rPr>
            </w:pPr>
          </w:p>
        </w:tc>
        <w:tc>
          <w:tcPr>
            <w:tcW w:w="1880" w:type="dxa"/>
            <w:vAlign w:val="bottom"/>
            <w:tcBorders>
              <w:bottom w:val="single" w:sz="8" w:color="FFDEAD"/>
            </w:tcBorders>
            <w:gridSpan w:val="5"/>
            <w:shd w:val="clear" w:color="auto" w:fill="FFDEAD"/>
          </w:tcPr>
          <w:p>
            <w:pPr>
              <w:spacing w:after="0"/>
              <w:rPr>
                <w:sz w:val="20"/>
                <w:szCs w:val="20"/>
                <w:color w:val="auto"/>
              </w:rPr>
            </w:pPr>
            <w:r>
              <w:rPr>
                <w:rFonts w:ascii="Arial" w:cs="Arial" w:eastAsia="Arial" w:hAnsi="Arial"/>
                <w:sz w:val="18"/>
                <w:szCs w:val="18"/>
                <w:color w:val="FF0000"/>
                <w:strike w:val="1"/>
              </w:rPr>
              <w:t>SBCC Holdings, LLC</w:t>
            </w:r>
          </w:p>
        </w:tc>
        <w:tc>
          <w:tcPr>
            <w:tcW w:w="40" w:type="dxa"/>
            <w:vAlign w:val="bottom"/>
            <w:tcBorders>
              <w:bottom w:val="single" w:sz="8" w:color="FFDEAD"/>
            </w:tcBorders>
            <w:gridSpan w:val="2"/>
            <w:shd w:val="clear" w:color="auto" w:fill="FFDEAD"/>
          </w:tcPr>
          <w:p>
            <w:pPr>
              <w:spacing w:after="0"/>
              <w:rPr>
                <w:sz w:val="22"/>
                <w:szCs w:val="22"/>
                <w:color w:val="auto"/>
              </w:rPr>
            </w:pPr>
          </w:p>
        </w:tc>
        <w:tc>
          <w:tcPr>
            <w:tcW w:w="700" w:type="dxa"/>
            <w:vAlign w:val="bottom"/>
            <w:tcBorders>
              <w:bottom w:val="single" w:sz="8" w:color="FFDEAD"/>
            </w:tcBorders>
            <w:gridSpan w:val="2"/>
            <w:shd w:val="clear" w:color="auto" w:fill="FFDEAD"/>
          </w:tcPr>
          <w:p>
            <w:pPr>
              <w:spacing w:after="0"/>
              <w:rPr>
                <w:sz w:val="22"/>
                <w:szCs w:val="22"/>
                <w:color w:val="auto"/>
              </w:rPr>
            </w:pPr>
          </w:p>
        </w:tc>
        <w:tc>
          <w:tcPr>
            <w:tcW w:w="1740" w:type="dxa"/>
            <w:vAlign w:val="bottom"/>
            <w:tcBorders>
              <w:bottom w:val="single" w:sz="8" w:color="FFDEAD"/>
              <w:right w:val="single" w:sz="8" w:color="auto"/>
            </w:tcBorders>
            <w:shd w:val="clear" w:color="auto" w:fill="FFDEAD"/>
          </w:tcPr>
          <w:p>
            <w:pPr>
              <w:spacing w:after="0"/>
              <w:rPr>
                <w:sz w:val="22"/>
                <w:szCs w:val="22"/>
                <w:color w:val="auto"/>
              </w:rPr>
            </w:pPr>
          </w:p>
        </w:tc>
        <w:tc>
          <w:tcPr>
            <w:tcW w:w="600" w:type="dxa"/>
            <w:vAlign w:val="bottom"/>
            <w:tcBorders>
              <w:bottom w:val="single" w:sz="8" w:color="FFDEAD"/>
            </w:tcBorders>
            <w:shd w:val="clear" w:color="auto" w:fill="FFDEAD"/>
          </w:tcPr>
          <w:p>
            <w:pPr>
              <w:spacing w:after="0"/>
              <w:rPr>
                <w:sz w:val="22"/>
                <w:szCs w:val="22"/>
                <w:color w:val="auto"/>
              </w:rPr>
            </w:pPr>
          </w:p>
        </w:tc>
        <w:tc>
          <w:tcPr>
            <w:tcW w:w="60" w:type="dxa"/>
            <w:vAlign w:val="bottom"/>
            <w:tcBorders>
              <w:bottom w:val="single" w:sz="8" w:color="FFDEAD"/>
              <w:right w:val="single" w:sz="8" w:color="FFDEAD"/>
            </w:tcBorders>
            <w:shd w:val="clear" w:color="auto" w:fill="FFDEAD"/>
          </w:tcPr>
          <w:p>
            <w:pPr>
              <w:spacing w:after="0"/>
              <w:rPr>
                <w:sz w:val="22"/>
                <w:szCs w:val="22"/>
                <w:color w:val="auto"/>
              </w:rPr>
            </w:pPr>
          </w:p>
        </w:tc>
        <w:tc>
          <w:tcPr>
            <w:tcW w:w="460" w:type="dxa"/>
            <w:vAlign w:val="bottom"/>
            <w:tcBorders>
              <w:bottom w:val="single" w:sz="8" w:color="FFDEAD"/>
              <w:right w:val="single" w:sz="8" w:color="FFDEAD"/>
            </w:tcBorders>
            <w:gridSpan w:val="4"/>
            <w:shd w:val="clear" w:color="auto" w:fill="FFDEAD"/>
          </w:tcPr>
          <w:p>
            <w:pPr>
              <w:jc w:val="center"/>
              <w:ind w:right="40"/>
              <w:spacing w:after="0"/>
              <w:rPr>
                <w:sz w:val="20"/>
                <w:szCs w:val="20"/>
                <w:color w:val="auto"/>
              </w:rPr>
            </w:pPr>
            <w:r>
              <w:rPr>
                <w:rFonts w:ascii="Arial" w:cs="Arial" w:eastAsia="Arial" w:hAnsi="Arial"/>
                <w:sz w:val="18"/>
                <w:szCs w:val="18"/>
                <w:color w:val="FF0000"/>
                <w:strike w:val="1"/>
                <w:w w:val="91"/>
              </w:rPr>
              <w:t>100%</w:t>
            </w:r>
          </w:p>
        </w:tc>
        <w:tc>
          <w:tcPr>
            <w:tcW w:w="660" w:type="dxa"/>
            <w:vAlign w:val="bottom"/>
            <w:tcBorders>
              <w:bottom w:val="single" w:sz="8" w:color="FFDEAD"/>
              <w:right w:val="single" w:sz="8" w:color="auto"/>
            </w:tcBorders>
            <w:shd w:val="clear" w:color="auto" w:fill="FFDEAD"/>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320" w:type="dxa"/>
            <w:vAlign w:val="bottom"/>
            <w:tcBorders>
              <w:top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360" w:type="dxa"/>
            <w:vAlign w:val="bottom"/>
            <w:tcBorders>
              <w:top w:val="single" w:sz="8" w:color="auto"/>
              <w:right w:val="single" w:sz="8" w:color="auto"/>
            </w:tcBorders>
            <w:gridSpan w:val="10"/>
          </w:tcPr>
          <w:p>
            <w:pPr>
              <w:spacing w:after="0"/>
              <w:rPr>
                <w:sz w:val="20"/>
                <w:szCs w:val="20"/>
                <w:color w:val="auto"/>
              </w:rPr>
            </w:pPr>
            <w:r>
              <w:rPr>
                <w:rFonts w:ascii="Arial" w:cs="Arial" w:eastAsia="Arial" w:hAnsi="Arial"/>
                <w:sz w:val="18"/>
                <w:szCs w:val="18"/>
                <w:color w:val="auto"/>
              </w:rPr>
              <w:t>Loma Palisades GP LLC</w:t>
            </w:r>
          </w:p>
        </w:tc>
        <w:tc>
          <w:tcPr>
            <w:tcW w:w="1120" w:type="dxa"/>
            <w:vAlign w:val="bottom"/>
            <w:tcBorders>
              <w:top w:val="single" w:sz="8" w:color="auto"/>
            </w:tcBorders>
            <w:gridSpan w:val="6"/>
          </w:tcPr>
          <w:p>
            <w:pPr>
              <w:jc w:val="center"/>
              <w:ind w:left="528"/>
              <w:spacing w:after="0"/>
              <w:rPr>
                <w:sz w:val="20"/>
                <w:szCs w:val="20"/>
                <w:color w:val="auto"/>
              </w:rPr>
            </w:pPr>
            <w:r>
              <w:rPr>
                <w:rFonts w:ascii="Arial" w:cs="Arial" w:eastAsia="Arial" w:hAnsi="Arial"/>
                <w:sz w:val="18"/>
                <w:szCs w:val="18"/>
                <w:color w:val="auto"/>
                <w:w w:val="91"/>
              </w:rPr>
              <w:t>100%</w:t>
            </w:r>
          </w:p>
        </w:tc>
        <w:tc>
          <w:tcPr>
            <w:tcW w:w="66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320" w:type="dxa"/>
            <w:vAlign w:val="bottom"/>
            <w:tcBorders>
              <w:right w:val="single" w:sz="8" w:color="auto"/>
            </w:tcBorders>
            <w:gridSpan w:val="3"/>
            <w:vMerge w:val="restart"/>
          </w:tcPr>
          <w:p>
            <w:pPr>
              <w:ind w:left="40"/>
              <w:spacing w:after="0" w:line="193" w:lineRule="exact"/>
              <w:rPr>
                <w:sz w:val="20"/>
                <w:szCs w:val="20"/>
                <w:color w:val="auto"/>
              </w:rPr>
            </w:pPr>
            <w:r>
              <w:rPr>
                <w:rFonts w:ascii="Arial" w:cs="Arial" w:eastAsia="Arial" w:hAnsi="Arial"/>
                <w:sz w:val="18"/>
                <w:szCs w:val="18"/>
                <w:color w:val="auto"/>
              </w:rPr>
              <w:t>American Assets Trust, L.P.</w:t>
            </w:r>
          </w:p>
        </w:tc>
        <w:tc>
          <w:tcPr>
            <w:tcW w:w="4360" w:type="dxa"/>
            <w:vAlign w:val="bottom"/>
            <w:tcBorders>
              <w:right w:val="single" w:sz="8" w:color="auto"/>
            </w:tcBorders>
            <w:gridSpan w:val="10"/>
            <w:vMerge w:val="restart"/>
          </w:tcPr>
          <w:p>
            <w:pPr>
              <w:spacing w:after="0" w:line="193" w:lineRule="exact"/>
              <w:rPr>
                <w:sz w:val="20"/>
                <w:szCs w:val="20"/>
                <w:color w:val="auto"/>
              </w:rPr>
            </w:pPr>
            <w:r>
              <w:rPr>
                <w:rFonts w:ascii="Arial" w:cs="Arial" w:eastAsia="Arial" w:hAnsi="Arial"/>
                <w:sz w:val="18"/>
                <w:szCs w:val="18"/>
                <w:color w:val="auto"/>
              </w:rPr>
              <w:t>Loma Palisades, a California general partnership</w:t>
            </w:r>
          </w:p>
        </w:tc>
        <w:tc>
          <w:tcPr>
            <w:tcW w:w="600" w:type="dxa"/>
            <w:vAlign w:val="bottom"/>
          </w:tcPr>
          <w:p>
            <w:pPr>
              <w:spacing w:after="0" w:line="20" w:lineRule="exact"/>
              <w:rPr>
                <w:sz w:val="1"/>
                <w:szCs w:val="1"/>
                <w:color w:val="auto"/>
              </w:rPr>
            </w:pPr>
          </w:p>
        </w:tc>
        <w:tc>
          <w:tcPr>
            <w:tcW w:w="180" w:type="dxa"/>
            <w:vAlign w:val="bottom"/>
            <w:gridSpan w:val="2"/>
            <w:vMerge w:val="restart"/>
          </w:tcPr>
          <w:p>
            <w:pPr>
              <w:jc w:val="right"/>
              <w:spacing w:after="0" w:line="193" w:lineRule="exact"/>
              <w:rPr>
                <w:sz w:val="20"/>
                <w:szCs w:val="20"/>
                <w:color w:val="auto"/>
              </w:rPr>
            </w:pPr>
            <w:r>
              <w:rPr>
                <w:rFonts w:ascii="Arial" w:cs="Arial" w:eastAsia="Arial" w:hAnsi="Arial"/>
                <w:sz w:val="18"/>
                <w:szCs w:val="18"/>
                <w:b w:val="1"/>
                <w:bCs w:val="1"/>
                <w:color w:val="FF0000"/>
                <w:strike w:val="1"/>
                <w:w w:val="79"/>
              </w:rPr>
              <w:t>75</w:t>
            </w:r>
          </w:p>
        </w:tc>
        <w:tc>
          <w:tcPr>
            <w:tcW w:w="180" w:type="dxa"/>
            <w:vAlign w:val="bottom"/>
          </w:tcPr>
          <w:p>
            <w:pPr>
              <w:spacing w:after="0" w:line="20" w:lineRule="exact"/>
              <w:rPr>
                <w:sz w:val="1"/>
                <w:szCs w:val="1"/>
                <w:color w:val="auto"/>
              </w:rPr>
            </w:pPr>
          </w:p>
        </w:tc>
        <w:tc>
          <w:tcPr>
            <w:tcW w:w="820" w:type="dxa"/>
            <w:vAlign w:val="bottom"/>
            <w:tcBorders>
              <w:right w:val="single" w:sz="8" w:color="auto"/>
            </w:tcBorders>
            <w:gridSpan w:val="3"/>
            <w:vMerge w:val="restart"/>
          </w:tcPr>
          <w:p>
            <w:pPr>
              <w:jc w:val="right"/>
              <w:ind w:right="640"/>
              <w:spacing w:after="0" w:line="193" w:lineRule="exact"/>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line="20" w:lineRule="exact"/>
              <w:rPr>
                <w:sz w:val="1"/>
                <w:szCs w:val="1"/>
                <w:color w:val="auto"/>
              </w:rPr>
            </w:pPr>
          </w:p>
        </w:tc>
      </w:tr>
      <w:tr>
        <w:trPr>
          <w:trHeight w:val="192"/>
        </w:trPr>
        <w:tc>
          <w:tcPr>
            <w:tcW w:w="4320" w:type="dxa"/>
            <w:vAlign w:val="bottom"/>
            <w:tcBorders>
              <w:right w:val="single" w:sz="8" w:color="auto"/>
            </w:tcBorders>
            <w:gridSpan w:val="3"/>
            <w:vMerge w:val="continue"/>
          </w:tcPr>
          <w:p>
            <w:pPr>
              <w:spacing w:after="0"/>
              <w:rPr>
                <w:sz w:val="16"/>
                <w:szCs w:val="16"/>
                <w:color w:val="auto"/>
              </w:rPr>
            </w:pPr>
          </w:p>
        </w:tc>
        <w:tc>
          <w:tcPr>
            <w:tcW w:w="4360" w:type="dxa"/>
            <w:vAlign w:val="bottom"/>
            <w:tcBorders>
              <w:right w:val="single" w:sz="8" w:color="auto"/>
            </w:tcBorders>
            <w:gridSpan w:val="10"/>
            <w:vMerge w:val="continue"/>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80" w:type="dxa"/>
            <w:vAlign w:val="bottom"/>
            <w:shd w:val="clear" w:color="auto" w:fill="D6D6D6"/>
          </w:tcPr>
          <w:p>
            <w:pPr>
              <w:jc w:val="center"/>
              <w:spacing w:after="0" w:line="172" w:lineRule="exact"/>
              <w:rPr>
                <w:sz w:val="20"/>
                <w:szCs w:val="20"/>
                <w:color w:val="auto"/>
              </w:rPr>
            </w:pPr>
            <w:r>
              <w:rPr>
                <w:rFonts w:ascii="Arial" w:cs="Arial" w:eastAsia="Arial" w:hAnsi="Arial"/>
                <w:sz w:val="18"/>
                <w:szCs w:val="18"/>
                <w:b w:val="1"/>
                <w:bCs w:val="1"/>
                <w:color w:val="0000FF"/>
                <w:highlight w:val="lightGray"/>
                <w:w w:val="89"/>
              </w:rPr>
              <w:t>25</w:t>
            </w:r>
          </w:p>
        </w:tc>
        <w:tc>
          <w:tcPr>
            <w:tcW w:w="820" w:type="dxa"/>
            <w:vAlign w:val="bottom"/>
            <w:tcBorders>
              <w:right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3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36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rPr>
              <w:t>SB Corporate Centre III-IV LLC</w:t>
            </w:r>
          </w:p>
        </w:tc>
        <w:tc>
          <w:tcPr>
            <w:tcW w:w="1120" w:type="dxa"/>
            <w:vAlign w:val="bottom"/>
            <w:gridSpan w:val="6"/>
          </w:tcPr>
          <w:p>
            <w:pPr>
              <w:jc w:val="center"/>
              <w:ind w:left="528"/>
              <w:spacing w:after="0"/>
              <w:rPr>
                <w:sz w:val="20"/>
                <w:szCs w:val="20"/>
                <w:color w:val="auto"/>
              </w:rPr>
            </w:pPr>
            <w:r>
              <w:rPr>
                <w:rFonts w:ascii="Arial" w:cs="Arial" w:eastAsia="Arial" w:hAnsi="Arial"/>
                <w:sz w:val="18"/>
                <w:szCs w:val="18"/>
                <w:color w:val="auto"/>
                <w:w w:val="91"/>
              </w:rPr>
              <w:t>100%</w:t>
            </w: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2220" w:type="dxa"/>
            <w:vAlign w:val="bottom"/>
            <w:tcBorders>
              <w:left w:val="single" w:sz="8" w:color="E6E6FA"/>
              <w:bottom w:val="single" w:sz="8" w:color="auto"/>
            </w:tcBorders>
            <w:gridSpan w:val="2"/>
            <w:shd w:val="clear" w:color="auto" w:fill="D6D6D6"/>
          </w:tcPr>
          <w:p>
            <w:pPr>
              <w:ind w:left="40"/>
              <w:spacing w:after="0" w:line="193" w:lineRule="exact"/>
              <w:rPr>
                <w:sz w:val="20"/>
                <w:szCs w:val="20"/>
                <w:color w:val="auto"/>
              </w:rPr>
            </w:pPr>
            <w:r>
              <w:rPr>
                <w:rFonts w:ascii="Arial" w:cs="Arial" w:eastAsia="Arial" w:hAnsi="Arial"/>
                <w:sz w:val="18"/>
                <w:szCs w:val="18"/>
                <w:b w:val="1"/>
                <w:bCs w:val="1"/>
                <w:color w:val="0000FF"/>
                <w:highlight w:val="lightGray"/>
                <w:w w:val="90"/>
              </w:rPr>
              <w:t>American Assets Trust, L.P.</w:t>
            </w:r>
          </w:p>
        </w:tc>
        <w:tc>
          <w:tcPr>
            <w:tcW w:w="2100" w:type="dxa"/>
            <w:vAlign w:val="bottom"/>
            <w:tcBorders>
              <w:bottom w:val="single" w:sz="8" w:color="auto"/>
              <w:right w:val="single" w:sz="8" w:color="auto"/>
            </w:tcBorders>
            <w:shd w:val="clear" w:color="auto" w:fill="E6E6FA"/>
          </w:tcPr>
          <w:p>
            <w:pPr>
              <w:spacing w:after="0"/>
              <w:rPr>
                <w:sz w:val="22"/>
                <w:szCs w:val="22"/>
                <w:color w:val="auto"/>
              </w:rPr>
            </w:pPr>
          </w:p>
        </w:tc>
        <w:tc>
          <w:tcPr>
            <w:tcW w:w="1920" w:type="dxa"/>
            <w:vAlign w:val="bottom"/>
            <w:tcBorders>
              <w:bottom w:val="single" w:sz="8" w:color="auto"/>
            </w:tcBorders>
            <w:gridSpan w:val="7"/>
            <w:shd w:val="clear" w:color="auto" w:fill="D6D6D6"/>
          </w:tcPr>
          <w:p>
            <w:pPr>
              <w:spacing w:after="0" w:line="193" w:lineRule="exact"/>
              <w:rPr>
                <w:sz w:val="20"/>
                <w:szCs w:val="20"/>
                <w:color w:val="auto"/>
              </w:rPr>
            </w:pPr>
            <w:r>
              <w:rPr>
                <w:rFonts w:ascii="Arial" w:cs="Arial" w:eastAsia="Arial" w:hAnsi="Arial"/>
                <w:sz w:val="18"/>
                <w:szCs w:val="18"/>
                <w:b w:val="1"/>
                <w:bCs w:val="1"/>
                <w:color w:val="0000FF"/>
                <w:highlight w:val="lightGray"/>
                <w:w w:val="94"/>
              </w:rPr>
              <w:t>AAT Pacific Ridge, LLC</w:t>
            </w:r>
          </w:p>
        </w:tc>
        <w:tc>
          <w:tcPr>
            <w:tcW w:w="700" w:type="dxa"/>
            <w:vAlign w:val="bottom"/>
            <w:tcBorders>
              <w:bottom w:val="single" w:sz="8" w:color="auto"/>
            </w:tcBorders>
            <w:gridSpan w:val="2"/>
            <w:shd w:val="clear" w:color="auto" w:fill="E6E6FA"/>
          </w:tcPr>
          <w:p>
            <w:pPr>
              <w:spacing w:after="0"/>
              <w:rPr>
                <w:sz w:val="22"/>
                <w:szCs w:val="22"/>
                <w:color w:val="auto"/>
              </w:rPr>
            </w:pPr>
          </w:p>
        </w:tc>
        <w:tc>
          <w:tcPr>
            <w:tcW w:w="1740" w:type="dxa"/>
            <w:vAlign w:val="bottom"/>
            <w:tcBorders>
              <w:bottom w:val="single" w:sz="8" w:color="auto"/>
              <w:right w:val="single" w:sz="8" w:color="auto"/>
            </w:tcBorders>
            <w:shd w:val="clear" w:color="auto" w:fill="E6E6FA"/>
          </w:tcPr>
          <w:p>
            <w:pPr>
              <w:spacing w:after="0"/>
              <w:rPr>
                <w:sz w:val="22"/>
                <w:szCs w:val="22"/>
                <w:color w:val="auto"/>
              </w:rPr>
            </w:pPr>
          </w:p>
        </w:tc>
        <w:tc>
          <w:tcPr>
            <w:tcW w:w="660" w:type="dxa"/>
            <w:vAlign w:val="bottom"/>
            <w:tcBorders>
              <w:bottom w:val="single" w:sz="8" w:color="auto"/>
              <w:right w:val="single" w:sz="8" w:color="E6E6FA"/>
            </w:tcBorders>
            <w:gridSpan w:val="2"/>
            <w:shd w:val="clear" w:color="auto" w:fill="E6E6FA"/>
          </w:tcPr>
          <w:p>
            <w:pPr>
              <w:spacing w:after="0"/>
              <w:rPr>
                <w:sz w:val="22"/>
                <w:szCs w:val="22"/>
                <w:color w:val="auto"/>
              </w:rPr>
            </w:pPr>
          </w:p>
        </w:tc>
        <w:tc>
          <w:tcPr>
            <w:tcW w:w="460" w:type="dxa"/>
            <w:vAlign w:val="bottom"/>
            <w:tcBorders>
              <w:bottom w:val="single" w:sz="8" w:color="auto"/>
              <w:right w:val="single" w:sz="8" w:color="E6E6FA"/>
            </w:tcBorders>
            <w:gridSpan w:val="4"/>
            <w:shd w:val="clear" w:color="auto" w:fill="D6D6D6"/>
          </w:tcPr>
          <w:p>
            <w:pPr>
              <w:jc w:val="center"/>
              <w:ind w:right="20"/>
              <w:spacing w:after="0" w:line="193" w:lineRule="exact"/>
              <w:rPr>
                <w:sz w:val="20"/>
                <w:szCs w:val="20"/>
                <w:color w:val="auto"/>
              </w:rPr>
            </w:pPr>
            <w:r>
              <w:rPr>
                <w:rFonts w:ascii="Arial" w:cs="Arial" w:eastAsia="Arial" w:hAnsi="Arial"/>
                <w:sz w:val="18"/>
                <w:szCs w:val="18"/>
                <w:b w:val="1"/>
                <w:bCs w:val="1"/>
                <w:color w:val="0000FF"/>
                <w:highlight w:val="lightGray"/>
                <w:w w:val="95"/>
              </w:rPr>
              <w:t>100%</w:t>
            </w:r>
          </w:p>
        </w:tc>
        <w:tc>
          <w:tcPr>
            <w:tcW w:w="660" w:type="dxa"/>
            <w:vAlign w:val="bottom"/>
            <w:tcBorders>
              <w:bottom w:val="single" w:sz="8" w:color="auto"/>
              <w:right w:val="single" w:sz="8" w:color="auto"/>
            </w:tcBorders>
            <w:shd w:val="clear" w:color="auto" w:fill="E6E6FA"/>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220" w:type="dxa"/>
            <w:vAlign w:val="bottom"/>
            <w:tcBorders>
              <w:left w:val="single" w:sz="8" w:color="E6E6FA"/>
              <w:bottom w:val="single" w:sz="8" w:color="auto"/>
            </w:tcBorders>
            <w:gridSpan w:val="2"/>
            <w:shd w:val="clear" w:color="auto" w:fill="D6D6D6"/>
          </w:tcPr>
          <w:p>
            <w:pPr>
              <w:ind w:left="40"/>
              <w:spacing w:after="0" w:line="193" w:lineRule="exact"/>
              <w:rPr>
                <w:sz w:val="20"/>
                <w:szCs w:val="20"/>
                <w:color w:val="auto"/>
              </w:rPr>
            </w:pPr>
            <w:r>
              <w:rPr>
                <w:rFonts w:ascii="Arial" w:cs="Arial" w:eastAsia="Arial" w:hAnsi="Arial"/>
                <w:sz w:val="18"/>
                <w:szCs w:val="18"/>
                <w:b w:val="1"/>
                <w:bCs w:val="1"/>
                <w:color w:val="0000FF"/>
                <w:highlight w:val="lightGray"/>
                <w:w w:val="90"/>
              </w:rPr>
              <w:t>American Assets Trust, L.P.</w:t>
            </w:r>
          </w:p>
        </w:tc>
        <w:tc>
          <w:tcPr>
            <w:tcW w:w="2100" w:type="dxa"/>
            <w:vAlign w:val="bottom"/>
            <w:tcBorders>
              <w:bottom w:val="single" w:sz="8" w:color="auto"/>
              <w:right w:val="single" w:sz="8" w:color="auto"/>
            </w:tcBorders>
            <w:shd w:val="clear" w:color="auto" w:fill="E6E6FA"/>
          </w:tcPr>
          <w:p>
            <w:pPr>
              <w:spacing w:after="0"/>
              <w:rPr>
                <w:sz w:val="22"/>
                <w:szCs w:val="22"/>
                <w:color w:val="auto"/>
              </w:rPr>
            </w:pPr>
          </w:p>
        </w:tc>
        <w:tc>
          <w:tcPr>
            <w:tcW w:w="2620" w:type="dxa"/>
            <w:vAlign w:val="bottom"/>
            <w:tcBorders>
              <w:bottom w:val="single" w:sz="8" w:color="auto"/>
            </w:tcBorders>
            <w:gridSpan w:val="9"/>
            <w:shd w:val="clear" w:color="auto" w:fill="D6D6D6"/>
          </w:tcPr>
          <w:p>
            <w:pPr>
              <w:spacing w:after="0" w:line="193" w:lineRule="exact"/>
              <w:rPr>
                <w:sz w:val="20"/>
                <w:szCs w:val="20"/>
                <w:color w:val="auto"/>
              </w:rPr>
            </w:pPr>
            <w:r>
              <w:rPr>
                <w:rFonts w:ascii="Arial" w:cs="Arial" w:eastAsia="Arial" w:hAnsi="Arial"/>
                <w:sz w:val="18"/>
                <w:szCs w:val="18"/>
                <w:b w:val="1"/>
                <w:bCs w:val="1"/>
                <w:color w:val="0000FF"/>
                <w:highlight w:val="lightGray"/>
                <w:w w:val="96"/>
              </w:rPr>
              <w:t>AAT Gateway Marketplace, LLC</w:t>
            </w:r>
          </w:p>
        </w:tc>
        <w:tc>
          <w:tcPr>
            <w:tcW w:w="1740" w:type="dxa"/>
            <w:vAlign w:val="bottom"/>
            <w:tcBorders>
              <w:bottom w:val="single" w:sz="8" w:color="auto"/>
              <w:right w:val="single" w:sz="8" w:color="auto"/>
            </w:tcBorders>
            <w:shd w:val="clear" w:color="auto" w:fill="E6E6FA"/>
          </w:tcPr>
          <w:p>
            <w:pPr>
              <w:spacing w:after="0"/>
              <w:rPr>
                <w:sz w:val="22"/>
                <w:szCs w:val="22"/>
                <w:color w:val="auto"/>
              </w:rPr>
            </w:pPr>
          </w:p>
        </w:tc>
        <w:tc>
          <w:tcPr>
            <w:tcW w:w="660" w:type="dxa"/>
            <w:vAlign w:val="bottom"/>
            <w:tcBorders>
              <w:bottom w:val="single" w:sz="8" w:color="auto"/>
              <w:right w:val="single" w:sz="8" w:color="E6E6FA"/>
            </w:tcBorders>
            <w:gridSpan w:val="2"/>
            <w:shd w:val="clear" w:color="auto" w:fill="E6E6FA"/>
          </w:tcPr>
          <w:p>
            <w:pPr>
              <w:spacing w:after="0"/>
              <w:rPr>
                <w:sz w:val="22"/>
                <w:szCs w:val="22"/>
                <w:color w:val="auto"/>
              </w:rPr>
            </w:pPr>
          </w:p>
        </w:tc>
        <w:tc>
          <w:tcPr>
            <w:tcW w:w="460" w:type="dxa"/>
            <w:vAlign w:val="bottom"/>
            <w:tcBorders>
              <w:bottom w:val="single" w:sz="8" w:color="auto"/>
              <w:right w:val="single" w:sz="8" w:color="E6E6FA"/>
            </w:tcBorders>
            <w:gridSpan w:val="4"/>
            <w:shd w:val="clear" w:color="auto" w:fill="D6D6D6"/>
          </w:tcPr>
          <w:p>
            <w:pPr>
              <w:jc w:val="center"/>
              <w:ind w:right="20"/>
              <w:spacing w:after="0" w:line="193" w:lineRule="exact"/>
              <w:rPr>
                <w:sz w:val="20"/>
                <w:szCs w:val="20"/>
                <w:color w:val="auto"/>
              </w:rPr>
            </w:pPr>
            <w:r>
              <w:rPr>
                <w:rFonts w:ascii="Arial" w:cs="Arial" w:eastAsia="Arial" w:hAnsi="Arial"/>
                <w:sz w:val="18"/>
                <w:szCs w:val="18"/>
                <w:b w:val="1"/>
                <w:bCs w:val="1"/>
                <w:color w:val="0000FF"/>
                <w:highlight w:val="lightGray"/>
                <w:w w:val="95"/>
              </w:rPr>
              <w:t>100%</w:t>
            </w:r>
          </w:p>
        </w:tc>
        <w:tc>
          <w:tcPr>
            <w:tcW w:w="660" w:type="dxa"/>
            <w:vAlign w:val="bottom"/>
            <w:tcBorders>
              <w:bottom w:val="single" w:sz="8" w:color="auto"/>
              <w:right w:val="single" w:sz="8" w:color="auto"/>
            </w:tcBorders>
            <w:shd w:val="clear" w:color="auto" w:fill="E6E6FA"/>
          </w:tcPr>
          <w:p>
            <w:pPr>
              <w:spacing w:after="0"/>
              <w:rPr>
                <w:sz w:val="22"/>
                <w:szCs w:val="22"/>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jc w:val="both"/>
        <w:ind w:left="340" w:hanging="340"/>
        <w:spacing w:after="0" w:line="283" w:lineRule="auto"/>
        <w:tabs>
          <w:tab w:leader="none" w:pos="340" w:val="left"/>
        </w:tabs>
        <w:numPr>
          <w:ilvl w:val="0"/>
          <w:numId w:val="420"/>
        </w:numPr>
        <w:rPr>
          <w:rFonts w:ascii="Arial" w:cs="Arial" w:eastAsia="Arial" w:hAnsi="Arial"/>
          <w:sz w:val="16"/>
          <w:szCs w:val="16"/>
          <w:color w:val="auto"/>
        </w:rPr>
      </w:pPr>
      <w:r>
        <w:rPr>
          <w:rFonts w:ascii="Arial" w:cs="Arial" w:eastAsia="Arial" w:hAnsi="Arial"/>
          <w:sz w:val="17"/>
          <w:szCs w:val="17"/>
          <w:color w:val="auto"/>
        </w:rPr>
        <w:t>List a complete and accurate list of all Loan Parties, showing (as to each Loan Party) the jurisdiction of its incorporation or organization, the address of its principal place of business and its U.S. taxpayer identification number or, in the case of any non-U.S. Loan Party that does not have a U.S. taxpayer identification number, its unique identification number issued to it by the jurisdiction of its incorporation or organization</w:t>
      </w:r>
    </w:p>
    <w:p>
      <w:pPr>
        <w:spacing w:after="0" w:line="67" w:lineRule="exact"/>
        <w:rPr>
          <w:sz w:val="20"/>
          <w:szCs w:val="20"/>
          <w:color w:val="auto"/>
        </w:rPr>
      </w:pPr>
    </w:p>
    <w:tbl>
      <w:tblPr>
        <w:tblLayout w:type="fixed"/>
        <w:tblInd w:w="510" w:type="dxa"/>
        <w:tblCellMar>
          <w:top w:w="0" w:type="dxa"/>
          <w:left w:w="0" w:type="dxa"/>
          <w:bottom w:w="0" w:type="dxa"/>
          <w:right w:w="0" w:type="dxa"/>
        </w:tblCellMar>
      </w:tblPr>
      <w:tr>
        <w:trPr>
          <w:trHeight w:val="212"/>
        </w:trPr>
        <w:tc>
          <w:tcPr>
            <w:tcW w:w="1180" w:type="dxa"/>
            <w:vAlign w:val="bottom"/>
            <w:tcBorders>
              <w:top w:val="single" w:sz="8" w:color="auto"/>
              <w:left w:val="single" w:sz="8" w:color="auto"/>
            </w:tcBorders>
            <w:shd w:val="clear" w:color="auto" w:fill="ACACAC"/>
          </w:tcPr>
          <w:p>
            <w:pPr>
              <w:spacing w:after="0"/>
              <w:rPr>
                <w:sz w:val="18"/>
                <w:szCs w:val="18"/>
                <w:color w:val="auto"/>
              </w:rPr>
            </w:pPr>
          </w:p>
        </w:tc>
        <w:tc>
          <w:tcPr>
            <w:tcW w:w="880" w:type="dxa"/>
            <w:vAlign w:val="bottom"/>
            <w:tcBorders>
              <w:top w:val="single" w:sz="8" w:color="auto"/>
            </w:tcBorders>
            <w:shd w:val="clear" w:color="auto" w:fill="ACACAC"/>
          </w:tcPr>
          <w:p>
            <w:pPr>
              <w:spacing w:after="0"/>
              <w:rPr>
                <w:sz w:val="18"/>
                <w:szCs w:val="18"/>
                <w:color w:val="auto"/>
              </w:rPr>
            </w:pPr>
          </w:p>
        </w:tc>
        <w:tc>
          <w:tcPr>
            <w:tcW w:w="1200" w:type="dxa"/>
            <w:vAlign w:val="bottom"/>
            <w:tcBorders>
              <w:top w:val="single" w:sz="8" w:color="auto"/>
              <w:right w:val="single" w:sz="8" w:color="auto"/>
            </w:tcBorders>
            <w:shd w:val="clear" w:color="auto" w:fill="ACACAC"/>
          </w:tcPr>
          <w:p>
            <w:pPr>
              <w:spacing w:after="0"/>
              <w:rPr>
                <w:sz w:val="18"/>
                <w:szCs w:val="18"/>
                <w:color w:val="auto"/>
              </w:rPr>
            </w:pPr>
          </w:p>
        </w:tc>
        <w:tc>
          <w:tcPr>
            <w:tcW w:w="460" w:type="dxa"/>
            <w:vAlign w:val="bottom"/>
            <w:tcBorders>
              <w:top w:val="single" w:sz="8" w:color="auto"/>
            </w:tcBorders>
            <w:vMerge w:val="restart"/>
            <w:shd w:val="clear" w:color="auto" w:fill="ACACAC"/>
          </w:tcPr>
          <w:p>
            <w:pPr>
              <w:spacing w:after="0"/>
              <w:rPr>
                <w:sz w:val="18"/>
                <w:szCs w:val="18"/>
                <w:color w:val="auto"/>
              </w:rPr>
            </w:pPr>
          </w:p>
        </w:tc>
        <w:tc>
          <w:tcPr>
            <w:tcW w:w="1140" w:type="dxa"/>
            <w:vAlign w:val="bottom"/>
            <w:tcBorders>
              <w:top w:val="single" w:sz="8" w:color="auto"/>
            </w:tcBorders>
            <w:gridSpan w:val="3"/>
            <w:vMerge w:val="restart"/>
            <w:shd w:val="clear" w:color="auto" w:fill="ACACAC"/>
          </w:tcPr>
          <w:p>
            <w:pPr>
              <w:jc w:val="center"/>
              <w:spacing w:after="0"/>
              <w:rPr>
                <w:sz w:val="20"/>
                <w:szCs w:val="20"/>
                <w:color w:val="auto"/>
              </w:rPr>
            </w:pPr>
            <w:r>
              <w:rPr>
                <w:rFonts w:ascii="Arial" w:cs="Arial" w:eastAsia="Arial" w:hAnsi="Arial"/>
                <w:sz w:val="18"/>
                <w:szCs w:val="18"/>
                <w:b w:val="1"/>
                <w:bCs w:val="1"/>
                <w:color w:val="auto"/>
                <w:w w:val="91"/>
              </w:rPr>
              <w:t>Jurisdiction of</w:t>
            </w:r>
          </w:p>
        </w:tc>
        <w:tc>
          <w:tcPr>
            <w:tcW w:w="500" w:type="dxa"/>
            <w:vAlign w:val="bottom"/>
            <w:tcBorders>
              <w:top w:val="single" w:sz="8" w:color="auto"/>
              <w:right w:val="single" w:sz="8" w:color="auto"/>
            </w:tcBorders>
            <w:vMerge w:val="restart"/>
            <w:shd w:val="clear" w:color="auto" w:fill="ACACAC"/>
          </w:tcPr>
          <w:p>
            <w:pPr>
              <w:spacing w:after="0"/>
              <w:rPr>
                <w:sz w:val="18"/>
                <w:szCs w:val="18"/>
                <w:color w:val="auto"/>
              </w:rPr>
            </w:pPr>
          </w:p>
        </w:tc>
        <w:tc>
          <w:tcPr>
            <w:tcW w:w="300" w:type="dxa"/>
            <w:vAlign w:val="bottom"/>
            <w:tcBorders>
              <w:top w:val="single" w:sz="8" w:color="auto"/>
            </w:tcBorders>
            <w:vMerge w:val="restart"/>
            <w:shd w:val="clear" w:color="auto" w:fill="ACACAC"/>
          </w:tcPr>
          <w:p>
            <w:pPr>
              <w:spacing w:after="0"/>
              <w:rPr>
                <w:sz w:val="18"/>
                <w:szCs w:val="18"/>
                <w:color w:val="auto"/>
              </w:rPr>
            </w:pPr>
          </w:p>
        </w:tc>
        <w:tc>
          <w:tcPr>
            <w:tcW w:w="2620" w:type="dxa"/>
            <w:vAlign w:val="bottom"/>
            <w:tcBorders>
              <w:top w:val="single" w:sz="8" w:color="auto"/>
              <w:right w:val="single" w:sz="8" w:color="auto"/>
            </w:tcBorders>
            <w:gridSpan w:val="4"/>
            <w:vMerge w:val="restart"/>
            <w:shd w:val="clear" w:color="auto" w:fill="ACACAC"/>
          </w:tcPr>
          <w:p>
            <w:pPr>
              <w:jc w:val="center"/>
              <w:ind w:right="360"/>
              <w:spacing w:after="0"/>
              <w:rPr>
                <w:sz w:val="20"/>
                <w:szCs w:val="20"/>
                <w:color w:val="auto"/>
              </w:rPr>
            </w:pPr>
            <w:r>
              <w:rPr>
                <w:rFonts w:ascii="Arial" w:cs="Arial" w:eastAsia="Arial" w:hAnsi="Arial"/>
                <w:sz w:val="18"/>
                <w:szCs w:val="18"/>
                <w:b w:val="1"/>
                <w:bCs w:val="1"/>
                <w:color w:val="auto"/>
                <w:w w:val="90"/>
              </w:rPr>
              <w:t>Address of Principal Place of</w:t>
            </w:r>
          </w:p>
        </w:tc>
        <w:tc>
          <w:tcPr>
            <w:tcW w:w="260" w:type="dxa"/>
            <w:vAlign w:val="bottom"/>
            <w:tcBorders>
              <w:top w:val="single" w:sz="8" w:color="auto"/>
            </w:tcBorders>
            <w:shd w:val="clear" w:color="auto" w:fill="ACACAC"/>
          </w:tcPr>
          <w:p>
            <w:pPr>
              <w:spacing w:after="0"/>
              <w:rPr>
                <w:sz w:val="18"/>
                <w:szCs w:val="18"/>
                <w:color w:val="auto"/>
              </w:rPr>
            </w:pPr>
          </w:p>
        </w:tc>
        <w:tc>
          <w:tcPr>
            <w:tcW w:w="60" w:type="dxa"/>
            <w:vAlign w:val="bottom"/>
            <w:tcBorders>
              <w:top w:val="single" w:sz="8" w:color="auto"/>
            </w:tcBorders>
            <w:shd w:val="clear" w:color="auto" w:fill="ACACAC"/>
          </w:tcPr>
          <w:p>
            <w:pPr>
              <w:spacing w:after="0"/>
              <w:rPr>
                <w:sz w:val="18"/>
                <w:szCs w:val="18"/>
                <w:color w:val="auto"/>
              </w:rPr>
            </w:pPr>
          </w:p>
        </w:tc>
        <w:tc>
          <w:tcPr>
            <w:tcW w:w="100" w:type="dxa"/>
            <w:vAlign w:val="bottom"/>
            <w:tcBorders>
              <w:top w:val="single" w:sz="8" w:color="auto"/>
            </w:tcBorders>
            <w:shd w:val="clear" w:color="auto" w:fill="ACACAC"/>
          </w:tcPr>
          <w:p>
            <w:pPr>
              <w:spacing w:after="0"/>
              <w:rPr>
                <w:sz w:val="18"/>
                <w:szCs w:val="18"/>
                <w:color w:val="auto"/>
              </w:rPr>
            </w:pPr>
          </w:p>
        </w:tc>
        <w:tc>
          <w:tcPr>
            <w:tcW w:w="1760" w:type="dxa"/>
            <w:vAlign w:val="bottom"/>
            <w:tcBorders>
              <w:top w:val="single" w:sz="8" w:color="auto"/>
              <w:right w:val="single" w:sz="8" w:color="auto"/>
            </w:tcBorders>
            <w:gridSpan w:val="4"/>
            <w:shd w:val="clear" w:color="auto" w:fill="ACACAC"/>
          </w:tcPr>
          <w:p>
            <w:pPr>
              <w:jc w:val="center"/>
              <w:ind w:right="460"/>
              <w:spacing w:after="0"/>
              <w:rPr>
                <w:sz w:val="20"/>
                <w:szCs w:val="20"/>
                <w:color w:val="auto"/>
              </w:rPr>
            </w:pPr>
            <w:r>
              <w:rPr>
                <w:rFonts w:ascii="Arial" w:cs="Arial" w:eastAsia="Arial" w:hAnsi="Arial"/>
                <w:sz w:val="18"/>
                <w:szCs w:val="18"/>
                <w:b w:val="1"/>
                <w:bCs w:val="1"/>
                <w:color w:val="auto"/>
                <w:w w:val="94"/>
              </w:rPr>
              <w:t>U.S Taxpayer ID</w:t>
            </w:r>
          </w:p>
        </w:tc>
        <w:tc>
          <w:tcPr>
            <w:tcW w:w="0" w:type="dxa"/>
            <w:vAlign w:val="bottom"/>
          </w:tcPr>
          <w:p>
            <w:pPr>
              <w:spacing w:after="0"/>
              <w:rPr>
                <w:sz w:val="1"/>
                <w:szCs w:val="1"/>
                <w:color w:val="auto"/>
              </w:rPr>
            </w:pPr>
          </w:p>
        </w:tc>
      </w:tr>
      <w:tr>
        <w:trPr>
          <w:trHeight w:val="20"/>
        </w:trPr>
        <w:tc>
          <w:tcPr>
            <w:tcW w:w="1180" w:type="dxa"/>
            <w:vAlign w:val="bottom"/>
            <w:tcBorders>
              <w:left w:val="single" w:sz="8" w:color="auto"/>
            </w:tcBorders>
            <w:shd w:val="clear" w:color="auto" w:fill="ACACAC"/>
          </w:tcPr>
          <w:p>
            <w:pPr>
              <w:spacing w:after="0" w:line="20" w:lineRule="exact"/>
              <w:rPr>
                <w:sz w:val="1"/>
                <w:szCs w:val="1"/>
                <w:color w:val="auto"/>
              </w:rPr>
            </w:pPr>
          </w:p>
        </w:tc>
        <w:tc>
          <w:tcPr>
            <w:tcW w:w="880" w:type="dxa"/>
            <w:vAlign w:val="bottom"/>
            <w:shd w:val="clear" w:color="auto" w:fill="ACACAC"/>
          </w:tcPr>
          <w:p>
            <w:pPr>
              <w:spacing w:after="0" w:line="20" w:lineRule="exact"/>
              <w:rPr>
                <w:sz w:val="1"/>
                <w:szCs w:val="1"/>
                <w:color w:val="auto"/>
              </w:rPr>
            </w:pPr>
          </w:p>
        </w:tc>
        <w:tc>
          <w:tcPr>
            <w:tcW w:w="1200" w:type="dxa"/>
            <w:vAlign w:val="bottom"/>
            <w:tcBorders>
              <w:right w:val="single" w:sz="8" w:color="auto"/>
            </w:tcBorders>
            <w:shd w:val="clear" w:color="auto" w:fill="ACACAC"/>
          </w:tcPr>
          <w:p>
            <w:pPr>
              <w:spacing w:after="0" w:line="20" w:lineRule="exact"/>
              <w:rPr>
                <w:sz w:val="1"/>
                <w:szCs w:val="1"/>
                <w:color w:val="auto"/>
              </w:rPr>
            </w:pPr>
          </w:p>
        </w:tc>
        <w:tc>
          <w:tcPr>
            <w:tcW w:w="460" w:type="dxa"/>
            <w:vAlign w:val="bottom"/>
            <w:vMerge w:val="continue"/>
            <w:shd w:val="clear" w:color="auto" w:fill="ACACAC"/>
          </w:tcPr>
          <w:p>
            <w:pPr>
              <w:spacing w:after="0" w:line="20" w:lineRule="exact"/>
              <w:rPr>
                <w:sz w:val="1"/>
                <w:szCs w:val="1"/>
                <w:color w:val="auto"/>
              </w:rPr>
            </w:pPr>
          </w:p>
        </w:tc>
        <w:tc>
          <w:tcPr>
            <w:tcW w:w="1140" w:type="dxa"/>
            <w:vAlign w:val="bottom"/>
            <w:gridSpan w:val="3"/>
            <w:vMerge w:val="continue"/>
            <w:shd w:val="clear" w:color="auto" w:fill="ACACAC"/>
          </w:tcPr>
          <w:p>
            <w:pPr>
              <w:spacing w:after="0" w:line="20" w:lineRule="exact"/>
              <w:rPr>
                <w:sz w:val="1"/>
                <w:szCs w:val="1"/>
                <w:color w:val="auto"/>
              </w:rPr>
            </w:pPr>
          </w:p>
        </w:tc>
        <w:tc>
          <w:tcPr>
            <w:tcW w:w="500" w:type="dxa"/>
            <w:vAlign w:val="bottom"/>
            <w:tcBorders>
              <w:right w:val="single" w:sz="8" w:color="auto"/>
            </w:tcBorders>
            <w:vMerge w:val="continue"/>
            <w:shd w:val="clear" w:color="auto" w:fill="ACACAC"/>
          </w:tcPr>
          <w:p>
            <w:pPr>
              <w:spacing w:after="0" w:line="20" w:lineRule="exact"/>
              <w:rPr>
                <w:sz w:val="1"/>
                <w:szCs w:val="1"/>
                <w:color w:val="auto"/>
              </w:rPr>
            </w:pPr>
          </w:p>
        </w:tc>
        <w:tc>
          <w:tcPr>
            <w:tcW w:w="300" w:type="dxa"/>
            <w:vAlign w:val="bottom"/>
            <w:vMerge w:val="continue"/>
            <w:shd w:val="clear" w:color="auto" w:fill="ACACAC"/>
          </w:tcPr>
          <w:p>
            <w:pPr>
              <w:spacing w:after="0" w:line="20" w:lineRule="exact"/>
              <w:rPr>
                <w:sz w:val="1"/>
                <w:szCs w:val="1"/>
                <w:color w:val="auto"/>
              </w:rPr>
            </w:pPr>
          </w:p>
        </w:tc>
        <w:tc>
          <w:tcPr>
            <w:tcW w:w="2620" w:type="dxa"/>
            <w:vAlign w:val="bottom"/>
            <w:tcBorders>
              <w:right w:val="single" w:sz="8" w:color="auto"/>
            </w:tcBorders>
            <w:gridSpan w:val="4"/>
            <w:vMerge w:val="continue"/>
            <w:shd w:val="clear" w:color="auto" w:fill="ACACAC"/>
          </w:tcPr>
          <w:p>
            <w:pPr>
              <w:spacing w:after="0" w:line="20" w:lineRule="exact"/>
              <w:rPr>
                <w:sz w:val="1"/>
                <w:szCs w:val="1"/>
                <w:color w:val="auto"/>
              </w:rPr>
            </w:pPr>
          </w:p>
        </w:tc>
        <w:tc>
          <w:tcPr>
            <w:tcW w:w="260" w:type="dxa"/>
            <w:vAlign w:val="bottom"/>
            <w:shd w:val="clear" w:color="auto" w:fill="ACACAC"/>
          </w:tcPr>
          <w:p>
            <w:pPr>
              <w:spacing w:after="0" w:line="20" w:lineRule="exact"/>
              <w:rPr>
                <w:sz w:val="1"/>
                <w:szCs w:val="1"/>
                <w:color w:val="auto"/>
              </w:rPr>
            </w:pPr>
          </w:p>
        </w:tc>
        <w:tc>
          <w:tcPr>
            <w:tcW w:w="60" w:type="dxa"/>
            <w:vAlign w:val="bottom"/>
            <w:shd w:val="clear" w:color="auto" w:fill="ACACAC"/>
          </w:tcPr>
          <w:p>
            <w:pPr>
              <w:spacing w:after="0" w:line="20" w:lineRule="exact"/>
              <w:rPr>
                <w:sz w:val="1"/>
                <w:szCs w:val="1"/>
                <w:color w:val="auto"/>
              </w:rPr>
            </w:pPr>
          </w:p>
        </w:tc>
        <w:tc>
          <w:tcPr>
            <w:tcW w:w="100" w:type="dxa"/>
            <w:vAlign w:val="bottom"/>
            <w:shd w:val="clear" w:color="auto" w:fill="ACACA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ACACAC"/>
          </w:tcPr>
          <w:p>
            <w:pPr>
              <w:spacing w:after="0" w:line="20" w:lineRule="exact"/>
              <w:rPr>
                <w:sz w:val="1"/>
                <w:szCs w:val="1"/>
                <w:color w:val="auto"/>
              </w:rPr>
            </w:pPr>
          </w:p>
        </w:tc>
        <w:tc>
          <w:tcPr>
            <w:tcW w:w="40" w:type="dxa"/>
            <w:vAlign w:val="bottom"/>
            <w:shd w:val="clear" w:color="auto" w:fill="ACACAC"/>
          </w:tcPr>
          <w:p>
            <w:pPr>
              <w:spacing w:after="0" w:line="20" w:lineRule="exact"/>
              <w:rPr>
                <w:sz w:val="1"/>
                <w:szCs w:val="1"/>
                <w:color w:val="auto"/>
              </w:rPr>
            </w:pPr>
          </w:p>
        </w:tc>
        <w:tc>
          <w:tcPr>
            <w:tcW w:w="320" w:type="dxa"/>
            <w:vAlign w:val="bottom"/>
            <w:tcBorders>
              <w:right w:val="single" w:sz="8" w:color="auto"/>
            </w:tcBorders>
            <w:shd w:val="clear" w:color="auto" w:fill="ACACA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3260" w:type="dxa"/>
            <w:vAlign w:val="bottom"/>
            <w:tcBorders>
              <w:left w:val="single" w:sz="8" w:color="auto"/>
              <w:right w:val="single" w:sz="8" w:color="auto"/>
            </w:tcBorders>
            <w:gridSpan w:val="3"/>
            <w:vMerge w:val="restart"/>
            <w:shd w:val="clear" w:color="auto" w:fill="ACACAC"/>
          </w:tcPr>
          <w:p>
            <w:pPr>
              <w:jc w:val="right"/>
              <w:ind w:right="1200"/>
              <w:spacing w:after="0" w:line="193" w:lineRule="exact"/>
              <w:rPr>
                <w:sz w:val="20"/>
                <w:szCs w:val="20"/>
                <w:color w:val="auto"/>
              </w:rPr>
            </w:pPr>
            <w:r>
              <w:rPr>
                <w:rFonts w:ascii="Arial" w:cs="Arial" w:eastAsia="Arial" w:hAnsi="Arial"/>
                <w:sz w:val="18"/>
                <w:szCs w:val="18"/>
                <w:b w:val="1"/>
                <w:bCs w:val="1"/>
                <w:color w:val="auto"/>
              </w:rPr>
              <w:t>Loan Party</w:t>
            </w:r>
          </w:p>
        </w:tc>
        <w:tc>
          <w:tcPr>
            <w:tcW w:w="460" w:type="dxa"/>
            <w:vAlign w:val="bottom"/>
            <w:vMerge w:val="continue"/>
            <w:shd w:val="clear" w:color="auto" w:fill="ACACAC"/>
          </w:tcPr>
          <w:p>
            <w:pPr>
              <w:spacing w:after="0"/>
              <w:rPr>
                <w:sz w:val="6"/>
                <w:szCs w:val="6"/>
                <w:color w:val="auto"/>
              </w:rPr>
            </w:pPr>
          </w:p>
        </w:tc>
        <w:tc>
          <w:tcPr>
            <w:tcW w:w="1140" w:type="dxa"/>
            <w:vAlign w:val="bottom"/>
            <w:gridSpan w:val="3"/>
            <w:vMerge w:val="continue"/>
            <w:shd w:val="clear" w:color="auto" w:fill="ACACAC"/>
          </w:tcPr>
          <w:p>
            <w:pPr>
              <w:spacing w:after="0"/>
              <w:rPr>
                <w:sz w:val="6"/>
                <w:szCs w:val="6"/>
                <w:color w:val="auto"/>
              </w:rPr>
            </w:pPr>
          </w:p>
        </w:tc>
        <w:tc>
          <w:tcPr>
            <w:tcW w:w="500" w:type="dxa"/>
            <w:vAlign w:val="bottom"/>
            <w:tcBorders>
              <w:right w:val="single" w:sz="8" w:color="auto"/>
            </w:tcBorders>
            <w:vMerge w:val="continue"/>
            <w:shd w:val="clear" w:color="auto" w:fill="ACACAC"/>
          </w:tcPr>
          <w:p>
            <w:pPr>
              <w:spacing w:after="0"/>
              <w:rPr>
                <w:sz w:val="6"/>
                <w:szCs w:val="6"/>
                <w:color w:val="auto"/>
              </w:rPr>
            </w:pPr>
          </w:p>
        </w:tc>
        <w:tc>
          <w:tcPr>
            <w:tcW w:w="300" w:type="dxa"/>
            <w:vAlign w:val="bottom"/>
            <w:vMerge w:val="continue"/>
            <w:shd w:val="clear" w:color="auto" w:fill="ACACAC"/>
          </w:tcPr>
          <w:p>
            <w:pPr>
              <w:spacing w:after="0"/>
              <w:rPr>
                <w:sz w:val="6"/>
                <w:szCs w:val="6"/>
                <w:color w:val="auto"/>
              </w:rPr>
            </w:pPr>
          </w:p>
        </w:tc>
        <w:tc>
          <w:tcPr>
            <w:tcW w:w="2620" w:type="dxa"/>
            <w:vAlign w:val="bottom"/>
            <w:tcBorders>
              <w:right w:val="single" w:sz="8" w:color="auto"/>
            </w:tcBorders>
            <w:gridSpan w:val="4"/>
            <w:vMerge w:val="continue"/>
            <w:shd w:val="clear" w:color="auto" w:fill="ACACAC"/>
          </w:tcPr>
          <w:p>
            <w:pPr>
              <w:spacing w:after="0"/>
              <w:rPr>
                <w:sz w:val="6"/>
                <w:szCs w:val="6"/>
                <w:color w:val="auto"/>
              </w:rPr>
            </w:pPr>
          </w:p>
        </w:tc>
        <w:tc>
          <w:tcPr>
            <w:tcW w:w="260" w:type="dxa"/>
            <w:vAlign w:val="bottom"/>
            <w:shd w:val="clear" w:color="auto" w:fill="ACACAC"/>
          </w:tcPr>
          <w:p>
            <w:pPr>
              <w:spacing w:after="0"/>
              <w:rPr>
                <w:sz w:val="6"/>
                <w:szCs w:val="6"/>
                <w:color w:val="auto"/>
              </w:rPr>
            </w:pPr>
          </w:p>
        </w:tc>
        <w:tc>
          <w:tcPr>
            <w:tcW w:w="1920" w:type="dxa"/>
            <w:vAlign w:val="bottom"/>
            <w:tcBorders>
              <w:right w:val="single" w:sz="8" w:color="auto"/>
            </w:tcBorders>
            <w:gridSpan w:val="6"/>
            <w:vMerge w:val="restart"/>
            <w:shd w:val="clear" w:color="auto" w:fill="ACACAC"/>
          </w:tcPr>
          <w:p>
            <w:pPr>
              <w:jc w:val="center"/>
              <w:ind w:right="320"/>
              <w:spacing w:after="0" w:line="193" w:lineRule="exact"/>
              <w:rPr>
                <w:sz w:val="20"/>
                <w:szCs w:val="20"/>
                <w:color w:val="auto"/>
              </w:rPr>
            </w:pPr>
            <w:r>
              <w:rPr>
                <w:rFonts w:ascii="Arial" w:cs="Arial" w:eastAsia="Arial" w:hAnsi="Arial"/>
                <w:sz w:val="18"/>
                <w:szCs w:val="18"/>
                <w:b w:val="1"/>
                <w:bCs w:val="1"/>
                <w:color w:val="auto"/>
                <w:w w:val="94"/>
              </w:rPr>
              <w:t>Number or non-U.S.</w:t>
            </w:r>
          </w:p>
        </w:tc>
        <w:tc>
          <w:tcPr>
            <w:tcW w:w="0" w:type="dxa"/>
            <w:vAlign w:val="bottom"/>
          </w:tcPr>
          <w:p>
            <w:pPr>
              <w:spacing w:after="0"/>
              <w:rPr>
                <w:sz w:val="1"/>
                <w:szCs w:val="1"/>
                <w:color w:val="auto"/>
              </w:rPr>
            </w:pPr>
          </w:p>
        </w:tc>
      </w:tr>
      <w:tr>
        <w:trPr>
          <w:trHeight w:val="92"/>
        </w:trPr>
        <w:tc>
          <w:tcPr>
            <w:tcW w:w="3260" w:type="dxa"/>
            <w:vAlign w:val="bottom"/>
            <w:tcBorders>
              <w:top w:val="single" w:sz="8" w:color="ACACAC"/>
              <w:left w:val="single" w:sz="8" w:color="auto"/>
              <w:right w:val="single" w:sz="8" w:color="auto"/>
            </w:tcBorders>
            <w:gridSpan w:val="3"/>
            <w:vMerge w:val="continue"/>
            <w:shd w:val="clear" w:color="auto" w:fill="ACACAC"/>
          </w:tcPr>
          <w:p>
            <w:pPr>
              <w:spacing w:after="0"/>
              <w:rPr>
                <w:sz w:val="8"/>
                <w:szCs w:val="8"/>
                <w:color w:val="auto"/>
              </w:rPr>
            </w:pPr>
          </w:p>
        </w:tc>
        <w:tc>
          <w:tcPr>
            <w:tcW w:w="460" w:type="dxa"/>
            <w:vAlign w:val="bottom"/>
            <w:tcBorders>
              <w:top w:val="single" w:sz="8" w:color="ACACAC"/>
            </w:tcBorders>
            <w:shd w:val="clear" w:color="auto" w:fill="ACACAC"/>
          </w:tcPr>
          <w:p>
            <w:pPr>
              <w:spacing w:after="0"/>
              <w:rPr>
                <w:sz w:val="8"/>
                <w:szCs w:val="8"/>
                <w:color w:val="auto"/>
              </w:rPr>
            </w:pPr>
          </w:p>
        </w:tc>
        <w:tc>
          <w:tcPr>
            <w:tcW w:w="20" w:type="dxa"/>
            <w:vAlign w:val="bottom"/>
            <w:tcBorders>
              <w:top w:val="single" w:sz="8" w:color="auto"/>
            </w:tcBorders>
            <w:shd w:val="clear" w:color="auto" w:fill="ACACAC"/>
          </w:tcPr>
          <w:p>
            <w:pPr>
              <w:spacing w:after="0"/>
              <w:rPr>
                <w:sz w:val="8"/>
                <w:szCs w:val="8"/>
                <w:color w:val="auto"/>
              </w:rPr>
            </w:pPr>
          </w:p>
        </w:tc>
        <w:tc>
          <w:tcPr>
            <w:tcW w:w="1120" w:type="dxa"/>
            <w:vAlign w:val="bottom"/>
            <w:tcBorders>
              <w:top w:val="single" w:sz="8" w:color="auto"/>
            </w:tcBorders>
            <w:gridSpan w:val="2"/>
            <w:vMerge w:val="restart"/>
            <w:shd w:val="clear" w:color="auto" w:fill="ACACAC"/>
          </w:tcPr>
          <w:p>
            <w:pPr>
              <w:jc w:val="center"/>
              <w:ind w:right="20"/>
              <w:spacing w:after="0" w:line="193" w:lineRule="exact"/>
              <w:rPr>
                <w:sz w:val="20"/>
                <w:szCs w:val="20"/>
                <w:color w:val="auto"/>
              </w:rPr>
            </w:pPr>
            <w:r>
              <w:rPr>
                <w:rFonts w:ascii="Arial" w:cs="Arial" w:eastAsia="Arial" w:hAnsi="Arial"/>
                <w:sz w:val="18"/>
                <w:szCs w:val="18"/>
                <w:b w:val="1"/>
                <w:bCs w:val="1"/>
                <w:color w:val="auto"/>
                <w:w w:val="94"/>
              </w:rPr>
              <w:t>Incorporation</w:t>
            </w:r>
          </w:p>
        </w:tc>
        <w:tc>
          <w:tcPr>
            <w:tcW w:w="500" w:type="dxa"/>
            <w:vAlign w:val="bottom"/>
            <w:tcBorders>
              <w:top w:val="single" w:sz="8" w:color="ACACAC"/>
              <w:right w:val="single" w:sz="8" w:color="auto"/>
            </w:tcBorders>
            <w:vMerge w:val="restart"/>
            <w:shd w:val="clear" w:color="auto" w:fill="ACACAC"/>
          </w:tcPr>
          <w:p>
            <w:pPr>
              <w:spacing w:after="0"/>
              <w:rPr>
                <w:sz w:val="8"/>
                <w:szCs w:val="8"/>
                <w:color w:val="auto"/>
              </w:rPr>
            </w:pPr>
          </w:p>
        </w:tc>
        <w:tc>
          <w:tcPr>
            <w:tcW w:w="300" w:type="dxa"/>
            <w:vAlign w:val="bottom"/>
            <w:tcBorders>
              <w:top w:val="single" w:sz="8" w:color="ACACAC"/>
            </w:tcBorders>
            <w:shd w:val="clear" w:color="auto" w:fill="ACACAC"/>
          </w:tcPr>
          <w:p>
            <w:pPr>
              <w:spacing w:after="0"/>
              <w:rPr>
                <w:sz w:val="8"/>
                <w:szCs w:val="8"/>
                <w:color w:val="auto"/>
              </w:rPr>
            </w:pPr>
          </w:p>
        </w:tc>
        <w:tc>
          <w:tcPr>
            <w:tcW w:w="800" w:type="dxa"/>
            <w:vAlign w:val="bottom"/>
            <w:tcBorders>
              <w:top w:val="single" w:sz="8" w:color="auto"/>
            </w:tcBorders>
            <w:shd w:val="clear" w:color="auto" w:fill="ACACAC"/>
          </w:tcPr>
          <w:p>
            <w:pPr>
              <w:spacing w:after="0"/>
              <w:rPr>
                <w:sz w:val="8"/>
                <w:szCs w:val="8"/>
                <w:color w:val="auto"/>
              </w:rPr>
            </w:pPr>
          </w:p>
        </w:tc>
        <w:tc>
          <w:tcPr>
            <w:tcW w:w="1460" w:type="dxa"/>
            <w:vAlign w:val="bottom"/>
            <w:tcBorders>
              <w:top w:val="single" w:sz="8" w:color="auto"/>
            </w:tcBorders>
            <w:gridSpan w:val="2"/>
            <w:vMerge w:val="restart"/>
            <w:shd w:val="clear" w:color="auto" w:fill="ACACAC"/>
          </w:tcPr>
          <w:p>
            <w:pPr>
              <w:jc w:val="center"/>
              <w:ind w:right="800"/>
              <w:spacing w:after="0" w:line="193" w:lineRule="exact"/>
              <w:rPr>
                <w:sz w:val="20"/>
                <w:szCs w:val="20"/>
                <w:color w:val="auto"/>
              </w:rPr>
            </w:pPr>
            <w:r>
              <w:rPr>
                <w:rFonts w:ascii="Arial" w:cs="Arial" w:eastAsia="Arial" w:hAnsi="Arial"/>
                <w:sz w:val="18"/>
                <w:szCs w:val="18"/>
                <w:b w:val="1"/>
                <w:bCs w:val="1"/>
                <w:color w:val="auto"/>
                <w:w w:val="82"/>
              </w:rPr>
              <w:t>Business</w:t>
            </w:r>
          </w:p>
        </w:tc>
        <w:tc>
          <w:tcPr>
            <w:tcW w:w="360" w:type="dxa"/>
            <w:vAlign w:val="bottom"/>
            <w:tcBorders>
              <w:top w:val="single" w:sz="8" w:color="ACACAC"/>
              <w:right w:val="single" w:sz="8" w:color="auto"/>
            </w:tcBorders>
            <w:vMerge w:val="restart"/>
            <w:shd w:val="clear" w:color="auto" w:fill="ACACAC"/>
          </w:tcPr>
          <w:p>
            <w:pPr>
              <w:spacing w:after="0"/>
              <w:rPr>
                <w:sz w:val="8"/>
                <w:szCs w:val="8"/>
                <w:color w:val="auto"/>
              </w:rPr>
            </w:pPr>
          </w:p>
        </w:tc>
        <w:tc>
          <w:tcPr>
            <w:tcW w:w="260" w:type="dxa"/>
            <w:vAlign w:val="bottom"/>
            <w:tcBorders>
              <w:top w:val="single" w:sz="8" w:color="ACACAC"/>
            </w:tcBorders>
            <w:shd w:val="clear" w:color="auto" w:fill="ACACAC"/>
          </w:tcPr>
          <w:p>
            <w:pPr>
              <w:spacing w:after="0"/>
              <w:rPr>
                <w:sz w:val="8"/>
                <w:szCs w:val="8"/>
                <w:color w:val="auto"/>
              </w:rPr>
            </w:pPr>
          </w:p>
        </w:tc>
        <w:tc>
          <w:tcPr>
            <w:tcW w:w="1920" w:type="dxa"/>
            <w:vAlign w:val="bottom"/>
            <w:tcBorders>
              <w:top w:val="single" w:sz="8" w:color="ACACAC"/>
              <w:right w:val="single" w:sz="8" w:color="auto"/>
            </w:tcBorders>
            <w:gridSpan w:val="6"/>
            <w:vMerge w:val="continue"/>
            <w:shd w:val="clear" w:color="auto" w:fill="ACACAC"/>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180" w:type="dxa"/>
            <w:vAlign w:val="bottom"/>
            <w:tcBorders>
              <w:top w:val="single" w:sz="8" w:color="ACACAC"/>
              <w:left w:val="single" w:sz="8" w:color="auto"/>
            </w:tcBorders>
            <w:shd w:val="clear" w:color="auto" w:fill="ACACAC"/>
          </w:tcPr>
          <w:p>
            <w:pPr>
              <w:spacing w:after="0"/>
              <w:rPr>
                <w:sz w:val="6"/>
                <w:szCs w:val="6"/>
                <w:color w:val="auto"/>
              </w:rPr>
            </w:pPr>
          </w:p>
        </w:tc>
        <w:tc>
          <w:tcPr>
            <w:tcW w:w="880" w:type="dxa"/>
            <w:vAlign w:val="bottom"/>
            <w:tcBorders>
              <w:top w:val="single" w:sz="8" w:color="auto"/>
            </w:tcBorders>
            <w:shd w:val="clear" w:color="auto" w:fill="ACACAC"/>
          </w:tcPr>
          <w:p>
            <w:pPr>
              <w:spacing w:after="0"/>
              <w:rPr>
                <w:sz w:val="6"/>
                <w:szCs w:val="6"/>
                <w:color w:val="auto"/>
              </w:rPr>
            </w:pPr>
          </w:p>
        </w:tc>
        <w:tc>
          <w:tcPr>
            <w:tcW w:w="1200" w:type="dxa"/>
            <w:vAlign w:val="bottom"/>
            <w:tcBorders>
              <w:top w:val="single" w:sz="8" w:color="ACACAC"/>
              <w:right w:val="single" w:sz="8" w:color="auto"/>
            </w:tcBorders>
            <w:shd w:val="clear" w:color="auto" w:fill="ACACAC"/>
          </w:tcPr>
          <w:p>
            <w:pPr>
              <w:spacing w:after="0"/>
              <w:rPr>
                <w:sz w:val="6"/>
                <w:szCs w:val="6"/>
                <w:color w:val="auto"/>
              </w:rPr>
            </w:pPr>
          </w:p>
        </w:tc>
        <w:tc>
          <w:tcPr>
            <w:tcW w:w="460" w:type="dxa"/>
            <w:vAlign w:val="bottom"/>
            <w:tcBorders>
              <w:top w:val="single" w:sz="8" w:color="ACACAC"/>
            </w:tcBorders>
            <w:shd w:val="clear" w:color="auto" w:fill="ACACAC"/>
          </w:tcPr>
          <w:p>
            <w:pPr>
              <w:spacing w:after="0"/>
              <w:rPr>
                <w:sz w:val="6"/>
                <w:szCs w:val="6"/>
                <w:color w:val="auto"/>
              </w:rPr>
            </w:pPr>
          </w:p>
        </w:tc>
        <w:tc>
          <w:tcPr>
            <w:tcW w:w="20" w:type="dxa"/>
            <w:vAlign w:val="bottom"/>
            <w:tcBorders>
              <w:top w:val="single" w:sz="8" w:color="ACACAC"/>
            </w:tcBorders>
            <w:shd w:val="clear" w:color="auto" w:fill="ACACAC"/>
          </w:tcPr>
          <w:p>
            <w:pPr>
              <w:spacing w:after="0"/>
              <w:rPr>
                <w:sz w:val="6"/>
                <w:szCs w:val="6"/>
                <w:color w:val="auto"/>
              </w:rPr>
            </w:pPr>
          </w:p>
        </w:tc>
        <w:tc>
          <w:tcPr>
            <w:tcW w:w="1120" w:type="dxa"/>
            <w:vAlign w:val="bottom"/>
            <w:tcBorders>
              <w:top w:val="single" w:sz="8" w:color="auto"/>
            </w:tcBorders>
            <w:gridSpan w:val="2"/>
            <w:vMerge w:val="continue"/>
            <w:shd w:val="clear" w:color="auto" w:fill="ACACAC"/>
          </w:tcPr>
          <w:p>
            <w:pPr>
              <w:spacing w:after="0"/>
              <w:rPr>
                <w:sz w:val="6"/>
                <w:szCs w:val="6"/>
                <w:color w:val="auto"/>
              </w:rPr>
            </w:pPr>
          </w:p>
        </w:tc>
        <w:tc>
          <w:tcPr>
            <w:tcW w:w="500" w:type="dxa"/>
            <w:vAlign w:val="bottom"/>
            <w:tcBorders>
              <w:top w:val="single" w:sz="8" w:color="ACACAC"/>
              <w:right w:val="single" w:sz="8" w:color="auto"/>
            </w:tcBorders>
            <w:vMerge w:val="continue"/>
            <w:shd w:val="clear" w:color="auto" w:fill="ACACAC"/>
          </w:tcPr>
          <w:p>
            <w:pPr>
              <w:spacing w:after="0"/>
              <w:rPr>
                <w:sz w:val="6"/>
                <w:szCs w:val="6"/>
                <w:color w:val="auto"/>
              </w:rPr>
            </w:pPr>
          </w:p>
        </w:tc>
        <w:tc>
          <w:tcPr>
            <w:tcW w:w="300" w:type="dxa"/>
            <w:vAlign w:val="bottom"/>
            <w:tcBorders>
              <w:top w:val="single" w:sz="8" w:color="ACACAC"/>
            </w:tcBorders>
            <w:shd w:val="clear" w:color="auto" w:fill="ACACAC"/>
          </w:tcPr>
          <w:p>
            <w:pPr>
              <w:spacing w:after="0"/>
              <w:rPr>
                <w:sz w:val="6"/>
                <w:szCs w:val="6"/>
                <w:color w:val="auto"/>
              </w:rPr>
            </w:pPr>
          </w:p>
        </w:tc>
        <w:tc>
          <w:tcPr>
            <w:tcW w:w="800" w:type="dxa"/>
            <w:vAlign w:val="bottom"/>
            <w:tcBorders>
              <w:top w:val="single" w:sz="8" w:color="ACACAC"/>
            </w:tcBorders>
            <w:shd w:val="clear" w:color="auto" w:fill="ACACAC"/>
          </w:tcPr>
          <w:p>
            <w:pPr>
              <w:spacing w:after="0"/>
              <w:rPr>
                <w:sz w:val="6"/>
                <w:szCs w:val="6"/>
                <w:color w:val="auto"/>
              </w:rPr>
            </w:pPr>
          </w:p>
        </w:tc>
        <w:tc>
          <w:tcPr>
            <w:tcW w:w="1460" w:type="dxa"/>
            <w:vAlign w:val="bottom"/>
            <w:tcBorders>
              <w:top w:val="single" w:sz="8" w:color="auto"/>
            </w:tcBorders>
            <w:gridSpan w:val="2"/>
            <w:vMerge w:val="continue"/>
            <w:shd w:val="clear" w:color="auto" w:fill="ACACAC"/>
          </w:tcPr>
          <w:p>
            <w:pPr>
              <w:spacing w:after="0"/>
              <w:rPr>
                <w:sz w:val="6"/>
                <w:szCs w:val="6"/>
                <w:color w:val="auto"/>
              </w:rPr>
            </w:pPr>
          </w:p>
        </w:tc>
        <w:tc>
          <w:tcPr>
            <w:tcW w:w="360" w:type="dxa"/>
            <w:vAlign w:val="bottom"/>
            <w:tcBorders>
              <w:top w:val="single" w:sz="8" w:color="ACACAC"/>
              <w:right w:val="single" w:sz="8" w:color="auto"/>
            </w:tcBorders>
            <w:vMerge w:val="continue"/>
            <w:shd w:val="clear" w:color="auto" w:fill="ACACAC"/>
          </w:tcPr>
          <w:p>
            <w:pPr>
              <w:spacing w:after="0"/>
              <w:rPr>
                <w:sz w:val="6"/>
                <w:szCs w:val="6"/>
                <w:color w:val="auto"/>
              </w:rPr>
            </w:pPr>
          </w:p>
        </w:tc>
        <w:tc>
          <w:tcPr>
            <w:tcW w:w="260" w:type="dxa"/>
            <w:vAlign w:val="bottom"/>
            <w:tcBorders>
              <w:top w:val="single" w:sz="8" w:color="ACACAC"/>
            </w:tcBorders>
            <w:shd w:val="clear" w:color="auto" w:fill="ACACAC"/>
          </w:tcPr>
          <w:p>
            <w:pPr>
              <w:spacing w:after="0"/>
              <w:rPr>
                <w:sz w:val="6"/>
                <w:szCs w:val="6"/>
                <w:color w:val="auto"/>
              </w:rPr>
            </w:pPr>
          </w:p>
        </w:tc>
        <w:tc>
          <w:tcPr>
            <w:tcW w:w="60" w:type="dxa"/>
            <w:vAlign w:val="bottom"/>
            <w:tcBorders>
              <w:top w:val="single" w:sz="8" w:color="auto"/>
            </w:tcBorders>
            <w:shd w:val="clear" w:color="auto" w:fill="ACACAC"/>
          </w:tcPr>
          <w:p>
            <w:pPr>
              <w:spacing w:after="0"/>
              <w:rPr>
                <w:sz w:val="6"/>
                <w:szCs w:val="6"/>
                <w:color w:val="auto"/>
              </w:rPr>
            </w:pPr>
          </w:p>
        </w:tc>
        <w:tc>
          <w:tcPr>
            <w:tcW w:w="1540" w:type="dxa"/>
            <w:vAlign w:val="bottom"/>
            <w:tcBorders>
              <w:top w:val="single" w:sz="8" w:color="auto"/>
            </w:tcBorders>
            <w:gridSpan w:val="4"/>
            <w:vMerge w:val="restart"/>
            <w:shd w:val="clear" w:color="auto" w:fill="ACACAC"/>
          </w:tcPr>
          <w:p>
            <w:pPr>
              <w:jc w:val="center"/>
              <w:ind w:right="40"/>
              <w:spacing w:after="0" w:line="193" w:lineRule="exact"/>
              <w:rPr>
                <w:sz w:val="20"/>
                <w:szCs w:val="20"/>
                <w:color w:val="auto"/>
              </w:rPr>
            </w:pPr>
            <w:r>
              <w:rPr>
                <w:rFonts w:ascii="Arial" w:cs="Arial" w:eastAsia="Arial" w:hAnsi="Arial"/>
                <w:sz w:val="18"/>
                <w:szCs w:val="18"/>
                <w:b w:val="1"/>
                <w:bCs w:val="1"/>
                <w:color w:val="auto"/>
                <w:w w:val="95"/>
              </w:rPr>
              <w:t>Unique ID Number</w:t>
            </w:r>
          </w:p>
        </w:tc>
        <w:tc>
          <w:tcPr>
            <w:tcW w:w="320" w:type="dxa"/>
            <w:vAlign w:val="bottom"/>
            <w:tcBorders>
              <w:top w:val="single" w:sz="8" w:color="ACACAC"/>
              <w:right w:val="single" w:sz="8" w:color="auto"/>
            </w:tcBorders>
            <w:vMerge w:val="restart"/>
            <w:shd w:val="clear" w:color="auto" w:fill="ACACAC"/>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1180" w:type="dxa"/>
            <w:vAlign w:val="bottom"/>
            <w:tcBorders>
              <w:top w:val="single" w:sz="8" w:color="ACACAC"/>
              <w:left w:val="single" w:sz="8" w:color="auto"/>
              <w:bottom w:val="single" w:sz="8" w:color="auto"/>
            </w:tcBorders>
            <w:shd w:val="clear" w:color="auto" w:fill="ACACAC"/>
          </w:tcPr>
          <w:p>
            <w:pPr>
              <w:spacing w:after="0"/>
              <w:rPr>
                <w:sz w:val="13"/>
                <w:szCs w:val="13"/>
                <w:color w:val="auto"/>
              </w:rPr>
            </w:pPr>
          </w:p>
        </w:tc>
        <w:tc>
          <w:tcPr>
            <w:tcW w:w="880" w:type="dxa"/>
            <w:vAlign w:val="bottom"/>
            <w:tcBorders>
              <w:top w:val="single" w:sz="8" w:color="ACACAC"/>
              <w:bottom w:val="single" w:sz="8" w:color="auto"/>
            </w:tcBorders>
            <w:shd w:val="clear" w:color="auto" w:fill="ACACAC"/>
          </w:tcPr>
          <w:p>
            <w:pPr>
              <w:spacing w:after="0"/>
              <w:rPr>
                <w:sz w:val="13"/>
                <w:szCs w:val="13"/>
                <w:color w:val="auto"/>
              </w:rPr>
            </w:pPr>
          </w:p>
        </w:tc>
        <w:tc>
          <w:tcPr>
            <w:tcW w:w="1200" w:type="dxa"/>
            <w:vAlign w:val="bottom"/>
            <w:tcBorders>
              <w:top w:val="single" w:sz="8" w:color="ACACAC"/>
              <w:bottom w:val="single" w:sz="8" w:color="auto"/>
              <w:right w:val="single" w:sz="8" w:color="auto"/>
            </w:tcBorders>
            <w:shd w:val="clear" w:color="auto" w:fill="ACACAC"/>
          </w:tcPr>
          <w:p>
            <w:pPr>
              <w:spacing w:after="0"/>
              <w:rPr>
                <w:sz w:val="13"/>
                <w:szCs w:val="13"/>
                <w:color w:val="auto"/>
              </w:rPr>
            </w:pPr>
          </w:p>
        </w:tc>
        <w:tc>
          <w:tcPr>
            <w:tcW w:w="460" w:type="dxa"/>
            <w:vAlign w:val="bottom"/>
            <w:tcBorders>
              <w:top w:val="single" w:sz="8" w:color="ACACAC"/>
              <w:bottom w:val="single" w:sz="8" w:color="auto"/>
            </w:tcBorders>
            <w:shd w:val="clear" w:color="auto" w:fill="ACACAC"/>
          </w:tcPr>
          <w:p>
            <w:pPr>
              <w:spacing w:after="0"/>
              <w:rPr>
                <w:sz w:val="13"/>
                <w:szCs w:val="13"/>
                <w:color w:val="auto"/>
              </w:rPr>
            </w:pPr>
          </w:p>
        </w:tc>
        <w:tc>
          <w:tcPr>
            <w:tcW w:w="20" w:type="dxa"/>
            <w:vAlign w:val="bottom"/>
            <w:tcBorders>
              <w:top w:val="single" w:sz="8" w:color="ACACAC"/>
              <w:bottom w:val="single" w:sz="8" w:color="auto"/>
            </w:tcBorders>
            <w:shd w:val="clear" w:color="auto" w:fill="ACACAC"/>
          </w:tcPr>
          <w:p>
            <w:pPr>
              <w:spacing w:after="0"/>
              <w:rPr>
                <w:sz w:val="13"/>
                <w:szCs w:val="13"/>
                <w:color w:val="auto"/>
              </w:rPr>
            </w:pPr>
          </w:p>
        </w:tc>
        <w:tc>
          <w:tcPr>
            <w:tcW w:w="1100" w:type="dxa"/>
            <w:vAlign w:val="bottom"/>
            <w:tcBorders>
              <w:top w:val="single" w:sz="8" w:color="auto"/>
              <w:bottom w:val="single" w:sz="8" w:color="auto"/>
            </w:tcBorders>
            <w:shd w:val="clear" w:color="auto" w:fill="ACACAC"/>
          </w:tcPr>
          <w:p>
            <w:pPr>
              <w:spacing w:after="0"/>
              <w:rPr>
                <w:sz w:val="13"/>
                <w:szCs w:val="13"/>
                <w:color w:val="auto"/>
              </w:rPr>
            </w:pPr>
          </w:p>
        </w:tc>
        <w:tc>
          <w:tcPr>
            <w:tcW w:w="20" w:type="dxa"/>
            <w:vAlign w:val="bottom"/>
            <w:tcBorders>
              <w:top w:val="single" w:sz="8" w:color="ACACAC"/>
              <w:bottom w:val="single" w:sz="8" w:color="auto"/>
            </w:tcBorders>
            <w:shd w:val="clear" w:color="auto" w:fill="ACACAC"/>
          </w:tcPr>
          <w:p>
            <w:pPr>
              <w:spacing w:after="0"/>
              <w:rPr>
                <w:sz w:val="13"/>
                <w:szCs w:val="13"/>
                <w:color w:val="auto"/>
              </w:rPr>
            </w:pPr>
          </w:p>
        </w:tc>
        <w:tc>
          <w:tcPr>
            <w:tcW w:w="500" w:type="dxa"/>
            <w:vAlign w:val="bottom"/>
            <w:tcBorders>
              <w:top w:val="single" w:sz="8" w:color="ACACAC"/>
              <w:bottom w:val="single" w:sz="8" w:color="auto"/>
              <w:right w:val="single" w:sz="8" w:color="auto"/>
            </w:tcBorders>
            <w:shd w:val="clear" w:color="auto" w:fill="ACACAC"/>
          </w:tcPr>
          <w:p>
            <w:pPr>
              <w:spacing w:after="0"/>
              <w:rPr>
                <w:sz w:val="13"/>
                <w:szCs w:val="13"/>
                <w:color w:val="auto"/>
              </w:rPr>
            </w:pPr>
          </w:p>
        </w:tc>
        <w:tc>
          <w:tcPr>
            <w:tcW w:w="300" w:type="dxa"/>
            <w:vAlign w:val="bottom"/>
            <w:tcBorders>
              <w:top w:val="single" w:sz="8" w:color="ACACAC"/>
              <w:bottom w:val="single" w:sz="8" w:color="auto"/>
            </w:tcBorders>
            <w:shd w:val="clear" w:color="auto" w:fill="ACACAC"/>
          </w:tcPr>
          <w:p>
            <w:pPr>
              <w:spacing w:after="0"/>
              <w:rPr>
                <w:sz w:val="13"/>
                <w:szCs w:val="13"/>
                <w:color w:val="auto"/>
              </w:rPr>
            </w:pPr>
          </w:p>
        </w:tc>
        <w:tc>
          <w:tcPr>
            <w:tcW w:w="800" w:type="dxa"/>
            <w:vAlign w:val="bottom"/>
            <w:tcBorders>
              <w:top w:val="single" w:sz="8" w:color="ACACAC"/>
              <w:bottom w:val="single" w:sz="8" w:color="auto"/>
            </w:tcBorders>
            <w:shd w:val="clear" w:color="auto" w:fill="ACACAC"/>
          </w:tcPr>
          <w:p>
            <w:pPr>
              <w:spacing w:after="0"/>
              <w:rPr>
                <w:sz w:val="13"/>
                <w:szCs w:val="13"/>
                <w:color w:val="auto"/>
              </w:rPr>
            </w:pPr>
          </w:p>
        </w:tc>
        <w:tc>
          <w:tcPr>
            <w:tcW w:w="660" w:type="dxa"/>
            <w:vAlign w:val="bottom"/>
            <w:tcBorders>
              <w:top w:val="single" w:sz="8" w:color="auto"/>
              <w:bottom w:val="single" w:sz="8" w:color="auto"/>
            </w:tcBorders>
            <w:shd w:val="clear" w:color="auto" w:fill="ACACAC"/>
          </w:tcPr>
          <w:p>
            <w:pPr>
              <w:spacing w:after="0"/>
              <w:rPr>
                <w:sz w:val="13"/>
                <w:szCs w:val="13"/>
                <w:color w:val="auto"/>
              </w:rPr>
            </w:pPr>
          </w:p>
        </w:tc>
        <w:tc>
          <w:tcPr>
            <w:tcW w:w="800" w:type="dxa"/>
            <w:vAlign w:val="bottom"/>
            <w:tcBorders>
              <w:top w:val="single" w:sz="8" w:color="ACACAC"/>
              <w:bottom w:val="single" w:sz="8" w:color="auto"/>
            </w:tcBorders>
            <w:shd w:val="clear" w:color="auto" w:fill="ACACAC"/>
          </w:tcPr>
          <w:p>
            <w:pPr>
              <w:spacing w:after="0"/>
              <w:rPr>
                <w:sz w:val="13"/>
                <w:szCs w:val="13"/>
                <w:color w:val="auto"/>
              </w:rPr>
            </w:pPr>
          </w:p>
        </w:tc>
        <w:tc>
          <w:tcPr>
            <w:tcW w:w="360" w:type="dxa"/>
            <w:vAlign w:val="bottom"/>
            <w:tcBorders>
              <w:top w:val="single" w:sz="8" w:color="ACACAC"/>
              <w:bottom w:val="single" w:sz="8" w:color="auto"/>
              <w:right w:val="single" w:sz="8" w:color="auto"/>
            </w:tcBorders>
            <w:shd w:val="clear" w:color="auto" w:fill="ACACAC"/>
          </w:tcPr>
          <w:p>
            <w:pPr>
              <w:spacing w:after="0"/>
              <w:rPr>
                <w:sz w:val="13"/>
                <w:szCs w:val="13"/>
                <w:color w:val="auto"/>
              </w:rPr>
            </w:pPr>
          </w:p>
        </w:tc>
        <w:tc>
          <w:tcPr>
            <w:tcW w:w="260" w:type="dxa"/>
            <w:vAlign w:val="bottom"/>
            <w:tcBorders>
              <w:top w:val="single" w:sz="8" w:color="ACACAC"/>
              <w:bottom w:val="single" w:sz="8" w:color="auto"/>
            </w:tcBorders>
            <w:shd w:val="clear" w:color="auto" w:fill="ACACAC"/>
          </w:tcPr>
          <w:p>
            <w:pPr>
              <w:spacing w:after="0"/>
              <w:rPr>
                <w:sz w:val="13"/>
                <w:szCs w:val="13"/>
                <w:color w:val="auto"/>
              </w:rPr>
            </w:pPr>
          </w:p>
        </w:tc>
        <w:tc>
          <w:tcPr>
            <w:tcW w:w="60" w:type="dxa"/>
            <w:vAlign w:val="bottom"/>
            <w:tcBorders>
              <w:top w:val="single" w:sz="8" w:color="ACACAC"/>
              <w:bottom w:val="single" w:sz="8" w:color="auto"/>
            </w:tcBorders>
            <w:shd w:val="clear" w:color="auto" w:fill="ACACAC"/>
          </w:tcPr>
          <w:p>
            <w:pPr>
              <w:spacing w:after="0"/>
              <w:rPr>
                <w:sz w:val="13"/>
                <w:szCs w:val="13"/>
                <w:color w:val="auto"/>
              </w:rPr>
            </w:pPr>
          </w:p>
        </w:tc>
        <w:tc>
          <w:tcPr>
            <w:tcW w:w="1540" w:type="dxa"/>
            <w:vAlign w:val="bottom"/>
            <w:tcBorders>
              <w:top w:val="single" w:sz="8" w:color="auto"/>
              <w:bottom w:val="single" w:sz="8" w:color="auto"/>
            </w:tcBorders>
            <w:gridSpan w:val="4"/>
            <w:vMerge w:val="continue"/>
            <w:shd w:val="clear" w:color="auto" w:fill="ACACAC"/>
          </w:tcPr>
          <w:p>
            <w:pPr>
              <w:spacing w:after="0"/>
              <w:rPr>
                <w:sz w:val="13"/>
                <w:szCs w:val="13"/>
                <w:color w:val="auto"/>
              </w:rPr>
            </w:pPr>
          </w:p>
        </w:tc>
        <w:tc>
          <w:tcPr>
            <w:tcW w:w="320" w:type="dxa"/>
            <w:vAlign w:val="bottom"/>
            <w:tcBorders>
              <w:top w:val="single" w:sz="8" w:color="ACACAC"/>
              <w:bottom w:val="single" w:sz="8" w:color="auto"/>
              <w:right w:val="single" w:sz="8" w:color="auto"/>
            </w:tcBorders>
            <w:vMerge w:val="continue"/>
            <w:shd w:val="clear" w:color="auto" w:fill="ACACAC"/>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180" w:type="dxa"/>
            <w:vAlign w:val="bottom"/>
            <w:tcBorders>
              <w:lef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9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11455 El Camino Real,</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260" w:type="dxa"/>
            <w:vAlign w:val="bottom"/>
            <w:tcBorders>
              <w:left w:val="single" w:sz="8" w:color="auto"/>
              <w:right w:val="single" w:sz="8" w:color="auto"/>
            </w:tcBorders>
            <w:gridSpan w:val="3"/>
          </w:tcPr>
          <w:p>
            <w:pPr>
              <w:jc w:val="right"/>
              <w:ind w:right="1180"/>
              <w:spacing w:after="0"/>
              <w:rPr>
                <w:sz w:val="20"/>
                <w:szCs w:val="20"/>
                <w:color w:val="auto"/>
              </w:rPr>
            </w:pPr>
            <w:r>
              <w:rPr>
                <w:rFonts w:ascii="Arial" w:cs="Arial" w:eastAsia="Arial" w:hAnsi="Arial"/>
                <w:sz w:val="18"/>
                <w:szCs w:val="18"/>
                <w:color w:val="auto"/>
                <w:w w:val="93"/>
              </w:rPr>
              <w:t>American Assets Trust, Inc.</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tcBorders>
              <w:right w:val="single" w:sz="8" w:color="auto"/>
            </w:tcBorders>
            <w:gridSpan w:val="3"/>
          </w:tcPr>
          <w:p>
            <w:pPr>
              <w:jc w:val="center"/>
              <w:ind w:right="520"/>
              <w:spacing w:after="0"/>
              <w:rPr>
                <w:sz w:val="20"/>
                <w:szCs w:val="20"/>
                <w:color w:val="auto"/>
              </w:rPr>
            </w:pPr>
            <w:r>
              <w:rPr>
                <w:rFonts w:ascii="Arial" w:cs="Arial" w:eastAsia="Arial" w:hAnsi="Arial"/>
                <w:sz w:val="18"/>
                <w:szCs w:val="18"/>
                <w:color w:val="auto"/>
                <w:w w:val="94"/>
              </w:rPr>
              <w:t>Maryland</w:t>
            </w:r>
          </w:p>
        </w:tc>
        <w:tc>
          <w:tcPr>
            <w:tcW w:w="29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Ste. 200, San Diego, CA</w:t>
            </w:r>
          </w:p>
        </w:tc>
        <w:tc>
          <w:tcPr>
            <w:tcW w:w="1720" w:type="dxa"/>
            <w:vAlign w:val="bottom"/>
            <w:gridSpan w:val="4"/>
          </w:tcPr>
          <w:p>
            <w:pPr>
              <w:jc w:val="center"/>
              <w:ind w:left="328"/>
              <w:spacing w:after="0"/>
              <w:rPr>
                <w:sz w:val="20"/>
                <w:szCs w:val="20"/>
                <w:color w:val="auto"/>
              </w:rPr>
            </w:pPr>
            <w:r>
              <w:rPr>
                <w:rFonts w:ascii="Arial" w:cs="Arial" w:eastAsia="Arial" w:hAnsi="Arial"/>
                <w:sz w:val="18"/>
                <w:szCs w:val="18"/>
                <w:color w:val="auto"/>
                <w:w w:val="93"/>
              </w:rPr>
              <w:t>27-3338708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180" w:type="dxa"/>
            <w:vAlign w:val="bottom"/>
            <w:tcBorders>
              <w:left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6" w:right="239" w:bottom="1440" w:gutter="0" w:footer="0" w:header="0"/>
        </w:sectPr>
      </w:pPr>
    </w:p>
    <w:bookmarkStart w:id="358" w:name="page359"/>
    <w:bookmarkEnd w:id="35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3260" w:type="dxa"/>
            <w:vAlign w:val="bottom"/>
            <w:tcBorders>
              <w:top w:val="single" w:sz="8" w:color="auto"/>
              <w:left w:val="single" w:sz="8" w:color="auto"/>
              <w:right w:val="single" w:sz="8" w:color="auto"/>
            </w:tcBorders>
          </w:tcPr>
          <w:p>
            <w:pPr>
              <w:spacing w:after="0"/>
              <w:rPr>
                <w:sz w:val="20"/>
                <w:szCs w:val="20"/>
                <w:color w:val="auto"/>
              </w:rPr>
            </w:pPr>
          </w:p>
        </w:tc>
        <w:tc>
          <w:tcPr>
            <w:tcW w:w="2100" w:type="dxa"/>
            <w:vAlign w:val="bottom"/>
            <w:tcBorders>
              <w:top w:val="single" w:sz="8" w:color="auto"/>
              <w:right w:val="single" w:sz="8" w:color="auto"/>
            </w:tcBorders>
          </w:tcPr>
          <w:p>
            <w:pPr>
              <w:spacing w:after="0"/>
              <w:rPr>
                <w:sz w:val="20"/>
                <w:szCs w:val="20"/>
                <w:color w:val="auto"/>
              </w:rPr>
            </w:pPr>
          </w:p>
        </w:tc>
        <w:tc>
          <w:tcPr>
            <w:tcW w:w="2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11455 El Camino Real,</w:t>
            </w:r>
          </w:p>
        </w:tc>
        <w:tc>
          <w:tcPr>
            <w:tcW w:w="2180" w:type="dxa"/>
            <w:vAlign w:val="bottom"/>
            <w:tcBorders>
              <w:top w:val="single" w:sz="8" w:color="auto"/>
              <w:right w:val="single" w:sz="8" w:color="auto"/>
            </w:tcBorders>
          </w:tcPr>
          <w:p>
            <w:pPr>
              <w:spacing w:after="0"/>
              <w:rPr>
                <w:sz w:val="20"/>
                <w:szCs w:val="20"/>
                <w:color w:val="auto"/>
              </w:rPr>
            </w:pPr>
          </w:p>
        </w:tc>
      </w:tr>
      <w:tr>
        <w:trPr>
          <w:trHeight w:val="233"/>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Maryland</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Ste. 200, San Diego, CA</w:t>
            </w:r>
          </w:p>
        </w:tc>
        <w:tc>
          <w:tcPr>
            <w:tcW w:w="218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27-3338894</w:t>
            </w:r>
          </w:p>
        </w:tc>
      </w:tr>
      <w:tr>
        <w:trPr>
          <w:trHeight w:val="21"/>
        </w:trPr>
        <w:tc>
          <w:tcPr>
            <w:tcW w:w="3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r>
      <w:tr>
        <w:trPr>
          <w:trHeight w:val="213"/>
        </w:trPr>
        <w:tc>
          <w:tcPr>
            <w:tcW w:w="3260" w:type="dxa"/>
            <w:vAlign w:val="bottom"/>
            <w:tcBorders>
              <w:left w:val="single" w:sz="8" w:color="auto"/>
              <w:right w:val="single" w:sz="8" w:color="auto"/>
            </w:tcBorders>
            <w:shd w:val="clear" w:color="auto" w:fill="FFDEAD"/>
          </w:tcPr>
          <w:p>
            <w:pPr>
              <w:spacing w:after="0"/>
              <w:rPr>
                <w:sz w:val="18"/>
                <w:szCs w:val="18"/>
                <w:color w:val="auto"/>
              </w:rPr>
            </w:pPr>
          </w:p>
        </w:tc>
        <w:tc>
          <w:tcPr>
            <w:tcW w:w="2100" w:type="dxa"/>
            <w:vAlign w:val="bottom"/>
            <w:tcBorders>
              <w:right w:val="single" w:sz="8" w:color="auto"/>
            </w:tcBorders>
            <w:shd w:val="clear" w:color="auto" w:fill="FFDEAD"/>
          </w:tcPr>
          <w:p>
            <w:pPr>
              <w:spacing w:after="0"/>
              <w:rPr>
                <w:sz w:val="18"/>
                <w:szCs w:val="18"/>
                <w:color w:val="auto"/>
              </w:rPr>
            </w:pPr>
          </w:p>
        </w:tc>
        <w:tc>
          <w:tcPr>
            <w:tcW w:w="2920" w:type="dxa"/>
            <w:vAlign w:val="bottom"/>
            <w:tcBorders>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11455 El Camino Real,</w:t>
            </w:r>
          </w:p>
        </w:tc>
        <w:tc>
          <w:tcPr>
            <w:tcW w:w="2180" w:type="dxa"/>
            <w:vAlign w:val="bottom"/>
            <w:tcBorders>
              <w:right w:val="single" w:sz="8" w:color="auto"/>
            </w:tcBorders>
            <w:shd w:val="clear" w:color="auto" w:fill="FFDEAD"/>
          </w:tcPr>
          <w:p>
            <w:pPr>
              <w:spacing w:after="0"/>
              <w:rPr>
                <w:sz w:val="18"/>
                <w:szCs w:val="18"/>
                <w:color w:val="auto"/>
              </w:rPr>
            </w:pPr>
          </w:p>
        </w:tc>
      </w:tr>
      <w:tr>
        <w:trPr>
          <w:trHeight w:val="259"/>
        </w:trPr>
        <w:tc>
          <w:tcPr>
            <w:tcW w:w="3260" w:type="dxa"/>
            <w:vAlign w:val="bottom"/>
            <w:tcBorders>
              <w:left w:val="single" w:sz="8" w:color="auto"/>
              <w:bottom w:val="single" w:sz="8" w:color="FFDEAD"/>
              <w:right w:val="single" w:sz="8" w:color="auto"/>
            </w:tcBorders>
            <w:shd w:val="clear" w:color="auto" w:fill="FFDEAD"/>
          </w:tcPr>
          <w:p>
            <w:pPr>
              <w:ind w:left="40"/>
              <w:spacing w:after="0"/>
              <w:rPr>
                <w:sz w:val="20"/>
                <w:szCs w:val="20"/>
                <w:color w:val="auto"/>
              </w:rPr>
            </w:pPr>
            <w:r>
              <w:rPr>
                <w:rFonts w:ascii="Arial" w:cs="Arial" w:eastAsia="Arial" w:hAnsi="Arial"/>
                <w:sz w:val="18"/>
                <w:szCs w:val="18"/>
                <w:color w:val="FF0000"/>
                <w:strike w:val="1"/>
                <w:w w:val="95"/>
              </w:rPr>
              <w:t>American Assets Trust Management, LLC</w:t>
            </w:r>
          </w:p>
        </w:tc>
        <w:tc>
          <w:tcPr>
            <w:tcW w:w="2100" w:type="dxa"/>
            <w:vAlign w:val="bottom"/>
            <w:tcBorders>
              <w:bottom w:val="single" w:sz="8" w:color="FFDEAD"/>
              <w:right w:val="single" w:sz="8" w:color="auto"/>
            </w:tcBorders>
            <w:shd w:val="clear" w:color="auto" w:fill="FFDEAD"/>
          </w:tcPr>
          <w:p>
            <w:pPr>
              <w:jc w:val="center"/>
              <w:spacing w:after="0"/>
              <w:rPr>
                <w:sz w:val="20"/>
                <w:szCs w:val="20"/>
                <w:color w:val="auto"/>
              </w:rPr>
            </w:pPr>
            <w:r>
              <w:rPr>
                <w:rFonts w:ascii="Arial" w:cs="Arial" w:eastAsia="Arial" w:hAnsi="Arial"/>
                <w:sz w:val="18"/>
                <w:szCs w:val="18"/>
                <w:color w:val="FF0000"/>
                <w:strike w:val="1"/>
                <w:w w:val="92"/>
              </w:rPr>
              <w:t>Delaware</w:t>
            </w:r>
          </w:p>
        </w:tc>
        <w:tc>
          <w:tcPr>
            <w:tcW w:w="2920" w:type="dxa"/>
            <w:vAlign w:val="bottom"/>
            <w:tcBorders>
              <w:bottom w:val="single" w:sz="8" w:color="FFDEAD"/>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Ste. 200, San Diego, CA</w:t>
            </w:r>
          </w:p>
        </w:tc>
        <w:tc>
          <w:tcPr>
            <w:tcW w:w="2180" w:type="dxa"/>
            <w:vAlign w:val="bottom"/>
            <w:tcBorders>
              <w:bottom w:val="single" w:sz="8" w:color="FFDEAD"/>
              <w:right w:val="single" w:sz="8" w:color="auto"/>
            </w:tcBorders>
            <w:shd w:val="clear" w:color="auto" w:fill="FFDEAD"/>
          </w:tcPr>
          <w:p>
            <w:pPr>
              <w:ind w:left="620"/>
              <w:spacing w:after="0"/>
              <w:rPr>
                <w:sz w:val="20"/>
                <w:szCs w:val="20"/>
                <w:color w:val="auto"/>
              </w:rPr>
            </w:pPr>
            <w:r>
              <w:rPr>
                <w:rFonts w:ascii="Arial" w:cs="Arial" w:eastAsia="Arial" w:hAnsi="Arial"/>
                <w:sz w:val="18"/>
                <w:szCs w:val="18"/>
                <w:color w:val="FF0000"/>
                <w:strike w:val="1"/>
              </w:rPr>
              <w:t>27-3534902</w:t>
            </w:r>
          </w:p>
        </w:tc>
      </w:tr>
      <w:tr>
        <w:trPr>
          <w:trHeight w:val="213"/>
        </w:trPr>
        <w:tc>
          <w:tcPr>
            <w:tcW w:w="3260" w:type="dxa"/>
            <w:vAlign w:val="bottom"/>
            <w:tcBorders>
              <w:top w:val="single" w:sz="8" w:color="auto"/>
              <w:left w:val="single" w:sz="8" w:color="auto"/>
              <w:right w:val="single" w:sz="8" w:color="auto"/>
            </w:tcBorders>
            <w:shd w:val="clear" w:color="auto" w:fill="FFDEAD"/>
          </w:tcPr>
          <w:p>
            <w:pPr>
              <w:spacing w:after="0"/>
              <w:rPr>
                <w:sz w:val="18"/>
                <w:szCs w:val="18"/>
                <w:color w:val="auto"/>
              </w:rPr>
            </w:pPr>
          </w:p>
        </w:tc>
        <w:tc>
          <w:tcPr>
            <w:tcW w:w="2100" w:type="dxa"/>
            <w:vAlign w:val="bottom"/>
            <w:tcBorders>
              <w:top w:val="single" w:sz="8" w:color="auto"/>
              <w:right w:val="single" w:sz="8" w:color="auto"/>
            </w:tcBorders>
            <w:shd w:val="clear" w:color="auto" w:fill="FFDEAD"/>
          </w:tcPr>
          <w:p>
            <w:pPr>
              <w:spacing w:after="0"/>
              <w:rPr>
                <w:sz w:val="18"/>
                <w:szCs w:val="18"/>
                <w:color w:val="auto"/>
              </w:rPr>
            </w:pPr>
          </w:p>
        </w:tc>
        <w:tc>
          <w:tcPr>
            <w:tcW w:w="2920" w:type="dxa"/>
            <w:vAlign w:val="bottom"/>
            <w:tcBorders>
              <w:top w:val="single" w:sz="8" w:color="auto"/>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11455 El Camino Real,</w:t>
            </w:r>
          </w:p>
        </w:tc>
        <w:tc>
          <w:tcPr>
            <w:tcW w:w="2180" w:type="dxa"/>
            <w:vAlign w:val="bottom"/>
            <w:tcBorders>
              <w:top w:val="single" w:sz="8" w:color="auto"/>
              <w:right w:val="single" w:sz="8" w:color="auto"/>
            </w:tcBorders>
            <w:shd w:val="clear" w:color="auto" w:fill="FFDEAD"/>
          </w:tcPr>
          <w:p>
            <w:pPr>
              <w:spacing w:after="0"/>
              <w:rPr>
                <w:sz w:val="18"/>
                <w:szCs w:val="18"/>
                <w:color w:val="auto"/>
              </w:rPr>
            </w:pPr>
          </w:p>
        </w:tc>
      </w:tr>
      <w:tr>
        <w:trPr>
          <w:trHeight w:val="259"/>
        </w:trPr>
        <w:tc>
          <w:tcPr>
            <w:tcW w:w="3260" w:type="dxa"/>
            <w:vAlign w:val="bottom"/>
            <w:tcBorders>
              <w:left w:val="single" w:sz="8" w:color="auto"/>
              <w:bottom w:val="single" w:sz="8" w:color="FFDEAD"/>
              <w:right w:val="single" w:sz="8" w:color="auto"/>
            </w:tcBorders>
            <w:shd w:val="clear" w:color="auto" w:fill="FFDEAD"/>
          </w:tcPr>
          <w:p>
            <w:pPr>
              <w:ind w:left="40"/>
              <w:spacing w:after="0"/>
              <w:rPr>
                <w:sz w:val="20"/>
                <w:szCs w:val="20"/>
                <w:color w:val="auto"/>
              </w:rPr>
            </w:pPr>
            <w:r>
              <w:rPr>
                <w:rFonts w:ascii="Arial" w:cs="Arial" w:eastAsia="Arial" w:hAnsi="Arial"/>
                <w:sz w:val="18"/>
                <w:szCs w:val="18"/>
                <w:color w:val="FF0000"/>
                <w:strike w:val="1"/>
              </w:rPr>
              <w:t>Pacific Del Mar Assets LLC</w:t>
            </w:r>
          </w:p>
        </w:tc>
        <w:tc>
          <w:tcPr>
            <w:tcW w:w="2100" w:type="dxa"/>
            <w:vAlign w:val="bottom"/>
            <w:tcBorders>
              <w:bottom w:val="single" w:sz="8" w:color="FFDEAD"/>
              <w:right w:val="single" w:sz="8" w:color="auto"/>
            </w:tcBorders>
            <w:shd w:val="clear" w:color="auto" w:fill="FFDEAD"/>
          </w:tcPr>
          <w:p>
            <w:pPr>
              <w:jc w:val="center"/>
              <w:spacing w:after="0"/>
              <w:rPr>
                <w:sz w:val="20"/>
                <w:szCs w:val="20"/>
                <w:color w:val="auto"/>
              </w:rPr>
            </w:pPr>
            <w:r>
              <w:rPr>
                <w:rFonts w:ascii="Arial" w:cs="Arial" w:eastAsia="Arial" w:hAnsi="Arial"/>
                <w:sz w:val="18"/>
                <w:szCs w:val="18"/>
                <w:color w:val="FF0000"/>
                <w:strike w:val="1"/>
                <w:w w:val="92"/>
              </w:rPr>
              <w:t>Delaware</w:t>
            </w:r>
          </w:p>
        </w:tc>
        <w:tc>
          <w:tcPr>
            <w:tcW w:w="2920" w:type="dxa"/>
            <w:vAlign w:val="bottom"/>
            <w:tcBorders>
              <w:bottom w:val="single" w:sz="8" w:color="FFDEAD"/>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Ste. 200, San Diego, CA</w:t>
            </w:r>
          </w:p>
        </w:tc>
        <w:tc>
          <w:tcPr>
            <w:tcW w:w="2180" w:type="dxa"/>
            <w:vAlign w:val="bottom"/>
            <w:tcBorders>
              <w:bottom w:val="single" w:sz="8" w:color="FFDEAD"/>
              <w:right w:val="single" w:sz="8" w:color="auto"/>
            </w:tcBorders>
            <w:shd w:val="clear" w:color="auto" w:fill="FFDEAD"/>
          </w:tcPr>
          <w:p>
            <w:pPr>
              <w:ind w:left="620"/>
              <w:spacing w:after="0"/>
              <w:rPr>
                <w:sz w:val="20"/>
                <w:szCs w:val="20"/>
                <w:color w:val="auto"/>
              </w:rPr>
            </w:pPr>
            <w:r>
              <w:rPr>
                <w:rFonts w:ascii="Arial" w:cs="Arial" w:eastAsia="Arial" w:hAnsi="Arial"/>
                <w:sz w:val="18"/>
                <w:szCs w:val="18"/>
                <w:color w:val="FF0000"/>
                <w:strike w:val="1"/>
              </w:rPr>
              <w:t>27-4542505</w:t>
            </w:r>
          </w:p>
        </w:tc>
      </w:tr>
      <w:tr>
        <w:trPr>
          <w:trHeight w:val="213"/>
        </w:trPr>
        <w:tc>
          <w:tcPr>
            <w:tcW w:w="3260" w:type="dxa"/>
            <w:vAlign w:val="bottom"/>
            <w:tcBorders>
              <w:top w:val="single" w:sz="8" w:color="auto"/>
              <w:left w:val="single" w:sz="8" w:color="auto"/>
              <w:right w:val="single" w:sz="8" w:color="auto"/>
            </w:tcBorders>
            <w:shd w:val="clear" w:color="auto" w:fill="FFDEAD"/>
          </w:tcPr>
          <w:p>
            <w:pPr>
              <w:spacing w:after="0"/>
              <w:rPr>
                <w:sz w:val="18"/>
                <w:szCs w:val="18"/>
                <w:color w:val="auto"/>
              </w:rPr>
            </w:pPr>
          </w:p>
        </w:tc>
        <w:tc>
          <w:tcPr>
            <w:tcW w:w="2100" w:type="dxa"/>
            <w:vAlign w:val="bottom"/>
            <w:tcBorders>
              <w:top w:val="single" w:sz="8" w:color="auto"/>
              <w:right w:val="single" w:sz="8" w:color="auto"/>
            </w:tcBorders>
            <w:shd w:val="clear" w:color="auto" w:fill="FFDEAD"/>
          </w:tcPr>
          <w:p>
            <w:pPr>
              <w:spacing w:after="0"/>
              <w:rPr>
                <w:sz w:val="18"/>
                <w:szCs w:val="18"/>
                <w:color w:val="auto"/>
              </w:rPr>
            </w:pPr>
          </w:p>
        </w:tc>
        <w:tc>
          <w:tcPr>
            <w:tcW w:w="2920" w:type="dxa"/>
            <w:vAlign w:val="bottom"/>
            <w:tcBorders>
              <w:top w:val="single" w:sz="8" w:color="auto"/>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11455 El Camino Real,</w:t>
            </w:r>
          </w:p>
        </w:tc>
        <w:tc>
          <w:tcPr>
            <w:tcW w:w="2180" w:type="dxa"/>
            <w:vAlign w:val="bottom"/>
            <w:tcBorders>
              <w:top w:val="single" w:sz="8" w:color="auto"/>
              <w:right w:val="single" w:sz="8" w:color="auto"/>
            </w:tcBorders>
            <w:shd w:val="clear" w:color="auto" w:fill="FFDEAD"/>
          </w:tcPr>
          <w:p>
            <w:pPr>
              <w:spacing w:after="0"/>
              <w:rPr>
                <w:sz w:val="18"/>
                <w:szCs w:val="18"/>
                <w:color w:val="auto"/>
              </w:rPr>
            </w:pPr>
          </w:p>
        </w:tc>
      </w:tr>
      <w:tr>
        <w:trPr>
          <w:trHeight w:val="259"/>
        </w:trPr>
        <w:tc>
          <w:tcPr>
            <w:tcW w:w="3260" w:type="dxa"/>
            <w:vAlign w:val="bottom"/>
            <w:tcBorders>
              <w:left w:val="single" w:sz="8" w:color="auto"/>
              <w:bottom w:val="single" w:sz="8" w:color="FFDEAD"/>
              <w:right w:val="single" w:sz="8" w:color="auto"/>
            </w:tcBorders>
            <w:shd w:val="clear" w:color="auto" w:fill="FFDEAD"/>
          </w:tcPr>
          <w:p>
            <w:pPr>
              <w:ind w:left="40"/>
              <w:spacing w:after="0"/>
              <w:rPr>
                <w:sz w:val="20"/>
                <w:szCs w:val="20"/>
                <w:color w:val="auto"/>
              </w:rPr>
            </w:pPr>
            <w:r>
              <w:rPr>
                <w:rFonts w:ascii="Arial" w:cs="Arial" w:eastAsia="Arial" w:hAnsi="Arial"/>
                <w:sz w:val="18"/>
                <w:szCs w:val="18"/>
                <w:color w:val="FF0000"/>
                <w:strike w:val="1"/>
              </w:rPr>
              <w:t>Carmel Country Plaza, L.P.</w:t>
            </w:r>
          </w:p>
        </w:tc>
        <w:tc>
          <w:tcPr>
            <w:tcW w:w="2100" w:type="dxa"/>
            <w:vAlign w:val="bottom"/>
            <w:tcBorders>
              <w:bottom w:val="single" w:sz="8" w:color="FFDEAD"/>
              <w:right w:val="single" w:sz="8" w:color="auto"/>
            </w:tcBorders>
            <w:shd w:val="clear" w:color="auto" w:fill="FFDEAD"/>
          </w:tcPr>
          <w:p>
            <w:pPr>
              <w:jc w:val="center"/>
              <w:spacing w:after="0"/>
              <w:rPr>
                <w:sz w:val="20"/>
                <w:szCs w:val="20"/>
                <w:color w:val="auto"/>
              </w:rPr>
            </w:pPr>
            <w:r>
              <w:rPr>
                <w:rFonts w:ascii="Arial" w:cs="Arial" w:eastAsia="Arial" w:hAnsi="Arial"/>
                <w:sz w:val="18"/>
                <w:szCs w:val="18"/>
                <w:color w:val="FF0000"/>
                <w:strike w:val="1"/>
                <w:w w:val="97"/>
              </w:rPr>
              <w:t>California</w:t>
            </w:r>
          </w:p>
        </w:tc>
        <w:tc>
          <w:tcPr>
            <w:tcW w:w="2920" w:type="dxa"/>
            <w:vAlign w:val="bottom"/>
            <w:tcBorders>
              <w:bottom w:val="single" w:sz="8" w:color="FFDEAD"/>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Ste. 200, San Diego, CA</w:t>
            </w:r>
          </w:p>
        </w:tc>
        <w:tc>
          <w:tcPr>
            <w:tcW w:w="2180" w:type="dxa"/>
            <w:vAlign w:val="bottom"/>
            <w:tcBorders>
              <w:bottom w:val="single" w:sz="8" w:color="FFDEAD"/>
              <w:right w:val="single" w:sz="8" w:color="auto"/>
            </w:tcBorders>
            <w:shd w:val="clear" w:color="auto" w:fill="FFDEAD"/>
          </w:tcPr>
          <w:p>
            <w:pPr>
              <w:ind w:left="620"/>
              <w:spacing w:after="0"/>
              <w:rPr>
                <w:sz w:val="20"/>
                <w:szCs w:val="20"/>
                <w:color w:val="auto"/>
              </w:rPr>
            </w:pPr>
            <w:r>
              <w:rPr>
                <w:rFonts w:ascii="Arial" w:cs="Arial" w:eastAsia="Arial" w:hAnsi="Arial"/>
                <w:sz w:val="18"/>
                <w:szCs w:val="18"/>
                <w:color w:val="FF0000"/>
                <w:strike w:val="1"/>
              </w:rPr>
              <w:t>33-0689715</w:t>
            </w:r>
          </w:p>
        </w:tc>
      </w:tr>
      <w:tr>
        <w:trPr>
          <w:trHeight w:val="213"/>
        </w:trPr>
        <w:tc>
          <w:tcPr>
            <w:tcW w:w="3260" w:type="dxa"/>
            <w:vAlign w:val="bottom"/>
            <w:tcBorders>
              <w:top w:val="single" w:sz="8" w:color="auto"/>
              <w:left w:val="single" w:sz="8" w:color="auto"/>
              <w:right w:val="single" w:sz="8" w:color="auto"/>
            </w:tcBorders>
            <w:shd w:val="clear" w:color="auto" w:fill="FFDEAD"/>
          </w:tcPr>
          <w:p>
            <w:pPr>
              <w:spacing w:after="0"/>
              <w:rPr>
                <w:sz w:val="18"/>
                <w:szCs w:val="18"/>
                <w:color w:val="auto"/>
              </w:rPr>
            </w:pPr>
          </w:p>
        </w:tc>
        <w:tc>
          <w:tcPr>
            <w:tcW w:w="2100" w:type="dxa"/>
            <w:vAlign w:val="bottom"/>
            <w:tcBorders>
              <w:top w:val="single" w:sz="8" w:color="auto"/>
              <w:right w:val="single" w:sz="8" w:color="auto"/>
            </w:tcBorders>
            <w:shd w:val="clear" w:color="auto" w:fill="FFDEAD"/>
          </w:tcPr>
          <w:p>
            <w:pPr>
              <w:spacing w:after="0"/>
              <w:rPr>
                <w:sz w:val="18"/>
                <w:szCs w:val="18"/>
                <w:color w:val="auto"/>
              </w:rPr>
            </w:pPr>
          </w:p>
        </w:tc>
        <w:tc>
          <w:tcPr>
            <w:tcW w:w="2920" w:type="dxa"/>
            <w:vAlign w:val="bottom"/>
            <w:tcBorders>
              <w:top w:val="single" w:sz="8" w:color="auto"/>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11455 El Camino Real,</w:t>
            </w:r>
          </w:p>
        </w:tc>
        <w:tc>
          <w:tcPr>
            <w:tcW w:w="2180" w:type="dxa"/>
            <w:vAlign w:val="bottom"/>
            <w:tcBorders>
              <w:top w:val="single" w:sz="8" w:color="auto"/>
              <w:right w:val="single" w:sz="8" w:color="auto"/>
            </w:tcBorders>
            <w:shd w:val="clear" w:color="auto" w:fill="FFDEAD"/>
          </w:tcPr>
          <w:p>
            <w:pPr>
              <w:spacing w:after="0"/>
              <w:rPr>
                <w:sz w:val="18"/>
                <w:szCs w:val="18"/>
                <w:color w:val="auto"/>
              </w:rPr>
            </w:pPr>
          </w:p>
        </w:tc>
      </w:tr>
      <w:tr>
        <w:trPr>
          <w:trHeight w:val="259"/>
        </w:trPr>
        <w:tc>
          <w:tcPr>
            <w:tcW w:w="3260" w:type="dxa"/>
            <w:vAlign w:val="bottom"/>
            <w:tcBorders>
              <w:left w:val="single" w:sz="8" w:color="auto"/>
              <w:bottom w:val="single" w:sz="8" w:color="FFDEAD"/>
              <w:right w:val="single" w:sz="8" w:color="auto"/>
            </w:tcBorders>
            <w:shd w:val="clear" w:color="auto" w:fill="FFDEAD"/>
          </w:tcPr>
          <w:p>
            <w:pPr>
              <w:ind w:left="40"/>
              <w:spacing w:after="0"/>
              <w:rPr>
                <w:sz w:val="20"/>
                <w:szCs w:val="20"/>
                <w:color w:val="auto"/>
              </w:rPr>
            </w:pPr>
            <w:r>
              <w:rPr>
                <w:rFonts w:ascii="Arial" w:cs="Arial" w:eastAsia="Arial" w:hAnsi="Arial"/>
                <w:sz w:val="18"/>
                <w:szCs w:val="18"/>
                <w:color w:val="FF0000"/>
                <w:strike w:val="1"/>
              </w:rPr>
              <w:t>Pacific Carmel Mountain Assets LLC</w:t>
            </w:r>
          </w:p>
        </w:tc>
        <w:tc>
          <w:tcPr>
            <w:tcW w:w="2100" w:type="dxa"/>
            <w:vAlign w:val="bottom"/>
            <w:tcBorders>
              <w:bottom w:val="single" w:sz="8" w:color="FFDEAD"/>
              <w:right w:val="single" w:sz="8" w:color="auto"/>
            </w:tcBorders>
            <w:shd w:val="clear" w:color="auto" w:fill="FFDEAD"/>
          </w:tcPr>
          <w:p>
            <w:pPr>
              <w:jc w:val="center"/>
              <w:spacing w:after="0"/>
              <w:rPr>
                <w:sz w:val="20"/>
                <w:szCs w:val="20"/>
                <w:color w:val="auto"/>
              </w:rPr>
            </w:pPr>
            <w:r>
              <w:rPr>
                <w:rFonts w:ascii="Arial" w:cs="Arial" w:eastAsia="Arial" w:hAnsi="Arial"/>
                <w:sz w:val="18"/>
                <w:szCs w:val="18"/>
                <w:color w:val="FF0000"/>
                <w:strike w:val="1"/>
                <w:w w:val="92"/>
              </w:rPr>
              <w:t>Delaware</w:t>
            </w:r>
          </w:p>
        </w:tc>
        <w:tc>
          <w:tcPr>
            <w:tcW w:w="2920" w:type="dxa"/>
            <w:vAlign w:val="bottom"/>
            <w:tcBorders>
              <w:bottom w:val="single" w:sz="8" w:color="FFDEAD"/>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Ste. 200, San Diego, CA</w:t>
            </w:r>
          </w:p>
        </w:tc>
        <w:tc>
          <w:tcPr>
            <w:tcW w:w="2180" w:type="dxa"/>
            <w:vAlign w:val="bottom"/>
            <w:tcBorders>
              <w:bottom w:val="single" w:sz="8" w:color="FFDEAD"/>
              <w:right w:val="single" w:sz="8" w:color="auto"/>
            </w:tcBorders>
            <w:shd w:val="clear" w:color="auto" w:fill="FFDEAD"/>
          </w:tcPr>
          <w:p>
            <w:pPr>
              <w:ind w:left="620"/>
              <w:spacing w:after="0"/>
              <w:rPr>
                <w:sz w:val="20"/>
                <w:szCs w:val="20"/>
                <w:color w:val="auto"/>
              </w:rPr>
            </w:pPr>
            <w:r>
              <w:rPr>
                <w:rFonts w:ascii="Arial" w:cs="Arial" w:eastAsia="Arial" w:hAnsi="Arial"/>
                <w:sz w:val="18"/>
                <w:szCs w:val="18"/>
                <w:color w:val="FF0000"/>
                <w:strike w:val="1"/>
              </w:rPr>
              <w:t>27-4542695</w:t>
            </w:r>
          </w:p>
        </w:tc>
      </w:tr>
      <w:tr>
        <w:trPr>
          <w:trHeight w:val="213"/>
        </w:trPr>
        <w:tc>
          <w:tcPr>
            <w:tcW w:w="3260" w:type="dxa"/>
            <w:vAlign w:val="bottom"/>
            <w:tcBorders>
              <w:top w:val="single" w:sz="8" w:color="auto"/>
              <w:left w:val="single" w:sz="8" w:color="auto"/>
              <w:right w:val="single" w:sz="8" w:color="auto"/>
            </w:tcBorders>
            <w:shd w:val="clear" w:color="auto" w:fill="FFDEAD"/>
          </w:tcPr>
          <w:p>
            <w:pPr>
              <w:spacing w:after="0"/>
              <w:rPr>
                <w:sz w:val="18"/>
                <w:szCs w:val="18"/>
                <w:color w:val="auto"/>
              </w:rPr>
            </w:pPr>
          </w:p>
        </w:tc>
        <w:tc>
          <w:tcPr>
            <w:tcW w:w="2100" w:type="dxa"/>
            <w:vAlign w:val="bottom"/>
            <w:tcBorders>
              <w:top w:val="single" w:sz="8" w:color="auto"/>
              <w:right w:val="single" w:sz="8" w:color="auto"/>
            </w:tcBorders>
            <w:shd w:val="clear" w:color="auto" w:fill="FFDEAD"/>
          </w:tcPr>
          <w:p>
            <w:pPr>
              <w:spacing w:after="0"/>
              <w:rPr>
                <w:sz w:val="18"/>
                <w:szCs w:val="18"/>
                <w:color w:val="auto"/>
              </w:rPr>
            </w:pPr>
          </w:p>
        </w:tc>
        <w:tc>
          <w:tcPr>
            <w:tcW w:w="2920" w:type="dxa"/>
            <w:vAlign w:val="bottom"/>
            <w:tcBorders>
              <w:top w:val="single" w:sz="8" w:color="auto"/>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11455 El Camino Real,</w:t>
            </w:r>
          </w:p>
        </w:tc>
        <w:tc>
          <w:tcPr>
            <w:tcW w:w="2180" w:type="dxa"/>
            <w:vAlign w:val="bottom"/>
            <w:tcBorders>
              <w:top w:val="single" w:sz="8" w:color="auto"/>
              <w:right w:val="single" w:sz="8" w:color="auto"/>
            </w:tcBorders>
            <w:shd w:val="clear" w:color="auto" w:fill="FFDEAD"/>
          </w:tcPr>
          <w:p>
            <w:pPr>
              <w:spacing w:after="0"/>
              <w:rPr>
                <w:sz w:val="18"/>
                <w:szCs w:val="18"/>
                <w:color w:val="auto"/>
              </w:rPr>
            </w:pPr>
          </w:p>
        </w:tc>
      </w:tr>
      <w:tr>
        <w:trPr>
          <w:trHeight w:val="259"/>
        </w:trPr>
        <w:tc>
          <w:tcPr>
            <w:tcW w:w="3260" w:type="dxa"/>
            <w:vAlign w:val="bottom"/>
            <w:tcBorders>
              <w:left w:val="single" w:sz="8" w:color="auto"/>
              <w:bottom w:val="single" w:sz="8" w:color="FFDEAD"/>
              <w:right w:val="single" w:sz="8" w:color="auto"/>
            </w:tcBorders>
            <w:shd w:val="clear" w:color="auto" w:fill="FFDEAD"/>
          </w:tcPr>
          <w:p>
            <w:pPr>
              <w:ind w:left="40"/>
              <w:spacing w:after="0"/>
              <w:rPr>
                <w:sz w:val="20"/>
                <w:szCs w:val="20"/>
                <w:color w:val="auto"/>
              </w:rPr>
            </w:pPr>
            <w:r>
              <w:rPr>
                <w:rFonts w:ascii="Arial" w:cs="Arial" w:eastAsia="Arial" w:hAnsi="Arial"/>
                <w:sz w:val="18"/>
                <w:szCs w:val="18"/>
                <w:color w:val="FF0000"/>
                <w:strike w:val="1"/>
              </w:rPr>
              <w:t>Pacific Carmel Mountain Holdings, L.P.</w:t>
            </w:r>
          </w:p>
        </w:tc>
        <w:tc>
          <w:tcPr>
            <w:tcW w:w="2100" w:type="dxa"/>
            <w:vAlign w:val="bottom"/>
            <w:tcBorders>
              <w:bottom w:val="single" w:sz="8" w:color="FFDEAD"/>
              <w:right w:val="single" w:sz="8" w:color="auto"/>
            </w:tcBorders>
            <w:shd w:val="clear" w:color="auto" w:fill="FFDEAD"/>
          </w:tcPr>
          <w:p>
            <w:pPr>
              <w:jc w:val="center"/>
              <w:spacing w:after="0"/>
              <w:rPr>
                <w:sz w:val="20"/>
                <w:szCs w:val="20"/>
                <w:color w:val="auto"/>
              </w:rPr>
            </w:pPr>
            <w:r>
              <w:rPr>
                <w:rFonts w:ascii="Arial" w:cs="Arial" w:eastAsia="Arial" w:hAnsi="Arial"/>
                <w:sz w:val="18"/>
                <w:szCs w:val="18"/>
                <w:color w:val="FF0000"/>
                <w:strike w:val="1"/>
                <w:w w:val="97"/>
              </w:rPr>
              <w:t>California</w:t>
            </w:r>
          </w:p>
        </w:tc>
        <w:tc>
          <w:tcPr>
            <w:tcW w:w="2920" w:type="dxa"/>
            <w:vAlign w:val="bottom"/>
            <w:tcBorders>
              <w:bottom w:val="single" w:sz="8" w:color="FFDEAD"/>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Ste. 200, San Diego, CA</w:t>
            </w:r>
          </w:p>
        </w:tc>
        <w:tc>
          <w:tcPr>
            <w:tcW w:w="2180" w:type="dxa"/>
            <w:vAlign w:val="bottom"/>
            <w:tcBorders>
              <w:bottom w:val="single" w:sz="8" w:color="FFDEAD"/>
              <w:right w:val="single" w:sz="8" w:color="auto"/>
            </w:tcBorders>
            <w:shd w:val="clear" w:color="auto" w:fill="FFDEAD"/>
          </w:tcPr>
          <w:p>
            <w:pPr>
              <w:ind w:left="620"/>
              <w:spacing w:after="0"/>
              <w:rPr>
                <w:sz w:val="20"/>
                <w:szCs w:val="20"/>
                <w:color w:val="auto"/>
              </w:rPr>
            </w:pPr>
            <w:r>
              <w:rPr>
                <w:rFonts w:ascii="Arial" w:cs="Arial" w:eastAsia="Arial" w:hAnsi="Arial"/>
                <w:sz w:val="18"/>
                <w:szCs w:val="18"/>
                <w:color w:val="FF0000"/>
                <w:strike w:val="1"/>
              </w:rPr>
              <w:t>61-1421186</w:t>
            </w:r>
          </w:p>
        </w:tc>
      </w:tr>
      <w:tr>
        <w:trPr>
          <w:trHeight w:val="213"/>
        </w:trPr>
        <w:tc>
          <w:tcPr>
            <w:tcW w:w="3260" w:type="dxa"/>
            <w:vAlign w:val="bottom"/>
            <w:tcBorders>
              <w:top w:val="single" w:sz="8" w:color="auto"/>
              <w:left w:val="single" w:sz="8" w:color="auto"/>
              <w:right w:val="single" w:sz="8" w:color="auto"/>
            </w:tcBorders>
            <w:shd w:val="clear" w:color="auto" w:fill="FFDEAD"/>
          </w:tcPr>
          <w:p>
            <w:pPr>
              <w:spacing w:after="0"/>
              <w:rPr>
                <w:sz w:val="18"/>
                <w:szCs w:val="18"/>
                <w:color w:val="auto"/>
              </w:rPr>
            </w:pPr>
          </w:p>
        </w:tc>
        <w:tc>
          <w:tcPr>
            <w:tcW w:w="2100" w:type="dxa"/>
            <w:vAlign w:val="bottom"/>
            <w:tcBorders>
              <w:top w:val="single" w:sz="8" w:color="auto"/>
              <w:right w:val="single" w:sz="8" w:color="auto"/>
            </w:tcBorders>
            <w:shd w:val="clear" w:color="auto" w:fill="FFDEAD"/>
          </w:tcPr>
          <w:p>
            <w:pPr>
              <w:spacing w:after="0"/>
              <w:rPr>
                <w:sz w:val="18"/>
                <w:szCs w:val="18"/>
                <w:color w:val="auto"/>
              </w:rPr>
            </w:pPr>
          </w:p>
        </w:tc>
        <w:tc>
          <w:tcPr>
            <w:tcW w:w="2920" w:type="dxa"/>
            <w:vAlign w:val="bottom"/>
            <w:tcBorders>
              <w:top w:val="single" w:sz="8" w:color="auto"/>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11455 El Camino Real,</w:t>
            </w:r>
          </w:p>
        </w:tc>
        <w:tc>
          <w:tcPr>
            <w:tcW w:w="2180" w:type="dxa"/>
            <w:vAlign w:val="bottom"/>
            <w:tcBorders>
              <w:top w:val="single" w:sz="8" w:color="auto"/>
              <w:right w:val="single" w:sz="8" w:color="auto"/>
            </w:tcBorders>
            <w:shd w:val="clear" w:color="auto" w:fill="FFDEAD"/>
          </w:tcPr>
          <w:p>
            <w:pPr>
              <w:spacing w:after="0"/>
              <w:rPr>
                <w:sz w:val="18"/>
                <w:szCs w:val="18"/>
                <w:color w:val="auto"/>
              </w:rPr>
            </w:pPr>
          </w:p>
        </w:tc>
      </w:tr>
      <w:tr>
        <w:trPr>
          <w:trHeight w:val="259"/>
        </w:trPr>
        <w:tc>
          <w:tcPr>
            <w:tcW w:w="3260" w:type="dxa"/>
            <w:vAlign w:val="bottom"/>
            <w:tcBorders>
              <w:left w:val="single" w:sz="8" w:color="auto"/>
              <w:bottom w:val="single" w:sz="8" w:color="FFDEAD"/>
              <w:right w:val="single" w:sz="8" w:color="auto"/>
            </w:tcBorders>
            <w:shd w:val="clear" w:color="auto" w:fill="FFDEAD"/>
          </w:tcPr>
          <w:p>
            <w:pPr>
              <w:ind w:left="40"/>
              <w:spacing w:after="0"/>
              <w:rPr>
                <w:sz w:val="20"/>
                <w:szCs w:val="20"/>
                <w:color w:val="auto"/>
              </w:rPr>
            </w:pPr>
            <w:r>
              <w:rPr>
                <w:rFonts w:ascii="Arial" w:cs="Arial" w:eastAsia="Arial" w:hAnsi="Arial"/>
                <w:sz w:val="18"/>
                <w:szCs w:val="18"/>
                <w:color w:val="FF0000"/>
                <w:strike w:val="1"/>
              </w:rPr>
              <w:t>Pacific Solana Beach Assets LLC</w:t>
            </w:r>
          </w:p>
        </w:tc>
        <w:tc>
          <w:tcPr>
            <w:tcW w:w="2100" w:type="dxa"/>
            <w:vAlign w:val="bottom"/>
            <w:tcBorders>
              <w:bottom w:val="single" w:sz="8" w:color="FFDEAD"/>
              <w:right w:val="single" w:sz="8" w:color="auto"/>
            </w:tcBorders>
            <w:shd w:val="clear" w:color="auto" w:fill="FFDEAD"/>
          </w:tcPr>
          <w:p>
            <w:pPr>
              <w:jc w:val="center"/>
              <w:spacing w:after="0"/>
              <w:rPr>
                <w:sz w:val="20"/>
                <w:szCs w:val="20"/>
                <w:color w:val="auto"/>
              </w:rPr>
            </w:pPr>
            <w:r>
              <w:rPr>
                <w:rFonts w:ascii="Arial" w:cs="Arial" w:eastAsia="Arial" w:hAnsi="Arial"/>
                <w:sz w:val="18"/>
                <w:szCs w:val="18"/>
                <w:color w:val="FF0000"/>
                <w:strike w:val="1"/>
                <w:w w:val="92"/>
              </w:rPr>
              <w:t>Delaware</w:t>
            </w:r>
          </w:p>
        </w:tc>
        <w:tc>
          <w:tcPr>
            <w:tcW w:w="2920" w:type="dxa"/>
            <w:vAlign w:val="bottom"/>
            <w:tcBorders>
              <w:bottom w:val="single" w:sz="8" w:color="FFDEAD"/>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Ste. 200, San Diego, CA</w:t>
            </w:r>
          </w:p>
        </w:tc>
        <w:tc>
          <w:tcPr>
            <w:tcW w:w="2180" w:type="dxa"/>
            <w:vAlign w:val="bottom"/>
            <w:tcBorders>
              <w:bottom w:val="single" w:sz="8" w:color="FFDEAD"/>
              <w:right w:val="single" w:sz="8" w:color="auto"/>
            </w:tcBorders>
            <w:shd w:val="clear" w:color="auto" w:fill="FFDEAD"/>
          </w:tcPr>
          <w:p>
            <w:pPr>
              <w:ind w:left="620"/>
              <w:spacing w:after="0"/>
              <w:rPr>
                <w:sz w:val="20"/>
                <w:szCs w:val="20"/>
                <w:color w:val="auto"/>
              </w:rPr>
            </w:pPr>
            <w:r>
              <w:rPr>
                <w:rFonts w:ascii="Arial" w:cs="Arial" w:eastAsia="Arial" w:hAnsi="Arial"/>
                <w:sz w:val="18"/>
                <w:szCs w:val="18"/>
                <w:color w:val="FF0000"/>
                <w:strike w:val="1"/>
              </w:rPr>
              <w:t>27-4542825</w:t>
            </w:r>
          </w:p>
        </w:tc>
      </w:tr>
      <w:tr>
        <w:trPr>
          <w:trHeight w:val="213"/>
        </w:trPr>
        <w:tc>
          <w:tcPr>
            <w:tcW w:w="3260" w:type="dxa"/>
            <w:vAlign w:val="bottom"/>
            <w:tcBorders>
              <w:top w:val="single" w:sz="8" w:color="auto"/>
              <w:left w:val="single" w:sz="8" w:color="auto"/>
              <w:right w:val="single" w:sz="8" w:color="auto"/>
            </w:tcBorders>
            <w:shd w:val="clear" w:color="auto" w:fill="FFDEAD"/>
          </w:tcPr>
          <w:p>
            <w:pPr>
              <w:spacing w:after="0"/>
              <w:rPr>
                <w:sz w:val="18"/>
                <w:szCs w:val="18"/>
                <w:color w:val="auto"/>
              </w:rPr>
            </w:pPr>
          </w:p>
        </w:tc>
        <w:tc>
          <w:tcPr>
            <w:tcW w:w="2100" w:type="dxa"/>
            <w:vAlign w:val="bottom"/>
            <w:tcBorders>
              <w:top w:val="single" w:sz="8" w:color="auto"/>
              <w:right w:val="single" w:sz="8" w:color="auto"/>
            </w:tcBorders>
            <w:shd w:val="clear" w:color="auto" w:fill="FFDEAD"/>
          </w:tcPr>
          <w:p>
            <w:pPr>
              <w:spacing w:after="0"/>
              <w:rPr>
                <w:sz w:val="18"/>
                <w:szCs w:val="18"/>
                <w:color w:val="auto"/>
              </w:rPr>
            </w:pPr>
          </w:p>
        </w:tc>
        <w:tc>
          <w:tcPr>
            <w:tcW w:w="2920" w:type="dxa"/>
            <w:vAlign w:val="bottom"/>
            <w:tcBorders>
              <w:top w:val="single" w:sz="8" w:color="auto"/>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11455 El Camino Real,</w:t>
            </w:r>
          </w:p>
        </w:tc>
        <w:tc>
          <w:tcPr>
            <w:tcW w:w="2180" w:type="dxa"/>
            <w:vAlign w:val="bottom"/>
            <w:tcBorders>
              <w:top w:val="single" w:sz="8" w:color="auto"/>
              <w:right w:val="single" w:sz="8" w:color="auto"/>
            </w:tcBorders>
            <w:shd w:val="clear" w:color="auto" w:fill="FFDEAD"/>
          </w:tcPr>
          <w:p>
            <w:pPr>
              <w:spacing w:after="0"/>
              <w:rPr>
                <w:sz w:val="18"/>
                <w:szCs w:val="18"/>
                <w:color w:val="auto"/>
              </w:rPr>
            </w:pPr>
          </w:p>
        </w:tc>
      </w:tr>
      <w:tr>
        <w:trPr>
          <w:trHeight w:val="259"/>
        </w:trPr>
        <w:tc>
          <w:tcPr>
            <w:tcW w:w="3260" w:type="dxa"/>
            <w:vAlign w:val="bottom"/>
            <w:tcBorders>
              <w:left w:val="single" w:sz="8" w:color="auto"/>
              <w:bottom w:val="single" w:sz="8" w:color="FFDEAD"/>
              <w:right w:val="single" w:sz="8" w:color="auto"/>
            </w:tcBorders>
            <w:shd w:val="clear" w:color="auto" w:fill="FFDEAD"/>
          </w:tcPr>
          <w:p>
            <w:pPr>
              <w:ind w:left="40"/>
              <w:spacing w:after="0"/>
              <w:rPr>
                <w:sz w:val="20"/>
                <w:szCs w:val="20"/>
                <w:color w:val="auto"/>
              </w:rPr>
            </w:pPr>
            <w:r>
              <w:rPr>
                <w:rFonts w:ascii="Arial" w:cs="Arial" w:eastAsia="Arial" w:hAnsi="Arial"/>
                <w:sz w:val="18"/>
                <w:szCs w:val="18"/>
                <w:color w:val="FF0000"/>
                <w:strike w:val="1"/>
              </w:rPr>
              <w:t>Pacific Solana Beach Holdings, L.P.</w:t>
            </w:r>
          </w:p>
        </w:tc>
        <w:tc>
          <w:tcPr>
            <w:tcW w:w="2100" w:type="dxa"/>
            <w:vAlign w:val="bottom"/>
            <w:tcBorders>
              <w:bottom w:val="single" w:sz="8" w:color="FFDEAD"/>
              <w:right w:val="single" w:sz="8" w:color="auto"/>
            </w:tcBorders>
            <w:shd w:val="clear" w:color="auto" w:fill="FFDEAD"/>
          </w:tcPr>
          <w:p>
            <w:pPr>
              <w:jc w:val="center"/>
              <w:spacing w:after="0"/>
              <w:rPr>
                <w:sz w:val="20"/>
                <w:szCs w:val="20"/>
                <w:color w:val="auto"/>
              </w:rPr>
            </w:pPr>
            <w:r>
              <w:rPr>
                <w:rFonts w:ascii="Arial" w:cs="Arial" w:eastAsia="Arial" w:hAnsi="Arial"/>
                <w:sz w:val="18"/>
                <w:szCs w:val="18"/>
                <w:color w:val="FF0000"/>
                <w:strike w:val="1"/>
                <w:w w:val="97"/>
              </w:rPr>
              <w:t>California</w:t>
            </w:r>
          </w:p>
        </w:tc>
        <w:tc>
          <w:tcPr>
            <w:tcW w:w="2920" w:type="dxa"/>
            <w:vAlign w:val="bottom"/>
            <w:tcBorders>
              <w:bottom w:val="single" w:sz="8" w:color="FFDEAD"/>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Ste. 200, San Diego, CA</w:t>
            </w:r>
          </w:p>
        </w:tc>
        <w:tc>
          <w:tcPr>
            <w:tcW w:w="2180" w:type="dxa"/>
            <w:vAlign w:val="bottom"/>
            <w:tcBorders>
              <w:bottom w:val="single" w:sz="8" w:color="FFDEAD"/>
              <w:right w:val="single" w:sz="8" w:color="auto"/>
            </w:tcBorders>
            <w:shd w:val="clear" w:color="auto" w:fill="FFDEAD"/>
          </w:tcPr>
          <w:p>
            <w:pPr>
              <w:ind w:left="620"/>
              <w:spacing w:after="0"/>
              <w:rPr>
                <w:sz w:val="20"/>
                <w:szCs w:val="20"/>
                <w:color w:val="auto"/>
              </w:rPr>
            </w:pPr>
            <w:r>
              <w:rPr>
                <w:rFonts w:ascii="Arial" w:cs="Arial" w:eastAsia="Arial" w:hAnsi="Arial"/>
                <w:sz w:val="18"/>
                <w:szCs w:val="18"/>
                <w:color w:val="FF0000"/>
                <w:strike w:val="1"/>
              </w:rPr>
              <w:t>33-0697906</w:t>
            </w:r>
          </w:p>
        </w:tc>
      </w:tr>
      <w:tr>
        <w:trPr>
          <w:trHeight w:val="213"/>
        </w:trPr>
        <w:tc>
          <w:tcPr>
            <w:tcW w:w="3260" w:type="dxa"/>
            <w:vAlign w:val="bottom"/>
            <w:tcBorders>
              <w:top w:val="single" w:sz="8" w:color="auto"/>
              <w:left w:val="single" w:sz="8" w:color="auto"/>
              <w:right w:val="single" w:sz="8" w:color="auto"/>
            </w:tcBorders>
            <w:shd w:val="clear" w:color="auto" w:fill="FFDEAD"/>
          </w:tcPr>
          <w:p>
            <w:pPr>
              <w:spacing w:after="0"/>
              <w:rPr>
                <w:sz w:val="18"/>
                <w:szCs w:val="18"/>
                <w:color w:val="auto"/>
              </w:rPr>
            </w:pPr>
          </w:p>
        </w:tc>
        <w:tc>
          <w:tcPr>
            <w:tcW w:w="2100" w:type="dxa"/>
            <w:vAlign w:val="bottom"/>
            <w:tcBorders>
              <w:top w:val="single" w:sz="8" w:color="auto"/>
              <w:right w:val="single" w:sz="8" w:color="auto"/>
            </w:tcBorders>
            <w:shd w:val="clear" w:color="auto" w:fill="FFDEAD"/>
          </w:tcPr>
          <w:p>
            <w:pPr>
              <w:spacing w:after="0"/>
              <w:rPr>
                <w:sz w:val="18"/>
                <w:szCs w:val="18"/>
                <w:color w:val="auto"/>
              </w:rPr>
            </w:pPr>
          </w:p>
        </w:tc>
        <w:tc>
          <w:tcPr>
            <w:tcW w:w="2920" w:type="dxa"/>
            <w:vAlign w:val="bottom"/>
            <w:tcBorders>
              <w:top w:val="single" w:sz="8" w:color="auto"/>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11455 El Camino Real,</w:t>
            </w:r>
          </w:p>
        </w:tc>
        <w:tc>
          <w:tcPr>
            <w:tcW w:w="2180" w:type="dxa"/>
            <w:vAlign w:val="bottom"/>
            <w:tcBorders>
              <w:top w:val="single" w:sz="8" w:color="auto"/>
              <w:right w:val="single" w:sz="8" w:color="auto"/>
            </w:tcBorders>
            <w:shd w:val="clear" w:color="auto" w:fill="FFDEAD"/>
          </w:tcPr>
          <w:p>
            <w:pPr>
              <w:spacing w:after="0"/>
              <w:rPr>
                <w:sz w:val="18"/>
                <w:szCs w:val="18"/>
                <w:color w:val="auto"/>
              </w:rPr>
            </w:pPr>
          </w:p>
        </w:tc>
      </w:tr>
      <w:tr>
        <w:trPr>
          <w:trHeight w:val="259"/>
        </w:trPr>
        <w:tc>
          <w:tcPr>
            <w:tcW w:w="3260" w:type="dxa"/>
            <w:vAlign w:val="bottom"/>
            <w:tcBorders>
              <w:left w:val="single" w:sz="8" w:color="auto"/>
              <w:bottom w:val="single" w:sz="8" w:color="FFDEAD"/>
              <w:right w:val="single" w:sz="8" w:color="auto"/>
            </w:tcBorders>
            <w:shd w:val="clear" w:color="auto" w:fill="FFDEAD"/>
          </w:tcPr>
          <w:p>
            <w:pPr>
              <w:ind w:left="40"/>
              <w:spacing w:after="0"/>
              <w:rPr>
                <w:sz w:val="20"/>
                <w:szCs w:val="20"/>
                <w:color w:val="auto"/>
              </w:rPr>
            </w:pPr>
            <w:r>
              <w:rPr>
                <w:rFonts w:ascii="Arial" w:cs="Arial" w:eastAsia="Arial" w:hAnsi="Arial"/>
                <w:sz w:val="18"/>
                <w:szCs w:val="18"/>
                <w:color w:val="FF0000"/>
                <w:strike w:val="1"/>
              </w:rPr>
              <w:t>Pacific Waikiki Assets LLC</w:t>
            </w:r>
          </w:p>
        </w:tc>
        <w:tc>
          <w:tcPr>
            <w:tcW w:w="2100" w:type="dxa"/>
            <w:vAlign w:val="bottom"/>
            <w:tcBorders>
              <w:bottom w:val="single" w:sz="8" w:color="FFDEAD"/>
              <w:right w:val="single" w:sz="8" w:color="auto"/>
            </w:tcBorders>
            <w:shd w:val="clear" w:color="auto" w:fill="FFDEAD"/>
          </w:tcPr>
          <w:p>
            <w:pPr>
              <w:jc w:val="center"/>
              <w:spacing w:after="0"/>
              <w:rPr>
                <w:sz w:val="20"/>
                <w:szCs w:val="20"/>
                <w:color w:val="auto"/>
              </w:rPr>
            </w:pPr>
            <w:r>
              <w:rPr>
                <w:rFonts w:ascii="Arial" w:cs="Arial" w:eastAsia="Arial" w:hAnsi="Arial"/>
                <w:sz w:val="18"/>
                <w:szCs w:val="18"/>
                <w:color w:val="FF0000"/>
                <w:strike w:val="1"/>
                <w:w w:val="92"/>
              </w:rPr>
              <w:t>Delaware</w:t>
            </w:r>
          </w:p>
        </w:tc>
        <w:tc>
          <w:tcPr>
            <w:tcW w:w="2920" w:type="dxa"/>
            <w:vAlign w:val="bottom"/>
            <w:tcBorders>
              <w:bottom w:val="single" w:sz="8" w:color="FFDEAD"/>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Ste. 200, San Diego, CA</w:t>
            </w:r>
          </w:p>
        </w:tc>
        <w:tc>
          <w:tcPr>
            <w:tcW w:w="2180" w:type="dxa"/>
            <w:vAlign w:val="bottom"/>
            <w:tcBorders>
              <w:bottom w:val="single" w:sz="8" w:color="FFDEAD"/>
              <w:right w:val="single" w:sz="8" w:color="auto"/>
            </w:tcBorders>
            <w:shd w:val="clear" w:color="auto" w:fill="FFDEAD"/>
          </w:tcPr>
          <w:p>
            <w:pPr>
              <w:ind w:left="620"/>
              <w:spacing w:after="0"/>
              <w:rPr>
                <w:sz w:val="20"/>
                <w:szCs w:val="20"/>
                <w:color w:val="auto"/>
              </w:rPr>
            </w:pPr>
            <w:r>
              <w:rPr>
                <w:rFonts w:ascii="Arial" w:cs="Arial" w:eastAsia="Arial" w:hAnsi="Arial"/>
                <w:sz w:val="18"/>
                <w:szCs w:val="18"/>
                <w:color w:val="FF0000"/>
                <w:strike w:val="1"/>
              </w:rPr>
              <w:t>27-4545027</w:t>
            </w:r>
          </w:p>
        </w:tc>
      </w:tr>
      <w:tr>
        <w:trPr>
          <w:trHeight w:val="213"/>
        </w:trPr>
        <w:tc>
          <w:tcPr>
            <w:tcW w:w="3260" w:type="dxa"/>
            <w:vAlign w:val="bottom"/>
            <w:tcBorders>
              <w:top w:val="single" w:sz="8" w:color="auto"/>
              <w:left w:val="single" w:sz="8" w:color="auto"/>
              <w:right w:val="single" w:sz="8" w:color="auto"/>
            </w:tcBorders>
            <w:shd w:val="clear" w:color="auto" w:fill="FFDEAD"/>
          </w:tcPr>
          <w:p>
            <w:pPr>
              <w:spacing w:after="0"/>
              <w:rPr>
                <w:sz w:val="18"/>
                <w:szCs w:val="18"/>
                <w:color w:val="auto"/>
              </w:rPr>
            </w:pPr>
          </w:p>
        </w:tc>
        <w:tc>
          <w:tcPr>
            <w:tcW w:w="2100" w:type="dxa"/>
            <w:vAlign w:val="bottom"/>
            <w:tcBorders>
              <w:top w:val="single" w:sz="8" w:color="auto"/>
              <w:right w:val="single" w:sz="8" w:color="auto"/>
            </w:tcBorders>
            <w:shd w:val="clear" w:color="auto" w:fill="FFDEAD"/>
          </w:tcPr>
          <w:p>
            <w:pPr>
              <w:spacing w:after="0"/>
              <w:rPr>
                <w:sz w:val="18"/>
                <w:szCs w:val="18"/>
                <w:color w:val="auto"/>
              </w:rPr>
            </w:pPr>
          </w:p>
        </w:tc>
        <w:tc>
          <w:tcPr>
            <w:tcW w:w="2920" w:type="dxa"/>
            <w:vAlign w:val="bottom"/>
            <w:tcBorders>
              <w:top w:val="single" w:sz="8" w:color="auto"/>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11455 El Camino Real,</w:t>
            </w:r>
          </w:p>
        </w:tc>
        <w:tc>
          <w:tcPr>
            <w:tcW w:w="2180" w:type="dxa"/>
            <w:vAlign w:val="bottom"/>
            <w:tcBorders>
              <w:top w:val="single" w:sz="8" w:color="auto"/>
              <w:right w:val="single" w:sz="8" w:color="auto"/>
            </w:tcBorders>
            <w:shd w:val="clear" w:color="auto" w:fill="FFDEAD"/>
          </w:tcPr>
          <w:p>
            <w:pPr>
              <w:spacing w:after="0"/>
              <w:rPr>
                <w:sz w:val="18"/>
                <w:szCs w:val="18"/>
                <w:color w:val="auto"/>
              </w:rPr>
            </w:pPr>
          </w:p>
        </w:tc>
      </w:tr>
      <w:tr>
        <w:trPr>
          <w:trHeight w:val="259"/>
        </w:trPr>
        <w:tc>
          <w:tcPr>
            <w:tcW w:w="3260" w:type="dxa"/>
            <w:vAlign w:val="bottom"/>
            <w:tcBorders>
              <w:left w:val="single" w:sz="8" w:color="auto"/>
              <w:bottom w:val="single" w:sz="8" w:color="FFDEAD"/>
              <w:right w:val="single" w:sz="8" w:color="auto"/>
            </w:tcBorders>
            <w:shd w:val="clear" w:color="auto" w:fill="FFDEAD"/>
          </w:tcPr>
          <w:p>
            <w:pPr>
              <w:ind w:left="40"/>
              <w:spacing w:after="0"/>
              <w:rPr>
                <w:sz w:val="20"/>
                <w:szCs w:val="20"/>
                <w:color w:val="auto"/>
              </w:rPr>
            </w:pPr>
            <w:r>
              <w:rPr>
                <w:rFonts w:ascii="Arial" w:cs="Arial" w:eastAsia="Arial" w:hAnsi="Arial"/>
                <w:sz w:val="18"/>
                <w:szCs w:val="18"/>
                <w:color w:val="FF0000"/>
                <w:strike w:val="1"/>
              </w:rPr>
              <w:t>Pacific Waikiki Holdings, L.P.</w:t>
            </w:r>
          </w:p>
        </w:tc>
        <w:tc>
          <w:tcPr>
            <w:tcW w:w="2100" w:type="dxa"/>
            <w:vAlign w:val="bottom"/>
            <w:tcBorders>
              <w:bottom w:val="single" w:sz="8" w:color="FFDEAD"/>
              <w:right w:val="single" w:sz="8" w:color="auto"/>
            </w:tcBorders>
            <w:shd w:val="clear" w:color="auto" w:fill="FFDEAD"/>
          </w:tcPr>
          <w:p>
            <w:pPr>
              <w:jc w:val="center"/>
              <w:spacing w:after="0"/>
              <w:rPr>
                <w:sz w:val="20"/>
                <w:szCs w:val="20"/>
                <w:color w:val="auto"/>
              </w:rPr>
            </w:pPr>
            <w:r>
              <w:rPr>
                <w:rFonts w:ascii="Arial" w:cs="Arial" w:eastAsia="Arial" w:hAnsi="Arial"/>
                <w:sz w:val="18"/>
                <w:szCs w:val="18"/>
                <w:color w:val="FF0000"/>
                <w:strike w:val="1"/>
                <w:w w:val="97"/>
              </w:rPr>
              <w:t>California</w:t>
            </w:r>
          </w:p>
        </w:tc>
        <w:tc>
          <w:tcPr>
            <w:tcW w:w="2920" w:type="dxa"/>
            <w:vAlign w:val="bottom"/>
            <w:tcBorders>
              <w:bottom w:val="single" w:sz="8" w:color="FFDEAD"/>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Ste. 200, San Diego, CA</w:t>
            </w:r>
          </w:p>
        </w:tc>
        <w:tc>
          <w:tcPr>
            <w:tcW w:w="2180" w:type="dxa"/>
            <w:vAlign w:val="bottom"/>
            <w:tcBorders>
              <w:bottom w:val="single" w:sz="8" w:color="FFDEAD"/>
              <w:right w:val="single" w:sz="8" w:color="auto"/>
            </w:tcBorders>
            <w:shd w:val="clear" w:color="auto" w:fill="FFDEAD"/>
          </w:tcPr>
          <w:p>
            <w:pPr>
              <w:ind w:left="620"/>
              <w:spacing w:after="0"/>
              <w:rPr>
                <w:sz w:val="20"/>
                <w:szCs w:val="20"/>
                <w:color w:val="auto"/>
              </w:rPr>
            </w:pPr>
            <w:r>
              <w:rPr>
                <w:rFonts w:ascii="Arial" w:cs="Arial" w:eastAsia="Arial" w:hAnsi="Arial"/>
                <w:sz w:val="18"/>
                <w:szCs w:val="18"/>
                <w:color w:val="FF0000"/>
                <w:strike w:val="1"/>
              </w:rPr>
              <w:t>20-2546824</w:t>
            </w:r>
          </w:p>
        </w:tc>
      </w:tr>
      <w:tr>
        <w:trPr>
          <w:trHeight w:val="213"/>
        </w:trPr>
        <w:tc>
          <w:tcPr>
            <w:tcW w:w="3260" w:type="dxa"/>
            <w:vAlign w:val="bottom"/>
            <w:tcBorders>
              <w:top w:val="single" w:sz="8" w:color="auto"/>
              <w:left w:val="single" w:sz="8" w:color="auto"/>
              <w:right w:val="single" w:sz="8" w:color="auto"/>
            </w:tcBorders>
            <w:shd w:val="clear" w:color="auto" w:fill="FFDEAD"/>
          </w:tcPr>
          <w:p>
            <w:pPr>
              <w:spacing w:after="0"/>
              <w:rPr>
                <w:sz w:val="18"/>
                <w:szCs w:val="18"/>
                <w:color w:val="auto"/>
              </w:rPr>
            </w:pPr>
          </w:p>
        </w:tc>
        <w:tc>
          <w:tcPr>
            <w:tcW w:w="2100" w:type="dxa"/>
            <w:vAlign w:val="bottom"/>
            <w:tcBorders>
              <w:top w:val="single" w:sz="8" w:color="auto"/>
              <w:right w:val="single" w:sz="8" w:color="auto"/>
            </w:tcBorders>
            <w:shd w:val="clear" w:color="auto" w:fill="FFDEAD"/>
          </w:tcPr>
          <w:p>
            <w:pPr>
              <w:spacing w:after="0"/>
              <w:rPr>
                <w:sz w:val="18"/>
                <w:szCs w:val="18"/>
                <w:color w:val="auto"/>
              </w:rPr>
            </w:pPr>
          </w:p>
        </w:tc>
        <w:tc>
          <w:tcPr>
            <w:tcW w:w="2920" w:type="dxa"/>
            <w:vAlign w:val="bottom"/>
            <w:tcBorders>
              <w:top w:val="single" w:sz="8" w:color="auto"/>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11455 El Camino Real,</w:t>
            </w:r>
          </w:p>
        </w:tc>
        <w:tc>
          <w:tcPr>
            <w:tcW w:w="2180" w:type="dxa"/>
            <w:vAlign w:val="bottom"/>
            <w:tcBorders>
              <w:top w:val="single" w:sz="8" w:color="auto"/>
              <w:right w:val="single" w:sz="8" w:color="auto"/>
            </w:tcBorders>
            <w:shd w:val="clear" w:color="auto" w:fill="FFDEAD"/>
          </w:tcPr>
          <w:p>
            <w:pPr>
              <w:spacing w:after="0"/>
              <w:rPr>
                <w:sz w:val="18"/>
                <w:szCs w:val="18"/>
                <w:color w:val="auto"/>
              </w:rPr>
            </w:pPr>
          </w:p>
        </w:tc>
      </w:tr>
      <w:tr>
        <w:trPr>
          <w:trHeight w:val="259"/>
        </w:trPr>
        <w:tc>
          <w:tcPr>
            <w:tcW w:w="3260" w:type="dxa"/>
            <w:vAlign w:val="bottom"/>
            <w:tcBorders>
              <w:left w:val="single" w:sz="8" w:color="auto"/>
              <w:bottom w:val="single" w:sz="8" w:color="FFDEAD"/>
              <w:right w:val="single" w:sz="8" w:color="auto"/>
            </w:tcBorders>
            <w:shd w:val="clear" w:color="auto" w:fill="FFDEAD"/>
          </w:tcPr>
          <w:p>
            <w:pPr>
              <w:ind w:left="40"/>
              <w:spacing w:after="0"/>
              <w:rPr>
                <w:sz w:val="20"/>
                <w:szCs w:val="20"/>
                <w:color w:val="auto"/>
              </w:rPr>
            </w:pPr>
            <w:r>
              <w:rPr>
                <w:rFonts w:ascii="Arial" w:cs="Arial" w:eastAsia="Arial" w:hAnsi="Arial"/>
                <w:sz w:val="18"/>
                <w:szCs w:val="18"/>
                <w:color w:val="FF0000"/>
                <w:strike w:val="1"/>
              </w:rPr>
              <w:t>AAT Del Monte, LLC</w:t>
            </w:r>
          </w:p>
        </w:tc>
        <w:tc>
          <w:tcPr>
            <w:tcW w:w="2100" w:type="dxa"/>
            <w:vAlign w:val="bottom"/>
            <w:tcBorders>
              <w:bottom w:val="single" w:sz="8" w:color="FFDEAD"/>
              <w:right w:val="single" w:sz="8" w:color="auto"/>
            </w:tcBorders>
            <w:shd w:val="clear" w:color="auto" w:fill="FFDEAD"/>
          </w:tcPr>
          <w:p>
            <w:pPr>
              <w:jc w:val="center"/>
              <w:spacing w:after="0"/>
              <w:rPr>
                <w:sz w:val="20"/>
                <w:szCs w:val="20"/>
                <w:color w:val="auto"/>
              </w:rPr>
            </w:pPr>
            <w:r>
              <w:rPr>
                <w:rFonts w:ascii="Arial" w:cs="Arial" w:eastAsia="Arial" w:hAnsi="Arial"/>
                <w:sz w:val="18"/>
                <w:szCs w:val="18"/>
                <w:color w:val="FF0000"/>
                <w:strike w:val="1"/>
                <w:w w:val="92"/>
              </w:rPr>
              <w:t>Delaware</w:t>
            </w:r>
          </w:p>
        </w:tc>
        <w:tc>
          <w:tcPr>
            <w:tcW w:w="2920" w:type="dxa"/>
            <w:vAlign w:val="bottom"/>
            <w:tcBorders>
              <w:bottom w:val="single" w:sz="8" w:color="FFDEAD"/>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Ste. 200, San Diego, CA</w:t>
            </w:r>
          </w:p>
        </w:tc>
        <w:tc>
          <w:tcPr>
            <w:tcW w:w="2180" w:type="dxa"/>
            <w:vAlign w:val="bottom"/>
            <w:tcBorders>
              <w:bottom w:val="single" w:sz="8" w:color="FFDEAD"/>
              <w:right w:val="single" w:sz="8" w:color="auto"/>
            </w:tcBorders>
            <w:shd w:val="clear" w:color="auto" w:fill="FFDEAD"/>
          </w:tcPr>
          <w:p>
            <w:pPr>
              <w:ind w:left="620"/>
              <w:spacing w:after="0"/>
              <w:rPr>
                <w:sz w:val="20"/>
                <w:szCs w:val="20"/>
                <w:color w:val="auto"/>
              </w:rPr>
            </w:pPr>
            <w:r>
              <w:rPr>
                <w:rFonts w:ascii="Arial" w:cs="Arial" w:eastAsia="Arial" w:hAnsi="Arial"/>
                <w:sz w:val="18"/>
                <w:szCs w:val="18"/>
                <w:color w:val="FF0000"/>
                <w:strike w:val="1"/>
              </w:rPr>
              <w:t>32-0468100</w:t>
            </w:r>
          </w:p>
        </w:tc>
      </w:tr>
      <w:tr>
        <w:trPr>
          <w:trHeight w:val="213"/>
        </w:trPr>
        <w:tc>
          <w:tcPr>
            <w:tcW w:w="3260" w:type="dxa"/>
            <w:vAlign w:val="bottom"/>
            <w:tcBorders>
              <w:top w:val="single" w:sz="8" w:color="auto"/>
              <w:left w:val="single" w:sz="8" w:color="auto"/>
              <w:right w:val="single" w:sz="8" w:color="auto"/>
            </w:tcBorders>
            <w:shd w:val="clear" w:color="auto" w:fill="FFDEAD"/>
          </w:tcPr>
          <w:p>
            <w:pPr>
              <w:spacing w:after="0"/>
              <w:rPr>
                <w:sz w:val="18"/>
                <w:szCs w:val="18"/>
                <w:color w:val="auto"/>
              </w:rPr>
            </w:pPr>
          </w:p>
        </w:tc>
        <w:tc>
          <w:tcPr>
            <w:tcW w:w="2100" w:type="dxa"/>
            <w:vAlign w:val="bottom"/>
            <w:tcBorders>
              <w:top w:val="single" w:sz="8" w:color="auto"/>
              <w:right w:val="single" w:sz="8" w:color="auto"/>
            </w:tcBorders>
            <w:shd w:val="clear" w:color="auto" w:fill="FFDEAD"/>
          </w:tcPr>
          <w:p>
            <w:pPr>
              <w:spacing w:after="0"/>
              <w:rPr>
                <w:sz w:val="18"/>
                <w:szCs w:val="18"/>
                <w:color w:val="auto"/>
              </w:rPr>
            </w:pPr>
          </w:p>
        </w:tc>
        <w:tc>
          <w:tcPr>
            <w:tcW w:w="2920" w:type="dxa"/>
            <w:vAlign w:val="bottom"/>
            <w:tcBorders>
              <w:top w:val="single" w:sz="8" w:color="auto"/>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11455 El Camino Real,</w:t>
            </w:r>
          </w:p>
        </w:tc>
        <w:tc>
          <w:tcPr>
            <w:tcW w:w="2180" w:type="dxa"/>
            <w:vAlign w:val="bottom"/>
            <w:tcBorders>
              <w:top w:val="single" w:sz="8" w:color="auto"/>
              <w:right w:val="single" w:sz="8" w:color="auto"/>
            </w:tcBorders>
            <w:shd w:val="clear" w:color="auto" w:fill="FFDEAD"/>
          </w:tcPr>
          <w:p>
            <w:pPr>
              <w:spacing w:after="0"/>
              <w:rPr>
                <w:sz w:val="18"/>
                <w:szCs w:val="18"/>
                <w:color w:val="auto"/>
              </w:rPr>
            </w:pPr>
          </w:p>
        </w:tc>
      </w:tr>
      <w:tr>
        <w:trPr>
          <w:trHeight w:val="259"/>
        </w:trPr>
        <w:tc>
          <w:tcPr>
            <w:tcW w:w="3260" w:type="dxa"/>
            <w:vAlign w:val="bottom"/>
            <w:tcBorders>
              <w:left w:val="single" w:sz="8" w:color="auto"/>
              <w:bottom w:val="single" w:sz="8" w:color="FFDEAD"/>
              <w:right w:val="single" w:sz="8" w:color="auto"/>
            </w:tcBorders>
            <w:shd w:val="clear" w:color="auto" w:fill="FFDEAD"/>
          </w:tcPr>
          <w:p>
            <w:pPr>
              <w:ind w:left="40"/>
              <w:spacing w:after="0"/>
              <w:rPr>
                <w:sz w:val="20"/>
                <w:szCs w:val="20"/>
                <w:color w:val="auto"/>
              </w:rPr>
            </w:pPr>
            <w:r>
              <w:rPr>
                <w:rFonts w:ascii="Arial" w:cs="Arial" w:eastAsia="Arial" w:hAnsi="Arial"/>
                <w:sz w:val="18"/>
                <w:szCs w:val="18"/>
                <w:color w:val="FF0000"/>
                <w:strike w:val="1"/>
              </w:rPr>
              <w:t>SB Towne Centre LLC</w:t>
            </w:r>
          </w:p>
        </w:tc>
        <w:tc>
          <w:tcPr>
            <w:tcW w:w="2100" w:type="dxa"/>
            <w:vAlign w:val="bottom"/>
            <w:tcBorders>
              <w:bottom w:val="single" w:sz="8" w:color="FFDEAD"/>
              <w:right w:val="single" w:sz="8" w:color="auto"/>
            </w:tcBorders>
            <w:shd w:val="clear" w:color="auto" w:fill="FFDEAD"/>
          </w:tcPr>
          <w:p>
            <w:pPr>
              <w:jc w:val="center"/>
              <w:spacing w:after="0"/>
              <w:rPr>
                <w:sz w:val="20"/>
                <w:szCs w:val="20"/>
                <w:color w:val="auto"/>
              </w:rPr>
            </w:pPr>
            <w:r>
              <w:rPr>
                <w:rFonts w:ascii="Arial" w:cs="Arial" w:eastAsia="Arial" w:hAnsi="Arial"/>
                <w:sz w:val="18"/>
                <w:szCs w:val="18"/>
                <w:color w:val="FF0000"/>
                <w:strike w:val="1"/>
                <w:w w:val="97"/>
              </w:rPr>
              <w:t>California</w:t>
            </w:r>
          </w:p>
        </w:tc>
        <w:tc>
          <w:tcPr>
            <w:tcW w:w="2920" w:type="dxa"/>
            <w:vAlign w:val="bottom"/>
            <w:tcBorders>
              <w:bottom w:val="single" w:sz="8" w:color="FFDEAD"/>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Ste. 200, San Diego, CA</w:t>
            </w:r>
          </w:p>
        </w:tc>
        <w:tc>
          <w:tcPr>
            <w:tcW w:w="2180" w:type="dxa"/>
            <w:vAlign w:val="bottom"/>
            <w:tcBorders>
              <w:bottom w:val="single" w:sz="8" w:color="FFDEAD"/>
              <w:right w:val="single" w:sz="8" w:color="auto"/>
            </w:tcBorders>
            <w:shd w:val="clear" w:color="auto" w:fill="FFDEAD"/>
          </w:tcPr>
          <w:p>
            <w:pPr>
              <w:ind w:left="620"/>
              <w:spacing w:after="0"/>
              <w:rPr>
                <w:sz w:val="20"/>
                <w:szCs w:val="20"/>
                <w:color w:val="auto"/>
              </w:rPr>
            </w:pPr>
            <w:r>
              <w:rPr>
                <w:rFonts w:ascii="Arial" w:cs="Arial" w:eastAsia="Arial" w:hAnsi="Arial"/>
                <w:sz w:val="18"/>
                <w:szCs w:val="18"/>
                <w:color w:val="FF0000"/>
                <w:strike w:val="1"/>
              </w:rPr>
              <w:t>33-0923020</w:t>
            </w:r>
          </w:p>
        </w:tc>
      </w:tr>
      <w:tr>
        <w:trPr>
          <w:trHeight w:val="213"/>
        </w:trPr>
        <w:tc>
          <w:tcPr>
            <w:tcW w:w="3260" w:type="dxa"/>
            <w:vAlign w:val="bottom"/>
            <w:tcBorders>
              <w:top w:val="single" w:sz="8" w:color="auto"/>
              <w:left w:val="single" w:sz="8" w:color="auto"/>
              <w:right w:val="single" w:sz="8" w:color="auto"/>
            </w:tcBorders>
            <w:shd w:val="clear" w:color="auto" w:fill="FFDEAD"/>
          </w:tcPr>
          <w:p>
            <w:pPr>
              <w:spacing w:after="0"/>
              <w:rPr>
                <w:sz w:val="18"/>
                <w:szCs w:val="18"/>
                <w:color w:val="auto"/>
              </w:rPr>
            </w:pPr>
          </w:p>
        </w:tc>
        <w:tc>
          <w:tcPr>
            <w:tcW w:w="2100" w:type="dxa"/>
            <w:vAlign w:val="bottom"/>
            <w:tcBorders>
              <w:top w:val="single" w:sz="8" w:color="auto"/>
              <w:right w:val="single" w:sz="8" w:color="auto"/>
            </w:tcBorders>
            <w:shd w:val="clear" w:color="auto" w:fill="FFDEAD"/>
          </w:tcPr>
          <w:p>
            <w:pPr>
              <w:spacing w:after="0"/>
              <w:rPr>
                <w:sz w:val="18"/>
                <w:szCs w:val="18"/>
                <w:color w:val="auto"/>
              </w:rPr>
            </w:pPr>
          </w:p>
        </w:tc>
        <w:tc>
          <w:tcPr>
            <w:tcW w:w="2920" w:type="dxa"/>
            <w:vAlign w:val="bottom"/>
            <w:tcBorders>
              <w:top w:val="single" w:sz="8" w:color="auto"/>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11455 El Camino Real,</w:t>
            </w:r>
          </w:p>
        </w:tc>
        <w:tc>
          <w:tcPr>
            <w:tcW w:w="2180" w:type="dxa"/>
            <w:vAlign w:val="bottom"/>
            <w:tcBorders>
              <w:top w:val="single" w:sz="8" w:color="auto"/>
              <w:right w:val="single" w:sz="8" w:color="auto"/>
            </w:tcBorders>
            <w:shd w:val="clear" w:color="auto" w:fill="FFDEAD"/>
          </w:tcPr>
          <w:p>
            <w:pPr>
              <w:spacing w:after="0"/>
              <w:rPr>
                <w:sz w:val="18"/>
                <w:szCs w:val="18"/>
                <w:color w:val="auto"/>
              </w:rPr>
            </w:pPr>
          </w:p>
        </w:tc>
      </w:tr>
      <w:tr>
        <w:trPr>
          <w:trHeight w:val="259"/>
        </w:trPr>
        <w:tc>
          <w:tcPr>
            <w:tcW w:w="3260" w:type="dxa"/>
            <w:vAlign w:val="bottom"/>
            <w:tcBorders>
              <w:left w:val="single" w:sz="8" w:color="auto"/>
              <w:bottom w:val="single" w:sz="8" w:color="FFDEAD"/>
              <w:right w:val="single" w:sz="8" w:color="auto"/>
            </w:tcBorders>
            <w:shd w:val="clear" w:color="auto" w:fill="FFDEAD"/>
          </w:tcPr>
          <w:p>
            <w:pPr>
              <w:ind w:left="40"/>
              <w:spacing w:after="0"/>
              <w:rPr>
                <w:sz w:val="20"/>
                <w:szCs w:val="20"/>
                <w:color w:val="auto"/>
              </w:rPr>
            </w:pPr>
            <w:r>
              <w:rPr>
                <w:rFonts w:ascii="Arial" w:cs="Arial" w:eastAsia="Arial" w:hAnsi="Arial"/>
                <w:sz w:val="18"/>
                <w:szCs w:val="18"/>
                <w:color w:val="FF0000"/>
                <w:strike w:val="1"/>
              </w:rPr>
              <w:t>Beach Walk Holdings LLC</w:t>
            </w:r>
          </w:p>
        </w:tc>
        <w:tc>
          <w:tcPr>
            <w:tcW w:w="2100" w:type="dxa"/>
            <w:vAlign w:val="bottom"/>
            <w:tcBorders>
              <w:bottom w:val="single" w:sz="8" w:color="FFDEAD"/>
              <w:right w:val="single" w:sz="8" w:color="auto"/>
            </w:tcBorders>
            <w:shd w:val="clear" w:color="auto" w:fill="FFDEAD"/>
          </w:tcPr>
          <w:p>
            <w:pPr>
              <w:jc w:val="center"/>
              <w:spacing w:after="0"/>
              <w:rPr>
                <w:sz w:val="20"/>
                <w:szCs w:val="20"/>
                <w:color w:val="auto"/>
              </w:rPr>
            </w:pPr>
            <w:r>
              <w:rPr>
                <w:rFonts w:ascii="Arial" w:cs="Arial" w:eastAsia="Arial" w:hAnsi="Arial"/>
                <w:sz w:val="18"/>
                <w:szCs w:val="18"/>
                <w:color w:val="FF0000"/>
                <w:strike w:val="1"/>
                <w:w w:val="92"/>
              </w:rPr>
              <w:t>Delaware</w:t>
            </w:r>
          </w:p>
        </w:tc>
        <w:tc>
          <w:tcPr>
            <w:tcW w:w="2920" w:type="dxa"/>
            <w:vAlign w:val="bottom"/>
            <w:tcBorders>
              <w:bottom w:val="single" w:sz="8" w:color="FFDEAD"/>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Ste. 200, San Diego, CA</w:t>
            </w:r>
          </w:p>
        </w:tc>
        <w:tc>
          <w:tcPr>
            <w:tcW w:w="2180" w:type="dxa"/>
            <w:vAlign w:val="bottom"/>
            <w:tcBorders>
              <w:bottom w:val="single" w:sz="8" w:color="FFDEAD"/>
              <w:right w:val="single" w:sz="8" w:color="auto"/>
            </w:tcBorders>
            <w:shd w:val="clear" w:color="auto" w:fill="FFDEAD"/>
          </w:tcPr>
          <w:p>
            <w:pPr>
              <w:ind w:left="620"/>
              <w:spacing w:after="0"/>
              <w:rPr>
                <w:sz w:val="20"/>
                <w:szCs w:val="20"/>
                <w:color w:val="auto"/>
              </w:rPr>
            </w:pPr>
            <w:r>
              <w:rPr>
                <w:rFonts w:ascii="Arial" w:cs="Arial" w:eastAsia="Arial" w:hAnsi="Arial"/>
                <w:sz w:val="18"/>
                <w:szCs w:val="18"/>
                <w:color w:val="FF0000"/>
                <w:strike w:val="1"/>
              </w:rPr>
              <w:t>27-4441924</w:t>
            </w:r>
          </w:p>
        </w:tc>
      </w:tr>
      <w:tr>
        <w:trPr>
          <w:trHeight w:val="213"/>
        </w:trPr>
        <w:tc>
          <w:tcPr>
            <w:tcW w:w="3260" w:type="dxa"/>
            <w:vAlign w:val="bottom"/>
            <w:tcBorders>
              <w:top w:val="single" w:sz="8" w:color="auto"/>
              <w:left w:val="single" w:sz="8" w:color="auto"/>
              <w:right w:val="single" w:sz="8" w:color="auto"/>
            </w:tcBorders>
            <w:shd w:val="clear" w:color="auto" w:fill="FFDEAD"/>
          </w:tcPr>
          <w:p>
            <w:pPr>
              <w:spacing w:after="0"/>
              <w:rPr>
                <w:sz w:val="18"/>
                <w:szCs w:val="18"/>
                <w:color w:val="auto"/>
              </w:rPr>
            </w:pPr>
          </w:p>
        </w:tc>
        <w:tc>
          <w:tcPr>
            <w:tcW w:w="2100" w:type="dxa"/>
            <w:vAlign w:val="bottom"/>
            <w:tcBorders>
              <w:top w:val="single" w:sz="8" w:color="auto"/>
              <w:right w:val="single" w:sz="8" w:color="auto"/>
            </w:tcBorders>
            <w:shd w:val="clear" w:color="auto" w:fill="FFDEAD"/>
          </w:tcPr>
          <w:p>
            <w:pPr>
              <w:spacing w:after="0"/>
              <w:rPr>
                <w:sz w:val="18"/>
                <w:szCs w:val="18"/>
                <w:color w:val="auto"/>
              </w:rPr>
            </w:pPr>
          </w:p>
        </w:tc>
        <w:tc>
          <w:tcPr>
            <w:tcW w:w="2920" w:type="dxa"/>
            <w:vAlign w:val="bottom"/>
            <w:tcBorders>
              <w:top w:val="single" w:sz="8" w:color="auto"/>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11455 El Camino Real,</w:t>
            </w:r>
          </w:p>
        </w:tc>
        <w:tc>
          <w:tcPr>
            <w:tcW w:w="2180" w:type="dxa"/>
            <w:vAlign w:val="bottom"/>
            <w:tcBorders>
              <w:top w:val="single" w:sz="8" w:color="auto"/>
              <w:right w:val="single" w:sz="8" w:color="auto"/>
            </w:tcBorders>
            <w:shd w:val="clear" w:color="auto" w:fill="FFDEAD"/>
          </w:tcPr>
          <w:p>
            <w:pPr>
              <w:spacing w:after="0"/>
              <w:rPr>
                <w:sz w:val="18"/>
                <w:szCs w:val="18"/>
                <w:color w:val="auto"/>
              </w:rPr>
            </w:pPr>
          </w:p>
        </w:tc>
      </w:tr>
      <w:tr>
        <w:trPr>
          <w:trHeight w:val="259"/>
        </w:trPr>
        <w:tc>
          <w:tcPr>
            <w:tcW w:w="3260" w:type="dxa"/>
            <w:vAlign w:val="bottom"/>
            <w:tcBorders>
              <w:left w:val="single" w:sz="8" w:color="auto"/>
              <w:bottom w:val="single" w:sz="8" w:color="FFDEAD"/>
              <w:right w:val="single" w:sz="8" w:color="auto"/>
            </w:tcBorders>
            <w:shd w:val="clear" w:color="auto" w:fill="FFDEAD"/>
          </w:tcPr>
          <w:p>
            <w:pPr>
              <w:ind w:left="40"/>
              <w:spacing w:after="0"/>
              <w:rPr>
                <w:sz w:val="20"/>
                <w:szCs w:val="20"/>
                <w:color w:val="auto"/>
              </w:rPr>
            </w:pPr>
            <w:r>
              <w:rPr>
                <w:rFonts w:ascii="Arial" w:cs="Arial" w:eastAsia="Arial" w:hAnsi="Arial"/>
                <w:sz w:val="18"/>
                <w:szCs w:val="18"/>
                <w:color w:val="FF0000"/>
                <w:strike w:val="1"/>
              </w:rPr>
              <w:t>ABW Lewers LLC</w:t>
            </w:r>
          </w:p>
        </w:tc>
        <w:tc>
          <w:tcPr>
            <w:tcW w:w="2100" w:type="dxa"/>
            <w:vAlign w:val="bottom"/>
            <w:tcBorders>
              <w:bottom w:val="single" w:sz="8" w:color="FFDEAD"/>
              <w:right w:val="single" w:sz="8" w:color="auto"/>
            </w:tcBorders>
            <w:shd w:val="clear" w:color="auto" w:fill="FFDEAD"/>
          </w:tcPr>
          <w:p>
            <w:pPr>
              <w:jc w:val="center"/>
              <w:spacing w:after="0"/>
              <w:rPr>
                <w:sz w:val="20"/>
                <w:szCs w:val="20"/>
                <w:color w:val="auto"/>
              </w:rPr>
            </w:pPr>
            <w:r>
              <w:rPr>
                <w:rFonts w:ascii="Arial" w:cs="Arial" w:eastAsia="Arial" w:hAnsi="Arial"/>
                <w:sz w:val="18"/>
                <w:szCs w:val="18"/>
                <w:color w:val="FF0000"/>
                <w:strike w:val="1"/>
                <w:w w:val="99"/>
              </w:rPr>
              <w:t>Hawaii</w:t>
            </w:r>
          </w:p>
        </w:tc>
        <w:tc>
          <w:tcPr>
            <w:tcW w:w="2920" w:type="dxa"/>
            <w:vAlign w:val="bottom"/>
            <w:tcBorders>
              <w:bottom w:val="single" w:sz="8" w:color="FFDEAD"/>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Ste. 200, San Diego, CA</w:t>
            </w:r>
          </w:p>
        </w:tc>
        <w:tc>
          <w:tcPr>
            <w:tcW w:w="2180" w:type="dxa"/>
            <w:vAlign w:val="bottom"/>
            <w:tcBorders>
              <w:bottom w:val="single" w:sz="8" w:color="FFDEAD"/>
              <w:right w:val="single" w:sz="8" w:color="auto"/>
            </w:tcBorders>
            <w:shd w:val="clear" w:color="auto" w:fill="FFDEAD"/>
          </w:tcPr>
          <w:p>
            <w:pPr>
              <w:ind w:left="620"/>
              <w:spacing w:after="0"/>
              <w:rPr>
                <w:sz w:val="20"/>
                <w:szCs w:val="20"/>
                <w:color w:val="auto"/>
              </w:rPr>
            </w:pPr>
            <w:r>
              <w:rPr>
                <w:rFonts w:ascii="Arial" w:cs="Arial" w:eastAsia="Arial" w:hAnsi="Arial"/>
                <w:sz w:val="18"/>
                <w:szCs w:val="18"/>
                <w:color w:val="FF0000"/>
                <w:strike w:val="1"/>
              </w:rPr>
              <w:t>20-3430245</w:t>
            </w:r>
          </w:p>
        </w:tc>
      </w:tr>
      <w:tr>
        <w:trPr>
          <w:trHeight w:val="213"/>
        </w:trPr>
        <w:tc>
          <w:tcPr>
            <w:tcW w:w="3260" w:type="dxa"/>
            <w:vAlign w:val="bottom"/>
            <w:tcBorders>
              <w:top w:val="single" w:sz="8" w:color="auto"/>
              <w:left w:val="single" w:sz="8" w:color="auto"/>
              <w:right w:val="single" w:sz="8" w:color="auto"/>
            </w:tcBorders>
            <w:shd w:val="clear" w:color="auto" w:fill="FFDEAD"/>
          </w:tcPr>
          <w:p>
            <w:pPr>
              <w:spacing w:after="0"/>
              <w:rPr>
                <w:sz w:val="18"/>
                <w:szCs w:val="18"/>
                <w:color w:val="auto"/>
              </w:rPr>
            </w:pPr>
          </w:p>
        </w:tc>
        <w:tc>
          <w:tcPr>
            <w:tcW w:w="2100" w:type="dxa"/>
            <w:vAlign w:val="bottom"/>
            <w:tcBorders>
              <w:top w:val="single" w:sz="8" w:color="auto"/>
              <w:right w:val="single" w:sz="8" w:color="auto"/>
            </w:tcBorders>
            <w:shd w:val="clear" w:color="auto" w:fill="FFDEAD"/>
          </w:tcPr>
          <w:p>
            <w:pPr>
              <w:spacing w:after="0"/>
              <w:rPr>
                <w:sz w:val="18"/>
                <w:szCs w:val="18"/>
                <w:color w:val="auto"/>
              </w:rPr>
            </w:pPr>
          </w:p>
        </w:tc>
        <w:tc>
          <w:tcPr>
            <w:tcW w:w="2920" w:type="dxa"/>
            <w:vAlign w:val="bottom"/>
            <w:tcBorders>
              <w:top w:val="single" w:sz="8" w:color="auto"/>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11455 El Camino Real,</w:t>
            </w:r>
          </w:p>
        </w:tc>
        <w:tc>
          <w:tcPr>
            <w:tcW w:w="2180" w:type="dxa"/>
            <w:vAlign w:val="bottom"/>
            <w:tcBorders>
              <w:top w:val="single" w:sz="8" w:color="auto"/>
              <w:right w:val="single" w:sz="8" w:color="auto"/>
            </w:tcBorders>
            <w:shd w:val="clear" w:color="auto" w:fill="FFDEAD"/>
          </w:tcPr>
          <w:p>
            <w:pPr>
              <w:spacing w:after="0"/>
              <w:rPr>
                <w:sz w:val="18"/>
                <w:szCs w:val="18"/>
                <w:color w:val="auto"/>
              </w:rPr>
            </w:pPr>
          </w:p>
        </w:tc>
      </w:tr>
      <w:tr>
        <w:trPr>
          <w:trHeight w:val="259"/>
        </w:trPr>
        <w:tc>
          <w:tcPr>
            <w:tcW w:w="3260" w:type="dxa"/>
            <w:vAlign w:val="bottom"/>
            <w:tcBorders>
              <w:left w:val="single" w:sz="8" w:color="auto"/>
              <w:bottom w:val="single" w:sz="8" w:color="FFDEAD"/>
              <w:right w:val="single" w:sz="8" w:color="auto"/>
            </w:tcBorders>
            <w:shd w:val="clear" w:color="auto" w:fill="FFDEAD"/>
          </w:tcPr>
          <w:p>
            <w:pPr>
              <w:ind w:left="40"/>
              <w:spacing w:after="0"/>
              <w:rPr>
                <w:sz w:val="20"/>
                <w:szCs w:val="20"/>
                <w:color w:val="auto"/>
              </w:rPr>
            </w:pPr>
            <w:r>
              <w:rPr>
                <w:rFonts w:ascii="Arial" w:cs="Arial" w:eastAsia="Arial" w:hAnsi="Arial"/>
                <w:sz w:val="18"/>
                <w:szCs w:val="18"/>
                <w:color w:val="FF0000"/>
                <w:strike w:val="1"/>
              </w:rPr>
              <w:t>ICW Plaza Merger Sub LLC</w:t>
            </w:r>
          </w:p>
        </w:tc>
        <w:tc>
          <w:tcPr>
            <w:tcW w:w="2100" w:type="dxa"/>
            <w:vAlign w:val="bottom"/>
            <w:tcBorders>
              <w:bottom w:val="single" w:sz="8" w:color="FFDEAD"/>
              <w:right w:val="single" w:sz="8" w:color="auto"/>
            </w:tcBorders>
            <w:shd w:val="clear" w:color="auto" w:fill="FFDEAD"/>
          </w:tcPr>
          <w:p>
            <w:pPr>
              <w:jc w:val="center"/>
              <w:spacing w:after="0"/>
              <w:rPr>
                <w:sz w:val="20"/>
                <w:szCs w:val="20"/>
                <w:color w:val="auto"/>
              </w:rPr>
            </w:pPr>
            <w:r>
              <w:rPr>
                <w:rFonts w:ascii="Arial" w:cs="Arial" w:eastAsia="Arial" w:hAnsi="Arial"/>
                <w:sz w:val="18"/>
                <w:szCs w:val="18"/>
                <w:color w:val="FF0000"/>
                <w:strike w:val="1"/>
                <w:w w:val="92"/>
              </w:rPr>
              <w:t>Delaware</w:t>
            </w:r>
          </w:p>
        </w:tc>
        <w:tc>
          <w:tcPr>
            <w:tcW w:w="2920" w:type="dxa"/>
            <w:vAlign w:val="bottom"/>
            <w:tcBorders>
              <w:bottom w:val="single" w:sz="8" w:color="FFDEAD"/>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Ste. 200, San Diego, CA</w:t>
            </w:r>
          </w:p>
        </w:tc>
        <w:tc>
          <w:tcPr>
            <w:tcW w:w="2180" w:type="dxa"/>
            <w:vAlign w:val="bottom"/>
            <w:tcBorders>
              <w:bottom w:val="single" w:sz="8" w:color="FFDEAD"/>
              <w:right w:val="single" w:sz="8" w:color="auto"/>
            </w:tcBorders>
            <w:shd w:val="clear" w:color="auto" w:fill="FFDEAD"/>
          </w:tcPr>
          <w:p>
            <w:pPr>
              <w:ind w:left="620"/>
              <w:spacing w:after="0"/>
              <w:rPr>
                <w:sz w:val="20"/>
                <w:szCs w:val="20"/>
                <w:color w:val="auto"/>
              </w:rPr>
            </w:pPr>
            <w:r>
              <w:rPr>
                <w:rFonts w:ascii="Arial" w:cs="Arial" w:eastAsia="Arial" w:hAnsi="Arial"/>
                <w:sz w:val="18"/>
                <w:szCs w:val="18"/>
                <w:color w:val="FF0000"/>
                <w:strike w:val="1"/>
              </w:rPr>
              <w:t>27-3338894</w:t>
            </w:r>
          </w:p>
        </w:tc>
      </w:tr>
      <w:tr>
        <w:trPr>
          <w:trHeight w:val="213"/>
        </w:trPr>
        <w:tc>
          <w:tcPr>
            <w:tcW w:w="3260" w:type="dxa"/>
            <w:vAlign w:val="bottom"/>
            <w:tcBorders>
              <w:top w:val="single" w:sz="8" w:color="auto"/>
              <w:left w:val="single" w:sz="8" w:color="auto"/>
              <w:right w:val="single" w:sz="8" w:color="auto"/>
            </w:tcBorders>
            <w:shd w:val="clear" w:color="auto" w:fill="FFDEAD"/>
          </w:tcPr>
          <w:p>
            <w:pPr>
              <w:spacing w:after="0"/>
              <w:rPr>
                <w:sz w:val="18"/>
                <w:szCs w:val="18"/>
                <w:color w:val="auto"/>
              </w:rPr>
            </w:pPr>
          </w:p>
        </w:tc>
        <w:tc>
          <w:tcPr>
            <w:tcW w:w="2100" w:type="dxa"/>
            <w:vAlign w:val="bottom"/>
            <w:tcBorders>
              <w:top w:val="single" w:sz="8" w:color="auto"/>
              <w:right w:val="single" w:sz="8" w:color="auto"/>
            </w:tcBorders>
            <w:shd w:val="clear" w:color="auto" w:fill="FFDEAD"/>
          </w:tcPr>
          <w:p>
            <w:pPr>
              <w:spacing w:after="0"/>
              <w:rPr>
                <w:sz w:val="18"/>
                <w:szCs w:val="18"/>
                <w:color w:val="auto"/>
              </w:rPr>
            </w:pPr>
          </w:p>
        </w:tc>
        <w:tc>
          <w:tcPr>
            <w:tcW w:w="2920" w:type="dxa"/>
            <w:vAlign w:val="bottom"/>
            <w:tcBorders>
              <w:top w:val="single" w:sz="8" w:color="auto"/>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11455 El Camino Real,</w:t>
            </w:r>
          </w:p>
        </w:tc>
        <w:tc>
          <w:tcPr>
            <w:tcW w:w="2180" w:type="dxa"/>
            <w:vAlign w:val="bottom"/>
            <w:tcBorders>
              <w:top w:val="single" w:sz="8" w:color="auto"/>
              <w:right w:val="single" w:sz="8" w:color="auto"/>
            </w:tcBorders>
            <w:shd w:val="clear" w:color="auto" w:fill="FFDEAD"/>
          </w:tcPr>
          <w:p>
            <w:pPr>
              <w:spacing w:after="0"/>
              <w:rPr>
                <w:sz w:val="18"/>
                <w:szCs w:val="18"/>
                <w:color w:val="auto"/>
              </w:rPr>
            </w:pPr>
          </w:p>
        </w:tc>
      </w:tr>
      <w:tr>
        <w:trPr>
          <w:trHeight w:val="259"/>
        </w:trPr>
        <w:tc>
          <w:tcPr>
            <w:tcW w:w="3260" w:type="dxa"/>
            <w:vAlign w:val="bottom"/>
            <w:tcBorders>
              <w:left w:val="single" w:sz="8" w:color="auto"/>
              <w:bottom w:val="single" w:sz="8" w:color="FFDEAD"/>
              <w:right w:val="single" w:sz="8" w:color="auto"/>
            </w:tcBorders>
            <w:shd w:val="clear" w:color="auto" w:fill="FFDEAD"/>
          </w:tcPr>
          <w:p>
            <w:pPr>
              <w:ind w:left="40"/>
              <w:spacing w:after="0"/>
              <w:rPr>
                <w:sz w:val="20"/>
                <w:szCs w:val="20"/>
                <w:color w:val="auto"/>
              </w:rPr>
            </w:pPr>
            <w:r>
              <w:rPr>
                <w:rFonts w:ascii="Arial" w:cs="Arial" w:eastAsia="Arial" w:hAnsi="Arial"/>
                <w:sz w:val="18"/>
                <w:szCs w:val="18"/>
                <w:color w:val="FF0000"/>
                <w:strike w:val="1"/>
              </w:rPr>
              <w:t>ICW Plaza Holdings, LLC</w:t>
            </w:r>
          </w:p>
        </w:tc>
        <w:tc>
          <w:tcPr>
            <w:tcW w:w="2100" w:type="dxa"/>
            <w:vAlign w:val="bottom"/>
            <w:tcBorders>
              <w:bottom w:val="single" w:sz="8" w:color="FFDEAD"/>
              <w:right w:val="single" w:sz="8" w:color="auto"/>
            </w:tcBorders>
            <w:shd w:val="clear" w:color="auto" w:fill="FFDEAD"/>
          </w:tcPr>
          <w:p>
            <w:pPr>
              <w:jc w:val="center"/>
              <w:spacing w:after="0"/>
              <w:rPr>
                <w:sz w:val="20"/>
                <w:szCs w:val="20"/>
                <w:color w:val="auto"/>
              </w:rPr>
            </w:pPr>
            <w:r>
              <w:rPr>
                <w:rFonts w:ascii="Arial" w:cs="Arial" w:eastAsia="Arial" w:hAnsi="Arial"/>
                <w:sz w:val="18"/>
                <w:szCs w:val="18"/>
                <w:color w:val="FF0000"/>
                <w:strike w:val="1"/>
                <w:w w:val="92"/>
              </w:rPr>
              <w:t>Delaware</w:t>
            </w:r>
          </w:p>
        </w:tc>
        <w:tc>
          <w:tcPr>
            <w:tcW w:w="2920" w:type="dxa"/>
            <w:vAlign w:val="bottom"/>
            <w:tcBorders>
              <w:bottom w:val="single" w:sz="8" w:color="FFDEAD"/>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Ste. 200, San Diego, CA</w:t>
            </w:r>
          </w:p>
        </w:tc>
        <w:tc>
          <w:tcPr>
            <w:tcW w:w="2180" w:type="dxa"/>
            <w:vAlign w:val="bottom"/>
            <w:tcBorders>
              <w:bottom w:val="single" w:sz="8" w:color="FFDEAD"/>
              <w:right w:val="single" w:sz="8" w:color="auto"/>
            </w:tcBorders>
            <w:shd w:val="clear" w:color="auto" w:fill="FFDEAD"/>
          </w:tcPr>
          <w:p>
            <w:pPr>
              <w:ind w:left="620"/>
              <w:spacing w:after="0"/>
              <w:rPr>
                <w:sz w:val="20"/>
                <w:szCs w:val="20"/>
                <w:color w:val="auto"/>
              </w:rPr>
            </w:pPr>
            <w:r>
              <w:rPr>
                <w:rFonts w:ascii="Arial" w:cs="Arial" w:eastAsia="Arial" w:hAnsi="Arial"/>
                <w:sz w:val="18"/>
                <w:szCs w:val="18"/>
                <w:color w:val="FF0000"/>
                <w:strike w:val="1"/>
              </w:rPr>
              <w:t>20-8082007</w:t>
            </w:r>
          </w:p>
        </w:tc>
      </w:tr>
      <w:tr>
        <w:trPr>
          <w:trHeight w:val="213"/>
        </w:trPr>
        <w:tc>
          <w:tcPr>
            <w:tcW w:w="3260" w:type="dxa"/>
            <w:vAlign w:val="bottom"/>
            <w:tcBorders>
              <w:top w:val="single" w:sz="8" w:color="auto"/>
              <w:left w:val="single" w:sz="8" w:color="auto"/>
              <w:right w:val="single" w:sz="8" w:color="auto"/>
            </w:tcBorders>
            <w:shd w:val="clear" w:color="auto" w:fill="FFDEAD"/>
          </w:tcPr>
          <w:p>
            <w:pPr>
              <w:spacing w:after="0"/>
              <w:rPr>
                <w:sz w:val="18"/>
                <w:szCs w:val="18"/>
                <w:color w:val="auto"/>
              </w:rPr>
            </w:pPr>
          </w:p>
        </w:tc>
        <w:tc>
          <w:tcPr>
            <w:tcW w:w="2100" w:type="dxa"/>
            <w:vAlign w:val="bottom"/>
            <w:tcBorders>
              <w:top w:val="single" w:sz="8" w:color="auto"/>
              <w:right w:val="single" w:sz="8" w:color="auto"/>
            </w:tcBorders>
            <w:shd w:val="clear" w:color="auto" w:fill="FFDEAD"/>
          </w:tcPr>
          <w:p>
            <w:pPr>
              <w:spacing w:after="0"/>
              <w:rPr>
                <w:sz w:val="18"/>
                <w:szCs w:val="18"/>
                <w:color w:val="auto"/>
              </w:rPr>
            </w:pPr>
          </w:p>
        </w:tc>
        <w:tc>
          <w:tcPr>
            <w:tcW w:w="2920" w:type="dxa"/>
            <w:vAlign w:val="bottom"/>
            <w:tcBorders>
              <w:top w:val="single" w:sz="8" w:color="auto"/>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11455 El Camino Real,</w:t>
            </w:r>
          </w:p>
        </w:tc>
        <w:tc>
          <w:tcPr>
            <w:tcW w:w="2180" w:type="dxa"/>
            <w:vAlign w:val="bottom"/>
            <w:tcBorders>
              <w:top w:val="single" w:sz="8" w:color="auto"/>
              <w:right w:val="single" w:sz="8" w:color="auto"/>
            </w:tcBorders>
            <w:shd w:val="clear" w:color="auto" w:fill="FFDEAD"/>
          </w:tcPr>
          <w:p>
            <w:pPr>
              <w:spacing w:after="0"/>
              <w:rPr>
                <w:sz w:val="18"/>
                <w:szCs w:val="18"/>
                <w:color w:val="auto"/>
              </w:rPr>
            </w:pPr>
          </w:p>
        </w:tc>
      </w:tr>
      <w:tr>
        <w:trPr>
          <w:trHeight w:val="259"/>
        </w:trPr>
        <w:tc>
          <w:tcPr>
            <w:tcW w:w="3260" w:type="dxa"/>
            <w:vAlign w:val="bottom"/>
            <w:tcBorders>
              <w:left w:val="single" w:sz="8" w:color="auto"/>
              <w:bottom w:val="single" w:sz="8" w:color="FFDEAD"/>
              <w:right w:val="single" w:sz="8" w:color="auto"/>
            </w:tcBorders>
            <w:shd w:val="clear" w:color="auto" w:fill="FFDEAD"/>
          </w:tcPr>
          <w:p>
            <w:pPr>
              <w:ind w:left="40"/>
              <w:spacing w:after="0"/>
              <w:rPr>
                <w:sz w:val="20"/>
                <w:szCs w:val="20"/>
                <w:color w:val="auto"/>
              </w:rPr>
            </w:pPr>
            <w:r>
              <w:rPr>
                <w:rFonts w:ascii="Arial" w:cs="Arial" w:eastAsia="Arial" w:hAnsi="Arial"/>
                <w:sz w:val="18"/>
                <w:szCs w:val="18"/>
                <w:color w:val="FF0000"/>
                <w:strike w:val="1"/>
              </w:rPr>
              <w:t>Broadway 225 Sorrento Holdings, LLC</w:t>
            </w:r>
          </w:p>
        </w:tc>
        <w:tc>
          <w:tcPr>
            <w:tcW w:w="2100" w:type="dxa"/>
            <w:vAlign w:val="bottom"/>
            <w:tcBorders>
              <w:bottom w:val="single" w:sz="8" w:color="FFDEAD"/>
              <w:right w:val="single" w:sz="8" w:color="auto"/>
            </w:tcBorders>
            <w:shd w:val="clear" w:color="auto" w:fill="FFDEAD"/>
          </w:tcPr>
          <w:p>
            <w:pPr>
              <w:jc w:val="center"/>
              <w:spacing w:after="0"/>
              <w:rPr>
                <w:sz w:val="20"/>
                <w:szCs w:val="20"/>
                <w:color w:val="auto"/>
              </w:rPr>
            </w:pPr>
            <w:r>
              <w:rPr>
                <w:rFonts w:ascii="Arial" w:cs="Arial" w:eastAsia="Arial" w:hAnsi="Arial"/>
                <w:sz w:val="18"/>
                <w:szCs w:val="18"/>
                <w:color w:val="FF0000"/>
                <w:strike w:val="1"/>
                <w:w w:val="92"/>
              </w:rPr>
              <w:t>Delaware</w:t>
            </w:r>
          </w:p>
        </w:tc>
        <w:tc>
          <w:tcPr>
            <w:tcW w:w="2920" w:type="dxa"/>
            <w:vAlign w:val="bottom"/>
            <w:tcBorders>
              <w:bottom w:val="single" w:sz="8" w:color="FFDEAD"/>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Ste. 200, San Diego, CA</w:t>
            </w:r>
          </w:p>
        </w:tc>
        <w:tc>
          <w:tcPr>
            <w:tcW w:w="2180" w:type="dxa"/>
            <w:vAlign w:val="bottom"/>
            <w:tcBorders>
              <w:bottom w:val="single" w:sz="8" w:color="FFDEAD"/>
              <w:right w:val="single" w:sz="8" w:color="auto"/>
            </w:tcBorders>
            <w:shd w:val="clear" w:color="auto" w:fill="FFDEAD"/>
          </w:tcPr>
          <w:p>
            <w:pPr>
              <w:ind w:left="620"/>
              <w:spacing w:after="0"/>
              <w:rPr>
                <w:sz w:val="20"/>
                <w:szCs w:val="20"/>
                <w:color w:val="auto"/>
              </w:rPr>
            </w:pPr>
            <w:r>
              <w:rPr>
                <w:rFonts w:ascii="Arial" w:cs="Arial" w:eastAsia="Arial" w:hAnsi="Arial"/>
                <w:sz w:val="18"/>
                <w:szCs w:val="18"/>
                <w:color w:val="FF0000"/>
                <w:strike w:val="1"/>
              </w:rPr>
              <w:t>20-1345279</w:t>
            </w:r>
          </w:p>
        </w:tc>
      </w:tr>
      <w:tr>
        <w:trPr>
          <w:trHeight w:val="213"/>
        </w:trPr>
        <w:tc>
          <w:tcPr>
            <w:tcW w:w="3260" w:type="dxa"/>
            <w:vAlign w:val="bottom"/>
            <w:tcBorders>
              <w:top w:val="single" w:sz="8" w:color="auto"/>
              <w:left w:val="single" w:sz="8" w:color="auto"/>
              <w:right w:val="single" w:sz="8" w:color="auto"/>
            </w:tcBorders>
            <w:shd w:val="clear" w:color="auto" w:fill="FFDEAD"/>
          </w:tcPr>
          <w:p>
            <w:pPr>
              <w:spacing w:after="0"/>
              <w:rPr>
                <w:sz w:val="18"/>
                <w:szCs w:val="18"/>
                <w:color w:val="auto"/>
              </w:rPr>
            </w:pPr>
          </w:p>
        </w:tc>
        <w:tc>
          <w:tcPr>
            <w:tcW w:w="2100" w:type="dxa"/>
            <w:vAlign w:val="bottom"/>
            <w:tcBorders>
              <w:top w:val="single" w:sz="8" w:color="auto"/>
              <w:right w:val="single" w:sz="8" w:color="auto"/>
            </w:tcBorders>
            <w:shd w:val="clear" w:color="auto" w:fill="FFDEAD"/>
          </w:tcPr>
          <w:p>
            <w:pPr>
              <w:spacing w:after="0"/>
              <w:rPr>
                <w:sz w:val="18"/>
                <w:szCs w:val="18"/>
                <w:color w:val="auto"/>
              </w:rPr>
            </w:pPr>
          </w:p>
        </w:tc>
        <w:tc>
          <w:tcPr>
            <w:tcW w:w="2920" w:type="dxa"/>
            <w:vAlign w:val="bottom"/>
            <w:tcBorders>
              <w:top w:val="single" w:sz="8" w:color="auto"/>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11455 El Camino Real,</w:t>
            </w:r>
          </w:p>
        </w:tc>
        <w:tc>
          <w:tcPr>
            <w:tcW w:w="2180" w:type="dxa"/>
            <w:vAlign w:val="bottom"/>
            <w:tcBorders>
              <w:top w:val="single" w:sz="8" w:color="auto"/>
              <w:right w:val="single" w:sz="8" w:color="auto"/>
            </w:tcBorders>
            <w:shd w:val="clear" w:color="auto" w:fill="FFDEAD"/>
          </w:tcPr>
          <w:p>
            <w:pPr>
              <w:spacing w:after="0"/>
              <w:rPr>
                <w:sz w:val="18"/>
                <w:szCs w:val="18"/>
                <w:color w:val="auto"/>
              </w:rPr>
            </w:pPr>
          </w:p>
        </w:tc>
      </w:tr>
      <w:tr>
        <w:trPr>
          <w:trHeight w:val="259"/>
        </w:trPr>
        <w:tc>
          <w:tcPr>
            <w:tcW w:w="3260" w:type="dxa"/>
            <w:vAlign w:val="bottom"/>
            <w:tcBorders>
              <w:left w:val="single" w:sz="8" w:color="auto"/>
              <w:bottom w:val="single" w:sz="8" w:color="FFDEAD"/>
              <w:right w:val="single" w:sz="8" w:color="auto"/>
            </w:tcBorders>
            <w:shd w:val="clear" w:color="auto" w:fill="FFDEAD"/>
          </w:tcPr>
          <w:p>
            <w:pPr>
              <w:ind w:left="40"/>
              <w:spacing w:after="0"/>
              <w:rPr>
                <w:sz w:val="20"/>
                <w:szCs w:val="20"/>
                <w:color w:val="auto"/>
              </w:rPr>
            </w:pPr>
            <w:r>
              <w:rPr>
                <w:rFonts w:ascii="Arial" w:cs="Arial" w:eastAsia="Arial" w:hAnsi="Arial"/>
                <w:sz w:val="18"/>
                <w:szCs w:val="18"/>
                <w:color w:val="FF0000"/>
                <w:strike w:val="1"/>
              </w:rPr>
              <w:t>AAT Waikele Center, LLC</w:t>
            </w:r>
          </w:p>
        </w:tc>
        <w:tc>
          <w:tcPr>
            <w:tcW w:w="2100" w:type="dxa"/>
            <w:vAlign w:val="bottom"/>
            <w:tcBorders>
              <w:bottom w:val="single" w:sz="8" w:color="FFDEAD"/>
              <w:right w:val="single" w:sz="8" w:color="auto"/>
            </w:tcBorders>
            <w:shd w:val="clear" w:color="auto" w:fill="FFDEAD"/>
          </w:tcPr>
          <w:p>
            <w:pPr>
              <w:jc w:val="center"/>
              <w:spacing w:after="0"/>
              <w:rPr>
                <w:sz w:val="20"/>
                <w:szCs w:val="20"/>
                <w:color w:val="auto"/>
              </w:rPr>
            </w:pPr>
            <w:r>
              <w:rPr>
                <w:rFonts w:ascii="Arial" w:cs="Arial" w:eastAsia="Arial" w:hAnsi="Arial"/>
                <w:sz w:val="18"/>
                <w:szCs w:val="18"/>
                <w:color w:val="FF0000"/>
                <w:strike w:val="1"/>
                <w:w w:val="92"/>
              </w:rPr>
              <w:t>Delaware</w:t>
            </w:r>
          </w:p>
        </w:tc>
        <w:tc>
          <w:tcPr>
            <w:tcW w:w="2920" w:type="dxa"/>
            <w:vAlign w:val="bottom"/>
            <w:tcBorders>
              <w:bottom w:val="single" w:sz="8" w:color="FFDEAD"/>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Ste. 200, San Diego, CA</w:t>
            </w:r>
          </w:p>
        </w:tc>
        <w:tc>
          <w:tcPr>
            <w:tcW w:w="2180" w:type="dxa"/>
            <w:vAlign w:val="bottom"/>
            <w:tcBorders>
              <w:bottom w:val="single" w:sz="8" w:color="FFDEAD"/>
              <w:right w:val="single" w:sz="8" w:color="auto"/>
            </w:tcBorders>
            <w:shd w:val="clear" w:color="auto" w:fill="FFDEAD"/>
          </w:tcPr>
          <w:p>
            <w:pPr>
              <w:ind w:left="620"/>
              <w:spacing w:after="0"/>
              <w:rPr>
                <w:sz w:val="20"/>
                <w:szCs w:val="20"/>
                <w:color w:val="auto"/>
              </w:rPr>
            </w:pPr>
            <w:r>
              <w:rPr>
                <w:rFonts w:ascii="Arial" w:cs="Arial" w:eastAsia="Arial" w:hAnsi="Arial"/>
                <w:sz w:val="18"/>
                <w:szCs w:val="18"/>
                <w:color w:val="FF0000"/>
                <w:strike w:val="1"/>
              </w:rPr>
              <w:t>38-3973025</w:t>
            </w:r>
          </w:p>
        </w:tc>
      </w:tr>
      <w:tr>
        <w:trPr>
          <w:trHeight w:val="213"/>
        </w:trPr>
        <w:tc>
          <w:tcPr>
            <w:tcW w:w="3260" w:type="dxa"/>
            <w:vAlign w:val="bottom"/>
            <w:tcBorders>
              <w:top w:val="single" w:sz="8" w:color="auto"/>
              <w:left w:val="single" w:sz="8" w:color="auto"/>
              <w:right w:val="single" w:sz="8" w:color="auto"/>
            </w:tcBorders>
            <w:shd w:val="clear" w:color="auto" w:fill="FFDEAD"/>
          </w:tcPr>
          <w:p>
            <w:pPr>
              <w:spacing w:after="0"/>
              <w:rPr>
                <w:sz w:val="18"/>
                <w:szCs w:val="18"/>
                <w:color w:val="auto"/>
              </w:rPr>
            </w:pPr>
          </w:p>
        </w:tc>
        <w:tc>
          <w:tcPr>
            <w:tcW w:w="2100" w:type="dxa"/>
            <w:vAlign w:val="bottom"/>
            <w:tcBorders>
              <w:top w:val="single" w:sz="8" w:color="auto"/>
              <w:right w:val="single" w:sz="8" w:color="auto"/>
            </w:tcBorders>
            <w:shd w:val="clear" w:color="auto" w:fill="FFDEAD"/>
          </w:tcPr>
          <w:p>
            <w:pPr>
              <w:spacing w:after="0"/>
              <w:rPr>
                <w:sz w:val="18"/>
                <w:szCs w:val="18"/>
                <w:color w:val="auto"/>
              </w:rPr>
            </w:pPr>
          </w:p>
        </w:tc>
        <w:tc>
          <w:tcPr>
            <w:tcW w:w="2920" w:type="dxa"/>
            <w:vAlign w:val="bottom"/>
            <w:tcBorders>
              <w:top w:val="single" w:sz="8" w:color="auto"/>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11455 El Camino Real,</w:t>
            </w:r>
          </w:p>
        </w:tc>
        <w:tc>
          <w:tcPr>
            <w:tcW w:w="2180" w:type="dxa"/>
            <w:vAlign w:val="bottom"/>
            <w:tcBorders>
              <w:top w:val="single" w:sz="8" w:color="auto"/>
              <w:right w:val="single" w:sz="8" w:color="auto"/>
            </w:tcBorders>
            <w:shd w:val="clear" w:color="auto" w:fill="FFDEAD"/>
          </w:tcPr>
          <w:p>
            <w:pPr>
              <w:spacing w:after="0"/>
              <w:rPr>
                <w:sz w:val="18"/>
                <w:szCs w:val="18"/>
                <w:color w:val="auto"/>
              </w:rPr>
            </w:pPr>
          </w:p>
        </w:tc>
      </w:tr>
      <w:tr>
        <w:trPr>
          <w:trHeight w:val="259"/>
        </w:trPr>
        <w:tc>
          <w:tcPr>
            <w:tcW w:w="3260" w:type="dxa"/>
            <w:vAlign w:val="bottom"/>
            <w:tcBorders>
              <w:left w:val="single" w:sz="8" w:color="auto"/>
              <w:bottom w:val="single" w:sz="8" w:color="FFDEAD"/>
              <w:right w:val="single" w:sz="8" w:color="auto"/>
            </w:tcBorders>
            <w:shd w:val="clear" w:color="auto" w:fill="FFDEAD"/>
          </w:tcPr>
          <w:p>
            <w:pPr>
              <w:ind w:left="40"/>
              <w:spacing w:after="0"/>
              <w:rPr>
                <w:sz w:val="20"/>
                <w:szCs w:val="20"/>
                <w:color w:val="auto"/>
              </w:rPr>
            </w:pPr>
            <w:r>
              <w:rPr>
                <w:rFonts w:ascii="Arial" w:cs="Arial" w:eastAsia="Arial" w:hAnsi="Arial"/>
                <w:sz w:val="18"/>
                <w:szCs w:val="18"/>
                <w:color w:val="FF0000"/>
                <w:strike w:val="1"/>
                <w:w w:val="98"/>
              </w:rPr>
              <w:t>Broadway 225 Stonecrest Holdings, LLC</w:t>
            </w:r>
          </w:p>
        </w:tc>
        <w:tc>
          <w:tcPr>
            <w:tcW w:w="2100" w:type="dxa"/>
            <w:vAlign w:val="bottom"/>
            <w:tcBorders>
              <w:bottom w:val="single" w:sz="8" w:color="FFDEAD"/>
              <w:right w:val="single" w:sz="8" w:color="auto"/>
            </w:tcBorders>
            <w:shd w:val="clear" w:color="auto" w:fill="FFDEAD"/>
          </w:tcPr>
          <w:p>
            <w:pPr>
              <w:jc w:val="center"/>
              <w:spacing w:after="0"/>
              <w:rPr>
                <w:sz w:val="20"/>
                <w:szCs w:val="20"/>
                <w:color w:val="auto"/>
              </w:rPr>
            </w:pPr>
            <w:r>
              <w:rPr>
                <w:rFonts w:ascii="Arial" w:cs="Arial" w:eastAsia="Arial" w:hAnsi="Arial"/>
                <w:sz w:val="18"/>
                <w:szCs w:val="18"/>
                <w:color w:val="FF0000"/>
                <w:strike w:val="1"/>
                <w:w w:val="92"/>
              </w:rPr>
              <w:t>Delaware</w:t>
            </w:r>
          </w:p>
        </w:tc>
        <w:tc>
          <w:tcPr>
            <w:tcW w:w="2920" w:type="dxa"/>
            <w:vAlign w:val="bottom"/>
            <w:tcBorders>
              <w:bottom w:val="single" w:sz="8" w:color="FFDEAD"/>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Ste. 200, San Diego, CA</w:t>
            </w:r>
          </w:p>
        </w:tc>
        <w:tc>
          <w:tcPr>
            <w:tcW w:w="2180" w:type="dxa"/>
            <w:vAlign w:val="bottom"/>
            <w:tcBorders>
              <w:bottom w:val="single" w:sz="8" w:color="FFDEAD"/>
              <w:right w:val="single" w:sz="8" w:color="auto"/>
            </w:tcBorders>
            <w:shd w:val="clear" w:color="auto" w:fill="FFDEAD"/>
          </w:tcPr>
          <w:p>
            <w:pPr>
              <w:ind w:left="620"/>
              <w:spacing w:after="0"/>
              <w:rPr>
                <w:sz w:val="20"/>
                <w:szCs w:val="20"/>
                <w:color w:val="auto"/>
              </w:rPr>
            </w:pPr>
            <w:r>
              <w:rPr>
                <w:rFonts w:ascii="Arial" w:cs="Arial" w:eastAsia="Arial" w:hAnsi="Arial"/>
                <w:sz w:val="18"/>
                <w:szCs w:val="18"/>
                <w:color w:val="FF0000"/>
                <w:strike w:val="1"/>
              </w:rPr>
              <w:t>20-1345300</w:t>
            </w:r>
          </w:p>
        </w:tc>
      </w:tr>
      <w:tr>
        <w:trPr>
          <w:trHeight w:val="213"/>
        </w:trPr>
        <w:tc>
          <w:tcPr>
            <w:tcW w:w="3260" w:type="dxa"/>
            <w:vAlign w:val="bottom"/>
            <w:tcBorders>
              <w:top w:val="single" w:sz="8" w:color="auto"/>
              <w:left w:val="single" w:sz="8" w:color="auto"/>
              <w:right w:val="single" w:sz="8" w:color="auto"/>
            </w:tcBorders>
            <w:shd w:val="clear" w:color="auto" w:fill="FFDEAD"/>
          </w:tcPr>
          <w:p>
            <w:pPr>
              <w:spacing w:after="0"/>
              <w:rPr>
                <w:sz w:val="18"/>
                <w:szCs w:val="18"/>
                <w:color w:val="auto"/>
              </w:rPr>
            </w:pPr>
          </w:p>
        </w:tc>
        <w:tc>
          <w:tcPr>
            <w:tcW w:w="2100" w:type="dxa"/>
            <w:vAlign w:val="bottom"/>
            <w:tcBorders>
              <w:top w:val="single" w:sz="8" w:color="auto"/>
              <w:right w:val="single" w:sz="8" w:color="auto"/>
            </w:tcBorders>
            <w:shd w:val="clear" w:color="auto" w:fill="FFDEAD"/>
          </w:tcPr>
          <w:p>
            <w:pPr>
              <w:spacing w:after="0"/>
              <w:rPr>
                <w:sz w:val="18"/>
                <w:szCs w:val="18"/>
                <w:color w:val="auto"/>
              </w:rPr>
            </w:pPr>
          </w:p>
        </w:tc>
        <w:tc>
          <w:tcPr>
            <w:tcW w:w="2920" w:type="dxa"/>
            <w:vAlign w:val="bottom"/>
            <w:tcBorders>
              <w:top w:val="single" w:sz="8" w:color="auto"/>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11455 El Camino Real,</w:t>
            </w:r>
          </w:p>
        </w:tc>
        <w:tc>
          <w:tcPr>
            <w:tcW w:w="2180" w:type="dxa"/>
            <w:vAlign w:val="bottom"/>
            <w:tcBorders>
              <w:top w:val="single" w:sz="8" w:color="auto"/>
              <w:right w:val="single" w:sz="8" w:color="auto"/>
            </w:tcBorders>
            <w:shd w:val="clear" w:color="auto" w:fill="FFDEAD"/>
          </w:tcPr>
          <w:p>
            <w:pPr>
              <w:spacing w:after="0"/>
              <w:rPr>
                <w:sz w:val="18"/>
                <w:szCs w:val="18"/>
                <w:color w:val="auto"/>
              </w:rPr>
            </w:pPr>
          </w:p>
        </w:tc>
      </w:tr>
      <w:tr>
        <w:trPr>
          <w:trHeight w:val="259"/>
        </w:trPr>
        <w:tc>
          <w:tcPr>
            <w:tcW w:w="3260" w:type="dxa"/>
            <w:vAlign w:val="bottom"/>
            <w:tcBorders>
              <w:left w:val="single" w:sz="8" w:color="auto"/>
              <w:bottom w:val="single" w:sz="8" w:color="FFDEAD"/>
              <w:right w:val="single" w:sz="8" w:color="auto"/>
            </w:tcBorders>
            <w:shd w:val="clear" w:color="auto" w:fill="FFDEAD"/>
          </w:tcPr>
          <w:p>
            <w:pPr>
              <w:ind w:left="40"/>
              <w:spacing w:after="0"/>
              <w:rPr>
                <w:sz w:val="20"/>
                <w:szCs w:val="20"/>
                <w:color w:val="auto"/>
              </w:rPr>
            </w:pPr>
            <w:r>
              <w:rPr>
                <w:rFonts w:ascii="Arial" w:cs="Arial" w:eastAsia="Arial" w:hAnsi="Arial"/>
                <w:sz w:val="18"/>
                <w:szCs w:val="18"/>
                <w:color w:val="FF0000"/>
                <w:strike w:val="1"/>
              </w:rPr>
              <w:t>EBW Hotel LLC</w:t>
            </w:r>
          </w:p>
        </w:tc>
        <w:tc>
          <w:tcPr>
            <w:tcW w:w="2100" w:type="dxa"/>
            <w:vAlign w:val="bottom"/>
            <w:tcBorders>
              <w:bottom w:val="single" w:sz="8" w:color="FFDEAD"/>
              <w:right w:val="single" w:sz="8" w:color="auto"/>
            </w:tcBorders>
            <w:shd w:val="clear" w:color="auto" w:fill="FFDEAD"/>
          </w:tcPr>
          <w:p>
            <w:pPr>
              <w:jc w:val="center"/>
              <w:spacing w:after="0"/>
              <w:rPr>
                <w:sz w:val="20"/>
                <w:szCs w:val="20"/>
                <w:color w:val="auto"/>
              </w:rPr>
            </w:pPr>
            <w:r>
              <w:rPr>
                <w:rFonts w:ascii="Arial" w:cs="Arial" w:eastAsia="Arial" w:hAnsi="Arial"/>
                <w:sz w:val="18"/>
                <w:szCs w:val="18"/>
                <w:color w:val="FF0000"/>
                <w:strike w:val="1"/>
                <w:w w:val="99"/>
              </w:rPr>
              <w:t>Hawaii</w:t>
            </w:r>
          </w:p>
        </w:tc>
        <w:tc>
          <w:tcPr>
            <w:tcW w:w="2920" w:type="dxa"/>
            <w:vAlign w:val="bottom"/>
            <w:tcBorders>
              <w:bottom w:val="single" w:sz="8" w:color="FFDEAD"/>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Ste. 200, San Diego, CA</w:t>
            </w:r>
          </w:p>
        </w:tc>
        <w:tc>
          <w:tcPr>
            <w:tcW w:w="2180" w:type="dxa"/>
            <w:vAlign w:val="bottom"/>
            <w:tcBorders>
              <w:bottom w:val="single" w:sz="8" w:color="FFDEAD"/>
              <w:right w:val="single" w:sz="8" w:color="auto"/>
            </w:tcBorders>
            <w:shd w:val="clear" w:color="auto" w:fill="FFDEAD"/>
          </w:tcPr>
          <w:p>
            <w:pPr>
              <w:ind w:left="620"/>
              <w:spacing w:after="0"/>
              <w:rPr>
                <w:sz w:val="20"/>
                <w:szCs w:val="20"/>
                <w:color w:val="auto"/>
              </w:rPr>
            </w:pPr>
            <w:r>
              <w:rPr>
                <w:rFonts w:ascii="Arial" w:cs="Arial" w:eastAsia="Arial" w:hAnsi="Arial"/>
                <w:sz w:val="18"/>
                <w:szCs w:val="18"/>
                <w:color w:val="FF0000"/>
                <w:strike w:val="1"/>
              </w:rPr>
              <w:t>20-3964288</w:t>
            </w:r>
          </w:p>
        </w:tc>
      </w:tr>
      <w:tr>
        <w:trPr>
          <w:trHeight w:val="213"/>
        </w:trPr>
        <w:tc>
          <w:tcPr>
            <w:tcW w:w="3260" w:type="dxa"/>
            <w:vAlign w:val="bottom"/>
            <w:tcBorders>
              <w:top w:val="single" w:sz="8" w:color="auto"/>
              <w:left w:val="single" w:sz="8" w:color="auto"/>
              <w:right w:val="single" w:sz="8" w:color="auto"/>
            </w:tcBorders>
            <w:shd w:val="clear" w:color="auto" w:fill="FFDEAD"/>
          </w:tcPr>
          <w:p>
            <w:pPr>
              <w:spacing w:after="0"/>
              <w:rPr>
                <w:sz w:val="18"/>
                <w:szCs w:val="18"/>
                <w:color w:val="auto"/>
              </w:rPr>
            </w:pPr>
          </w:p>
        </w:tc>
        <w:tc>
          <w:tcPr>
            <w:tcW w:w="2100" w:type="dxa"/>
            <w:vAlign w:val="bottom"/>
            <w:tcBorders>
              <w:top w:val="single" w:sz="8" w:color="auto"/>
              <w:right w:val="single" w:sz="8" w:color="auto"/>
            </w:tcBorders>
            <w:shd w:val="clear" w:color="auto" w:fill="FFDEAD"/>
          </w:tcPr>
          <w:p>
            <w:pPr>
              <w:spacing w:after="0"/>
              <w:rPr>
                <w:sz w:val="18"/>
                <w:szCs w:val="18"/>
                <w:color w:val="auto"/>
              </w:rPr>
            </w:pPr>
          </w:p>
        </w:tc>
        <w:tc>
          <w:tcPr>
            <w:tcW w:w="2920" w:type="dxa"/>
            <w:vAlign w:val="bottom"/>
            <w:tcBorders>
              <w:top w:val="single" w:sz="8" w:color="auto"/>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11455 El Camino Real,</w:t>
            </w:r>
          </w:p>
        </w:tc>
        <w:tc>
          <w:tcPr>
            <w:tcW w:w="2180" w:type="dxa"/>
            <w:vAlign w:val="bottom"/>
            <w:tcBorders>
              <w:top w:val="single" w:sz="8" w:color="auto"/>
              <w:right w:val="single" w:sz="8" w:color="auto"/>
            </w:tcBorders>
            <w:shd w:val="clear" w:color="auto" w:fill="FFDEAD"/>
          </w:tcPr>
          <w:p>
            <w:pPr>
              <w:spacing w:after="0"/>
              <w:rPr>
                <w:sz w:val="18"/>
                <w:szCs w:val="18"/>
                <w:color w:val="auto"/>
              </w:rPr>
            </w:pPr>
          </w:p>
        </w:tc>
      </w:tr>
      <w:tr>
        <w:trPr>
          <w:trHeight w:val="259"/>
        </w:trPr>
        <w:tc>
          <w:tcPr>
            <w:tcW w:w="3260" w:type="dxa"/>
            <w:vAlign w:val="bottom"/>
            <w:tcBorders>
              <w:left w:val="single" w:sz="8" w:color="auto"/>
              <w:bottom w:val="single" w:sz="8" w:color="FFDEAD"/>
              <w:right w:val="single" w:sz="8" w:color="auto"/>
            </w:tcBorders>
            <w:shd w:val="clear" w:color="auto" w:fill="FFDEAD"/>
          </w:tcPr>
          <w:p>
            <w:pPr>
              <w:ind w:left="40"/>
              <w:spacing w:after="0"/>
              <w:rPr>
                <w:sz w:val="20"/>
                <w:szCs w:val="20"/>
                <w:color w:val="auto"/>
              </w:rPr>
            </w:pPr>
            <w:r>
              <w:rPr>
                <w:rFonts w:ascii="Arial" w:cs="Arial" w:eastAsia="Arial" w:hAnsi="Arial"/>
                <w:sz w:val="18"/>
                <w:szCs w:val="18"/>
                <w:color w:val="FF0000"/>
                <w:strike w:val="1"/>
              </w:rPr>
              <w:t>Waikele Venture Holdings, LLC</w:t>
            </w:r>
          </w:p>
        </w:tc>
        <w:tc>
          <w:tcPr>
            <w:tcW w:w="2100" w:type="dxa"/>
            <w:vAlign w:val="bottom"/>
            <w:tcBorders>
              <w:bottom w:val="single" w:sz="8" w:color="FFDEAD"/>
              <w:right w:val="single" w:sz="8" w:color="auto"/>
            </w:tcBorders>
            <w:shd w:val="clear" w:color="auto" w:fill="FFDEAD"/>
          </w:tcPr>
          <w:p>
            <w:pPr>
              <w:jc w:val="center"/>
              <w:spacing w:after="0"/>
              <w:rPr>
                <w:sz w:val="20"/>
                <w:szCs w:val="20"/>
                <w:color w:val="auto"/>
              </w:rPr>
            </w:pPr>
            <w:r>
              <w:rPr>
                <w:rFonts w:ascii="Arial" w:cs="Arial" w:eastAsia="Arial" w:hAnsi="Arial"/>
                <w:sz w:val="18"/>
                <w:szCs w:val="18"/>
                <w:color w:val="FF0000"/>
                <w:strike w:val="1"/>
                <w:w w:val="92"/>
              </w:rPr>
              <w:t>Delaware</w:t>
            </w:r>
          </w:p>
        </w:tc>
        <w:tc>
          <w:tcPr>
            <w:tcW w:w="2920" w:type="dxa"/>
            <w:vAlign w:val="bottom"/>
            <w:tcBorders>
              <w:bottom w:val="single" w:sz="8" w:color="FFDEAD"/>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Ste. 200, San Diego, CA</w:t>
            </w:r>
          </w:p>
        </w:tc>
        <w:tc>
          <w:tcPr>
            <w:tcW w:w="2180" w:type="dxa"/>
            <w:vAlign w:val="bottom"/>
            <w:tcBorders>
              <w:bottom w:val="single" w:sz="8" w:color="FFDEAD"/>
              <w:right w:val="single" w:sz="8" w:color="auto"/>
            </w:tcBorders>
            <w:shd w:val="clear" w:color="auto" w:fill="FFDEAD"/>
          </w:tcPr>
          <w:p>
            <w:pPr>
              <w:ind w:left="620"/>
              <w:spacing w:after="0"/>
              <w:rPr>
                <w:sz w:val="20"/>
                <w:szCs w:val="20"/>
                <w:color w:val="auto"/>
              </w:rPr>
            </w:pPr>
            <w:r>
              <w:rPr>
                <w:rFonts w:ascii="Arial" w:cs="Arial" w:eastAsia="Arial" w:hAnsi="Arial"/>
                <w:sz w:val="18"/>
                <w:szCs w:val="18"/>
                <w:color w:val="FF0000"/>
                <w:strike w:val="1"/>
              </w:rPr>
              <w:t>20-1788419</w:t>
            </w:r>
          </w:p>
        </w:tc>
      </w:tr>
      <w:tr>
        <w:trPr>
          <w:trHeight w:val="213"/>
        </w:trPr>
        <w:tc>
          <w:tcPr>
            <w:tcW w:w="3260" w:type="dxa"/>
            <w:vAlign w:val="bottom"/>
            <w:tcBorders>
              <w:top w:val="single" w:sz="8" w:color="auto"/>
              <w:left w:val="single" w:sz="8" w:color="auto"/>
              <w:right w:val="single" w:sz="8" w:color="auto"/>
            </w:tcBorders>
            <w:shd w:val="clear" w:color="auto" w:fill="FFDEAD"/>
          </w:tcPr>
          <w:p>
            <w:pPr>
              <w:spacing w:after="0"/>
              <w:rPr>
                <w:sz w:val="18"/>
                <w:szCs w:val="18"/>
                <w:color w:val="auto"/>
              </w:rPr>
            </w:pPr>
          </w:p>
        </w:tc>
        <w:tc>
          <w:tcPr>
            <w:tcW w:w="2100" w:type="dxa"/>
            <w:vAlign w:val="bottom"/>
            <w:tcBorders>
              <w:top w:val="single" w:sz="8" w:color="auto"/>
              <w:right w:val="single" w:sz="8" w:color="auto"/>
            </w:tcBorders>
            <w:shd w:val="clear" w:color="auto" w:fill="FFDEAD"/>
          </w:tcPr>
          <w:p>
            <w:pPr>
              <w:spacing w:after="0"/>
              <w:rPr>
                <w:sz w:val="18"/>
                <w:szCs w:val="18"/>
                <w:color w:val="auto"/>
              </w:rPr>
            </w:pPr>
          </w:p>
        </w:tc>
        <w:tc>
          <w:tcPr>
            <w:tcW w:w="2920" w:type="dxa"/>
            <w:vAlign w:val="bottom"/>
            <w:tcBorders>
              <w:top w:val="single" w:sz="8" w:color="auto"/>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11455 El Camino Real,</w:t>
            </w:r>
          </w:p>
        </w:tc>
        <w:tc>
          <w:tcPr>
            <w:tcW w:w="2180" w:type="dxa"/>
            <w:vAlign w:val="bottom"/>
            <w:tcBorders>
              <w:top w:val="single" w:sz="8" w:color="auto"/>
              <w:right w:val="single" w:sz="8" w:color="auto"/>
            </w:tcBorders>
            <w:shd w:val="clear" w:color="auto" w:fill="FFDEAD"/>
          </w:tcPr>
          <w:p>
            <w:pPr>
              <w:spacing w:after="0"/>
              <w:rPr>
                <w:sz w:val="18"/>
                <w:szCs w:val="18"/>
                <w:color w:val="auto"/>
              </w:rPr>
            </w:pPr>
          </w:p>
        </w:tc>
      </w:tr>
      <w:tr>
        <w:trPr>
          <w:trHeight w:val="259"/>
        </w:trPr>
        <w:tc>
          <w:tcPr>
            <w:tcW w:w="3260" w:type="dxa"/>
            <w:vAlign w:val="bottom"/>
            <w:tcBorders>
              <w:left w:val="single" w:sz="8" w:color="auto"/>
              <w:bottom w:val="single" w:sz="8" w:color="FFDEAD"/>
              <w:right w:val="single" w:sz="8" w:color="auto"/>
            </w:tcBorders>
            <w:shd w:val="clear" w:color="auto" w:fill="FFDEAD"/>
          </w:tcPr>
          <w:p>
            <w:pPr>
              <w:ind w:left="40"/>
              <w:spacing w:after="0"/>
              <w:rPr>
                <w:sz w:val="20"/>
                <w:szCs w:val="20"/>
                <w:color w:val="auto"/>
              </w:rPr>
            </w:pPr>
            <w:r>
              <w:rPr>
                <w:rFonts w:ascii="Arial" w:cs="Arial" w:eastAsia="Arial" w:hAnsi="Arial"/>
                <w:sz w:val="18"/>
                <w:szCs w:val="18"/>
                <w:color w:val="FF0000"/>
                <w:strike w:val="1"/>
              </w:rPr>
              <w:t>AAT Alamo Quarry, LLC</w:t>
            </w:r>
          </w:p>
        </w:tc>
        <w:tc>
          <w:tcPr>
            <w:tcW w:w="2100" w:type="dxa"/>
            <w:vAlign w:val="bottom"/>
            <w:tcBorders>
              <w:bottom w:val="single" w:sz="8" w:color="FFDEAD"/>
              <w:right w:val="single" w:sz="8" w:color="auto"/>
            </w:tcBorders>
            <w:shd w:val="clear" w:color="auto" w:fill="FFDEAD"/>
          </w:tcPr>
          <w:p>
            <w:pPr>
              <w:jc w:val="center"/>
              <w:spacing w:after="0"/>
              <w:rPr>
                <w:sz w:val="20"/>
                <w:szCs w:val="20"/>
                <w:color w:val="auto"/>
              </w:rPr>
            </w:pPr>
            <w:r>
              <w:rPr>
                <w:rFonts w:ascii="Arial" w:cs="Arial" w:eastAsia="Arial" w:hAnsi="Arial"/>
                <w:sz w:val="18"/>
                <w:szCs w:val="18"/>
                <w:color w:val="FF0000"/>
                <w:strike w:val="1"/>
                <w:w w:val="92"/>
              </w:rPr>
              <w:t>Delaware</w:t>
            </w:r>
          </w:p>
        </w:tc>
        <w:tc>
          <w:tcPr>
            <w:tcW w:w="2920" w:type="dxa"/>
            <w:vAlign w:val="bottom"/>
            <w:tcBorders>
              <w:bottom w:val="single" w:sz="8" w:color="FFDEAD"/>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Ste. 200, San Diego, CA</w:t>
            </w:r>
          </w:p>
        </w:tc>
        <w:tc>
          <w:tcPr>
            <w:tcW w:w="2180" w:type="dxa"/>
            <w:vAlign w:val="bottom"/>
            <w:tcBorders>
              <w:bottom w:val="single" w:sz="8" w:color="FFDEAD"/>
              <w:right w:val="single" w:sz="8" w:color="auto"/>
            </w:tcBorders>
            <w:shd w:val="clear" w:color="auto" w:fill="FFDEAD"/>
          </w:tcPr>
          <w:p>
            <w:pPr>
              <w:ind w:left="620"/>
              <w:spacing w:after="0"/>
              <w:rPr>
                <w:sz w:val="20"/>
                <w:szCs w:val="20"/>
                <w:color w:val="auto"/>
              </w:rPr>
            </w:pPr>
            <w:r>
              <w:rPr>
                <w:rFonts w:ascii="Arial" w:cs="Arial" w:eastAsia="Arial" w:hAnsi="Arial"/>
                <w:sz w:val="18"/>
                <w:szCs w:val="18"/>
                <w:color w:val="FF0000"/>
                <w:strike w:val="1"/>
              </w:rPr>
              <w:t>36-4811431</w:t>
            </w:r>
          </w:p>
        </w:tc>
      </w:tr>
      <w:tr>
        <w:trPr>
          <w:trHeight w:val="213"/>
        </w:trPr>
        <w:tc>
          <w:tcPr>
            <w:tcW w:w="3260" w:type="dxa"/>
            <w:vAlign w:val="bottom"/>
            <w:tcBorders>
              <w:top w:val="single" w:sz="8" w:color="auto"/>
              <w:left w:val="single" w:sz="8" w:color="auto"/>
              <w:right w:val="single" w:sz="8" w:color="auto"/>
            </w:tcBorders>
            <w:shd w:val="clear" w:color="auto" w:fill="FFDEAD"/>
          </w:tcPr>
          <w:p>
            <w:pPr>
              <w:spacing w:after="0"/>
              <w:rPr>
                <w:sz w:val="18"/>
                <w:szCs w:val="18"/>
                <w:color w:val="auto"/>
              </w:rPr>
            </w:pPr>
          </w:p>
        </w:tc>
        <w:tc>
          <w:tcPr>
            <w:tcW w:w="2100" w:type="dxa"/>
            <w:vAlign w:val="bottom"/>
            <w:tcBorders>
              <w:top w:val="single" w:sz="8" w:color="auto"/>
              <w:right w:val="single" w:sz="8" w:color="auto"/>
            </w:tcBorders>
            <w:shd w:val="clear" w:color="auto" w:fill="FFDEAD"/>
          </w:tcPr>
          <w:p>
            <w:pPr>
              <w:spacing w:after="0"/>
              <w:rPr>
                <w:sz w:val="18"/>
                <w:szCs w:val="18"/>
                <w:color w:val="auto"/>
              </w:rPr>
            </w:pPr>
          </w:p>
        </w:tc>
        <w:tc>
          <w:tcPr>
            <w:tcW w:w="2920" w:type="dxa"/>
            <w:vAlign w:val="bottom"/>
            <w:tcBorders>
              <w:top w:val="single" w:sz="8" w:color="auto"/>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11455 El Camino Real,</w:t>
            </w:r>
          </w:p>
        </w:tc>
        <w:tc>
          <w:tcPr>
            <w:tcW w:w="2180" w:type="dxa"/>
            <w:vAlign w:val="bottom"/>
            <w:tcBorders>
              <w:top w:val="single" w:sz="8" w:color="auto"/>
              <w:right w:val="single" w:sz="8" w:color="auto"/>
            </w:tcBorders>
            <w:shd w:val="clear" w:color="auto" w:fill="FFDEAD"/>
          </w:tcPr>
          <w:p>
            <w:pPr>
              <w:spacing w:after="0"/>
              <w:rPr>
                <w:sz w:val="18"/>
                <w:szCs w:val="18"/>
                <w:color w:val="auto"/>
              </w:rPr>
            </w:pPr>
          </w:p>
        </w:tc>
      </w:tr>
      <w:tr>
        <w:trPr>
          <w:trHeight w:val="259"/>
        </w:trPr>
        <w:tc>
          <w:tcPr>
            <w:tcW w:w="3260" w:type="dxa"/>
            <w:vAlign w:val="bottom"/>
            <w:tcBorders>
              <w:left w:val="single" w:sz="8" w:color="auto"/>
              <w:bottom w:val="single" w:sz="8" w:color="FFDEAD"/>
              <w:right w:val="single" w:sz="8" w:color="auto"/>
            </w:tcBorders>
            <w:shd w:val="clear" w:color="auto" w:fill="FFDEAD"/>
          </w:tcPr>
          <w:p>
            <w:pPr>
              <w:ind w:left="40"/>
              <w:spacing w:after="0"/>
              <w:rPr>
                <w:sz w:val="20"/>
                <w:szCs w:val="20"/>
                <w:color w:val="auto"/>
              </w:rPr>
            </w:pPr>
            <w:r>
              <w:rPr>
                <w:rFonts w:ascii="Arial" w:cs="Arial" w:eastAsia="Arial" w:hAnsi="Arial"/>
                <w:sz w:val="18"/>
                <w:szCs w:val="18"/>
                <w:color w:val="FF0000"/>
                <w:strike w:val="1"/>
              </w:rPr>
              <w:t>Pacific Santa Fe Assets LLC</w:t>
            </w:r>
          </w:p>
        </w:tc>
        <w:tc>
          <w:tcPr>
            <w:tcW w:w="2100" w:type="dxa"/>
            <w:vAlign w:val="bottom"/>
            <w:tcBorders>
              <w:bottom w:val="single" w:sz="8" w:color="FFDEAD"/>
              <w:right w:val="single" w:sz="8" w:color="auto"/>
            </w:tcBorders>
            <w:shd w:val="clear" w:color="auto" w:fill="FFDEAD"/>
          </w:tcPr>
          <w:p>
            <w:pPr>
              <w:jc w:val="center"/>
              <w:spacing w:after="0"/>
              <w:rPr>
                <w:sz w:val="20"/>
                <w:szCs w:val="20"/>
                <w:color w:val="auto"/>
              </w:rPr>
            </w:pPr>
            <w:r>
              <w:rPr>
                <w:rFonts w:ascii="Arial" w:cs="Arial" w:eastAsia="Arial" w:hAnsi="Arial"/>
                <w:sz w:val="18"/>
                <w:szCs w:val="18"/>
                <w:color w:val="FF0000"/>
                <w:strike w:val="1"/>
                <w:w w:val="92"/>
              </w:rPr>
              <w:t>Delaware</w:t>
            </w:r>
          </w:p>
        </w:tc>
        <w:tc>
          <w:tcPr>
            <w:tcW w:w="2920" w:type="dxa"/>
            <w:vAlign w:val="bottom"/>
            <w:tcBorders>
              <w:bottom w:val="single" w:sz="8" w:color="FFDEAD"/>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Ste. 200, San Diego, CA</w:t>
            </w:r>
          </w:p>
        </w:tc>
        <w:tc>
          <w:tcPr>
            <w:tcW w:w="2180" w:type="dxa"/>
            <w:vAlign w:val="bottom"/>
            <w:tcBorders>
              <w:bottom w:val="single" w:sz="8" w:color="FFDEAD"/>
              <w:right w:val="single" w:sz="8" w:color="auto"/>
            </w:tcBorders>
            <w:shd w:val="clear" w:color="auto" w:fill="FFDEAD"/>
          </w:tcPr>
          <w:p>
            <w:pPr>
              <w:ind w:left="620"/>
              <w:spacing w:after="0"/>
              <w:rPr>
                <w:sz w:val="20"/>
                <w:szCs w:val="20"/>
                <w:color w:val="auto"/>
              </w:rPr>
            </w:pPr>
            <w:r>
              <w:rPr>
                <w:rFonts w:ascii="Arial" w:cs="Arial" w:eastAsia="Arial" w:hAnsi="Arial"/>
                <w:sz w:val="18"/>
                <w:szCs w:val="18"/>
                <w:color w:val="FF0000"/>
                <w:strike w:val="1"/>
              </w:rPr>
              <w:t>27-4544339</w:t>
            </w:r>
          </w:p>
        </w:tc>
      </w:tr>
      <w:tr>
        <w:trPr>
          <w:trHeight w:val="213"/>
        </w:trPr>
        <w:tc>
          <w:tcPr>
            <w:tcW w:w="3260" w:type="dxa"/>
            <w:vAlign w:val="bottom"/>
            <w:tcBorders>
              <w:top w:val="single" w:sz="8" w:color="auto"/>
              <w:left w:val="single" w:sz="8" w:color="auto"/>
              <w:right w:val="single" w:sz="8" w:color="auto"/>
            </w:tcBorders>
            <w:shd w:val="clear" w:color="auto" w:fill="FFDEAD"/>
          </w:tcPr>
          <w:p>
            <w:pPr>
              <w:spacing w:after="0"/>
              <w:rPr>
                <w:sz w:val="18"/>
                <w:szCs w:val="18"/>
                <w:color w:val="auto"/>
              </w:rPr>
            </w:pPr>
          </w:p>
        </w:tc>
        <w:tc>
          <w:tcPr>
            <w:tcW w:w="2100" w:type="dxa"/>
            <w:vAlign w:val="bottom"/>
            <w:tcBorders>
              <w:top w:val="single" w:sz="8" w:color="auto"/>
              <w:right w:val="single" w:sz="8" w:color="auto"/>
            </w:tcBorders>
            <w:shd w:val="clear" w:color="auto" w:fill="FFDEAD"/>
          </w:tcPr>
          <w:p>
            <w:pPr>
              <w:spacing w:after="0"/>
              <w:rPr>
                <w:sz w:val="18"/>
                <w:szCs w:val="18"/>
                <w:color w:val="auto"/>
              </w:rPr>
            </w:pPr>
          </w:p>
        </w:tc>
        <w:tc>
          <w:tcPr>
            <w:tcW w:w="2920" w:type="dxa"/>
            <w:vAlign w:val="bottom"/>
            <w:tcBorders>
              <w:top w:val="single" w:sz="8" w:color="auto"/>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11455 El Camino Real,</w:t>
            </w:r>
          </w:p>
        </w:tc>
        <w:tc>
          <w:tcPr>
            <w:tcW w:w="2180" w:type="dxa"/>
            <w:vAlign w:val="bottom"/>
            <w:tcBorders>
              <w:top w:val="single" w:sz="8" w:color="auto"/>
              <w:right w:val="single" w:sz="8" w:color="auto"/>
            </w:tcBorders>
            <w:shd w:val="clear" w:color="auto" w:fill="FFDEAD"/>
          </w:tcPr>
          <w:p>
            <w:pPr>
              <w:spacing w:after="0"/>
              <w:rPr>
                <w:sz w:val="18"/>
                <w:szCs w:val="18"/>
                <w:color w:val="auto"/>
              </w:rPr>
            </w:pPr>
          </w:p>
        </w:tc>
      </w:tr>
      <w:tr>
        <w:trPr>
          <w:trHeight w:val="259"/>
        </w:trPr>
        <w:tc>
          <w:tcPr>
            <w:tcW w:w="3260" w:type="dxa"/>
            <w:vAlign w:val="bottom"/>
            <w:tcBorders>
              <w:left w:val="single" w:sz="8" w:color="auto"/>
              <w:bottom w:val="single" w:sz="8" w:color="FFDEAD"/>
              <w:right w:val="single" w:sz="8" w:color="auto"/>
            </w:tcBorders>
            <w:shd w:val="clear" w:color="auto" w:fill="FFDEAD"/>
          </w:tcPr>
          <w:p>
            <w:pPr>
              <w:ind w:left="40"/>
              <w:spacing w:after="0"/>
              <w:rPr>
                <w:sz w:val="20"/>
                <w:szCs w:val="20"/>
                <w:color w:val="auto"/>
              </w:rPr>
            </w:pPr>
            <w:r>
              <w:rPr>
                <w:rFonts w:ascii="Arial" w:cs="Arial" w:eastAsia="Arial" w:hAnsi="Arial"/>
                <w:sz w:val="18"/>
                <w:szCs w:val="18"/>
                <w:color w:val="FF0000"/>
                <w:strike w:val="1"/>
              </w:rPr>
              <w:t>Pacific Santa Fe Holdings, L.P.</w:t>
            </w:r>
          </w:p>
        </w:tc>
        <w:tc>
          <w:tcPr>
            <w:tcW w:w="2100" w:type="dxa"/>
            <w:vAlign w:val="bottom"/>
            <w:tcBorders>
              <w:bottom w:val="single" w:sz="8" w:color="FFDEAD"/>
              <w:right w:val="single" w:sz="8" w:color="auto"/>
            </w:tcBorders>
            <w:shd w:val="clear" w:color="auto" w:fill="FFDEAD"/>
          </w:tcPr>
          <w:p>
            <w:pPr>
              <w:jc w:val="center"/>
              <w:spacing w:after="0"/>
              <w:rPr>
                <w:sz w:val="20"/>
                <w:szCs w:val="20"/>
                <w:color w:val="auto"/>
              </w:rPr>
            </w:pPr>
            <w:r>
              <w:rPr>
                <w:rFonts w:ascii="Arial" w:cs="Arial" w:eastAsia="Arial" w:hAnsi="Arial"/>
                <w:sz w:val="18"/>
                <w:szCs w:val="18"/>
                <w:color w:val="FF0000"/>
                <w:strike w:val="1"/>
                <w:w w:val="97"/>
              </w:rPr>
              <w:t>California</w:t>
            </w:r>
          </w:p>
        </w:tc>
        <w:tc>
          <w:tcPr>
            <w:tcW w:w="2920" w:type="dxa"/>
            <w:vAlign w:val="bottom"/>
            <w:tcBorders>
              <w:bottom w:val="single" w:sz="8" w:color="FFDEAD"/>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Ste. 200, San Diego, CA</w:t>
            </w:r>
          </w:p>
        </w:tc>
        <w:tc>
          <w:tcPr>
            <w:tcW w:w="2180" w:type="dxa"/>
            <w:vAlign w:val="bottom"/>
            <w:tcBorders>
              <w:bottom w:val="single" w:sz="8" w:color="FFDEAD"/>
              <w:right w:val="single" w:sz="8" w:color="auto"/>
            </w:tcBorders>
            <w:shd w:val="clear" w:color="auto" w:fill="FFDEAD"/>
          </w:tcPr>
          <w:p>
            <w:pPr>
              <w:ind w:left="620"/>
              <w:spacing w:after="0"/>
              <w:rPr>
                <w:sz w:val="20"/>
                <w:szCs w:val="20"/>
                <w:color w:val="auto"/>
              </w:rPr>
            </w:pPr>
            <w:r>
              <w:rPr>
                <w:rFonts w:ascii="Arial" w:cs="Arial" w:eastAsia="Arial" w:hAnsi="Arial"/>
                <w:sz w:val="18"/>
                <w:szCs w:val="18"/>
                <w:color w:val="FF0000"/>
                <w:strike w:val="1"/>
              </w:rPr>
              <w:t>33-0782162</w:t>
            </w:r>
          </w:p>
        </w:tc>
      </w:tr>
      <w:tr>
        <w:trPr>
          <w:trHeight w:val="213"/>
        </w:trPr>
        <w:tc>
          <w:tcPr>
            <w:tcW w:w="3260" w:type="dxa"/>
            <w:vAlign w:val="bottom"/>
            <w:tcBorders>
              <w:top w:val="single" w:sz="8" w:color="auto"/>
              <w:left w:val="single" w:sz="8" w:color="auto"/>
              <w:right w:val="single" w:sz="8" w:color="auto"/>
            </w:tcBorders>
            <w:shd w:val="clear" w:color="auto" w:fill="FFDEAD"/>
          </w:tcPr>
          <w:p>
            <w:pPr>
              <w:spacing w:after="0"/>
              <w:rPr>
                <w:sz w:val="18"/>
                <w:szCs w:val="18"/>
                <w:color w:val="auto"/>
              </w:rPr>
            </w:pPr>
          </w:p>
        </w:tc>
        <w:tc>
          <w:tcPr>
            <w:tcW w:w="2100" w:type="dxa"/>
            <w:vAlign w:val="bottom"/>
            <w:tcBorders>
              <w:top w:val="single" w:sz="8" w:color="auto"/>
              <w:right w:val="single" w:sz="8" w:color="auto"/>
            </w:tcBorders>
            <w:shd w:val="clear" w:color="auto" w:fill="FFDEAD"/>
          </w:tcPr>
          <w:p>
            <w:pPr>
              <w:spacing w:after="0"/>
              <w:rPr>
                <w:sz w:val="18"/>
                <w:szCs w:val="18"/>
                <w:color w:val="auto"/>
              </w:rPr>
            </w:pPr>
          </w:p>
        </w:tc>
        <w:tc>
          <w:tcPr>
            <w:tcW w:w="2920" w:type="dxa"/>
            <w:vAlign w:val="bottom"/>
            <w:tcBorders>
              <w:top w:val="single" w:sz="8" w:color="auto"/>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11455 El Camino Real,</w:t>
            </w:r>
          </w:p>
        </w:tc>
        <w:tc>
          <w:tcPr>
            <w:tcW w:w="2180" w:type="dxa"/>
            <w:vAlign w:val="bottom"/>
            <w:tcBorders>
              <w:top w:val="single" w:sz="8" w:color="auto"/>
              <w:right w:val="single" w:sz="8" w:color="auto"/>
            </w:tcBorders>
            <w:shd w:val="clear" w:color="auto" w:fill="FFDEAD"/>
          </w:tcPr>
          <w:p>
            <w:pPr>
              <w:spacing w:after="0"/>
              <w:rPr>
                <w:sz w:val="18"/>
                <w:szCs w:val="18"/>
                <w:color w:val="auto"/>
              </w:rPr>
            </w:pPr>
          </w:p>
        </w:tc>
      </w:tr>
      <w:tr>
        <w:trPr>
          <w:trHeight w:val="259"/>
        </w:trPr>
        <w:tc>
          <w:tcPr>
            <w:tcW w:w="3260" w:type="dxa"/>
            <w:vAlign w:val="bottom"/>
            <w:tcBorders>
              <w:left w:val="single" w:sz="8" w:color="auto"/>
              <w:bottom w:val="single" w:sz="8" w:color="FFDEAD"/>
              <w:right w:val="single" w:sz="8" w:color="auto"/>
            </w:tcBorders>
            <w:shd w:val="clear" w:color="auto" w:fill="FFDEAD"/>
          </w:tcPr>
          <w:p>
            <w:pPr>
              <w:ind w:left="40"/>
              <w:spacing w:after="0"/>
              <w:rPr>
                <w:sz w:val="20"/>
                <w:szCs w:val="20"/>
                <w:color w:val="auto"/>
              </w:rPr>
            </w:pPr>
            <w:r>
              <w:rPr>
                <w:rFonts w:ascii="Arial" w:cs="Arial" w:eastAsia="Arial" w:hAnsi="Arial"/>
                <w:sz w:val="18"/>
                <w:szCs w:val="18"/>
                <w:color w:val="FF0000"/>
                <w:strike w:val="1"/>
              </w:rPr>
              <w:t>ABW 2181 Holdings LLC</w:t>
            </w:r>
          </w:p>
        </w:tc>
        <w:tc>
          <w:tcPr>
            <w:tcW w:w="2100" w:type="dxa"/>
            <w:vAlign w:val="bottom"/>
            <w:tcBorders>
              <w:bottom w:val="single" w:sz="8" w:color="FFDEAD"/>
              <w:right w:val="single" w:sz="8" w:color="auto"/>
            </w:tcBorders>
            <w:shd w:val="clear" w:color="auto" w:fill="FFDEAD"/>
          </w:tcPr>
          <w:p>
            <w:pPr>
              <w:jc w:val="center"/>
              <w:spacing w:after="0"/>
              <w:rPr>
                <w:sz w:val="20"/>
                <w:szCs w:val="20"/>
                <w:color w:val="auto"/>
              </w:rPr>
            </w:pPr>
            <w:r>
              <w:rPr>
                <w:rFonts w:ascii="Arial" w:cs="Arial" w:eastAsia="Arial" w:hAnsi="Arial"/>
                <w:sz w:val="18"/>
                <w:szCs w:val="18"/>
                <w:color w:val="FF0000"/>
                <w:strike w:val="1"/>
                <w:w w:val="99"/>
              </w:rPr>
              <w:t>Hawaii</w:t>
            </w:r>
          </w:p>
        </w:tc>
        <w:tc>
          <w:tcPr>
            <w:tcW w:w="2920" w:type="dxa"/>
            <w:vAlign w:val="bottom"/>
            <w:tcBorders>
              <w:bottom w:val="single" w:sz="8" w:color="FFDEAD"/>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Ste. 200, San Diego, CA</w:t>
            </w:r>
          </w:p>
        </w:tc>
        <w:tc>
          <w:tcPr>
            <w:tcW w:w="2180" w:type="dxa"/>
            <w:vAlign w:val="bottom"/>
            <w:tcBorders>
              <w:bottom w:val="single" w:sz="8" w:color="FFDEAD"/>
              <w:right w:val="single" w:sz="8" w:color="auto"/>
            </w:tcBorders>
            <w:shd w:val="clear" w:color="auto" w:fill="FFDEAD"/>
          </w:tcPr>
          <w:p>
            <w:pPr>
              <w:ind w:left="620"/>
              <w:spacing w:after="0"/>
              <w:rPr>
                <w:sz w:val="20"/>
                <w:szCs w:val="20"/>
                <w:color w:val="auto"/>
              </w:rPr>
            </w:pPr>
            <w:r>
              <w:rPr>
                <w:rFonts w:ascii="Arial" w:cs="Arial" w:eastAsia="Arial" w:hAnsi="Arial"/>
                <w:sz w:val="18"/>
                <w:szCs w:val="18"/>
                <w:color w:val="FF0000"/>
                <w:strike w:val="1"/>
              </w:rPr>
              <w:t>26-1280397</w:t>
            </w:r>
          </w:p>
        </w:tc>
      </w:tr>
      <w:tr>
        <w:trPr>
          <w:trHeight w:val="213"/>
        </w:trPr>
        <w:tc>
          <w:tcPr>
            <w:tcW w:w="3260" w:type="dxa"/>
            <w:vAlign w:val="bottom"/>
            <w:tcBorders>
              <w:top w:val="single" w:sz="8" w:color="auto"/>
              <w:left w:val="single" w:sz="8" w:color="auto"/>
              <w:right w:val="single" w:sz="8" w:color="auto"/>
            </w:tcBorders>
            <w:shd w:val="clear" w:color="auto" w:fill="FFDEAD"/>
          </w:tcPr>
          <w:p>
            <w:pPr>
              <w:spacing w:after="0"/>
              <w:rPr>
                <w:sz w:val="18"/>
                <w:szCs w:val="18"/>
                <w:color w:val="auto"/>
              </w:rPr>
            </w:pPr>
          </w:p>
        </w:tc>
        <w:tc>
          <w:tcPr>
            <w:tcW w:w="2100" w:type="dxa"/>
            <w:vAlign w:val="bottom"/>
            <w:tcBorders>
              <w:top w:val="single" w:sz="8" w:color="auto"/>
              <w:right w:val="single" w:sz="8" w:color="auto"/>
            </w:tcBorders>
            <w:shd w:val="clear" w:color="auto" w:fill="FFDEAD"/>
          </w:tcPr>
          <w:p>
            <w:pPr>
              <w:spacing w:after="0"/>
              <w:rPr>
                <w:sz w:val="18"/>
                <w:szCs w:val="18"/>
                <w:color w:val="auto"/>
              </w:rPr>
            </w:pPr>
          </w:p>
        </w:tc>
        <w:tc>
          <w:tcPr>
            <w:tcW w:w="2920" w:type="dxa"/>
            <w:vAlign w:val="bottom"/>
            <w:tcBorders>
              <w:top w:val="single" w:sz="8" w:color="auto"/>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11455 El Camino Real,</w:t>
            </w:r>
          </w:p>
        </w:tc>
        <w:tc>
          <w:tcPr>
            <w:tcW w:w="2180" w:type="dxa"/>
            <w:vAlign w:val="bottom"/>
            <w:tcBorders>
              <w:top w:val="single" w:sz="8" w:color="auto"/>
              <w:right w:val="single" w:sz="8" w:color="auto"/>
            </w:tcBorders>
            <w:shd w:val="clear" w:color="auto" w:fill="FFDEAD"/>
          </w:tcPr>
          <w:p>
            <w:pPr>
              <w:spacing w:after="0"/>
              <w:rPr>
                <w:sz w:val="18"/>
                <w:szCs w:val="18"/>
                <w:color w:val="auto"/>
              </w:rPr>
            </w:pPr>
          </w:p>
        </w:tc>
      </w:tr>
      <w:tr>
        <w:trPr>
          <w:trHeight w:val="259"/>
        </w:trPr>
        <w:tc>
          <w:tcPr>
            <w:tcW w:w="3260" w:type="dxa"/>
            <w:vAlign w:val="bottom"/>
            <w:tcBorders>
              <w:left w:val="single" w:sz="8" w:color="auto"/>
              <w:bottom w:val="single" w:sz="8" w:color="FFDEAD"/>
              <w:right w:val="single" w:sz="8" w:color="auto"/>
            </w:tcBorders>
            <w:shd w:val="clear" w:color="auto" w:fill="FFDEAD"/>
          </w:tcPr>
          <w:p>
            <w:pPr>
              <w:ind w:left="40"/>
              <w:spacing w:after="0"/>
              <w:rPr>
                <w:sz w:val="20"/>
                <w:szCs w:val="20"/>
                <w:color w:val="auto"/>
              </w:rPr>
            </w:pPr>
            <w:r>
              <w:rPr>
                <w:rFonts w:ascii="Arial" w:cs="Arial" w:eastAsia="Arial" w:hAnsi="Arial"/>
                <w:sz w:val="18"/>
                <w:szCs w:val="18"/>
                <w:color w:val="FF0000"/>
                <w:strike w:val="1"/>
              </w:rPr>
              <w:t>AAT Solana 101, LLC</w:t>
            </w:r>
          </w:p>
        </w:tc>
        <w:tc>
          <w:tcPr>
            <w:tcW w:w="2100" w:type="dxa"/>
            <w:vAlign w:val="bottom"/>
            <w:tcBorders>
              <w:bottom w:val="single" w:sz="8" w:color="FFDEAD"/>
              <w:right w:val="single" w:sz="8" w:color="auto"/>
            </w:tcBorders>
            <w:shd w:val="clear" w:color="auto" w:fill="FFDEAD"/>
          </w:tcPr>
          <w:p>
            <w:pPr>
              <w:jc w:val="center"/>
              <w:spacing w:after="0"/>
              <w:rPr>
                <w:sz w:val="20"/>
                <w:szCs w:val="20"/>
                <w:color w:val="auto"/>
              </w:rPr>
            </w:pPr>
            <w:r>
              <w:rPr>
                <w:rFonts w:ascii="Arial" w:cs="Arial" w:eastAsia="Arial" w:hAnsi="Arial"/>
                <w:sz w:val="18"/>
                <w:szCs w:val="18"/>
                <w:color w:val="FF0000"/>
                <w:strike w:val="1"/>
                <w:w w:val="92"/>
              </w:rPr>
              <w:t>Delaware</w:t>
            </w:r>
          </w:p>
        </w:tc>
        <w:tc>
          <w:tcPr>
            <w:tcW w:w="2920" w:type="dxa"/>
            <w:vAlign w:val="bottom"/>
            <w:tcBorders>
              <w:bottom w:val="single" w:sz="8" w:color="FFDEAD"/>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Ste. 200, San Diego, CA</w:t>
            </w:r>
          </w:p>
        </w:tc>
        <w:tc>
          <w:tcPr>
            <w:tcW w:w="2180" w:type="dxa"/>
            <w:vAlign w:val="bottom"/>
            <w:tcBorders>
              <w:bottom w:val="single" w:sz="8" w:color="FFDEAD"/>
              <w:right w:val="single" w:sz="8" w:color="auto"/>
            </w:tcBorders>
            <w:shd w:val="clear" w:color="auto" w:fill="FFDEAD"/>
          </w:tcPr>
          <w:p>
            <w:pPr>
              <w:ind w:left="620"/>
              <w:spacing w:after="0"/>
              <w:rPr>
                <w:sz w:val="20"/>
                <w:szCs w:val="20"/>
                <w:color w:val="auto"/>
              </w:rPr>
            </w:pPr>
            <w:r>
              <w:rPr>
                <w:rFonts w:ascii="Arial" w:cs="Arial" w:eastAsia="Arial" w:hAnsi="Arial"/>
                <w:sz w:val="18"/>
                <w:szCs w:val="18"/>
                <w:color w:val="FF0000"/>
                <w:strike w:val="1"/>
              </w:rPr>
              <w:t>45-2963517</w:t>
            </w:r>
          </w:p>
        </w:tc>
      </w:tr>
      <w:tr>
        <w:trPr>
          <w:trHeight w:val="213"/>
        </w:trPr>
        <w:tc>
          <w:tcPr>
            <w:tcW w:w="3260" w:type="dxa"/>
            <w:vAlign w:val="bottom"/>
            <w:tcBorders>
              <w:top w:val="single" w:sz="8" w:color="auto"/>
              <w:left w:val="single" w:sz="8" w:color="auto"/>
              <w:right w:val="single" w:sz="8" w:color="auto"/>
            </w:tcBorders>
            <w:shd w:val="clear" w:color="auto" w:fill="FFDEAD"/>
          </w:tcPr>
          <w:p>
            <w:pPr>
              <w:spacing w:after="0"/>
              <w:rPr>
                <w:sz w:val="18"/>
                <w:szCs w:val="18"/>
                <w:color w:val="auto"/>
              </w:rPr>
            </w:pPr>
          </w:p>
        </w:tc>
        <w:tc>
          <w:tcPr>
            <w:tcW w:w="2100" w:type="dxa"/>
            <w:vAlign w:val="bottom"/>
            <w:tcBorders>
              <w:top w:val="single" w:sz="8" w:color="auto"/>
              <w:right w:val="single" w:sz="8" w:color="auto"/>
            </w:tcBorders>
            <w:shd w:val="clear" w:color="auto" w:fill="FFDEAD"/>
          </w:tcPr>
          <w:p>
            <w:pPr>
              <w:spacing w:after="0"/>
              <w:rPr>
                <w:sz w:val="18"/>
                <w:szCs w:val="18"/>
                <w:color w:val="auto"/>
              </w:rPr>
            </w:pPr>
          </w:p>
        </w:tc>
        <w:tc>
          <w:tcPr>
            <w:tcW w:w="2920" w:type="dxa"/>
            <w:vAlign w:val="bottom"/>
            <w:tcBorders>
              <w:top w:val="single" w:sz="8" w:color="auto"/>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11455 El Camino Real,</w:t>
            </w:r>
          </w:p>
        </w:tc>
        <w:tc>
          <w:tcPr>
            <w:tcW w:w="2180" w:type="dxa"/>
            <w:vAlign w:val="bottom"/>
            <w:tcBorders>
              <w:top w:val="single" w:sz="8" w:color="auto"/>
              <w:right w:val="single" w:sz="8" w:color="auto"/>
            </w:tcBorders>
            <w:shd w:val="clear" w:color="auto" w:fill="FFDEAD"/>
          </w:tcPr>
          <w:p>
            <w:pPr>
              <w:spacing w:after="0"/>
              <w:rPr>
                <w:sz w:val="18"/>
                <w:szCs w:val="18"/>
                <w:color w:val="auto"/>
              </w:rPr>
            </w:pPr>
          </w:p>
        </w:tc>
      </w:tr>
      <w:tr>
        <w:trPr>
          <w:trHeight w:val="234"/>
        </w:trPr>
        <w:tc>
          <w:tcPr>
            <w:tcW w:w="3260" w:type="dxa"/>
            <w:vAlign w:val="bottom"/>
            <w:tcBorders>
              <w:left w:val="single" w:sz="8" w:color="auto"/>
              <w:bottom w:val="single" w:sz="8" w:color="FFDEAD"/>
              <w:right w:val="single" w:sz="8" w:color="auto"/>
            </w:tcBorders>
            <w:shd w:val="clear" w:color="auto" w:fill="FFDEAD"/>
          </w:tcPr>
          <w:p>
            <w:pPr>
              <w:ind w:left="40"/>
              <w:spacing w:after="0"/>
              <w:rPr>
                <w:sz w:val="20"/>
                <w:szCs w:val="20"/>
                <w:color w:val="auto"/>
              </w:rPr>
            </w:pPr>
            <w:r>
              <w:rPr>
                <w:rFonts w:ascii="Arial" w:cs="Arial" w:eastAsia="Arial" w:hAnsi="Arial"/>
                <w:sz w:val="18"/>
                <w:szCs w:val="18"/>
                <w:color w:val="FF0000"/>
                <w:strike w:val="1"/>
              </w:rPr>
              <w:t>AAT Geary Marketplace, LLC</w:t>
            </w:r>
          </w:p>
        </w:tc>
        <w:tc>
          <w:tcPr>
            <w:tcW w:w="2100" w:type="dxa"/>
            <w:vAlign w:val="bottom"/>
            <w:tcBorders>
              <w:bottom w:val="single" w:sz="8" w:color="FFDEAD"/>
              <w:right w:val="single" w:sz="8" w:color="auto"/>
            </w:tcBorders>
            <w:shd w:val="clear" w:color="auto" w:fill="FFDEAD"/>
          </w:tcPr>
          <w:p>
            <w:pPr>
              <w:jc w:val="center"/>
              <w:spacing w:after="0"/>
              <w:rPr>
                <w:sz w:val="20"/>
                <w:szCs w:val="20"/>
                <w:color w:val="auto"/>
              </w:rPr>
            </w:pPr>
            <w:r>
              <w:rPr>
                <w:rFonts w:ascii="Arial" w:cs="Arial" w:eastAsia="Arial" w:hAnsi="Arial"/>
                <w:sz w:val="18"/>
                <w:szCs w:val="18"/>
                <w:color w:val="FF0000"/>
                <w:strike w:val="1"/>
                <w:w w:val="92"/>
              </w:rPr>
              <w:t>Delaware</w:t>
            </w:r>
          </w:p>
        </w:tc>
        <w:tc>
          <w:tcPr>
            <w:tcW w:w="2920" w:type="dxa"/>
            <w:vAlign w:val="bottom"/>
            <w:tcBorders>
              <w:bottom w:val="single" w:sz="8" w:color="FFDEAD"/>
              <w:right w:val="single" w:sz="8" w:color="auto"/>
            </w:tcBorders>
            <w:shd w:val="clear" w:color="auto" w:fill="FFDEAD"/>
          </w:tcPr>
          <w:p>
            <w:pPr>
              <w:spacing w:after="0"/>
              <w:rPr>
                <w:sz w:val="20"/>
                <w:szCs w:val="20"/>
                <w:color w:val="auto"/>
              </w:rPr>
            </w:pPr>
            <w:r>
              <w:rPr>
                <w:rFonts w:ascii="Arial" w:cs="Arial" w:eastAsia="Arial" w:hAnsi="Arial"/>
                <w:sz w:val="18"/>
                <w:szCs w:val="18"/>
                <w:color w:val="FF0000"/>
                <w:strike w:val="1"/>
              </w:rPr>
              <w:t>Ste. 200, San Diego, CA</w:t>
            </w:r>
          </w:p>
        </w:tc>
        <w:tc>
          <w:tcPr>
            <w:tcW w:w="2180" w:type="dxa"/>
            <w:vAlign w:val="bottom"/>
            <w:tcBorders>
              <w:bottom w:val="single" w:sz="8" w:color="FFDEAD"/>
              <w:right w:val="single" w:sz="8" w:color="auto"/>
            </w:tcBorders>
            <w:shd w:val="clear" w:color="auto" w:fill="FFDEAD"/>
          </w:tcPr>
          <w:p>
            <w:pPr>
              <w:ind w:left="620"/>
              <w:spacing w:after="0"/>
              <w:rPr>
                <w:sz w:val="20"/>
                <w:szCs w:val="20"/>
                <w:color w:val="auto"/>
              </w:rPr>
            </w:pPr>
            <w:r>
              <w:rPr>
                <w:rFonts w:ascii="Arial" w:cs="Arial" w:eastAsia="Arial" w:hAnsi="Arial"/>
                <w:sz w:val="18"/>
                <w:szCs w:val="18"/>
                <w:color w:val="FF0000"/>
                <w:strike w:val="1"/>
              </w:rPr>
              <w:t>61-1691511</w:t>
            </w:r>
          </w:p>
        </w:tc>
      </w:tr>
      <w:tr>
        <w:trPr>
          <w:trHeight w:val="20"/>
        </w:trPr>
        <w:tc>
          <w:tcPr>
            <w:tcW w:w="32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100" w:type="dxa"/>
            <w:vAlign w:val="bottom"/>
            <w:tcBorders>
              <w:right w:val="single" w:sz="8" w:color="auto"/>
            </w:tcBorders>
            <w:shd w:val="clear" w:color="auto" w:fill="000000"/>
          </w:tcPr>
          <w:p>
            <w:pPr>
              <w:spacing w:after="0" w:line="20" w:lineRule="exact"/>
              <w:rPr>
                <w:sz w:val="1"/>
                <w:szCs w:val="1"/>
                <w:color w:val="auto"/>
              </w:rPr>
            </w:pPr>
          </w:p>
        </w:tc>
        <w:tc>
          <w:tcPr>
            <w:tcW w:w="2920" w:type="dxa"/>
            <w:vAlign w:val="bottom"/>
            <w:tcBorders>
              <w:right w:val="single" w:sz="8" w:color="auto"/>
            </w:tcBorders>
            <w:shd w:val="clear" w:color="auto" w:fill="000000"/>
          </w:tcPr>
          <w:p>
            <w:pPr>
              <w:spacing w:after="0" w:line="20" w:lineRule="exact"/>
              <w:rPr>
                <w:sz w:val="1"/>
                <w:szCs w:val="1"/>
                <w:color w:val="auto"/>
              </w:rPr>
            </w:pPr>
          </w:p>
        </w:tc>
        <w:tc>
          <w:tcPr>
            <w:tcW w:w="218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0460"/>
          </w:cols>
          <w:pgMar w:left="740" w:top="906" w:right="699" w:bottom="1440" w:gutter="0" w:footer="0" w:header="0"/>
        </w:sectPr>
      </w:pPr>
    </w:p>
    <w:bookmarkStart w:id="359" w:name="page360"/>
    <w:bookmarkEnd w:id="3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469900</wp:posOffset>
            </wp:positionH>
            <wp:positionV relativeFrom="page">
              <wp:posOffset>588645</wp:posOffset>
            </wp:positionV>
            <wp:extent cx="6638290" cy="49568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638290" cy="49568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2"/>
        </w:trPr>
        <w:tc>
          <w:tcPr>
            <w:tcW w:w="3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11455 El Camino Real,</w:t>
            </w:r>
          </w:p>
        </w:tc>
        <w:tc>
          <w:tcPr>
            <w:tcW w:w="1760" w:type="dxa"/>
            <w:vAlign w:val="bottom"/>
          </w:tcPr>
          <w:p>
            <w:pPr>
              <w:spacing w:after="0"/>
              <w:rPr>
                <w:sz w:val="18"/>
                <w:szCs w:val="18"/>
                <w:color w:val="auto"/>
              </w:rPr>
            </w:pPr>
          </w:p>
        </w:tc>
      </w:tr>
      <w:tr>
        <w:trPr>
          <w:trHeight w:val="233"/>
        </w:trPr>
        <w:tc>
          <w:tcPr>
            <w:tcW w:w="3320" w:type="dxa"/>
            <w:vAlign w:val="bottom"/>
          </w:tcPr>
          <w:p>
            <w:pPr>
              <w:spacing w:after="0"/>
              <w:rPr>
                <w:sz w:val="20"/>
                <w:szCs w:val="20"/>
                <w:color w:val="auto"/>
              </w:rPr>
            </w:pPr>
            <w:r>
              <w:rPr>
                <w:rFonts w:ascii="Arial" w:cs="Arial" w:eastAsia="Arial" w:hAnsi="Arial"/>
                <w:sz w:val="18"/>
                <w:szCs w:val="18"/>
                <w:color w:val="FF0000"/>
                <w:strike w:val="1"/>
              </w:rPr>
              <w:t>AAT Torrey Reserve 6, LLC</w:t>
            </w:r>
          </w:p>
        </w:tc>
        <w:tc>
          <w:tcPr>
            <w:tcW w:w="1660" w:type="dxa"/>
            <w:vAlign w:val="bottom"/>
          </w:tcPr>
          <w:p>
            <w:pPr>
              <w:ind w:left="580"/>
              <w:spacing w:after="0"/>
              <w:rPr>
                <w:sz w:val="20"/>
                <w:szCs w:val="20"/>
                <w:color w:val="auto"/>
              </w:rPr>
            </w:pPr>
            <w:r>
              <w:rPr>
                <w:rFonts w:ascii="Arial" w:cs="Arial" w:eastAsia="Arial" w:hAnsi="Arial"/>
                <w:sz w:val="18"/>
                <w:szCs w:val="18"/>
                <w:color w:val="FF0000"/>
                <w:strike w:val="1"/>
              </w:rPr>
              <w:t>Delaware</w:t>
            </w: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Ste. 200, San Diego, CA</w:t>
            </w:r>
          </w:p>
        </w:tc>
        <w:tc>
          <w:tcPr>
            <w:tcW w:w="1760" w:type="dxa"/>
            <w:vAlign w:val="bottom"/>
          </w:tcPr>
          <w:p>
            <w:pPr>
              <w:jc w:val="right"/>
              <w:spacing w:after="0"/>
              <w:rPr>
                <w:sz w:val="20"/>
                <w:szCs w:val="20"/>
                <w:color w:val="auto"/>
              </w:rPr>
            </w:pPr>
            <w:r>
              <w:rPr>
                <w:rFonts w:ascii="Arial" w:cs="Arial" w:eastAsia="Arial" w:hAnsi="Arial"/>
                <w:sz w:val="18"/>
                <w:szCs w:val="18"/>
                <w:color w:val="FF0000"/>
                <w:strike w:val="1"/>
              </w:rPr>
              <w:t>37-1740551</w:t>
            </w:r>
          </w:p>
        </w:tc>
      </w:tr>
      <w:tr>
        <w:trPr>
          <w:trHeight w:val="254"/>
        </w:trPr>
        <w:tc>
          <w:tcPr>
            <w:tcW w:w="33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11455 El Camino Real,</w:t>
            </w:r>
          </w:p>
        </w:tc>
        <w:tc>
          <w:tcPr>
            <w:tcW w:w="1760" w:type="dxa"/>
            <w:vAlign w:val="bottom"/>
          </w:tcPr>
          <w:p>
            <w:pPr>
              <w:spacing w:after="0"/>
              <w:rPr>
                <w:sz w:val="22"/>
                <w:szCs w:val="22"/>
                <w:color w:val="auto"/>
              </w:rPr>
            </w:pPr>
          </w:p>
        </w:tc>
      </w:tr>
      <w:tr>
        <w:trPr>
          <w:trHeight w:val="233"/>
        </w:trPr>
        <w:tc>
          <w:tcPr>
            <w:tcW w:w="3320" w:type="dxa"/>
            <w:vAlign w:val="bottom"/>
          </w:tcPr>
          <w:p>
            <w:pPr>
              <w:spacing w:after="0"/>
              <w:rPr>
                <w:sz w:val="20"/>
                <w:szCs w:val="20"/>
                <w:color w:val="auto"/>
              </w:rPr>
            </w:pPr>
            <w:r>
              <w:rPr>
                <w:rFonts w:ascii="Arial" w:cs="Arial" w:eastAsia="Arial" w:hAnsi="Arial"/>
                <w:sz w:val="18"/>
                <w:szCs w:val="18"/>
                <w:color w:val="FF0000"/>
                <w:strike w:val="1"/>
              </w:rPr>
              <w:t>AAT Torrey Reserve 5, LLC</w:t>
            </w:r>
          </w:p>
        </w:tc>
        <w:tc>
          <w:tcPr>
            <w:tcW w:w="1660" w:type="dxa"/>
            <w:vAlign w:val="bottom"/>
          </w:tcPr>
          <w:p>
            <w:pPr>
              <w:ind w:left="580"/>
              <w:spacing w:after="0"/>
              <w:rPr>
                <w:sz w:val="20"/>
                <w:szCs w:val="20"/>
                <w:color w:val="auto"/>
              </w:rPr>
            </w:pPr>
            <w:r>
              <w:rPr>
                <w:rFonts w:ascii="Arial" w:cs="Arial" w:eastAsia="Arial" w:hAnsi="Arial"/>
                <w:sz w:val="18"/>
                <w:szCs w:val="18"/>
                <w:color w:val="FF0000"/>
                <w:strike w:val="1"/>
              </w:rPr>
              <w:t>Delaware</w:t>
            </w: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Ste. 200, San Diego, CA</w:t>
            </w:r>
          </w:p>
        </w:tc>
        <w:tc>
          <w:tcPr>
            <w:tcW w:w="1760" w:type="dxa"/>
            <w:vAlign w:val="bottom"/>
          </w:tcPr>
          <w:p>
            <w:pPr>
              <w:jc w:val="right"/>
              <w:spacing w:after="0"/>
              <w:rPr>
                <w:sz w:val="20"/>
                <w:szCs w:val="20"/>
                <w:color w:val="auto"/>
              </w:rPr>
            </w:pPr>
            <w:r>
              <w:rPr>
                <w:rFonts w:ascii="Arial" w:cs="Arial" w:eastAsia="Arial" w:hAnsi="Arial"/>
                <w:sz w:val="18"/>
                <w:szCs w:val="18"/>
                <w:color w:val="FF0000"/>
                <w:strike w:val="1"/>
              </w:rPr>
              <w:t>32-0435612</w:t>
            </w:r>
          </w:p>
        </w:tc>
      </w:tr>
      <w:tr>
        <w:trPr>
          <w:trHeight w:val="254"/>
        </w:trPr>
        <w:tc>
          <w:tcPr>
            <w:tcW w:w="33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11455 El Camino Real,</w:t>
            </w:r>
          </w:p>
        </w:tc>
        <w:tc>
          <w:tcPr>
            <w:tcW w:w="1760" w:type="dxa"/>
            <w:vAlign w:val="bottom"/>
          </w:tcPr>
          <w:p>
            <w:pPr>
              <w:spacing w:after="0"/>
              <w:rPr>
                <w:sz w:val="22"/>
                <w:szCs w:val="22"/>
                <w:color w:val="auto"/>
              </w:rPr>
            </w:pPr>
          </w:p>
        </w:tc>
      </w:tr>
      <w:tr>
        <w:trPr>
          <w:trHeight w:val="233"/>
        </w:trPr>
        <w:tc>
          <w:tcPr>
            <w:tcW w:w="3320" w:type="dxa"/>
            <w:vAlign w:val="bottom"/>
          </w:tcPr>
          <w:p>
            <w:pPr>
              <w:spacing w:after="0"/>
              <w:rPr>
                <w:sz w:val="20"/>
                <w:szCs w:val="20"/>
                <w:color w:val="auto"/>
              </w:rPr>
            </w:pPr>
            <w:r>
              <w:rPr>
                <w:rFonts w:ascii="Arial" w:cs="Arial" w:eastAsia="Arial" w:hAnsi="Arial"/>
                <w:sz w:val="18"/>
                <w:szCs w:val="18"/>
                <w:color w:val="FF0000"/>
                <w:strike w:val="1"/>
              </w:rPr>
              <w:t>AAT Torrey 13-14, LLC</w:t>
            </w:r>
          </w:p>
        </w:tc>
        <w:tc>
          <w:tcPr>
            <w:tcW w:w="1660" w:type="dxa"/>
            <w:vAlign w:val="bottom"/>
          </w:tcPr>
          <w:p>
            <w:pPr>
              <w:ind w:left="580"/>
              <w:spacing w:after="0"/>
              <w:rPr>
                <w:sz w:val="20"/>
                <w:szCs w:val="20"/>
                <w:color w:val="auto"/>
              </w:rPr>
            </w:pPr>
            <w:r>
              <w:rPr>
                <w:rFonts w:ascii="Arial" w:cs="Arial" w:eastAsia="Arial" w:hAnsi="Arial"/>
                <w:sz w:val="18"/>
                <w:szCs w:val="18"/>
                <w:color w:val="FF0000"/>
                <w:strike w:val="1"/>
              </w:rPr>
              <w:t>Delaware</w:t>
            </w: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Ste. 200, San Diego, CA</w:t>
            </w:r>
          </w:p>
        </w:tc>
        <w:tc>
          <w:tcPr>
            <w:tcW w:w="1760" w:type="dxa"/>
            <w:vAlign w:val="bottom"/>
          </w:tcPr>
          <w:p>
            <w:pPr>
              <w:jc w:val="right"/>
              <w:spacing w:after="0"/>
              <w:rPr>
                <w:sz w:val="20"/>
                <w:szCs w:val="20"/>
                <w:color w:val="auto"/>
              </w:rPr>
            </w:pPr>
            <w:r>
              <w:rPr>
                <w:rFonts w:ascii="Arial" w:cs="Arial" w:eastAsia="Arial" w:hAnsi="Arial"/>
                <w:sz w:val="18"/>
                <w:szCs w:val="18"/>
                <w:color w:val="FF0000"/>
                <w:strike w:val="1"/>
              </w:rPr>
              <w:t>35-2531655</w:t>
            </w:r>
          </w:p>
        </w:tc>
      </w:tr>
      <w:tr>
        <w:trPr>
          <w:trHeight w:val="254"/>
        </w:trPr>
        <w:tc>
          <w:tcPr>
            <w:tcW w:w="33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11455 El Camino Real,</w:t>
            </w:r>
          </w:p>
        </w:tc>
        <w:tc>
          <w:tcPr>
            <w:tcW w:w="1760" w:type="dxa"/>
            <w:vAlign w:val="bottom"/>
          </w:tcPr>
          <w:p>
            <w:pPr>
              <w:spacing w:after="0"/>
              <w:rPr>
                <w:sz w:val="22"/>
                <w:szCs w:val="22"/>
                <w:color w:val="auto"/>
              </w:rPr>
            </w:pPr>
          </w:p>
        </w:tc>
      </w:tr>
      <w:tr>
        <w:trPr>
          <w:trHeight w:val="233"/>
        </w:trPr>
        <w:tc>
          <w:tcPr>
            <w:tcW w:w="3320" w:type="dxa"/>
            <w:vAlign w:val="bottom"/>
          </w:tcPr>
          <w:p>
            <w:pPr>
              <w:spacing w:after="0"/>
              <w:rPr>
                <w:sz w:val="20"/>
                <w:szCs w:val="20"/>
                <w:color w:val="auto"/>
              </w:rPr>
            </w:pPr>
            <w:r>
              <w:rPr>
                <w:rFonts w:ascii="Arial" w:cs="Arial" w:eastAsia="Arial" w:hAnsi="Arial"/>
                <w:sz w:val="18"/>
                <w:szCs w:val="18"/>
                <w:color w:val="FF0000"/>
                <w:strike w:val="1"/>
              </w:rPr>
              <w:t>AAT Lloyd District, LLC</w:t>
            </w:r>
          </w:p>
        </w:tc>
        <w:tc>
          <w:tcPr>
            <w:tcW w:w="1660" w:type="dxa"/>
            <w:vAlign w:val="bottom"/>
          </w:tcPr>
          <w:p>
            <w:pPr>
              <w:ind w:left="580"/>
              <w:spacing w:after="0"/>
              <w:rPr>
                <w:sz w:val="20"/>
                <w:szCs w:val="20"/>
                <w:color w:val="auto"/>
              </w:rPr>
            </w:pPr>
            <w:r>
              <w:rPr>
                <w:rFonts w:ascii="Arial" w:cs="Arial" w:eastAsia="Arial" w:hAnsi="Arial"/>
                <w:sz w:val="18"/>
                <w:szCs w:val="18"/>
                <w:color w:val="FF0000"/>
                <w:strike w:val="1"/>
              </w:rPr>
              <w:t>Delaware</w:t>
            </w: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Ste. 200, San Diego, CA</w:t>
            </w:r>
          </w:p>
        </w:tc>
        <w:tc>
          <w:tcPr>
            <w:tcW w:w="1760" w:type="dxa"/>
            <w:vAlign w:val="bottom"/>
          </w:tcPr>
          <w:p>
            <w:pPr>
              <w:jc w:val="right"/>
              <w:spacing w:after="0"/>
              <w:rPr>
                <w:sz w:val="20"/>
                <w:szCs w:val="20"/>
                <w:color w:val="auto"/>
              </w:rPr>
            </w:pPr>
            <w:r>
              <w:rPr>
                <w:rFonts w:ascii="Arial" w:cs="Arial" w:eastAsia="Arial" w:hAnsi="Arial"/>
                <w:sz w:val="18"/>
                <w:szCs w:val="18"/>
                <w:color w:val="FF0000"/>
                <w:strike w:val="1"/>
              </w:rPr>
              <w:t>30-0709666</w:t>
            </w:r>
          </w:p>
        </w:tc>
      </w:tr>
      <w:tr>
        <w:trPr>
          <w:trHeight w:val="254"/>
        </w:trPr>
        <w:tc>
          <w:tcPr>
            <w:tcW w:w="33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11455 El Camino Real,</w:t>
            </w:r>
          </w:p>
        </w:tc>
        <w:tc>
          <w:tcPr>
            <w:tcW w:w="1760" w:type="dxa"/>
            <w:vAlign w:val="bottom"/>
          </w:tcPr>
          <w:p>
            <w:pPr>
              <w:spacing w:after="0"/>
              <w:rPr>
                <w:sz w:val="22"/>
                <w:szCs w:val="22"/>
                <w:color w:val="auto"/>
              </w:rPr>
            </w:pPr>
          </w:p>
        </w:tc>
      </w:tr>
      <w:tr>
        <w:trPr>
          <w:trHeight w:val="233"/>
        </w:trPr>
        <w:tc>
          <w:tcPr>
            <w:tcW w:w="3320" w:type="dxa"/>
            <w:vAlign w:val="bottom"/>
          </w:tcPr>
          <w:p>
            <w:pPr>
              <w:spacing w:after="0"/>
              <w:rPr>
                <w:sz w:val="20"/>
                <w:szCs w:val="20"/>
                <w:color w:val="auto"/>
              </w:rPr>
            </w:pPr>
            <w:r>
              <w:rPr>
                <w:rFonts w:ascii="Arial" w:cs="Arial" w:eastAsia="Arial" w:hAnsi="Arial"/>
                <w:sz w:val="18"/>
                <w:szCs w:val="18"/>
                <w:color w:val="FF0000"/>
                <w:strike w:val="1"/>
              </w:rPr>
              <w:t>AAT Sorrento Pointe, LLC</w:t>
            </w:r>
          </w:p>
        </w:tc>
        <w:tc>
          <w:tcPr>
            <w:tcW w:w="1660" w:type="dxa"/>
            <w:vAlign w:val="bottom"/>
          </w:tcPr>
          <w:p>
            <w:pPr>
              <w:ind w:left="580"/>
              <w:spacing w:after="0"/>
              <w:rPr>
                <w:sz w:val="20"/>
                <w:szCs w:val="20"/>
                <w:color w:val="auto"/>
              </w:rPr>
            </w:pPr>
            <w:r>
              <w:rPr>
                <w:rFonts w:ascii="Arial" w:cs="Arial" w:eastAsia="Arial" w:hAnsi="Arial"/>
                <w:sz w:val="18"/>
                <w:szCs w:val="18"/>
                <w:color w:val="FF0000"/>
                <w:strike w:val="1"/>
              </w:rPr>
              <w:t>Delaware</w:t>
            </w: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Ste. 200, San Diego, CA</w:t>
            </w:r>
          </w:p>
        </w:tc>
        <w:tc>
          <w:tcPr>
            <w:tcW w:w="1760" w:type="dxa"/>
            <w:vAlign w:val="bottom"/>
          </w:tcPr>
          <w:p>
            <w:pPr>
              <w:jc w:val="right"/>
              <w:spacing w:after="0"/>
              <w:rPr>
                <w:sz w:val="20"/>
                <w:szCs w:val="20"/>
                <w:color w:val="auto"/>
              </w:rPr>
            </w:pPr>
            <w:r>
              <w:rPr>
                <w:rFonts w:ascii="Arial" w:cs="Arial" w:eastAsia="Arial" w:hAnsi="Arial"/>
                <w:sz w:val="18"/>
                <w:szCs w:val="18"/>
                <w:color w:val="FF0000"/>
                <w:strike w:val="1"/>
              </w:rPr>
              <w:t>37-1741678</w:t>
            </w:r>
          </w:p>
        </w:tc>
      </w:tr>
      <w:tr>
        <w:trPr>
          <w:trHeight w:val="254"/>
        </w:trPr>
        <w:tc>
          <w:tcPr>
            <w:tcW w:w="33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11455 El Camino Real,</w:t>
            </w:r>
          </w:p>
        </w:tc>
        <w:tc>
          <w:tcPr>
            <w:tcW w:w="1760" w:type="dxa"/>
            <w:vAlign w:val="bottom"/>
          </w:tcPr>
          <w:p>
            <w:pPr>
              <w:spacing w:after="0"/>
              <w:rPr>
                <w:sz w:val="22"/>
                <w:szCs w:val="22"/>
                <w:color w:val="auto"/>
              </w:rPr>
            </w:pPr>
          </w:p>
        </w:tc>
      </w:tr>
      <w:tr>
        <w:trPr>
          <w:trHeight w:val="233"/>
        </w:trPr>
        <w:tc>
          <w:tcPr>
            <w:tcW w:w="3320" w:type="dxa"/>
            <w:vAlign w:val="bottom"/>
          </w:tcPr>
          <w:p>
            <w:pPr>
              <w:spacing w:after="0"/>
              <w:rPr>
                <w:sz w:val="20"/>
                <w:szCs w:val="20"/>
                <w:color w:val="auto"/>
              </w:rPr>
            </w:pPr>
            <w:r>
              <w:rPr>
                <w:rFonts w:ascii="Arial" w:cs="Arial" w:eastAsia="Arial" w:hAnsi="Arial"/>
                <w:sz w:val="18"/>
                <w:szCs w:val="18"/>
                <w:color w:val="FF0000"/>
                <w:strike w:val="1"/>
              </w:rPr>
              <w:t>Pacific South Court Assets LLC</w:t>
            </w:r>
          </w:p>
        </w:tc>
        <w:tc>
          <w:tcPr>
            <w:tcW w:w="1660" w:type="dxa"/>
            <w:vAlign w:val="bottom"/>
          </w:tcPr>
          <w:p>
            <w:pPr>
              <w:ind w:left="580"/>
              <w:spacing w:after="0"/>
              <w:rPr>
                <w:sz w:val="20"/>
                <w:szCs w:val="20"/>
                <w:color w:val="auto"/>
              </w:rPr>
            </w:pPr>
            <w:r>
              <w:rPr>
                <w:rFonts w:ascii="Arial" w:cs="Arial" w:eastAsia="Arial" w:hAnsi="Arial"/>
                <w:sz w:val="18"/>
                <w:szCs w:val="18"/>
                <w:color w:val="FF0000"/>
                <w:strike w:val="1"/>
              </w:rPr>
              <w:t>Delaware</w:t>
            </w: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Ste. 200, San Diego, CA</w:t>
            </w:r>
          </w:p>
        </w:tc>
        <w:tc>
          <w:tcPr>
            <w:tcW w:w="1760" w:type="dxa"/>
            <w:vAlign w:val="bottom"/>
          </w:tcPr>
          <w:p>
            <w:pPr>
              <w:jc w:val="right"/>
              <w:spacing w:after="0"/>
              <w:rPr>
                <w:sz w:val="20"/>
                <w:szCs w:val="20"/>
                <w:color w:val="auto"/>
              </w:rPr>
            </w:pPr>
            <w:r>
              <w:rPr>
                <w:rFonts w:ascii="Arial" w:cs="Arial" w:eastAsia="Arial" w:hAnsi="Arial"/>
                <w:sz w:val="18"/>
                <w:szCs w:val="18"/>
                <w:color w:val="FF0000"/>
                <w:strike w:val="1"/>
              </w:rPr>
              <w:t>27-4543892</w:t>
            </w:r>
          </w:p>
        </w:tc>
      </w:tr>
      <w:tr>
        <w:trPr>
          <w:trHeight w:val="254"/>
        </w:trPr>
        <w:tc>
          <w:tcPr>
            <w:tcW w:w="33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11455 El Camino Real,</w:t>
            </w:r>
          </w:p>
        </w:tc>
        <w:tc>
          <w:tcPr>
            <w:tcW w:w="1760" w:type="dxa"/>
            <w:vAlign w:val="bottom"/>
          </w:tcPr>
          <w:p>
            <w:pPr>
              <w:spacing w:after="0"/>
              <w:rPr>
                <w:sz w:val="22"/>
                <w:szCs w:val="22"/>
                <w:color w:val="auto"/>
              </w:rPr>
            </w:pPr>
          </w:p>
        </w:tc>
      </w:tr>
      <w:tr>
        <w:trPr>
          <w:trHeight w:val="233"/>
        </w:trPr>
        <w:tc>
          <w:tcPr>
            <w:tcW w:w="3320" w:type="dxa"/>
            <w:vAlign w:val="bottom"/>
          </w:tcPr>
          <w:p>
            <w:pPr>
              <w:spacing w:after="0"/>
              <w:rPr>
                <w:sz w:val="20"/>
                <w:szCs w:val="20"/>
                <w:color w:val="auto"/>
              </w:rPr>
            </w:pPr>
            <w:r>
              <w:rPr>
                <w:rFonts w:ascii="Arial" w:cs="Arial" w:eastAsia="Arial" w:hAnsi="Arial"/>
                <w:sz w:val="18"/>
                <w:szCs w:val="18"/>
                <w:color w:val="FF0000"/>
                <w:strike w:val="1"/>
              </w:rPr>
              <w:t>Pacific South Court Holdings, L.P.</w:t>
            </w:r>
          </w:p>
        </w:tc>
        <w:tc>
          <w:tcPr>
            <w:tcW w:w="1660" w:type="dxa"/>
            <w:vAlign w:val="bottom"/>
          </w:tcPr>
          <w:p>
            <w:pPr>
              <w:ind w:left="560"/>
              <w:spacing w:after="0"/>
              <w:rPr>
                <w:sz w:val="20"/>
                <w:szCs w:val="20"/>
                <w:color w:val="auto"/>
              </w:rPr>
            </w:pPr>
            <w:r>
              <w:rPr>
                <w:rFonts w:ascii="Arial" w:cs="Arial" w:eastAsia="Arial" w:hAnsi="Arial"/>
                <w:sz w:val="18"/>
                <w:szCs w:val="18"/>
                <w:color w:val="FF0000"/>
                <w:strike w:val="1"/>
              </w:rPr>
              <w:t>California</w:t>
            </w: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Ste. 200, San Diego, CA</w:t>
            </w:r>
          </w:p>
        </w:tc>
        <w:tc>
          <w:tcPr>
            <w:tcW w:w="1760" w:type="dxa"/>
            <w:vAlign w:val="bottom"/>
          </w:tcPr>
          <w:p>
            <w:pPr>
              <w:jc w:val="right"/>
              <w:spacing w:after="0"/>
              <w:rPr>
                <w:sz w:val="20"/>
                <w:szCs w:val="20"/>
                <w:color w:val="auto"/>
              </w:rPr>
            </w:pPr>
            <w:r>
              <w:rPr>
                <w:rFonts w:ascii="Arial" w:cs="Arial" w:eastAsia="Arial" w:hAnsi="Arial"/>
                <w:sz w:val="18"/>
                <w:szCs w:val="18"/>
                <w:color w:val="FF0000"/>
                <w:strike w:val="1"/>
              </w:rPr>
              <w:t>33-0798726</w:t>
            </w:r>
          </w:p>
        </w:tc>
      </w:tr>
      <w:tr>
        <w:trPr>
          <w:trHeight w:val="254"/>
        </w:trPr>
        <w:tc>
          <w:tcPr>
            <w:tcW w:w="33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11455 El Camino Real,</w:t>
            </w:r>
          </w:p>
        </w:tc>
        <w:tc>
          <w:tcPr>
            <w:tcW w:w="1760" w:type="dxa"/>
            <w:vAlign w:val="bottom"/>
          </w:tcPr>
          <w:p>
            <w:pPr>
              <w:spacing w:after="0"/>
              <w:rPr>
                <w:sz w:val="22"/>
                <w:szCs w:val="22"/>
                <w:color w:val="auto"/>
              </w:rPr>
            </w:pPr>
          </w:p>
        </w:tc>
      </w:tr>
      <w:tr>
        <w:trPr>
          <w:trHeight w:val="233"/>
        </w:trPr>
        <w:tc>
          <w:tcPr>
            <w:tcW w:w="3320" w:type="dxa"/>
            <w:vAlign w:val="bottom"/>
          </w:tcPr>
          <w:p>
            <w:pPr>
              <w:spacing w:after="0"/>
              <w:rPr>
                <w:sz w:val="20"/>
                <w:szCs w:val="20"/>
                <w:color w:val="auto"/>
              </w:rPr>
            </w:pPr>
            <w:r>
              <w:rPr>
                <w:rFonts w:ascii="Arial" w:cs="Arial" w:eastAsia="Arial" w:hAnsi="Arial"/>
                <w:sz w:val="18"/>
                <w:szCs w:val="18"/>
                <w:color w:val="FF0000"/>
                <w:strike w:val="1"/>
              </w:rPr>
              <w:t>Pacific Torrey Daycare Assets LLC</w:t>
            </w:r>
          </w:p>
        </w:tc>
        <w:tc>
          <w:tcPr>
            <w:tcW w:w="1660" w:type="dxa"/>
            <w:vAlign w:val="bottom"/>
          </w:tcPr>
          <w:p>
            <w:pPr>
              <w:ind w:left="580"/>
              <w:spacing w:after="0"/>
              <w:rPr>
                <w:sz w:val="20"/>
                <w:szCs w:val="20"/>
                <w:color w:val="auto"/>
              </w:rPr>
            </w:pPr>
            <w:r>
              <w:rPr>
                <w:rFonts w:ascii="Arial" w:cs="Arial" w:eastAsia="Arial" w:hAnsi="Arial"/>
                <w:sz w:val="18"/>
                <w:szCs w:val="18"/>
                <w:color w:val="FF0000"/>
                <w:strike w:val="1"/>
              </w:rPr>
              <w:t>Delaware</w:t>
            </w: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Ste. 200, San Diego, CA</w:t>
            </w:r>
          </w:p>
        </w:tc>
        <w:tc>
          <w:tcPr>
            <w:tcW w:w="1760" w:type="dxa"/>
            <w:vAlign w:val="bottom"/>
          </w:tcPr>
          <w:p>
            <w:pPr>
              <w:jc w:val="right"/>
              <w:spacing w:after="0"/>
              <w:rPr>
                <w:sz w:val="20"/>
                <w:szCs w:val="20"/>
                <w:color w:val="auto"/>
              </w:rPr>
            </w:pPr>
            <w:r>
              <w:rPr>
                <w:rFonts w:ascii="Arial" w:cs="Arial" w:eastAsia="Arial" w:hAnsi="Arial"/>
                <w:sz w:val="18"/>
                <w:szCs w:val="18"/>
                <w:color w:val="FF0000"/>
                <w:strike w:val="1"/>
              </w:rPr>
              <w:t>27-4544014</w:t>
            </w:r>
          </w:p>
        </w:tc>
      </w:tr>
      <w:tr>
        <w:trPr>
          <w:trHeight w:val="254"/>
        </w:trPr>
        <w:tc>
          <w:tcPr>
            <w:tcW w:w="33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11455 El Camino Real,</w:t>
            </w:r>
          </w:p>
        </w:tc>
        <w:tc>
          <w:tcPr>
            <w:tcW w:w="1760" w:type="dxa"/>
            <w:vAlign w:val="bottom"/>
          </w:tcPr>
          <w:p>
            <w:pPr>
              <w:spacing w:after="0"/>
              <w:rPr>
                <w:sz w:val="22"/>
                <w:szCs w:val="22"/>
                <w:color w:val="auto"/>
              </w:rPr>
            </w:pPr>
          </w:p>
        </w:tc>
      </w:tr>
      <w:tr>
        <w:trPr>
          <w:trHeight w:val="233"/>
        </w:trPr>
        <w:tc>
          <w:tcPr>
            <w:tcW w:w="3320" w:type="dxa"/>
            <w:vAlign w:val="bottom"/>
          </w:tcPr>
          <w:p>
            <w:pPr>
              <w:spacing w:after="0"/>
              <w:rPr>
                <w:sz w:val="20"/>
                <w:szCs w:val="20"/>
                <w:color w:val="auto"/>
              </w:rPr>
            </w:pPr>
            <w:r>
              <w:rPr>
                <w:rFonts w:ascii="Arial" w:cs="Arial" w:eastAsia="Arial" w:hAnsi="Arial"/>
                <w:sz w:val="18"/>
                <w:szCs w:val="18"/>
                <w:color w:val="FF0000"/>
                <w:strike w:val="1"/>
              </w:rPr>
              <w:t>Pacific Torrey Daycare Holdings, L.P.</w:t>
            </w:r>
          </w:p>
        </w:tc>
        <w:tc>
          <w:tcPr>
            <w:tcW w:w="1660" w:type="dxa"/>
            <w:vAlign w:val="bottom"/>
          </w:tcPr>
          <w:p>
            <w:pPr>
              <w:ind w:left="560"/>
              <w:spacing w:after="0"/>
              <w:rPr>
                <w:sz w:val="20"/>
                <w:szCs w:val="20"/>
                <w:color w:val="auto"/>
              </w:rPr>
            </w:pPr>
            <w:r>
              <w:rPr>
                <w:rFonts w:ascii="Arial" w:cs="Arial" w:eastAsia="Arial" w:hAnsi="Arial"/>
                <w:sz w:val="18"/>
                <w:szCs w:val="18"/>
                <w:color w:val="FF0000"/>
                <w:strike w:val="1"/>
              </w:rPr>
              <w:t>California</w:t>
            </w: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Ste. 200, San Diego, CA</w:t>
            </w:r>
          </w:p>
        </w:tc>
        <w:tc>
          <w:tcPr>
            <w:tcW w:w="1760" w:type="dxa"/>
            <w:vAlign w:val="bottom"/>
          </w:tcPr>
          <w:p>
            <w:pPr>
              <w:jc w:val="right"/>
              <w:spacing w:after="0"/>
              <w:rPr>
                <w:sz w:val="20"/>
                <w:szCs w:val="20"/>
                <w:color w:val="auto"/>
              </w:rPr>
            </w:pPr>
            <w:r>
              <w:rPr>
                <w:rFonts w:ascii="Arial" w:cs="Arial" w:eastAsia="Arial" w:hAnsi="Arial"/>
                <w:sz w:val="18"/>
                <w:szCs w:val="18"/>
                <w:color w:val="FF0000"/>
                <w:strike w:val="1"/>
              </w:rPr>
              <w:t>33-0853853</w:t>
            </w:r>
          </w:p>
        </w:tc>
      </w:tr>
      <w:tr>
        <w:trPr>
          <w:trHeight w:val="254"/>
        </w:trPr>
        <w:tc>
          <w:tcPr>
            <w:tcW w:w="33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11455 El Camino Real,</w:t>
            </w:r>
          </w:p>
        </w:tc>
        <w:tc>
          <w:tcPr>
            <w:tcW w:w="1760" w:type="dxa"/>
            <w:vAlign w:val="bottom"/>
          </w:tcPr>
          <w:p>
            <w:pPr>
              <w:spacing w:after="0"/>
              <w:rPr>
                <w:sz w:val="22"/>
                <w:szCs w:val="22"/>
                <w:color w:val="auto"/>
              </w:rPr>
            </w:pPr>
          </w:p>
        </w:tc>
      </w:tr>
      <w:tr>
        <w:trPr>
          <w:trHeight w:val="233"/>
        </w:trPr>
        <w:tc>
          <w:tcPr>
            <w:tcW w:w="3320" w:type="dxa"/>
            <w:vAlign w:val="bottom"/>
          </w:tcPr>
          <w:p>
            <w:pPr>
              <w:spacing w:after="0"/>
              <w:rPr>
                <w:sz w:val="20"/>
                <w:szCs w:val="20"/>
                <w:color w:val="auto"/>
              </w:rPr>
            </w:pPr>
            <w:r>
              <w:rPr>
                <w:rFonts w:ascii="Arial" w:cs="Arial" w:eastAsia="Arial" w:hAnsi="Arial"/>
                <w:sz w:val="18"/>
                <w:szCs w:val="18"/>
                <w:color w:val="FF0000"/>
                <w:strike w:val="1"/>
              </w:rPr>
              <w:t>SB Corporate Centre, LLC</w:t>
            </w:r>
          </w:p>
        </w:tc>
        <w:tc>
          <w:tcPr>
            <w:tcW w:w="1660" w:type="dxa"/>
            <w:vAlign w:val="bottom"/>
          </w:tcPr>
          <w:p>
            <w:pPr>
              <w:ind w:left="560"/>
              <w:spacing w:after="0"/>
              <w:rPr>
                <w:sz w:val="20"/>
                <w:szCs w:val="20"/>
                <w:color w:val="auto"/>
              </w:rPr>
            </w:pPr>
            <w:r>
              <w:rPr>
                <w:rFonts w:ascii="Arial" w:cs="Arial" w:eastAsia="Arial" w:hAnsi="Arial"/>
                <w:sz w:val="18"/>
                <w:szCs w:val="18"/>
                <w:color w:val="FF0000"/>
                <w:strike w:val="1"/>
              </w:rPr>
              <w:t>California</w:t>
            </w: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Ste. 200, San Diego, CA</w:t>
            </w:r>
          </w:p>
        </w:tc>
        <w:tc>
          <w:tcPr>
            <w:tcW w:w="1760" w:type="dxa"/>
            <w:vAlign w:val="bottom"/>
          </w:tcPr>
          <w:p>
            <w:pPr>
              <w:jc w:val="right"/>
              <w:spacing w:after="0"/>
              <w:rPr>
                <w:sz w:val="20"/>
                <w:szCs w:val="20"/>
                <w:color w:val="auto"/>
              </w:rPr>
            </w:pPr>
            <w:r>
              <w:rPr>
                <w:rFonts w:ascii="Arial" w:cs="Arial" w:eastAsia="Arial" w:hAnsi="Arial"/>
                <w:sz w:val="18"/>
                <w:szCs w:val="18"/>
                <w:color w:val="FF0000"/>
                <w:strike w:val="1"/>
              </w:rPr>
              <w:t>33-0923018</w:t>
            </w:r>
          </w:p>
        </w:tc>
      </w:tr>
      <w:tr>
        <w:trPr>
          <w:trHeight w:val="254"/>
        </w:trPr>
        <w:tc>
          <w:tcPr>
            <w:tcW w:w="33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11455 El Camino Real,</w:t>
            </w:r>
          </w:p>
        </w:tc>
        <w:tc>
          <w:tcPr>
            <w:tcW w:w="1760" w:type="dxa"/>
            <w:vAlign w:val="bottom"/>
          </w:tcPr>
          <w:p>
            <w:pPr>
              <w:spacing w:after="0"/>
              <w:rPr>
                <w:sz w:val="22"/>
                <w:szCs w:val="22"/>
                <w:color w:val="auto"/>
              </w:rPr>
            </w:pPr>
          </w:p>
        </w:tc>
      </w:tr>
      <w:tr>
        <w:trPr>
          <w:trHeight w:val="233"/>
        </w:trPr>
        <w:tc>
          <w:tcPr>
            <w:tcW w:w="3320" w:type="dxa"/>
            <w:vAlign w:val="bottom"/>
          </w:tcPr>
          <w:p>
            <w:pPr>
              <w:spacing w:after="0"/>
              <w:rPr>
                <w:sz w:val="20"/>
                <w:szCs w:val="20"/>
                <w:color w:val="auto"/>
              </w:rPr>
            </w:pPr>
            <w:r>
              <w:rPr>
                <w:rFonts w:ascii="Arial" w:cs="Arial" w:eastAsia="Arial" w:hAnsi="Arial"/>
                <w:sz w:val="18"/>
                <w:szCs w:val="18"/>
                <w:color w:val="FF0000"/>
                <w:strike w:val="1"/>
              </w:rPr>
              <w:t>Landmark Venture JV, LLC</w:t>
            </w:r>
          </w:p>
        </w:tc>
        <w:tc>
          <w:tcPr>
            <w:tcW w:w="1660" w:type="dxa"/>
            <w:vAlign w:val="bottom"/>
          </w:tcPr>
          <w:p>
            <w:pPr>
              <w:ind w:left="580"/>
              <w:spacing w:after="0"/>
              <w:rPr>
                <w:sz w:val="20"/>
                <w:szCs w:val="20"/>
                <w:color w:val="auto"/>
              </w:rPr>
            </w:pPr>
            <w:r>
              <w:rPr>
                <w:rFonts w:ascii="Arial" w:cs="Arial" w:eastAsia="Arial" w:hAnsi="Arial"/>
                <w:sz w:val="18"/>
                <w:szCs w:val="18"/>
                <w:color w:val="FF0000"/>
                <w:strike w:val="1"/>
              </w:rPr>
              <w:t>Delaware</w:t>
            </w: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Ste. 200, San Diego, CA</w:t>
            </w:r>
          </w:p>
        </w:tc>
        <w:tc>
          <w:tcPr>
            <w:tcW w:w="1760" w:type="dxa"/>
            <w:vAlign w:val="bottom"/>
          </w:tcPr>
          <w:p>
            <w:pPr>
              <w:jc w:val="right"/>
              <w:spacing w:after="0"/>
              <w:rPr>
                <w:sz w:val="20"/>
                <w:szCs w:val="20"/>
                <w:color w:val="auto"/>
              </w:rPr>
            </w:pPr>
            <w:r>
              <w:rPr>
                <w:rFonts w:ascii="Arial" w:cs="Arial" w:eastAsia="Arial" w:hAnsi="Arial"/>
                <w:sz w:val="18"/>
                <w:szCs w:val="18"/>
                <w:color w:val="FF0000"/>
                <w:strike w:val="1"/>
              </w:rPr>
              <w:t>20-3662930</w:t>
            </w:r>
          </w:p>
        </w:tc>
      </w:tr>
      <w:tr>
        <w:trPr>
          <w:trHeight w:val="254"/>
        </w:trPr>
        <w:tc>
          <w:tcPr>
            <w:tcW w:w="33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11455 El Camino Real,</w:t>
            </w:r>
          </w:p>
        </w:tc>
        <w:tc>
          <w:tcPr>
            <w:tcW w:w="1760" w:type="dxa"/>
            <w:vAlign w:val="bottom"/>
          </w:tcPr>
          <w:p>
            <w:pPr>
              <w:spacing w:after="0"/>
              <w:rPr>
                <w:sz w:val="22"/>
                <w:szCs w:val="22"/>
                <w:color w:val="auto"/>
              </w:rPr>
            </w:pPr>
          </w:p>
        </w:tc>
      </w:tr>
      <w:tr>
        <w:trPr>
          <w:trHeight w:val="233"/>
        </w:trPr>
        <w:tc>
          <w:tcPr>
            <w:tcW w:w="3320" w:type="dxa"/>
            <w:vAlign w:val="bottom"/>
          </w:tcPr>
          <w:p>
            <w:pPr>
              <w:spacing w:after="0"/>
              <w:rPr>
                <w:sz w:val="20"/>
                <w:szCs w:val="20"/>
                <w:color w:val="auto"/>
              </w:rPr>
            </w:pPr>
            <w:r>
              <w:rPr>
                <w:rFonts w:ascii="Arial" w:cs="Arial" w:eastAsia="Arial" w:hAnsi="Arial"/>
                <w:sz w:val="18"/>
                <w:szCs w:val="18"/>
                <w:color w:val="FF0000"/>
                <w:strike w:val="1"/>
              </w:rPr>
              <w:t>Landmark Venture Holdings, LLC</w:t>
            </w:r>
          </w:p>
        </w:tc>
        <w:tc>
          <w:tcPr>
            <w:tcW w:w="1660" w:type="dxa"/>
            <w:vAlign w:val="bottom"/>
          </w:tcPr>
          <w:p>
            <w:pPr>
              <w:ind w:left="580"/>
              <w:spacing w:after="0"/>
              <w:rPr>
                <w:sz w:val="20"/>
                <w:szCs w:val="20"/>
                <w:color w:val="auto"/>
              </w:rPr>
            </w:pPr>
            <w:r>
              <w:rPr>
                <w:rFonts w:ascii="Arial" w:cs="Arial" w:eastAsia="Arial" w:hAnsi="Arial"/>
                <w:sz w:val="18"/>
                <w:szCs w:val="18"/>
                <w:color w:val="FF0000"/>
                <w:strike w:val="1"/>
              </w:rPr>
              <w:t>Delaware</w:t>
            </w: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Ste. 200, San Diego, CA</w:t>
            </w:r>
          </w:p>
        </w:tc>
        <w:tc>
          <w:tcPr>
            <w:tcW w:w="1760" w:type="dxa"/>
            <w:vAlign w:val="bottom"/>
          </w:tcPr>
          <w:p>
            <w:pPr>
              <w:jc w:val="right"/>
              <w:spacing w:after="0"/>
              <w:rPr>
                <w:sz w:val="20"/>
                <w:szCs w:val="20"/>
                <w:color w:val="auto"/>
              </w:rPr>
            </w:pPr>
            <w:r>
              <w:rPr>
                <w:rFonts w:ascii="Arial" w:cs="Arial" w:eastAsia="Arial" w:hAnsi="Arial"/>
                <w:sz w:val="18"/>
                <w:szCs w:val="18"/>
                <w:color w:val="FF0000"/>
                <w:strike w:val="1"/>
              </w:rPr>
              <w:t>20-2786175</w:t>
            </w:r>
          </w:p>
        </w:tc>
      </w:tr>
      <w:tr>
        <w:trPr>
          <w:trHeight w:val="254"/>
        </w:trPr>
        <w:tc>
          <w:tcPr>
            <w:tcW w:w="33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11455 El Camino Real,</w:t>
            </w:r>
          </w:p>
        </w:tc>
        <w:tc>
          <w:tcPr>
            <w:tcW w:w="1760" w:type="dxa"/>
            <w:vAlign w:val="bottom"/>
          </w:tcPr>
          <w:p>
            <w:pPr>
              <w:spacing w:after="0"/>
              <w:rPr>
                <w:sz w:val="22"/>
                <w:szCs w:val="22"/>
                <w:color w:val="auto"/>
              </w:rPr>
            </w:pPr>
          </w:p>
        </w:tc>
      </w:tr>
      <w:tr>
        <w:trPr>
          <w:trHeight w:val="233"/>
        </w:trPr>
        <w:tc>
          <w:tcPr>
            <w:tcW w:w="3320" w:type="dxa"/>
            <w:vAlign w:val="bottom"/>
          </w:tcPr>
          <w:p>
            <w:pPr>
              <w:spacing w:after="0"/>
              <w:rPr>
                <w:sz w:val="20"/>
                <w:szCs w:val="20"/>
                <w:color w:val="auto"/>
              </w:rPr>
            </w:pPr>
            <w:r>
              <w:rPr>
                <w:rFonts w:ascii="Arial" w:cs="Arial" w:eastAsia="Arial" w:hAnsi="Arial"/>
                <w:sz w:val="18"/>
                <w:szCs w:val="18"/>
                <w:color w:val="FF0000"/>
                <w:strike w:val="1"/>
              </w:rPr>
              <w:t>Pacific Firecreek Holdings, LLC</w:t>
            </w:r>
          </w:p>
        </w:tc>
        <w:tc>
          <w:tcPr>
            <w:tcW w:w="1660" w:type="dxa"/>
            <w:vAlign w:val="bottom"/>
          </w:tcPr>
          <w:p>
            <w:pPr>
              <w:ind w:left="580"/>
              <w:spacing w:after="0"/>
              <w:rPr>
                <w:sz w:val="20"/>
                <w:szCs w:val="20"/>
                <w:color w:val="auto"/>
              </w:rPr>
            </w:pPr>
            <w:r>
              <w:rPr>
                <w:rFonts w:ascii="Arial" w:cs="Arial" w:eastAsia="Arial" w:hAnsi="Arial"/>
                <w:sz w:val="18"/>
                <w:szCs w:val="18"/>
                <w:color w:val="FF0000"/>
                <w:strike w:val="1"/>
              </w:rPr>
              <w:t>Delaware</w:t>
            </w: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Ste. 200, San Diego, CA</w:t>
            </w:r>
          </w:p>
        </w:tc>
        <w:tc>
          <w:tcPr>
            <w:tcW w:w="1760" w:type="dxa"/>
            <w:vAlign w:val="bottom"/>
          </w:tcPr>
          <w:p>
            <w:pPr>
              <w:jc w:val="right"/>
              <w:spacing w:after="0"/>
              <w:rPr>
                <w:sz w:val="20"/>
                <w:szCs w:val="20"/>
                <w:color w:val="auto"/>
              </w:rPr>
            </w:pPr>
            <w:r>
              <w:rPr>
                <w:rFonts w:ascii="Arial" w:cs="Arial" w:eastAsia="Arial" w:hAnsi="Arial"/>
                <w:sz w:val="18"/>
                <w:szCs w:val="18"/>
                <w:color w:val="FF0000"/>
                <w:strike w:val="1"/>
              </w:rPr>
              <w:t>20-0351734</w:t>
            </w:r>
          </w:p>
        </w:tc>
      </w:tr>
      <w:tr>
        <w:trPr>
          <w:trHeight w:val="254"/>
        </w:trPr>
        <w:tc>
          <w:tcPr>
            <w:tcW w:w="33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11455 El Camino Real,</w:t>
            </w:r>
          </w:p>
        </w:tc>
        <w:tc>
          <w:tcPr>
            <w:tcW w:w="1760" w:type="dxa"/>
            <w:vAlign w:val="bottom"/>
          </w:tcPr>
          <w:p>
            <w:pPr>
              <w:spacing w:after="0"/>
              <w:rPr>
                <w:sz w:val="22"/>
                <w:szCs w:val="22"/>
                <w:color w:val="auto"/>
              </w:rPr>
            </w:pPr>
          </w:p>
        </w:tc>
      </w:tr>
      <w:tr>
        <w:trPr>
          <w:trHeight w:val="233"/>
        </w:trPr>
        <w:tc>
          <w:tcPr>
            <w:tcW w:w="3320" w:type="dxa"/>
            <w:vAlign w:val="bottom"/>
          </w:tcPr>
          <w:p>
            <w:pPr>
              <w:spacing w:after="0"/>
              <w:rPr>
                <w:sz w:val="20"/>
                <w:szCs w:val="20"/>
                <w:color w:val="auto"/>
              </w:rPr>
            </w:pPr>
            <w:r>
              <w:rPr>
                <w:rFonts w:ascii="Arial" w:cs="Arial" w:eastAsia="Arial" w:hAnsi="Arial"/>
                <w:sz w:val="18"/>
                <w:szCs w:val="18"/>
                <w:color w:val="FF0000"/>
                <w:strike w:val="1"/>
              </w:rPr>
              <w:t>Landmark FireHill Holdings, LLC</w:t>
            </w:r>
          </w:p>
        </w:tc>
        <w:tc>
          <w:tcPr>
            <w:tcW w:w="1660" w:type="dxa"/>
            <w:vAlign w:val="bottom"/>
          </w:tcPr>
          <w:p>
            <w:pPr>
              <w:ind w:left="580"/>
              <w:spacing w:after="0"/>
              <w:rPr>
                <w:sz w:val="20"/>
                <w:szCs w:val="20"/>
                <w:color w:val="auto"/>
              </w:rPr>
            </w:pPr>
            <w:r>
              <w:rPr>
                <w:rFonts w:ascii="Arial" w:cs="Arial" w:eastAsia="Arial" w:hAnsi="Arial"/>
                <w:sz w:val="18"/>
                <w:szCs w:val="18"/>
                <w:color w:val="FF0000"/>
                <w:strike w:val="1"/>
              </w:rPr>
              <w:t>Delaware</w:t>
            </w: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Ste. 200, San Diego, CA</w:t>
            </w:r>
          </w:p>
        </w:tc>
        <w:tc>
          <w:tcPr>
            <w:tcW w:w="1760" w:type="dxa"/>
            <w:vAlign w:val="bottom"/>
          </w:tcPr>
          <w:p>
            <w:pPr>
              <w:jc w:val="right"/>
              <w:spacing w:after="0"/>
              <w:rPr>
                <w:sz w:val="20"/>
                <w:szCs w:val="20"/>
                <w:color w:val="auto"/>
              </w:rPr>
            </w:pPr>
            <w:r>
              <w:rPr>
                <w:rFonts w:ascii="Arial" w:cs="Arial" w:eastAsia="Arial" w:hAnsi="Arial"/>
                <w:sz w:val="18"/>
                <w:szCs w:val="18"/>
                <w:color w:val="FF0000"/>
                <w:strike w:val="1"/>
              </w:rPr>
              <w:t>20-3694602</w:t>
            </w:r>
          </w:p>
        </w:tc>
      </w:tr>
      <w:tr>
        <w:trPr>
          <w:trHeight w:val="254"/>
        </w:trPr>
        <w:tc>
          <w:tcPr>
            <w:tcW w:w="33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11455 El Camino Real,</w:t>
            </w:r>
          </w:p>
        </w:tc>
        <w:tc>
          <w:tcPr>
            <w:tcW w:w="1760" w:type="dxa"/>
            <w:vAlign w:val="bottom"/>
          </w:tcPr>
          <w:p>
            <w:pPr>
              <w:spacing w:after="0"/>
              <w:rPr>
                <w:sz w:val="22"/>
                <w:szCs w:val="22"/>
                <w:color w:val="auto"/>
              </w:rPr>
            </w:pPr>
          </w:p>
        </w:tc>
      </w:tr>
      <w:tr>
        <w:trPr>
          <w:trHeight w:val="233"/>
        </w:trPr>
        <w:tc>
          <w:tcPr>
            <w:tcW w:w="3320" w:type="dxa"/>
            <w:vAlign w:val="bottom"/>
          </w:tcPr>
          <w:p>
            <w:pPr>
              <w:spacing w:after="0"/>
              <w:rPr>
                <w:sz w:val="20"/>
                <w:szCs w:val="20"/>
                <w:color w:val="auto"/>
              </w:rPr>
            </w:pPr>
            <w:r>
              <w:rPr>
                <w:rFonts w:ascii="Arial" w:cs="Arial" w:eastAsia="Arial" w:hAnsi="Arial"/>
                <w:sz w:val="18"/>
                <w:szCs w:val="18"/>
                <w:color w:val="FF0000"/>
                <w:strike w:val="1"/>
              </w:rPr>
              <w:t>Imperial Strand LLC</w:t>
            </w:r>
          </w:p>
        </w:tc>
        <w:tc>
          <w:tcPr>
            <w:tcW w:w="1660" w:type="dxa"/>
            <w:vAlign w:val="bottom"/>
          </w:tcPr>
          <w:p>
            <w:pPr>
              <w:ind w:left="580"/>
              <w:spacing w:after="0"/>
              <w:rPr>
                <w:sz w:val="20"/>
                <w:szCs w:val="20"/>
                <w:color w:val="auto"/>
              </w:rPr>
            </w:pPr>
            <w:r>
              <w:rPr>
                <w:rFonts w:ascii="Arial" w:cs="Arial" w:eastAsia="Arial" w:hAnsi="Arial"/>
                <w:sz w:val="18"/>
                <w:szCs w:val="18"/>
                <w:color w:val="FF0000"/>
                <w:strike w:val="1"/>
              </w:rPr>
              <w:t>Delaware</w:t>
            </w: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Ste. 200, San Diego, CA</w:t>
            </w:r>
          </w:p>
        </w:tc>
        <w:tc>
          <w:tcPr>
            <w:tcW w:w="1760" w:type="dxa"/>
            <w:vAlign w:val="bottom"/>
          </w:tcPr>
          <w:p>
            <w:pPr>
              <w:jc w:val="right"/>
              <w:spacing w:after="0"/>
              <w:rPr>
                <w:sz w:val="20"/>
                <w:szCs w:val="20"/>
                <w:color w:val="auto"/>
              </w:rPr>
            </w:pPr>
            <w:r>
              <w:rPr>
                <w:rFonts w:ascii="Arial" w:cs="Arial" w:eastAsia="Arial" w:hAnsi="Arial"/>
                <w:sz w:val="18"/>
                <w:szCs w:val="18"/>
                <w:color w:val="FF0000"/>
                <w:strike w:val="1"/>
              </w:rPr>
              <w:t>27-4544109</w:t>
            </w:r>
          </w:p>
        </w:tc>
      </w:tr>
      <w:tr>
        <w:trPr>
          <w:trHeight w:val="254"/>
        </w:trPr>
        <w:tc>
          <w:tcPr>
            <w:tcW w:w="33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11455 El Camino Real,</w:t>
            </w:r>
          </w:p>
        </w:tc>
        <w:tc>
          <w:tcPr>
            <w:tcW w:w="1760" w:type="dxa"/>
            <w:vAlign w:val="bottom"/>
          </w:tcPr>
          <w:p>
            <w:pPr>
              <w:spacing w:after="0"/>
              <w:rPr>
                <w:sz w:val="22"/>
                <w:szCs w:val="22"/>
                <w:color w:val="auto"/>
              </w:rPr>
            </w:pPr>
          </w:p>
        </w:tc>
      </w:tr>
      <w:tr>
        <w:trPr>
          <w:trHeight w:val="233"/>
        </w:trPr>
        <w:tc>
          <w:tcPr>
            <w:tcW w:w="3320" w:type="dxa"/>
            <w:vAlign w:val="bottom"/>
          </w:tcPr>
          <w:p>
            <w:pPr>
              <w:spacing w:after="0"/>
              <w:rPr>
                <w:sz w:val="20"/>
                <w:szCs w:val="20"/>
                <w:color w:val="auto"/>
              </w:rPr>
            </w:pPr>
            <w:r>
              <w:rPr>
                <w:rFonts w:ascii="Arial" w:cs="Arial" w:eastAsia="Arial" w:hAnsi="Arial"/>
                <w:sz w:val="18"/>
                <w:szCs w:val="18"/>
                <w:color w:val="FF0000"/>
                <w:strike w:val="1"/>
              </w:rPr>
              <w:t>Mariner’s Point, LLC</w:t>
            </w:r>
          </w:p>
        </w:tc>
        <w:tc>
          <w:tcPr>
            <w:tcW w:w="1660" w:type="dxa"/>
            <w:vAlign w:val="bottom"/>
          </w:tcPr>
          <w:p>
            <w:pPr>
              <w:ind w:left="560"/>
              <w:spacing w:after="0"/>
              <w:rPr>
                <w:sz w:val="20"/>
                <w:szCs w:val="20"/>
                <w:color w:val="auto"/>
              </w:rPr>
            </w:pPr>
            <w:r>
              <w:rPr>
                <w:rFonts w:ascii="Arial" w:cs="Arial" w:eastAsia="Arial" w:hAnsi="Arial"/>
                <w:sz w:val="18"/>
                <w:szCs w:val="18"/>
                <w:color w:val="FF0000"/>
                <w:strike w:val="1"/>
              </w:rPr>
              <w:t>California</w:t>
            </w:r>
          </w:p>
        </w:tc>
        <w:tc>
          <w:tcPr>
            <w:tcW w:w="3020" w:type="dxa"/>
            <w:vAlign w:val="bottom"/>
          </w:tcPr>
          <w:p>
            <w:pPr>
              <w:ind w:left="340"/>
              <w:spacing w:after="0"/>
              <w:rPr>
                <w:sz w:val="20"/>
                <w:szCs w:val="20"/>
                <w:color w:val="auto"/>
              </w:rPr>
            </w:pPr>
            <w:r>
              <w:rPr>
                <w:rFonts w:ascii="Arial" w:cs="Arial" w:eastAsia="Arial" w:hAnsi="Arial"/>
                <w:sz w:val="18"/>
                <w:szCs w:val="18"/>
                <w:color w:val="FF0000"/>
                <w:strike w:val="1"/>
              </w:rPr>
              <w:t>Ste. 200, San Diego, CA</w:t>
            </w:r>
          </w:p>
        </w:tc>
        <w:tc>
          <w:tcPr>
            <w:tcW w:w="1760" w:type="dxa"/>
            <w:vAlign w:val="bottom"/>
          </w:tcPr>
          <w:p>
            <w:pPr>
              <w:jc w:val="right"/>
              <w:spacing w:after="0"/>
              <w:rPr>
                <w:sz w:val="20"/>
                <w:szCs w:val="20"/>
                <w:color w:val="auto"/>
              </w:rPr>
            </w:pPr>
            <w:r>
              <w:rPr>
                <w:rFonts w:ascii="Arial" w:cs="Arial" w:eastAsia="Arial" w:hAnsi="Arial"/>
                <w:sz w:val="18"/>
                <w:szCs w:val="18"/>
                <w:color w:val="FF0000"/>
                <w:strike w:val="1"/>
              </w:rPr>
              <w:t>33-0959584</w:t>
            </w:r>
          </w:p>
        </w:tc>
      </w:tr>
    </w:tbl>
    <w:p>
      <w:pPr>
        <w:sectPr>
          <w:pgSz w:w="11900" w:h="16838" w:orient="portrait"/>
          <w:cols w:equalWidth="0" w:num="1">
            <w:col w:w="9760"/>
          </w:cols>
          <w:pgMar w:left="780" w:top="947" w:right="1359" w:bottom="1440" w:gutter="0" w:footer="0" w:header="0"/>
        </w:sectPr>
      </w:pPr>
    </w:p>
    <w:bookmarkStart w:id="360" w:name="page361"/>
    <w:bookmarkEnd w:id="36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1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i w:val="1"/>
                <w:iCs w:val="1"/>
                <w:color w:val="auto"/>
                <w:w w:val="87"/>
              </w:rPr>
              <w:t>Schedule 7.01(m)</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vMerge w:val="restart"/>
          </w:tcPr>
          <w:p>
            <w:pPr>
              <w:spacing w:after="0"/>
              <w:rPr>
                <w:sz w:val="15"/>
                <w:szCs w:val="15"/>
                <w:color w:val="auto"/>
              </w:rPr>
            </w:pPr>
          </w:p>
        </w:tc>
        <w:tc>
          <w:tcPr>
            <w:tcW w:w="112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w w:val="97"/>
              </w:rPr>
              <w:t>Existing</w:t>
            </w:r>
          </w:p>
        </w:tc>
        <w:tc>
          <w:tcPr>
            <w:tcW w:w="440" w:type="dxa"/>
            <w:vAlign w:val="bottom"/>
            <w:vMerge w:val="restart"/>
          </w:tcPr>
          <w:p>
            <w:pPr>
              <w:spacing w:after="0"/>
              <w:rPr>
                <w:sz w:val="20"/>
                <w:szCs w:val="20"/>
                <w:color w:val="auto"/>
              </w:rPr>
            </w:pPr>
            <w:r>
              <w:rPr>
                <w:rFonts w:ascii="Arial" w:cs="Arial" w:eastAsia="Arial" w:hAnsi="Arial"/>
                <w:sz w:val="20"/>
                <w:szCs w:val="20"/>
                <w:b w:val="1"/>
                <w:bCs w:val="1"/>
                <w:i w:val="1"/>
                <w:iCs w:val="1"/>
                <w:color w:val="FF0000"/>
                <w:strike w:val="1"/>
                <w:w w:val="80"/>
              </w:rPr>
              <w:t>Liens</w:t>
            </w:r>
          </w:p>
        </w:tc>
        <w:tc>
          <w:tcPr>
            <w:tcW w:w="20" w:type="dxa"/>
            <w:vAlign w:val="bottom"/>
          </w:tcPr>
          <w:p>
            <w:pPr>
              <w:spacing w:after="0"/>
              <w:rPr>
                <w:sz w:val="15"/>
                <w:szCs w:val="15"/>
                <w:color w:val="auto"/>
              </w:rPr>
            </w:pPr>
          </w:p>
        </w:tc>
        <w:tc>
          <w:tcPr>
            <w:tcW w:w="540" w:type="dxa"/>
            <w:vAlign w:val="bottom"/>
            <w:gridSpan w:val="2"/>
          </w:tcPr>
          <w:p>
            <w:pPr>
              <w:spacing w:after="0"/>
              <w:rPr>
                <w:sz w:val="15"/>
                <w:szCs w:val="15"/>
                <w:color w:val="auto"/>
              </w:rPr>
            </w:pPr>
          </w:p>
        </w:tc>
        <w:tc>
          <w:tcPr>
            <w:tcW w:w="20" w:type="dxa"/>
            <w:vAlign w:val="bottom"/>
            <w:vMerge w:val="restart"/>
          </w:tcPr>
          <w:p>
            <w:pPr>
              <w:spacing w:after="0"/>
              <w:rPr>
                <w:sz w:val="15"/>
                <w:szCs w:val="15"/>
                <w:color w:val="auto"/>
              </w:rPr>
            </w:pPr>
          </w:p>
        </w:tc>
        <w:tc>
          <w:tcPr>
            <w:tcW w:w="240" w:type="dxa"/>
            <w:vAlign w:val="bottom"/>
            <w:vMerge w:val="restart"/>
          </w:tcPr>
          <w:p>
            <w:pPr>
              <w:spacing w:after="0"/>
              <w:rPr>
                <w:sz w:val="15"/>
                <w:szCs w:val="15"/>
                <w:color w:val="auto"/>
              </w:rPr>
            </w:pPr>
          </w:p>
        </w:tc>
        <w:tc>
          <w:tcPr>
            <w:tcW w:w="700" w:type="dxa"/>
            <w:vAlign w:val="bottom"/>
            <w:vMerge w:val="restart"/>
          </w:tcPr>
          <w:p>
            <w:pPr>
              <w:spacing w:after="0"/>
              <w:rPr>
                <w:sz w:val="15"/>
                <w:szCs w:val="15"/>
                <w:color w:val="auto"/>
              </w:rPr>
            </w:pPr>
          </w:p>
        </w:tc>
        <w:tc>
          <w:tcPr>
            <w:tcW w:w="820" w:type="dxa"/>
            <w:vAlign w:val="bottom"/>
            <w:vMerge w:val="restart"/>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560" w:type="dxa"/>
            <w:vAlign w:val="bottom"/>
            <w:gridSpan w:val="3"/>
            <w:shd w:val="clear" w:color="auto" w:fill="D6D6D6"/>
          </w:tcPr>
          <w:p>
            <w:pPr>
              <w:ind w:left="20"/>
              <w:spacing w:after="0" w:line="175" w:lineRule="exact"/>
              <w:rPr>
                <w:sz w:val="20"/>
                <w:szCs w:val="20"/>
                <w:color w:val="auto"/>
              </w:rPr>
            </w:pPr>
            <w:r>
              <w:rPr>
                <w:rFonts w:ascii="Arial" w:cs="Arial" w:eastAsia="Arial" w:hAnsi="Arial"/>
                <w:sz w:val="18"/>
                <w:szCs w:val="18"/>
                <w:b w:val="1"/>
                <w:bCs w:val="1"/>
                <w:color w:val="071DFF"/>
                <w:highlight w:val="lightGray"/>
                <w:w w:val="98"/>
              </w:rPr>
              <w:t>LIENS</w:t>
            </w:r>
          </w:p>
        </w:tc>
        <w:tc>
          <w:tcPr>
            <w:tcW w:w="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1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top w:val="single" w:sz="8" w:color="D6D6D6"/>
              <w:bottom w:val="single" w:sz="8" w:color="auto"/>
            </w:tcBorders>
          </w:tcPr>
          <w:p>
            <w:pPr>
              <w:spacing w:after="0"/>
              <w:rPr>
                <w:sz w:val="24"/>
                <w:szCs w:val="24"/>
                <w:color w:val="auto"/>
              </w:rPr>
            </w:pPr>
          </w:p>
        </w:tc>
        <w:tc>
          <w:tcPr>
            <w:tcW w:w="40" w:type="dxa"/>
            <w:vAlign w:val="bottom"/>
            <w:tcBorders>
              <w:top w:val="single" w:sz="8" w:color="071DFF"/>
              <w:bottom w:val="single" w:sz="8" w:color="auto"/>
            </w:tcBorders>
          </w:tcPr>
          <w:p>
            <w:pPr>
              <w:spacing w:after="0"/>
              <w:rPr>
                <w:sz w:val="24"/>
                <w:szCs w:val="24"/>
                <w:color w:val="auto"/>
              </w:rPr>
            </w:pPr>
          </w:p>
        </w:tc>
        <w:tc>
          <w:tcPr>
            <w:tcW w:w="500" w:type="dxa"/>
            <w:vAlign w:val="bottom"/>
            <w:tcBorders>
              <w:top w:val="single" w:sz="8" w:color="071DFF"/>
              <w:bottom w:val="single" w:sz="8" w:color="auto"/>
            </w:tcBorders>
          </w:tcPr>
          <w:p>
            <w:pPr>
              <w:spacing w:after="0"/>
              <w:rPr>
                <w:sz w:val="24"/>
                <w:szCs w:val="24"/>
                <w:color w:val="auto"/>
              </w:rPr>
            </w:pPr>
          </w:p>
        </w:tc>
        <w:tc>
          <w:tcPr>
            <w:tcW w:w="20" w:type="dxa"/>
            <w:vAlign w:val="bottom"/>
            <w:tcBorders>
              <w:top w:val="single" w:sz="8" w:color="071DFF"/>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220" w:type="dxa"/>
            <w:vAlign w:val="bottom"/>
            <w:tcBorders>
              <w:left w:val="single" w:sz="8" w:color="auto"/>
              <w:bottom w:val="single" w:sz="8" w:color="auto"/>
            </w:tcBorders>
            <w:shd w:val="clear" w:color="auto" w:fill="ACACAC"/>
          </w:tcPr>
          <w:p>
            <w:pPr>
              <w:spacing w:after="0"/>
              <w:rPr>
                <w:sz w:val="22"/>
                <w:szCs w:val="22"/>
                <w:color w:val="auto"/>
              </w:rPr>
            </w:pPr>
          </w:p>
        </w:tc>
        <w:tc>
          <w:tcPr>
            <w:tcW w:w="2240" w:type="dxa"/>
            <w:vAlign w:val="bottom"/>
            <w:tcBorders>
              <w:bottom w:val="single" w:sz="8" w:color="auto"/>
              <w:right w:val="single" w:sz="8" w:color="auto"/>
            </w:tcBorders>
            <w:gridSpan w:val="2"/>
            <w:shd w:val="clear" w:color="auto" w:fill="ACACAC"/>
          </w:tcPr>
          <w:p>
            <w:pPr>
              <w:spacing w:after="0" w:line="193" w:lineRule="exact"/>
              <w:rPr>
                <w:sz w:val="20"/>
                <w:szCs w:val="20"/>
                <w:color w:val="auto"/>
              </w:rPr>
            </w:pPr>
            <w:r>
              <w:rPr>
                <w:rFonts w:ascii="Arial" w:cs="Arial" w:eastAsia="Arial" w:hAnsi="Arial"/>
                <w:sz w:val="18"/>
                <w:szCs w:val="18"/>
                <w:b w:val="1"/>
                <w:bCs w:val="1"/>
                <w:color w:val="auto"/>
              </w:rPr>
              <w:t>Entity Name</w:t>
            </w:r>
          </w:p>
        </w:tc>
        <w:tc>
          <w:tcPr>
            <w:tcW w:w="2080" w:type="dxa"/>
            <w:vAlign w:val="bottom"/>
            <w:tcBorders>
              <w:bottom w:val="single" w:sz="8" w:color="auto"/>
              <w:right w:val="single" w:sz="8" w:color="auto"/>
            </w:tcBorders>
            <w:gridSpan w:val="6"/>
            <w:shd w:val="clear" w:color="auto" w:fill="ACACAC"/>
          </w:tcPr>
          <w:p>
            <w:pPr>
              <w:ind w:left="460"/>
              <w:spacing w:after="0" w:line="193" w:lineRule="exact"/>
              <w:rPr>
                <w:sz w:val="20"/>
                <w:szCs w:val="20"/>
                <w:color w:val="auto"/>
              </w:rPr>
            </w:pPr>
            <w:r>
              <w:rPr>
                <w:rFonts w:ascii="Arial" w:cs="Arial" w:eastAsia="Arial" w:hAnsi="Arial"/>
                <w:sz w:val="18"/>
                <w:szCs w:val="18"/>
                <w:b w:val="1"/>
                <w:bCs w:val="1"/>
                <w:color w:val="auto"/>
              </w:rPr>
              <w:t>UCC Number</w:t>
            </w:r>
          </w:p>
        </w:tc>
        <w:tc>
          <w:tcPr>
            <w:tcW w:w="500" w:type="dxa"/>
            <w:vAlign w:val="bottom"/>
            <w:tcBorders>
              <w:bottom w:val="single" w:sz="8" w:color="auto"/>
            </w:tcBorders>
            <w:shd w:val="clear" w:color="auto" w:fill="ACACAC"/>
          </w:tcPr>
          <w:p>
            <w:pPr>
              <w:spacing w:after="0"/>
              <w:rPr>
                <w:sz w:val="22"/>
                <w:szCs w:val="22"/>
                <w:color w:val="auto"/>
              </w:rPr>
            </w:pPr>
          </w:p>
        </w:tc>
        <w:tc>
          <w:tcPr>
            <w:tcW w:w="20" w:type="dxa"/>
            <w:vAlign w:val="bottom"/>
            <w:tcBorders>
              <w:bottom w:val="single" w:sz="8" w:color="auto"/>
            </w:tcBorders>
            <w:shd w:val="clear" w:color="auto" w:fill="ACACAC"/>
          </w:tcPr>
          <w:p>
            <w:pPr>
              <w:spacing w:after="0"/>
              <w:rPr>
                <w:sz w:val="22"/>
                <w:szCs w:val="22"/>
                <w:color w:val="auto"/>
              </w:rPr>
            </w:pPr>
          </w:p>
        </w:tc>
        <w:tc>
          <w:tcPr>
            <w:tcW w:w="1760" w:type="dxa"/>
            <w:vAlign w:val="bottom"/>
            <w:tcBorders>
              <w:bottom w:val="single" w:sz="8" w:color="auto"/>
              <w:right w:val="single" w:sz="8" w:color="auto"/>
            </w:tcBorders>
            <w:gridSpan w:val="3"/>
            <w:shd w:val="clear" w:color="auto" w:fill="ACACAC"/>
          </w:tcPr>
          <w:p>
            <w:pPr>
              <w:jc w:val="center"/>
              <w:ind w:right="580"/>
              <w:spacing w:after="0" w:line="193" w:lineRule="exact"/>
              <w:rPr>
                <w:sz w:val="20"/>
                <w:szCs w:val="20"/>
                <w:color w:val="auto"/>
              </w:rPr>
            </w:pPr>
            <w:r>
              <w:rPr>
                <w:rFonts w:ascii="Arial" w:cs="Arial" w:eastAsia="Arial" w:hAnsi="Arial"/>
                <w:sz w:val="18"/>
                <w:szCs w:val="18"/>
                <w:b w:val="1"/>
                <w:bCs w:val="1"/>
                <w:color w:val="auto"/>
                <w:w w:val="93"/>
              </w:rPr>
              <w:t>Location</w:t>
            </w:r>
          </w:p>
        </w:tc>
        <w:tc>
          <w:tcPr>
            <w:tcW w:w="880" w:type="dxa"/>
            <w:vAlign w:val="bottom"/>
            <w:tcBorders>
              <w:bottom w:val="single" w:sz="8" w:color="auto"/>
            </w:tcBorders>
            <w:shd w:val="clear" w:color="auto" w:fill="ACACAC"/>
          </w:tcPr>
          <w:p>
            <w:pPr>
              <w:spacing w:after="0"/>
              <w:rPr>
                <w:sz w:val="22"/>
                <w:szCs w:val="22"/>
                <w:color w:val="auto"/>
              </w:rPr>
            </w:pPr>
          </w:p>
        </w:tc>
        <w:tc>
          <w:tcPr>
            <w:tcW w:w="1720" w:type="dxa"/>
            <w:vAlign w:val="bottom"/>
            <w:tcBorders>
              <w:bottom w:val="single" w:sz="8" w:color="auto"/>
              <w:right w:val="single" w:sz="8" w:color="auto"/>
            </w:tcBorders>
            <w:gridSpan w:val="2"/>
            <w:shd w:val="clear" w:color="auto" w:fill="ACACAC"/>
          </w:tcPr>
          <w:p>
            <w:pPr>
              <w:spacing w:after="0" w:line="193" w:lineRule="exact"/>
              <w:rPr>
                <w:sz w:val="20"/>
                <w:szCs w:val="20"/>
                <w:color w:val="auto"/>
              </w:rPr>
            </w:pPr>
            <w:r>
              <w:rPr>
                <w:rFonts w:ascii="Arial" w:cs="Arial" w:eastAsia="Arial" w:hAnsi="Arial"/>
                <w:sz w:val="18"/>
                <w:szCs w:val="18"/>
                <w:b w:val="1"/>
                <w:bCs w:val="1"/>
                <w:color w:val="auto"/>
              </w:rPr>
              <w:t>Collateral</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4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ABW Lewers LLC</w:t>
            </w:r>
          </w:p>
        </w:tc>
        <w:tc>
          <w:tcPr>
            <w:tcW w:w="1560" w:type="dxa"/>
            <w:vAlign w:val="bottom"/>
            <w:gridSpan w:val="2"/>
          </w:tcPr>
          <w:p>
            <w:pPr>
              <w:jc w:val="center"/>
              <w:ind w:left="368"/>
              <w:spacing w:after="0"/>
              <w:rPr>
                <w:sz w:val="20"/>
                <w:szCs w:val="20"/>
                <w:color w:val="auto"/>
              </w:rPr>
            </w:pPr>
            <w:r>
              <w:rPr>
                <w:rFonts w:ascii="Arial" w:cs="Arial" w:eastAsia="Arial" w:hAnsi="Arial"/>
                <w:sz w:val="18"/>
                <w:szCs w:val="18"/>
                <w:color w:val="auto"/>
                <w:w w:val="92"/>
              </w:rPr>
              <w:t>2006-227575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18"/>
                <w:szCs w:val="18"/>
                <w:color w:val="auto"/>
                <w:w w:val="94"/>
              </w:rPr>
              <w:t>Hawaii Bureau of</w:t>
            </w:r>
          </w:p>
        </w:tc>
        <w:tc>
          <w:tcPr>
            <w:tcW w:w="26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Equipment Lease Filing</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220" w:type="dxa"/>
            <w:vAlign w:val="bottom"/>
            <w:tcBorders>
              <w:left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tcBorders>
              <w:right w:val="single" w:sz="8" w:color="auto"/>
            </w:tcBorders>
            <w:gridSpan w:val="3"/>
          </w:tcPr>
          <w:p>
            <w:pPr>
              <w:jc w:val="center"/>
              <w:ind w:right="580"/>
              <w:spacing w:after="0"/>
              <w:rPr>
                <w:sz w:val="20"/>
                <w:szCs w:val="20"/>
                <w:color w:val="auto"/>
              </w:rPr>
            </w:pPr>
            <w:r>
              <w:rPr>
                <w:rFonts w:ascii="Arial" w:cs="Arial" w:eastAsia="Arial" w:hAnsi="Arial"/>
                <w:sz w:val="18"/>
                <w:szCs w:val="18"/>
                <w:color w:val="auto"/>
                <w:w w:val="89"/>
              </w:rPr>
              <w:t>Conveyances</w:t>
            </w: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220" w:type="dxa"/>
            <w:vAlign w:val="bottom"/>
            <w:tcBorders>
              <w:left w:val="single" w:sz="8" w:color="auto"/>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34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Del Monte Centre Holdings LLC</w:t>
            </w:r>
          </w:p>
        </w:tc>
        <w:tc>
          <w:tcPr>
            <w:tcW w:w="2020" w:type="dxa"/>
            <w:vAlign w:val="bottom"/>
            <w:gridSpan w:val="4"/>
          </w:tcPr>
          <w:p>
            <w:pPr>
              <w:jc w:val="center"/>
              <w:spacing w:after="0"/>
              <w:rPr>
                <w:sz w:val="20"/>
                <w:szCs w:val="20"/>
                <w:color w:val="auto"/>
              </w:rPr>
            </w:pPr>
            <w:r>
              <w:rPr>
                <w:rFonts w:ascii="Arial" w:cs="Arial" w:eastAsia="Arial" w:hAnsi="Arial"/>
                <w:sz w:val="18"/>
                <w:szCs w:val="18"/>
                <w:color w:val="auto"/>
                <w:w w:val="91"/>
              </w:rPr>
              <w:t>08-7176897215</w:t>
            </w:r>
          </w:p>
        </w:tc>
        <w:tc>
          <w:tcPr>
            <w:tcW w:w="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18"/>
                <w:szCs w:val="18"/>
                <w:color w:val="auto"/>
                <w:w w:val="92"/>
              </w:rPr>
              <w:t>California Secretary of State</w:t>
            </w:r>
          </w:p>
        </w:tc>
        <w:tc>
          <w:tcPr>
            <w:tcW w:w="26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Equipment Lease Filing</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220" w:type="dxa"/>
            <w:vAlign w:val="bottom"/>
            <w:tcBorders>
              <w:left w:val="single" w:sz="8" w:color="auto"/>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34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EBW Hotel LLC</w:t>
            </w:r>
          </w:p>
        </w:tc>
        <w:tc>
          <w:tcPr>
            <w:tcW w:w="1560" w:type="dxa"/>
            <w:vAlign w:val="bottom"/>
            <w:gridSpan w:val="2"/>
          </w:tcPr>
          <w:p>
            <w:pPr>
              <w:jc w:val="center"/>
              <w:ind w:left="368"/>
              <w:spacing w:after="0"/>
              <w:rPr>
                <w:sz w:val="20"/>
                <w:szCs w:val="20"/>
                <w:color w:val="auto"/>
              </w:rPr>
            </w:pPr>
            <w:r>
              <w:rPr>
                <w:rFonts w:ascii="Arial" w:cs="Arial" w:eastAsia="Arial" w:hAnsi="Arial"/>
                <w:sz w:val="18"/>
                <w:szCs w:val="18"/>
                <w:color w:val="auto"/>
                <w:w w:val="92"/>
              </w:rPr>
              <w:t>2007-045320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18"/>
                <w:szCs w:val="18"/>
                <w:color w:val="auto"/>
                <w:w w:val="94"/>
              </w:rPr>
              <w:t>Hawaii Bureau of</w:t>
            </w:r>
          </w:p>
        </w:tc>
        <w:tc>
          <w:tcPr>
            <w:tcW w:w="26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Equipment Lease Filing</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220" w:type="dxa"/>
            <w:vAlign w:val="bottom"/>
            <w:tcBorders>
              <w:left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tcBorders>
              <w:right w:val="single" w:sz="8" w:color="auto"/>
            </w:tcBorders>
            <w:gridSpan w:val="3"/>
          </w:tcPr>
          <w:p>
            <w:pPr>
              <w:jc w:val="center"/>
              <w:ind w:right="580"/>
              <w:spacing w:after="0"/>
              <w:rPr>
                <w:sz w:val="20"/>
                <w:szCs w:val="20"/>
                <w:color w:val="auto"/>
              </w:rPr>
            </w:pPr>
            <w:r>
              <w:rPr>
                <w:rFonts w:ascii="Arial" w:cs="Arial" w:eastAsia="Arial" w:hAnsi="Arial"/>
                <w:sz w:val="18"/>
                <w:szCs w:val="18"/>
                <w:color w:val="auto"/>
                <w:w w:val="89"/>
              </w:rPr>
              <w:t>Conveyances</w:t>
            </w: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220" w:type="dxa"/>
            <w:vAlign w:val="bottom"/>
            <w:tcBorders>
              <w:left w:val="single" w:sz="8" w:color="auto"/>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34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Pacific Oceanside Holdings LLC</w:t>
            </w:r>
          </w:p>
        </w:tc>
        <w:tc>
          <w:tcPr>
            <w:tcW w:w="1560" w:type="dxa"/>
            <w:vAlign w:val="bottom"/>
            <w:gridSpan w:val="2"/>
          </w:tcPr>
          <w:p>
            <w:pPr>
              <w:jc w:val="center"/>
              <w:ind w:left="368"/>
              <w:spacing w:after="0"/>
              <w:rPr>
                <w:sz w:val="20"/>
                <w:szCs w:val="20"/>
                <w:color w:val="auto"/>
              </w:rPr>
            </w:pPr>
            <w:r>
              <w:rPr>
                <w:rFonts w:ascii="Arial" w:cs="Arial" w:eastAsia="Arial" w:hAnsi="Arial"/>
                <w:sz w:val="18"/>
                <w:szCs w:val="18"/>
                <w:color w:val="auto"/>
                <w:w w:val="91"/>
              </w:rPr>
              <w:t>09-720959113</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18"/>
                <w:szCs w:val="18"/>
                <w:color w:val="auto"/>
                <w:w w:val="92"/>
              </w:rPr>
              <w:t>California Secretary of State</w:t>
            </w:r>
          </w:p>
        </w:tc>
        <w:tc>
          <w:tcPr>
            <w:tcW w:w="26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Equipment Lease Filing</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220" w:type="dxa"/>
            <w:vAlign w:val="bottom"/>
            <w:tcBorders>
              <w:left w:val="single" w:sz="8" w:color="auto"/>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760" w:top="785" w:right="239" w:bottom="1440" w:gutter="0" w:footer="0" w:header="0"/>
        </w:sectPr>
      </w:pPr>
    </w:p>
    <w:bookmarkStart w:id="361" w:name="page362"/>
    <w:bookmarkEnd w:id="361"/>
    <w:p>
      <w:pPr>
        <w:jc w:val="right"/>
        <w:spacing w:after="0"/>
        <w:rPr>
          <w:sz w:val="20"/>
          <w:szCs w:val="20"/>
          <w:color w:val="auto"/>
        </w:rPr>
      </w:pPr>
      <w:r>
        <w:rPr>
          <w:rFonts w:ascii="Arial" w:cs="Arial" w:eastAsia="Arial" w:hAnsi="Arial"/>
          <w:sz w:val="18"/>
          <w:szCs w:val="18"/>
          <w:b w:val="1"/>
          <w:bCs w:val="1"/>
          <w:i w:val="1"/>
          <w:iCs w:val="1"/>
          <w:color w:val="auto"/>
        </w:rPr>
        <w:t>Schedule 7.03</w:t>
      </w:r>
    </w:p>
    <w:p>
      <w:pPr>
        <w:spacing w:after="0" w:line="178"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 xml:space="preserve">Existing </w:t>
      </w:r>
      <w:r>
        <w:rPr>
          <w:rFonts w:ascii="Arial" w:cs="Arial" w:eastAsia="Arial" w:hAnsi="Arial"/>
          <w:sz w:val="17"/>
          <w:szCs w:val="17"/>
          <w:b w:val="1"/>
          <w:bCs w:val="1"/>
          <w:i w:val="1"/>
          <w:iCs w:val="1"/>
          <w:color w:val="FF0000"/>
          <w:strike w:val="1"/>
        </w:rPr>
        <w:t>Investments</w:t>
      </w:r>
      <w:r>
        <w:rPr>
          <w:rFonts w:ascii="Arial" w:cs="Arial" w:eastAsia="Arial" w:hAnsi="Arial"/>
          <w:sz w:val="16"/>
          <w:szCs w:val="16"/>
          <w:b w:val="1"/>
          <w:bCs w:val="1"/>
          <w:u w:val="single" w:color="auto"/>
          <w:color w:val="0000FF"/>
          <w:highlight w:val="lightGray"/>
        </w:rPr>
        <w:t>investments</w:t>
      </w:r>
    </w:p>
    <w:p>
      <w:pPr>
        <w:spacing w:after="0" w:line="2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u w:val="single" w:color="auto"/>
          <w:color w:val="0000FF"/>
          <w:highlight w:val="lightGray"/>
        </w:rPr>
        <w:t>None</w:t>
      </w:r>
      <w:r>
        <w:rPr>
          <w:rFonts w:ascii="Arial" w:cs="Arial" w:eastAsia="Arial" w:hAnsi="Arial"/>
          <w:sz w:val="19"/>
          <w:szCs w:val="19"/>
          <w:color w:val="FF0000"/>
          <w:strike w:val="1"/>
        </w:rPr>
        <w:t>NONE</w:t>
      </w:r>
    </w:p>
    <w:p>
      <w:pPr>
        <w:sectPr>
          <w:pgSz w:w="11900" w:h="16838" w:orient="portrait"/>
          <w:cols w:equalWidth="0" w:num="1">
            <w:col w:w="10220"/>
          </w:cols>
          <w:pgMar w:left="1440" w:top="785" w:right="239" w:bottom="1440" w:gutter="0" w:footer="0" w:header="0"/>
        </w:sectPr>
      </w:pPr>
    </w:p>
    <w:bookmarkStart w:id="362" w:name="page363"/>
    <w:bookmarkEnd w:id="362"/>
    <w:p>
      <w:pPr>
        <w:jc w:val="right"/>
        <w:spacing w:after="0"/>
        <w:rPr>
          <w:sz w:val="20"/>
          <w:szCs w:val="20"/>
          <w:color w:val="auto"/>
        </w:rPr>
      </w:pPr>
      <w:r>
        <w:rPr>
          <w:rFonts w:ascii="Arial" w:cs="Arial" w:eastAsia="Arial" w:hAnsi="Arial"/>
          <w:sz w:val="18"/>
          <w:szCs w:val="18"/>
          <w:b w:val="1"/>
          <w:bCs w:val="1"/>
          <w:i w:val="1"/>
          <w:iCs w:val="1"/>
          <w:color w:val="auto"/>
        </w:rPr>
        <w:t xml:space="preserve">Schedule </w:t>
      </w:r>
      <w:r>
        <w:rPr>
          <w:rFonts w:ascii="Arial" w:cs="Arial" w:eastAsia="Arial" w:hAnsi="Arial"/>
          <w:sz w:val="19"/>
          <w:szCs w:val="19"/>
          <w:b w:val="1"/>
          <w:bCs w:val="1"/>
          <w:i w:val="1"/>
          <w:iCs w:val="1"/>
          <w:color w:val="FF0000"/>
          <w:strike w:val="1"/>
        </w:rPr>
        <w:t>7.09</w:t>
      </w:r>
      <w:r>
        <w:rPr>
          <w:rFonts w:ascii="Arial" w:cs="Arial" w:eastAsia="Arial" w:hAnsi="Arial"/>
          <w:sz w:val="18"/>
          <w:szCs w:val="18"/>
          <w:b w:val="1"/>
          <w:bCs w:val="1"/>
          <w:i w:val="1"/>
          <w:iCs w:val="1"/>
          <w:u w:val="single" w:color="auto"/>
          <w:color w:val="0000FF"/>
          <w:highlight w:val="lightGray"/>
        </w:rPr>
        <w:t>10.02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0000FF"/>
          <w:highlight w:val="lightGray"/>
        </w:rPr>
        <w:t>ADMINISTRATIVE AGENT’S OFFICE, CERTAIN ADDRESSES FOR NOTICES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BORROWER: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Robert F. Barton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EVP, 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11455 El Camino Real, Suite 200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San Diego, CA 92130</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FF0000"/>
          <w:strike w:val="1"/>
        </w:rPr>
        <w:t>Burdensome Agreements</w:t>
      </w:r>
      <w:r>
        <w:rPr>
          <w:rFonts w:ascii="Arial" w:cs="Arial" w:eastAsia="Arial" w:hAnsi="Arial"/>
          <w:sz w:val="18"/>
          <w:szCs w:val="18"/>
          <w:b w:val="1"/>
          <w:bCs w:val="1"/>
          <w:u w:val="single" w:color="auto"/>
          <w:color w:val="0000FF"/>
          <w:highlight w:val="lightGray"/>
          <w:strike w:val="1"/>
        </w:rPr>
        <w:t>rbarton@americanassets.com</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Telephone: (858) 350-2600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Fax: (858) 350-2620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cc:</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Adam Wyll</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SVP, General Counsel</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11455 El Camino Real, Suite 200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San Diego, CA 92130</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0000"/>
          <w:strike w:val="1"/>
        </w:rPr>
        <w:t>NONE</w:t>
      </w:r>
      <w:r>
        <w:rPr>
          <w:rFonts w:ascii="Arial" w:cs="Arial" w:eastAsia="Arial" w:hAnsi="Arial"/>
          <w:sz w:val="18"/>
          <w:szCs w:val="18"/>
          <w:b w:val="1"/>
          <w:bCs w:val="1"/>
          <w:u w:val="single" w:color="auto"/>
          <w:color w:val="0000FF"/>
          <w:highlight w:val="lightGray"/>
          <w:strike w:val="1"/>
        </w:rPr>
        <w:t>awyll@americanassets.com</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Telephone: (858) 350-2600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Fax: (858) 350-2620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REIT: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Website: www.americanassetstrust.com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Robert F. Barton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EVP, 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11455 El Camino Real, Suite 200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San Diego, CA 92130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rbarton@americanassets.com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Telephone: (858) 350-2600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Fax: (858) 350-2620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cc:</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Adam Wyll</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SVP, General Counsel</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11455 El Camino Real, Suite 200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San Diego, CA 92130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awyll@americanassets.com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Telephone: (858) 350-2600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Fax: (858) 350-2620</w:t>
      </w:r>
    </w:p>
    <w:p>
      <w:pPr>
        <w:sectPr>
          <w:pgSz w:w="11900" w:h="16838" w:orient="portrait"/>
          <w:cols w:equalWidth="0" w:num="1">
            <w:col w:w="11420"/>
          </w:cols>
          <w:pgMar w:left="240" w:top="795" w:right="239" w:bottom="1440" w:gutter="0" w:footer="0" w:header="0"/>
        </w:sectPr>
      </w:pPr>
    </w:p>
    <w:bookmarkStart w:id="363" w:name="page364"/>
    <w:bookmarkEnd w:id="363"/>
    <w:p>
      <w:pPr>
        <w:spacing w:after="0"/>
        <w:rPr>
          <w:sz w:val="20"/>
          <w:szCs w:val="20"/>
          <w:color w:val="auto"/>
        </w:rPr>
      </w:pPr>
      <w:r>
        <w:rPr>
          <w:rFonts w:ascii="Arial" w:cs="Arial" w:eastAsia="Arial" w:hAnsi="Arial"/>
          <w:sz w:val="18"/>
          <w:szCs w:val="18"/>
          <w:b w:val="1"/>
          <w:bCs w:val="1"/>
          <w:u w:val="single" w:color="auto"/>
          <w:color w:val="0000FF"/>
          <w:highlight w:val="lightGray"/>
        </w:rPr>
        <w:t>ADMINISTRATIVE AGENT: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U.S. Bank National Association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highlight w:val="lightGray"/>
        </w:rPr>
        <w:t>4747 Executive Drive</w:t>
      </w:r>
    </w:p>
    <w:p>
      <w:pPr>
        <w:spacing w:after="0" w:line="197" w:lineRule="auto"/>
        <w:rPr>
          <w:sz w:val="20"/>
          <w:szCs w:val="20"/>
          <w:color w:val="auto"/>
        </w:rPr>
      </w:pPr>
      <w:r>
        <w:rPr>
          <w:rFonts w:ascii="Arial" w:cs="Arial" w:eastAsia="Arial" w:hAnsi="Arial"/>
          <w:sz w:val="18"/>
          <w:szCs w:val="18"/>
          <w:b w:val="1"/>
          <w:bCs w:val="1"/>
          <w:u w:val="single" w:color="auto"/>
          <w:color w:val="0000FF"/>
          <w:highlight w:val="lightGray"/>
        </w:rPr>
        <w:t>3</w:t>
      </w:r>
      <w:r>
        <w:rPr>
          <w:rFonts w:ascii="Arial" w:cs="Arial" w:eastAsia="Arial" w:hAnsi="Arial"/>
          <w:sz w:val="23"/>
          <w:szCs w:val="23"/>
          <w:b w:val="1"/>
          <w:bCs w:val="1"/>
          <w:u w:val="single" w:color="auto"/>
          <w:color w:val="0000FF"/>
          <w:vertAlign w:val="superscript"/>
        </w:rPr>
        <w:t>rd</w:t>
      </w:r>
      <w:r>
        <w:rPr>
          <w:rFonts w:ascii="Arial" w:cs="Arial" w:eastAsia="Arial" w:hAnsi="Arial"/>
          <w:sz w:val="18"/>
          <w:szCs w:val="18"/>
          <w:b w:val="1"/>
          <w:bCs w:val="1"/>
          <w:u w:val="single" w:color="auto"/>
          <w:color w:val="0000FF"/>
          <w:highlight w:val="lightGray"/>
        </w:rPr>
        <w:t xml:space="preserve"> </w:t>
      </w:r>
      <w:r>
        <w:rPr>
          <w:rFonts w:ascii="Arial" w:cs="Arial" w:eastAsia="Arial" w:hAnsi="Arial"/>
          <w:sz w:val="18"/>
          <w:szCs w:val="18"/>
          <w:b w:val="1"/>
          <w:bCs w:val="1"/>
          <w:u w:val="single" w:color="auto"/>
          <w:color w:val="0000FF"/>
        </w:rPr>
        <w:t>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-133350</wp:posOffset>
            </wp:positionV>
            <wp:extent cx="381000" cy="1270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1000" cy="1270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0000FF"/>
          <w:highlight w:val="lightGray"/>
        </w:rPr>
        <w:t>San Diego, CA 92121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highlight w:val="lightGray"/>
        </w:rPr>
        <w:t>Attention: U.S. Bank Commercial Real Estate</w:t>
      </w:r>
    </w:p>
    <w:p>
      <w:pPr>
        <w:sectPr>
          <w:pgSz w:w="11900" w:h="16838" w:orient="portrait"/>
          <w:cols w:equalWidth="0" w:num="1">
            <w:col w:w="10219"/>
          </w:cols>
          <w:pgMar w:left="240" w:top="781" w:right="1440" w:bottom="1440" w:gutter="0" w:footer="0" w:header="0"/>
        </w:sectPr>
      </w:pPr>
    </w:p>
    <w:bookmarkStart w:id="364" w:name="page365"/>
    <w:bookmarkEnd w:id="364"/>
    <w:p>
      <w:pPr>
        <w:jc w:val="right"/>
        <w:spacing w:after="0"/>
        <w:rPr>
          <w:sz w:val="20"/>
          <w:szCs w:val="20"/>
          <w:color w:val="auto"/>
        </w:rPr>
      </w:pPr>
      <w:r>
        <w:rPr>
          <w:rFonts w:ascii="Arial" w:cs="Arial" w:eastAsia="Arial" w:hAnsi="Arial"/>
          <w:sz w:val="20"/>
          <w:szCs w:val="20"/>
          <w:b w:val="1"/>
          <w:bCs w:val="1"/>
          <w:i w:val="1"/>
          <w:iCs w:val="1"/>
          <w:color w:val="auto"/>
        </w:rPr>
        <w:t>EXHIBIT A</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LOAN NOTICE</w:t>
      </w:r>
    </w:p>
    <w:p>
      <w:pPr>
        <w:spacing w:after="0" w:line="213" w:lineRule="exact"/>
        <w:rPr>
          <w:sz w:val="20"/>
          <w:szCs w:val="20"/>
          <w:color w:val="auto"/>
        </w:rPr>
      </w:pPr>
    </w:p>
    <w:p>
      <w:pPr>
        <w:ind w:left="9240"/>
        <w:spacing w:after="0"/>
        <w:rPr>
          <w:sz w:val="20"/>
          <w:szCs w:val="20"/>
          <w:color w:val="auto"/>
        </w:rPr>
      </w:pPr>
      <w:r>
        <w:rPr>
          <w:rFonts w:ascii="Arial" w:cs="Arial" w:eastAsia="Arial" w:hAnsi="Arial"/>
          <w:sz w:val="17"/>
          <w:szCs w:val="17"/>
          <w:color w:val="auto"/>
        </w:rPr>
        <w:t>Date: ___________, _____</w:t>
      </w:r>
    </w:p>
    <w:p>
      <w:pPr>
        <w:spacing w:after="0" w:line="58"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U.S. Bank National Association, as Administrative Agent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Reference is made to that certain Term Loan Credit Agreement, dated as of March 1, 2016 (as amended, restated, extended, supplemented or otherwise modified in writing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the terms defined therein being used herein as therein defined), among American Assets Trust, Inc., a Maryland corporation, American Assets Trust, L.P., a Maryland limited partnership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and U.S. Bank National Association, as Administrative Agent.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The undersigned hereby requests (select one):</w:t>
      </w:r>
    </w:p>
    <w:p>
      <w:pPr>
        <w:spacing w:after="0" w:line="200" w:lineRule="exact"/>
        <w:rPr>
          <w:sz w:val="20"/>
          <w:szCs w:val="20"/>
          <w:color w:val="auto"/>
        </w:rPr>
      </w:pPr>
    </w:p>
    <w:p>
      <w:pPr>
        <w:spacing w:after="0" w:line="24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 xml:space="preserve">o </w:t>
      </w:r>
      <w:r>
        <w:rPr>
          <w:rFonts w:ascii="Arial" w:cs="Arial" w:eastAsia="Arial" w:hAnsi="Arial"/>
          <w:sz w:val="19"/>
          <w:szCs w:val="19"/>
          <w:color w:val="auto"/>
        </w:rPr>
        <w:t>A Borrowing</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20"/>
          <w:szCs w:val="20"/>
          <w:color w:val="auto"/>
        </w:rPr>
        <w:t>o A conversion or continuation of</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Term Loans</w:t>
      </w:r>
    </w:p>
    <w:p>
      <w:pPr>
        <w:spacing w:after="0" w:line="200" w:lineRule="exact"/>
        <w:rPr>
          <w:sz w:val="20"/>
          <w:szCs w:val="20"/>
          <w:color w:val="auto"/>
        </w:rPr>
      </w:pPr>
    </w:p>
    <w:p>
      <w:pPr>
        <w:spacing w:after="0" w:line="316" w:lineRule="exact"/>
        <w:rPr>
          <w:sz w:val="20"/>
          <w:szCs w:val="20"/>
          <w:color w:val="auto"/>
        </w:rPr>
      </w:pPr>
    </w:p>
    <w:p>
      <w:pPr>
        <w:ind w:left="340" w:hanging="340"/>
        <w:spacing w:after="0"/>
        <w:tabs>
          <w:tab w:leader="none" w:pos="340" w:val="left"/>
        </w:tabs>
        <w:numPr>
          <w:ilvl w:val="0"/>
          <w:numId w:val="421"/>
        </w:numPr>
        <w:rPr>
          <w:rFonts w:ascii="Arial" w:cs="Arial" w:eastAsia="Arial" w:hAnsi="Arial"/>
          <w:sz w:val="20"/>
          <w:szCs w:val="20"/>
          <w:color w:val="auto"/>
        </w:rPr>
      </w:pPr>
      <w:r>
        <w:rPr>
          <w:rFonts w:ascii="Arial" w:cs="Arial" w:eastAsia="Arial" w:hAnsi="Arial"/>
          <w:sz w:val="20"/>
          <w:szCs w:val="20"/>
          <w:color w:val="auto"/>
        </w:rPr>
        <w:t>On ___________________________ (a Business Day).</w:t>
      </w:r>
    </w:p>
    <w:p>
      <w:pPr>
        <w:spacing w:after="0" w:line="207" w:lineRule="exact"/>
        <w:rPr>
          <w:rFonts w:ascii="Arial" w:cs="Arial" w:eastAsia="Arial" w:hAnsi="Arial"/>
          <w:sz w:val="20"/>
          <w:szCs w:val="20"/>
          <w:color w:val="auto"/>
        </w:rPr>
      </w:pPr>
    </w:p>
    <w:p>
      <w:pPr>
        <w:ind w:left="320" w:hanging="320"/>
        <w:spacing w:after="0"/>
        <w:tabs>
          <w:tab w:leader="none" w:pos="320" w:val="left"/>
        </w:tabs>
        <w:numPr>
          <w:ilvl w:val="0"/>
          <w:numId w:val="421"/>
        </w:numPr>
        <w:rPr>
          <w:rFonts w:ascii="Arial" w:cs="Arial" w:eastAsia="Arial" w:hAnsi="Arial"/>
          <w:sz w:val="20"/>
          <w:szCs w:val="20"/>
          <w:color w:val="auto"/>
        </w:rPr>
      </w:pPr>
      <w:r>
        <w:rPr>
          <w:rFonts w:ascii="Arial" w:cs="Arial" w:eastAsia="Arial" w:hAnsi="Arial"/>
          <w:sz w:val="20"/>
          <w:szCs w:val="20"/>
          <w:color w:val="auto"/>
        </w:rPr>
        <w:t>In the amount of $________________.</w:t>
      </w:r>
    </w:p>
    <w:p>
      <w:pPr>
        <w:spacing w:after="0" w:line="219" w:lineRule="exact"/>
        <w:rPr>
          <w:rFonts w:ascii="Arial" w:cs="Arial" w:eastAsia="Arial" w:hAnsi="Arial"/>
          <w:sz w:val="20"/>
          <w:szCs w:val="20"/>
          <w:color w:val="auto"/>
        </w:rPr>
      </w:pPr>
    </w:p>
    <w:p>
      <w:pPr>
        <w:ind w:left="1200" w:right="7020" w:hanging="1200"/>
        <w:spacing w:after="0" w:line="514" w:lineRule="auto"/>
        <w:tabs>
          <w:tab w:leader="none" w:pos="317" w:val="left"/>
        </w:tabs>
        <w:numPr>
          <w:ilvl w:val="0"/>
          <w:numId w:val="421"/>
        </w:numPr>
        <w:rPr>
          <w:rFonts w:ascii="Arial" w:cs="Arial" w:eastAsia="Arial" w:hAnsi="Arial"/>
          <w:sz w:val="18"/>
          <w:szCs w:val="18"/>
          <w:color w:val="auto"/>
        </w:rPr>
      </w:pPr>
      <w:r>
        <w:rPr>
          <w:rFonts w:ascii="Arial" w:cs="Arial" w:eastAsia="Arial" w:hAnsi="Arial"/>
          <w:sz w:val="18"/>
          <w:szCs w:val="18"/>
          <w:color w:val="auto"/>
        </w:rPr>
        <w:t>Comprised of _____________________________. [Type of Term Loan requested]</w:t>
      </w:r>
    </w:p>
    <w:p>
      <w:pPr>
        <w:ind w:left="320" w:hanging="320"/>
        <w:spacing w:after="0"/>
        <w:tabs>
          <w:tab w:leader="none" w:pos="320" w:val="left"/>
        </w:tabs>
        <w:numPr>
          <w:ilvl w:val="0"/>
          <w:numId w:val="421"/>
        </w:numPr>
        <w:rPr>
          <w:rFonts w:ascii="Arial" w:cs="Arial" w:eastAsia="Arial" w:hAnsi="Arial"/>
          <w:sz w:val="20"/>
          <w:szCs w:val="20"/>
          <w:color w:val="auto"/>
        </w:rPr>
      </w:pPr>
      <w:r>
        <w:rPr>
          <w:rFonts w:ascii="Arial" w:cs="Arial" w:eastAsia="Arial" w:hAnsi="Arial"/>
          <w:sz w:val="20"/>
          <w:szCs w:val="20"/>
          <w:color w:val="auto"/>
        </w:rPr>
        <w:t>For Eurodollar Rate Loans: with an Interest Period of _____ months.</w:t>
      </w:r>
    </w:p>
    <w:p>
      <w:pPr>
        <w:spacing w:after="0" w:line="219" w:lineRule="exact"/>
        <w:rPr>
          <w:rFonts w:ascii="Arial" w:cs="Arial" w:eastAsia="Arial" w:hAnsi="Arial"/>
          <w:sz w:val="20"/>
          <w:szCs w:val="20"/>
          <w:color w:val="auto"/>
        </w:rPr>
      </w:pPr>
    </w:p>
    <w:p>
      <w:pPr>
        <w:ind w:left="600" w:hanging="600"/>
        <w:spacing w:after="0"/>
        <w:tabs>
          <w:tab w:leader="none" w:pos="600" w:val="left"/>
        </w:tabs>
        <w:numPr>
          <w:ilvl w:val="0"/>
          <w:numId w:val="421"/>
        </w:numPr>
        <w:rPr>
          <w:rFonts w:ascii="Arial" w:cs="Arial" w:eastAsia="Arial" w:hAnsi="Arial"/>
          <w:sz w:val="20"/>
          <w:szCs w:val="20"/>
          <w:color w:val="auto"/>
        </w:rPr>
      </w:pPr>
      <w:r>
        <w:rPr>
          <w:rFonts w:ascii="Arial" w:cs="Arial" w:eastAsia="Arial" w:hAnsi="Arial"/>
          <w:sz w:val="20"/>
          <w:szCs w:val="20"/>
          <w:color w:val="auto"/>
        </w:rPr>
        <w:t>The Term Loans borrowed hereunder, if any, shall be disbursed to the following deposit account:</w:t>
      </w:r>
    </w:p>
    <w:p>
      <w:pPr>
        <w:spacing w:after="0" w:line="23" w:lineRule="exact"/>
        <w:rPr>
          <w:rFonts w:ascii="Arial" w:cs="Arial" w:eastAsia="Arial" w:hAnsi="Arial"/>
          <w:sz w:val="20"/>
          <w:szCs w:val="20"/>
          <w:color w:val="auto"/>
        </w:rPr>
      </w:pPr>
    </w:p>
    <w:p>
      <w:pPr>
        <w:ind w:left="600"/>
        <w:spacing w:after="0"/>
        <w:rPr>
          <w:rFonts w:ascii="Arial" w:cs="Arial" w:eastAsia="Arial" w:hAnsi="Arial"/>
          <w:sz w:val="20"/>
          <w:szCs w:val="20"/>
          <w:color w:val="auto"/>
        </w:rPr>
      </w:pPr>
      <w:r>
        <w:rPr>
          <w:rFonts w:ascii="Arial" w:cs="Arial" w:eastAsia="Arial" w:hAnsi="Arial"/>
          <w:sz w:val="20"/>
          <w:szCs w:val="20"/>
          <w:color w:val="auto"/>
        </w:rPr>
        <w:t>____________________</w:t>
      </w:r>
    </w:p>
    <w:p>
      <w:pPr>
        <w:spacing w:after="0" w:line="7" w:lineRule="exact"/>
        <w:rPr>
          <w:rFonts w:ascii="Arial" w:cs="Arial" w:eastAsia="Arial" w:hAnsi="Arial"/>
          <w:sz w:val="20"/>
          <w:szCs w:val="20"/>
          <w:color w:val="auto"/>
        </w:rPr>
      </w:pPr>
    </w:p>
    <w:p>
      <w:pPr>
        <w:ind w:left="600"/>
        <w:spacing w:after="0"/>
        <w:rPr>
          <w:rFonts w:ascii="Arial" w:cs="Arial" w:eastAsia="Arial" w:hAnsi="Arial"/>
          <w:sz w:val="20"/>
          <w:szCs w:val="20"/>
          <w:color w:val="auto"/>
        </w:rPr>
      </w:pPr>
      <w:r>
        <w:rPr>
          <w:rFonts w:ascii="Arial" w:cs="Arial" w:eastAsia="Arial" w:hAnsi="Arial"/>
          <w:sz w:val="20"/>
          <w:szCs w:val="20"/>
          <w:color w:val="auto"/>
        </w:rPr>
        <w:t>____________________</w:t>
      </w:r>
    </w:p>
    <w:p>
      <w:pPr>
        <w:spacing w:after="0" w:line="7" w:lineRule="exact"/>
        <w:rPr>
          <w:rFonts w:ascii="Arial" w:cs="Arial" w:eastAsia="Arial" w:hAnsi="Arial"/>
          <w:sz w:val="20"/>
          <w:szCs w:val="20"/>
          <w:color w:val="auto"/>
        </w:rPr>
      </w:pPr>
    </w:p>
    <w:p>
      <w:pPr>
        <w:ind w:left="600"/>
        <w:spacing w:after="0"/>
        <w:rPr>
          <w:rFonts w:ascii="Arial" w:cs="Arial" w:eastAsia="Arial" w:hAnsi="Arial"/>
          <w:sz w:val="20"/>
          <w:szCs w:val="20"/>
          <w:color w:val="auto"/>
        </w:rPr>
      </w:pPr>
      <w:r>
        <w:rPr>
          <w:rFonts w:ascii="Arial" w:cs="Arial" w:eastAsia="Arial" w:hAnsi="Arial"/>
          <w:sz w:val="20"/>
          <w:szCs w:val="20"/>
          <w:color w:val="auto"/>
        </w:rPr>
        <w:t>____________________</w:t>
      </w:r>
    </w:p>
    <w:p>
      <w:pPr>
        <w:sectPr>
          <w:pgSz w:w="11900" w:h="16838" w:orient="portrait"/>
          <w:cols w:equalWidth="0" w:num="1">
            <w:col w:w="11420"/>
          </w:cols>
          <w:pgMar w:left="240" w:top="1032" w:right="239" w:bottom="1440" w:gutter="0" w:footer="0" w:header="0"/>
        </w:sectPr>
      </w:pPr>
    </w:p>
    <w:bookmarkStart w:id="365" w:name="page366"/>
    <w:bookmarkEnd w:id="365"/>
    <w:p>
      <w:pPr>
        <w:spacing w:after="0" w:line="282" w:lineRule="auto"/>
        <w:rPr>
          <w:sz w:val="20"/>
          <w:szCs w:val="20"/>
          <w:color w:val="auto"/>
        </w:rPr>
      </w:pPr>
      <w:r>
        <w:rPr>
          <w:rFonts w:ascii="Arial" w:cs="Arial" w:eastAsia="Arial" w:hAnsi="Arial"/>
          <w:sz w:val="18"/>
          <w:szCs w:val="18"/>
          <w:color w:val="auto"/>
        </w:rPr>
        <w:t xml:space="preserve">[The Borrower hereby represents and warrants that the conditions specified in </w:t>
      </w:r>
      <w:r>
        <w:rPr>
          <w:rFonts w:ascii="Arial" w:cs="Arial" w:eastAsia="Arial" w:hAnsi="Arial"/>
          <w:sz w:val="18"/>
          <w:szCs w:val="18"/>
          <w:u w:val="single" w:color="auto"/>
          <w:color w:val="auto"/>
        </w:rPr>
        <w:t>Sections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be satisfied on and as of the date of the proposed Credit Extension.]</w:t>
      </w:r>
      <w:r>
        <w:rPr>
          <w:rFonts w:ascii="Arial" w:cs="Arial" w:eastAsia="Arial" w:hAnsi="Arial"/>
          <w:sz w:val="23"/>
          <w:szCs w:val="23"/>
          <w:color w:val="auto"/>
          <w:vertAlign w:val="superscript"/>
        </w:rPr>
        <w:t>1</w:t>
      </w:r>
    </w:p>
    <w:p>
      <w:pPr>
        <w:spacing w:after="0" w:line="175"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AMERICAN ASSETS TRUST, L.P.</w:t>
      </w:r>
    </w:p>
    <w:p>
      <w:pPr>
        <w:spacing w:after="0" w:line="245" w:lineRule="exact"/>
        <w:rPr>
          <w:sz w:val="20"/>
          <w:szCs w:val="20"/>
          <w:color w:val="auto"/>
        </w:rPr>
      </w:pPr>
    </w:p>
    <w:p>
      <w:pPr>
        <w:ind w:left="3600"/>
        <w:spacing w:after="0"/>
        <w:rPr>
          <w:sz w:val="20"/>
          <w:szCs w:val="20"/>
          <w:color w:val="auto"/>
        </w:rPr>
      </w:pPr>
      <w:r>
        <w:rPr>
          <w:rFonts w:ascii="Arial" w:cs="Arial" w:eastAsia="Arial" w:hAnsi="Arial"/>
          <w:sz w:val="20"/>
          <w:szCs w:val="20"/>
          <w:b w:val="1"/>
          <w:bCs w:val="1"/>
          <w:u w:val="single" w:color="auto"/>
          <w:color w:val="0000FF"/>
          <w:highlight w:val="lightGray"/>
        </w:rPr>
        <w:t>By: AMERICAN ASSETS TRUST INC.,</w:t>
      </w:r>
    </w:p>
    <w:p>
      <w:pPr>
        <w:spacing w:after="0" w:line="29" w:lineRule="exact"/>
        <w:rPr>
          <w:sz w:val="20"/>
          <w:szCs w:val="20"/>
          <w:color w:val="auto"/>
        </w:rPr>
      </w:pPr>
    </w:p>
    <w:p>
      <w:pPr>
        <w:ind w:left="3600"/>
        <w:spacing w:after="0"/>
        <w:rPr>
          <w:sz w:val="20"/>
          <w:szCs w:val="20"/>
          <w:color w:val="auto"/>
        </w:rPr>
      </w:pPr>
      <w:r>
        <w:rPr>
          <w:rFonts w:ascii="Arial" w:cs="Arial" w:eastAsia="Arial" w:hAnsi="Arial"/>
          <w:sz w:val="20"/>
          <w:szCs w:val="20"/>
          <w:b w:val="1"/>
          <w:bCs w:val="1"/>
          <w:u w:val="single" w:color="auto"/>
          <w:color w:val="0000FF"/>
          <w:highlight w:val="lightGray"/>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color w:val="auto"/>
        </w:rPr>
        <w:t>___________________________________________</w:t>
      </w:r>
    </w:p>
    <w:p>
      <w:pPr>
        <w:spacing w:after="0" w:line="131" w:lineRule="exact"/>
        <w:rPr>
          <w:sz w:val="20"/>
          <w:szCs w:val="20"/>
          <w:color w:val="auto"/>
        </w:rPr>
      </w:pPr>
    </w:p>
    <w:p>
      <w:pPr>
        <w:ind w:left="3600"/>
        <w:spacing w:after="0"/>
        <w:tabs>
          <w:tab w:leader="none" w:pos="42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20"/>
          <w:szCs w:val="20"/>
          <w:color w:val="auto"/>
        </w:rPr>
        <w:t>________________________________________</w:t>
      </w:r>
    </w:p>
    <w:p>
      <w:pPr>
        <w:spacing w:after="0" w:line="12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9"/>
          <w:szCs w:val="19"/>
          <w:color w:val="auto"/>
        </w:rPr>
        <w:t>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w:t>
      </w:r>
    </w:p>
    <w:p>
      <w:pPr>
        <w:spacing w:after="0" w:line="63" w:lineRule="exact"/>
        <w:rPr>
          <w:sz w:val="20"/>
          <w:szCs w:val="20"/>
          <w:color w:val="auto"/>
        </w:rPr>
      </w:pPr>
    </w:p>
    <w:p>
      <w:pPr>
        <w:ind w:left="80" w:hanging="80"/>
        <w:spacing w:after="0"/>
        <w:tabs>
          <w:tab w:leader="none" w:pos="80" w:val="left"/>
        </w:tabs>
        <w:numPr>
          <w:ilvl w:val="0"/>
          <w:numId w:val="422"/>
        </w:numPr>
        <w:rPr>
          <w:rFonts w:ascii="Arial" w:cs="Arial" w:eastAsia="Arial" w:hAnsi="Arial"/>
          <w:sz w:val="21"/>
          <w:szCs w:val="21"/>
          <w:color w:val="auto"/>
          <w:vertAlign w:val="superscript"/>
        </w:rPr>
      </w:pPr>
      <w:r>
        <w:rPr>
          <w:rFonts w:ascii="Arial" w:cs="Arial" w:eastAsia="Arial" w:hAnsi="Arial"/>
          <w:sz w:val="17"/>
          <w:szCs w:val="17"/>
          <w:color w:val="auto"/>
        </w:rPr>
        <w:t>Only applicable to a Borrowing.</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Loan Notice</w:t>
      </w:r>
    </w:p>
    <w:p>
      <w:pPr>
        <w:sectPr>
          <w:pgSz w:w="11900" w:h="16838" w:orient="portrait"/>
          <w:cols w:equalWidth="0" w:num="1">
            <w:col w:w="11420"/>
          </w:cols>
          <w:pgMar w:left="240" w:top="785" w:right="239" w:bottom="1440" w:gutter="0" w:footer="0" w:header="0"/>
        </w:sectPr>
      </w:pPr>
    </w:p>
    <w:bookmarkStart w:id="366" w:name="page367"/>
    <w:bookmarkEnd w:id="366"/>
    <w:p>
      <w:pPr>
        <w:jc w:val="right"/>
        <w:spacing w:after="0"/>
        <w:rPr>
          <w:sz w:val="20"/>
          <w:szCs w:val="20"/>
          <w:color w:val="auto"/>
        </w:rPr>
      </w:pPr>
      <w:r>
        <w:rPr>
          <w:rFonts w:ascii="Arial" w:cs="Arial" w:eastAsia="Arial" w:hAnsi="Arial"/>
          <w:sz w:val="20"/>
          <w:szCs w:val="20"/>
          <w:b w:val="1"/>
          <w:bCs w:val="1"/>
          <w:i w:val="1"/>
          <w:iCs w:val="1"/>
          <w:color w:val="auto"/>
        </w:rPr>
        <w:t>EXHIBIT B</w:t>
      </w:r>
    </w:p>
    <w:p>
      <w:pPr>
        <w:spacing w:after="0" w:line="9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[RESERVED]</w:t>
      </w:r>
    </w:p>
    <w:p>
      <w:pPr>
        <w:spacing w:after="0" w:line="200" w:lineRule="exact"/>
        <w:rPr>
          <w:sz w:val="20"/>
          <w:szCs w:val="20"/>
          <w:color w:val="auto"/>
        </w:rPr>
      </w:pPr>
    </w:p>
    <w:p>
      <w:pPr>
        <w:spacing w:after="0" w:line="244"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B-1</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[RESERVED]</w:t>
      </w:r>
    </w:p>
    <w:p>
      <w:pPr>
        <w:sectPr>
          <w:pgSz w:w="11900" w:h="16838" w:orient="portrait"/>
          <w:cols w:equalWidth="0" w:num="1">
            <w:col w:w="10220"/>
          </w:cols>
          <w:pgMar w:left="1440" w:top="795" w:right="239" w:bottom="1440" w:gutter="0" w:footer="0" w:header="0"/>
        </w:sectPr>
      </w:pPr>
    </w:p>
    <w:bookmarkStart w:id="367" w:name="page368"/>
    <w:bookmarkEnd w:id="367"/>
    <w:p>
      <w:pPr>
        <w:jc w:val="right"/>
        <w:spacing w:after="0"/>
        <w:rPr>
          <w:sz w:val="20"/>
          <w:szCs w:val="20"/>
          <w:color w:val="auto"/>
        </w:rPr>
      </w:pPr>
      <w:r>
        <w:rPr>
          <w:rFonts w:ascii="Arial" w:cs="Arial" w:eastAsia="Arial" w:hAnsi="Arial"/>
          <w:sz w:val="20"/>
          <w:szCs w:val="20"/>
          <w:b w:val="1"/>
          <w:bCs w:val="1"/>
          <w:i w:val="1"/>
          <w:iCs w:val="1"/>
          <w:color w:val="auto"/>
        </w:rPr>
        <w:t>EXHIBIT C-1</w:t>
      </w:r>
    </w:p>
    <w:p>
      <w:pPr>
        <w:spacing w:after="0" w:line="20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[RESERVED]</w:t>
      </w:r>
    </w:p>
    <w:p>
      <w:pPr>
        <w:spacing w:after="0" w:line="200" w:lineRule="exact"/>
        <w:rPr>
          <w:sz w:val="20"/>
          <w:szCs w:val="20"/>
          <w:color w:val="auto"/>
        </w:rPr>
      </w:pP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C-1-1</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[RESERVED]</w:t>
      </w:r>
    </w:p>
    <w:p>
      <w:pPr>
        <w:sectPr>
          <w:pgSz w:w="11900" w:h="16838" w:orient="portrait"/>
          <w:cols w:equalWidth="0" w:num="1">
            <w:col w:w="10220"/>
          </w:cols>
          <w:pgMar w:left="1440" w:top="795" w:right="239" w:bottom="1440" w:gutter="0" w:footer="0" w:header="0"/>
        </w:sectPr>
      </w:pPr>
    </w:p>
    <w:bookmarkStart w:id="368" w:name="page369"/>
    <w:bookmarkEnd w:id="368"/>
    <w:tbl>
      <w:tblPr>
        <w:tblLayout w:type="fixed"/>
        <w:tblInd w:w="4700" w:type="dxa"/>
        <w:tblCellMar>
          <w:top w:w="0" w:type="dxa"/>
          <w:left w:w="0" w:type="dxa"/>
          <w:bottom w:w="0" w:type="dxa"/>
          <w:right w:w="0" w:type="dxa"/>
        </w:tblCellMar>
      </w:tblPr>
      <w:tr>
        <w:trPr>
          <w:trHeight w:val="212"/>
        </w:trPr>
        <w:tc>
          <w:tcPr>
            <w:tcW w:w="420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EXHIBIT C-2</w:t>
            </w:r>
          </w:p>
        </w:tc>
        <w:tc>
          <w:tcPr>
            <w:tcW w:w="0" w:type="dxa"/>
            <w:vAlign w:val="bottom"/>
          </w:tcPr>
          <w:p>
            <w:pPr>
              <w:spacing w:after="0"/>
              <w:rPr>
                <w:sz w:val="1"/>
                <w:szCs w:val="1"/>
                <w:color w:val="auto"/>
              </w:rPr>
            </w:pPr>
          </w:p>
        </w:tc>
      </w:tr>
      <w:tr>
        <w:trPr>
          <w:trHeight w:val="233"/>
        </w:trPr>
        <w:tc>
          <w:tcPr>
            <w:tcW w:w="4200" w:type="dxa"/>
            <w:vAlign w:val="bottom"/>
          </w:tcPr>
          <w:p>
            <w:pPr>
              <w:jc w:val="right"/>
              <w:ind w:right="508"/>
              <w:spacing w:after="0"/>
              <w:rPr>
                <w:sz w:val="20"/>
                <w:szCs w:val="20"/>
                <w:color w:val="auto"/>
              </w:rPr>
            </w:pPr>
            <w:r>
              <w:rPr>
                <w:rFonts w:ascii="Arial" w:cs="Arial" w:eastAsia="Arial" w:hAnsi="Arial"/>
                <w:sz w:val="18"/>
                <w:szCs w:val="18"/>
                <w:color w:val="auto"/>
              </w:rPr>
              <w:t>$ ___________</w:t>
            </w:r>
          </w:p>
        </w:tc>
        <w:tc>
          <w:tcPr>
            <w:tcW w:w="2520" w:type="dxa"/>
            <w:vAlign w:val="bottom"/>
          </w:tcPr>
          <w:p>
            <w:pPr>
              <w:jc w:val="right"/>
              <w:spacing w:after="0"/>
              <w:rPr>
                <w:sz w:val="20"/>
                <w:szCs w:val="20"/>
                <w:color w:val="auto"/>
              </w:rPr>
            </w:pPr>
            <w:r>
              <w:rPr>
                <w:rFonts w:ascii="Arial" w:cs="Arial" w:eastAsia="Arial" w:hAnsi="Arial"/>
                <w:sz w:val="18"/>
                <w:szCs w:val="18"/>
                <w:color w:val="auto"/>
              </w:rPr>
              <w:t>New York, New York</w:t>
            </w:r>
          </w:p>
        </w:tc>
        <w:tc>
          <w:tcPr>
            <w:tcW w:w="0" w:type="dxa"/>
            <w:vAlign w:val="bottom"/>
          </w:tcPr>
          <w:p>
            <w:pPr>
              <w:spacing w:after="0"/>
              <w:rPr>
                <w:sz w:val="1"/>
                <w:szCs w:val="1"/>
                <w:color w:val="auto"/>
              </w:rPr>
            </w:pPr>
          </w:p>
        </w:tc>
      </w:tr>
      <w:tr>
        <w:trPr>
          <w:trHeight w:val="425"/>
        </w:trPr>
        <w:tc>
          <w:tcPr>
            <w:tcW w:w="4200" w:type="dxa"/>
            <w:vAlign w:val="bottom"/>
          </w:tcPr>
          <w:p>
            <w:pPr>
              <w:jc w:val="right"/>
              <w:ind w:right="2088"/>
              <w:spacing w:after="0"/>
              <w:rPr>
                <w:sz w:val="20"/>
                <w:szCs w:val="20"/>
                <w:color w:val="auto"/>
              </w:rPr>
            </w:pPr>
            <w:r>
              <w:rPr>
                <w:rFonts w:ascii="Arial" w:cs="Arial" w:eastAsia="Arial" w:hAnsi="Arial"/>
                <w:sz w:val="18"/>
                <w:szCs w:val="18"/>
                <w:b w:val="1"/>
                <w:bCs w:val="1"/>
                <w:color w:val="auto"/>
              </w:rPr>
              <w:t>FORM OF TERM NOTE</w:t>
            </w:r>
          </w:p>
        </w:tc>
        <w:tc>
          <w:tcPr>
            <w:tcW w:w="2520" w:type="dxa"/>
            <w:vAlign w:val="bottom"/>
            <w:vMerge w:val="restart"/>
          </w:tcPr>
          <w:p>
            <w:pPr>
              <w:jc w:val="right"/>
              <w:spacing w:after="0"/>
              <w:rPr>
                <w:sz w:val="20"/>
                <w:szCs w:val="20"/>
                <w:color w:val="auto"/>
              </w:rPr>
            </w:pPr>
            <w:r>
              <w:rPr>
                <w:rFonts w:ascii="Arial" w:cs="Arial" w:eastAsia="Arial" w:hAnsi="Arial"/>
                <w:sz w:val="18"/>
                <w:szCs w:val="18"/>
                <w:color w:val="auto"/>
              </w:rPr>
              <w:t>_____________________</w:t>
            </w:r>
          </w:p>
        </w:tc>
        <w:tc>
          <w:tcPr>
            <w:tcW w:w="0" w:type="dxa"/>
            <w:vAlign w:val="bottom"/>
          </w:tcPr>
          <w:p>
            <w:pPr>
              <w:spacing w:after="0"/>
              <w:rPr>
                <w:sz w:val="1"/>
                <w:szCs w:val="1"/>
                <w:color w:val="auto"/>
              </w:rPr>
            </w:pPr>
          </w:p>
        </w:tc>
      </w:tr>
      <w:tr>
        <w:trPr>
          <w:trHeight w:val="212"/>
        </w:trPr>
        <w:tc>
          <w:tcPr>
            <w:tcW w:w="4200" w:type="dxa"/>
            <w:vAlign w:val="bottom"/>
          </w:tcPr>
          <w:p>
            <w:pPr>
              <w:spacing w:after="0"/>
              <w:rPr>
                <w:sz w:val="18"/>
                <w:szCs w:val="18"/>
                <w:color w:val="auto"/>
              </w:rPr>
            </w:pP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the undersigned (the “</w:t>
      </w:r>
      <w:r>
        <w:rPr>
          <w:rFonts w:ascii="Arial" w:cs="Arial" w:eastAsia="Arial" w:hAnsi="Arial"/>
          <w:sz w:val="16"/>
          <w:szCs w:val="16"/>
          <w:u w:val="single" w:color="auto"/>
          <w:color w:val="auto"/>
        </w:rPr>
        <w:t>Borrower</w:t>
      </w:r>
      <w:r>
        <w:rPr>
          <w:rFonts w:ascii="Arial" w:cs="Arial" w:eastAsia="Arial" w:hAnsi="Arial"/>
          <w:sz w:val="16"/>
          <w:szCs w:val="16"/>
          <w:color w:val="auto"/>
        </w:rPr>
        <w:t>”), hereby promises to pay to _____________________ or its registered assigns (the “</w:t>
      </w:r>
      <w:r>
        <w:rPr>
          <w:rFonts w:ascii="Arial" w:cs="Arial" w:eastAsia="Arial" w:hAnsi="Arial"/>
          <w:sz w:val="16"/>
          <w:szCs w:val="16"/>
          <w:u w:val="single" w:color="auto"/>
          <w:color w:val="auto"/>
        </w:rPr>
        <w:t>Lender</w:t>
      </w:r>
      <w:r>
        <w:rPr>
          <w:rFonts w:ascii="Arial" w:cs="Arial" w:eastAsia="Arial" w:hAnsi="Arial"/>
          <w:sz w:val="16"/>
          <w:szCs w:val="16"/>
          <w:color w:val="auto"/>
        </w:rPr>
        <w:t>”),</w:t>
      </w:r>
    </w:p>
    <w:p>
      <w:pPr>
        <w:spacing w:after="0" w:line="4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accordance with the provisions of the Agreement (as hereinafter defined), the principal sum of [__] Dollars ($[__.__]), or such lesser amount as shall equal the aggregate unpaid principal amount of the Term Loans made by the Lender to the Borrower under that certain Term Loan Agreement, dated as of March 1, 2016 (as amended, restated, extended, supplemented or otherwise modified in writing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the terms defined therein being used herein as therein defined), among American Assets Trust, Inc., a Maryland corporation, the Borrower, the Lenders from time to time party thereto, and U.S. Bank National Association, as Administrative Agent.</w:t>
      </w:r>
    </w:p>
    <w:p>
      <w:pPr>
        <w:spacing w:after="0" w:line="17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Borrower promises to pay interest on the unpaid principal amount of the Term Loans made by the Lender to the Borrower from the date of each such Term Loan until such principal amount is paid in full, at such interest rates and at such times as provided in the Agreement. All payments of principal and interest shall be made to the Administrative Agent for the account of the Lender in Dollars in immediately available funds at the Administrative Agent’s Office. If any amount is not paid in full when due hereunder, such unpaid amount shall bear interest, to be paid upon demand, from the due date thereof until the date of actual payment (and before as well as after judgment) computed at the per annum rate set forth in the Agreement.</w:t>
      </w:r>
    </w:p>
    <w:p>
      <w:pPr>
        <w:spacing w:after="0" w:line="1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Term Note is one of the Term Notes referred to in the Agreement, is entitled to the benefits thereof and may be prepaid in whole or in part subject to the terms and conditions provided therein. This Term Note is also entitled to the benefits of the Guaranty Agreement. Upon the occurrence and continuation of one or more of the Events of Default specified in the Agreement, all amounts then remaining unpaid on this Term Note shall become, or may be declared to be, immediately due and payable all as provided in the Agreement. Term Loans made by the Lender shall be evidenced by one or more loan accounts or records maintained by the Lender in the ordinary course of business. The Lender may also attach schedules to this Term Note and endorse thereon the date, amount and maturity of its Term Loans and payments with respect thereto.</w:t>
      </w:r>
    </w:p>
    <w:p>
      <w:pPr>
        <w:spacing w:after="0" w:line="159"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The Borrower, for itself, its successors and assigns, hereby waives diligence, presentment, protest and demand and notice of protest, demand, dishonor and non-payment of this Term Note.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Term Note</w:t>
      </w:r>
    </w:p>
    <w:p>
      <w:pPr>
        <w:sectPr>
          <w:pgSz w:w="11900" w:h="16838" w:orient="portrait"/>
          <w:cols w:equalWidth="0" w:num="1">
            <w:col w:w="11420"/>
          </w:cols>
          <w:pgMar w:left="240" w:top="784" w:right="239" w:bottom="1440" w:gutter="0" w:footer="0" w:header="0"/>
        </w:sectPr>
      </w:pPr>
    </w:p>
    <w:bookmarkStart w:id="369" w:name="page370"/>
    <w:bookmarkEnd w:id="369"/>
    <w:p>
      <w:pPr>
        <w:spacing w:after="0" w:line="276" w:lineRule="auto"/>
        <w:rPr>
          <w:sz w:val="20"/>
          <w:szCs w:val="20"/>
          <w:color w:val="auto"/>
        </w:rPr>
      </w:pPr>
      <w:r>
        <w:rPr>
          <w:rFonts w:ascii="Arial" w:cs="Arial" w:eastAsia="Arial" w:hAnsi="Arial"/>
          <w:sz w:val="18"/>
          <w:szCs w:val="18"/>
          <w:color w:val="auto"/>
        </w:rPr>
        <w:t>THIS TERM NOTE SHALL BE GOVERNED BY AND CONSTRUED IN ACCORDANCE WITH THE LAW OF THE STATE OF NEW YORK APPLICABLE TO CONTRACTS EXECUTED, AND TO BE FULLY PERFORMED, IN SUCH STATE.</w:t>
      </w:r>
    </w:p>
    <w:p>
      <w:pPr>
        <w:spacing w:after="0" w:line="29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AMERICAN ASSETS TRUST, L.P.</w:t>
      </w:r>
    </w:p>
    <w:p>
      <w:pPr>
        <w:spacing w:after="0" w:line="368"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0000FF"/>
          <w:highlight w:val="lightGray"/>
        </w:rPr>
        <w:t>By: AMERICAN ASSETS TRUST INC.,</w:t>
      </w:r>
    </w:p>
    <w:p>
      <w:pPr>
        <w:spacing w:after="0" w:line="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0000FF"/>
          <w:highlight w:val="lightGray"/>
        </w:rPr>
        <w:t>its General Partner</w:t>
      </w:r>
    </w:p>
    <w:p>
      <w:pPr>
        <w:spacing w:after="0" w:line="200" w:lineRule="exact"/>
        <w:rPr>
          <w:sz w:val="20"/>
          <w:szCs w:val="20"/>
          <w:color w:val="auto"/>
        </w:rPr>
      </w:pPr>
    </w:p>
    <w:p>
      <w:pPr>
        <w:spacing w:after="0" w:line="301"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By: __________________________________________</w:t>
      </w:r>
    </w:p>
    <w:p>
      <w:pPr>
        <w:spacing w:after="0" w:line="105" w:lineRule="exact"/>
        <w:rPr>
          <w:sz w:val="20"/>
          <w:szCs w:val="20"/>
          <w:color w:val="auto"/>
        </w:rPr>
      </w:pPr>
    </w:p>
    <w:p>
      <w:pPr>
        <w:ind w:left="3600"/>
        <w:spacing w:after="0"/>
        <w:tabs>
          <w:tab w:leader="none" w:pos="4320" w:val="left"/>
        </w:tabs>
        <w:rPr>
          <w:sz w:val="20"/>
          <w:szCs w:val="20"/>
          <w:color w:val="auto"/>
        </w:rPr>
      </w:pPr>
      <w:r>
        <w:rPr>
          <w:rFonts w:ascii="Arial" w:cs="Arial" w:eastAsia="Arial" w:hAnsi="Arial"/>
          <w:sz w:val="18"/>
          <w:szCs w:val="18"/>
          <w:color w:val="auto"/>
        </w:rPr>
        <w:t>Name:</w:t>
        <w:tab/>
        <w:t>_______________________________________</w:t>
      </w:r>
    </w:p>
    <w:p>
      <w:pPr>
        <w:spacing w:after="0" w:line="10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Title: _________________________________________</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Term Note</w:t>
      </w:r>
    </w:p>
    <w:p>
      <w:pPr>
        <w:sectPr>
          <w:pgSz w:w="11900" w:h="16838" w:orient="portrait"/>
          <w:cols w:equalWidth="0" w:num="1">
            <w:col w:w="11420"/>
          </w:cols>
          <w:pgMar w:left="240" w:top="784" w:right="239" w:bottom="1440" w:gutter="0" w:footer="0" w:header="0"/>
        </w:sectPr>
      </w:pPr>
    </w:p>
    <w:bookmarkStart w:id="370" w:name="page371"/>
    <w:bookmarkEnd w:id="370"/>
    <w:tbl>
      <w:tblPr>
        <w:tblLayout w:type="fixed"/>
        <w:tblInd w:w="0" w:type="dxa"/>
        <w:tblCellMar>
          <w:top w:w="0" w:type="dxa"/>
          <w:left w:w="0" w:type="dxa"/>
          <w:bottom w:w="0" w:type="dxa"/>
          <w:right w:w="0" w:type="dxa"/>
        </w:tblCellMar>
      </w:tblPr>
      <w:tr>
        <w:trPr>
          <w:trHeight w:val="237"/>
        </w:trPr>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8"/>
          </w:tcPr>
          <w:p>
            <w:pPr>
              <w:jc w:val="center"/>
              <w:ind w:left="228"/>
              <w:spacing w:after="0"/>
              <w:rPr>
                <w:sz w:val="20"/>
                <w:szCs w:val="20"/>
                <w:color w:val="auto"/>
              </w:rPr>
            </w:pPr>
            <w:r>
              <w:rPr>
                <w:rFonts w:ascii="Arial" w:cs="Arial" w:eastAsia="Arial" w:hAnsi="Arial"/>
                <w:sz w:val="18"/>
                <w:szCs w:val="18"/>
                <w:b w:val="1"/>
                <w:bCs w:val="1"/>
                <w:color w:val="auto"/>
              </w:rPr>
              <w:t>TERM LOANS AND PAYMENTS WITH RESPECT THERETO</w:t>
            </w: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7"/>
        </w:trPr>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Amount of</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80" w:type="dxa"/>
            <w:vAlign w:val="bottom"/>
            <w:gridSpan w:val="2"/>
            <w:vMerge w:val="restart"/>
          </w:tcPr>
          <w:p>
            <w:pPr>
              <w:jc w:val="center"/>
              <w:ind w:right="28"/>
              <w:spacing w:after="0"/>
              <w:rPr>
                <w:sz w:val="20"/>
                <w:szCs w:val="20"/>
                <w:color w:val="auto"/>
              </w:rPr>
            </w:pPr>
            <w:r>
              <w:rPr>
                <w:rFonts w:ascii="Arial" w:cs="Arial" w:eastAsia="Arial" w:hAnsi="Arial"/>
                <w:sz w:val="18"/>
                <w:szCs w:val="18"/>
                <w:b w:val="1"/>
                <w:bCs w:val="1"/>
                <w:color w:val="auto"/>
                <w:w w:val="90"/>
              </w:rPr>
              <w:t>Type of</w:t>
            </w: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3"/>
              </w:rPr>
              <w:t>Amount of</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Principal or</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Outstanding</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2"/>
              </w:rPr>
              <w:t>End of Interest</w:t>
            </w:r>
          </w:p>
        </w:tc>
        <w:tc>
          <w:tcPr>
            <w:tcW w:w="1700" w:type="dxa"/>
            <w:vAlign w:val="bottom"/>
            <w:gridSpan w:val="3"/>
            <w:vMerge w:val="restart"/>
          </w:tcPr>
          <w:p>
            <w:pPr>
              <w:jc w:val="center"/>
              <w:ind w:right="220"/>
              <w:spacing w:after="0"/>
              <w:rPr>
                <w:sz w:val="20"/>
                <w:szCs w:val="20"/>
                <w:color w:val="auto"/>
              </w:rPr>
            </w:pPr>
            <w:r>
              <w:rPr>
                <w:rFonts w:ascii="Arial" w:cs="Arial" w:eastAsia="Arial" w:hAnsi="Arial"/>
                <w:sz w:val="18"/>
                <w:szCs w:val="18"/>
                <w:b w:val="1"/>
                <w:bCs w:val="1"/>
                <w:color w:val="auto"/>
                <w:w w:val="93"/>
              </w:rPr>
              <w:t>Interest Paid This</w:t>
            </w:r>
          </w:p>
        </w:tc>
        <w:tc>
          <w:tcPr>
            <w:tcW w:w="16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Principal Balance</w:t>
            </w: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580" w:type="dxa"/>
            <w:vAlign w:val="bottom"/>
            <w:gridSpan w:val="2"/>
            <w:vMerge w:val="restart"/>
          </w:tcPr>
          <w:p>
            <w:pPr>
              <w:jc w:val="center"/>
              <w:ind w:right="48"/>
              <w:spacing w:after="0"/>
              <w:rPr>
                <w:sz w:val="20"/>
                <w:szCs w:val="20"/>
                <w:color w:val="auto"/>
              </w:rPr>
            </w:pPr>
            <w:r>
              <w:rPr>
                <w:rFonts w:ascii="Arial" w:cs="Arial" w:eastAsia="Arial" w:hAnsi="Arial"/>
                <w:sz w:val="18"/>
                <w:szCs w:val="18"/>
                <w:b w:val="1"/>
                <w:bCs w:val="1"/>
                <w:color w:val="auto"/>
                <w:w w:val="95"/>
              </w:rPr>
              <w:t>Term Loan Made</w:t>
            </w: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5"/>
              </w:rPr>
              <w:t>Term Loan Made</w:t>
            </w:r>
          </w:p>
        </w:tc>
        <w:tc>
          <w:tcPr>
            <w:tcW w:w="1600" w:type="dxa"/>
            <w:vAlign w:val="bottom"/>
            <w:gridSpan w:val="2"/>
            <w:vMerge w:val="continue"/>
          </w:tcPr>
          <w:p>
            <w:pPr>
              <w:spacing w:after="0"/>
              <w:rPr>
                <w:sz w:val="6"/>
                <w:szCs w:val="6"/>
                <w:color w:val="auto"/>
              </w:rPr>
            </w:pPr>
          </w:p>
        </w:tc>
        <w:tc>
          <w:tcPr>
            <w:tcW w:w="1700" w:type="dxa"/>
            <w:vAlign w:val="bottom"/>
            <w:gridSpan w:val="3"/>
            <w:vMerge w:val="continue"/>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1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1040" w:type="dxa"/>
            <w:vAlign w:val="bottom"/>
          </w:tcPr>
          <w:p>
            <w:pPr>
              <w:ind w:left="620"/>
              <w:spacing w:after="0"/>
              <w:rPr>
                <w:sz w:val="20"/>
                <w:szCs w:val="20"/>
                <w:color w:val="auto"/>
              </w:rPr>
            </w:pPr>
            <w:r>
              <w:rPr>
                <w:rFonts w:ascii="Arial" w:cs="Arial" w:eastAsia="Arial" w:hAnsi="Arial"/>
                <w:sz w:val="18"/>
                <w:szCs w:val="18"/>
                <w:b w:val="1"/>
                <w:bCs w:val="1"/>
                <w:color w:val="auto"/>
              </w:rPr>
              <w:t>Date</w:t>
            </w:r>
          </w:p>
        </w:tc>
        <w:tc>
          <w:tcPr>
            <w:tcW w:w="70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Period</w:t>
            </w:r>
          </w:p>
        </w:tc>
        <w:tc>
          <w:tcPr>
            <w:tcW w:w="1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Date</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This Date</w:t>
            </w: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Notation Made By</w:t>
            </w:r>
          </w:p>
        </w:tc>
        <w:tc>
          <w:tcPr>
            <w:tcW w:w="0" w:type="dxa"/>
            <w:vAlign w:val="bottom"/>
          </w:tcPr>
          <w:p>
            <w:pPr>
              <w:spacing w:after="0"/>
              <w:rPr>
                <w:sz w:val="1"/>
                <w:szCs w:val="1"/>
                <w:color w:val="auto"/>
              </w:rPr>
            </w:pPr>
          </w:p>
        </w:tc>
      </w:tr>
      <w:tr>
        <w:trPr>
          <w:trHeight w:val="21"/>
        </w:trPr>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5"/>
        </w:trPr>
        <w:tc>
          <w:tcPr>
            <w:tcW w:w="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Term Note</w:t>
      </w:r>
    </w:p>
    <w:p>
      <w:pPr>
        <w:sectPr>
          <w:pgSz w:w="11900" w:h="16838" w:orient="portrait"/>
          <w:cols w:equalWidth="0" w:num="1">
            <w:col w:w="11420"/>
          </w:cols>
          <w:pgMar w:left="240" w:top="781" w:right="239" w:bottom="1440" w:gutter="0" w:footer="0" w:header="0"/>
        </w:sectPr>
      </w:pPr>
    </w:p>
    <w:bookmarkStart w:id="371" w:name="page372"/>
    <w:bookmarkEnd w:id="371"/>
    <w:p>
      <w:pPr>
        <w:jc w:val="right"/>
        <w:spacing w:after="0"/>
        <w:rPr>
          <w:sz w:val="20"/>
          <w:szCs w:val="20"/>
          <w:color w:val="auto"/>
        </w:rPr>
      </w:pPr>
      <w:r>
        <w:rPr>
          <w:rFonts w:ascii="Arial" w:cs="Arial" w:eastAsia="Arial" w:hAnsi="Arial"/>
          <w:sz w:val="20"/>
          <w:szCs w:val="20"/>
          <w:b w:val="1"/>
          <w:bCs w:val="1"/>
          <w:i w:val="1"/>
          <w:iCs w:val="1"/>
          <w:color w:val="auto"/>
        </w:rPr>
        <w:t>EXHIBIT 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COMPLIANCE CERTIFICATE</w:t>
      </w:r>
    </w:p>
    <w:p>
      <w:pPr>
        <w:spacing w:after="0" w:line="191" w:lineRule="exact"/>
        <w:rPr>
          <w:sz w:val="20"/>
          <w:szCs w:val="20"/>
          <w:color w:val="auto"/>
        </w:rPr>
      </w:pPr>
    </w:p>
    <w:p>
      <w:pPr>
        <w:ind w:left="9260"/>
        <w:spacing w:after="0"/>
        <w:rPr>
          <w:sz w:val="20"/>
          <w:szCs w:val="20"/>
          <w:color w:val="auto"/>
        </w:rPr>
      </w:pPr>
      <w:r>
        <w:rPr>
          <w:rFonts w:ascii="Arial" w:cs="Arial" w:eastAsia="Arial" w:hAnsi="Arial"/>
          <w:sz w:val="17"/>
          <w:szCs w:val="17"/>
          <w:color w:val="auto"/>
        </w:rPr>
        <w:t>Financial Statement Date: ,</w:t>
      </w:r>
    </w:p>
    <w:p>
      <w:pPr>
        <w:spacing w:after="0" w:line="58"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U.S Bank National Association, as Administrative Agent</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Reference is made to that certain Term Loan Agreement, dated as of March 1, 2016 (as amended, restated, extended, supplemented or otherwise modified in writing from time to time, the “</w:t>
      </w:r>
      <w:r>
        <w:rPr>
          <w:rFonts w:ascii="Arial" w:cs="Arial" w:eastAsia="Arial" w:hAnsi="Arial"/>
          <w:sz w:val="19"/>
          <w:szCs w:val="19"/>
          <w:u w:val="single" w:color="auto"/>
          <w:color w:val="auto"/>
        </w:rPr>
        <w:t>Agreement</w:t>
      </w:r>
      <w:r>
        <w:rPr>
          <w:rFonts w:ascii="Arial" w:cs="Arial" w:eastAsia="Arial" w:hAnsi="Arial"/>
          <w:sz w:val="19"/>
          <w:szCs w:val="19"/>
          <w:color w:val="auto"/>
        </w:rPr>
        <w:t>;” the terms defined therein being used herein as therein defined), among American Assets Trust, Inc., a Maryland corporation (the “</w:t>
      </w:r>
      <w:r>
        <w:rPr>
          <w:rFonts w:ascii="Arial" w:cs="Arial" w:eastAsia="Arial" w:hAnsi="Arial"/>
          <w:sz w:val="19"/>
          <w:szCs w:val="19"/>
          <w:u w:val="single" w:color="auto"/>
          <w:color w:val="auto"/>
        </w:rPr>
        <w:t>REIT</w:t>
      </w:r>
      <w:r>
        <w:rPr>
          <w:rFonts w:ascii="Arial" w:cs="Arial" w:eastAsia="Arial" w:hAnsi="Arial"/>
          <w:sz w:val="19"/>
          <w:szCs w:val="19"/>
          <w:color w:val="auto"/>
        </w:rPr>
        <w:t>”), American Assets Trust, L.P., a Maryland limited partnership (the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from time to time party thereto, and U.S. Bank National Association, as Administrative Agent.</w:t>
      </w:r>
    </w:p>
    <w:p>
      <w:pPr>
        <w:spacing w:after="0" w:line="155"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 xml:space="preserve">The undersigned Responsible Officer of the REIT hereby certifies as of the date hereof that he/she is the </w:t>
      </w:r>
      <w:r>
        <w:rPr>
          <w:rFonts w:ascii="Arial" w:cs="Arial" w:eastAsia="Arial" w:hAnsi="Arial"/>
          <w:sz w:val="18"/>
          <w:szCs w:val="18"/>
          <w:u w:val="single" w:color="auto"/>
          <w:color w:val="auto"/>
        </w:rPr>
        <w:t>[CEO/CFO/Treasurer/Controller]</w:t>
      </w:r>
      <w:r>
        <w:rPr>
          <w:rFonts w:ascii="Arial" w:cs="Arial" w:eastAsia="Arial" w:hAnsi="Arial"/>
          <w:sz w:val="18"/>
          <w:szCs w:val="18"/>
          <w:color w:val="auto"/>
        </w:rPr>
        <w:t xml:space="preserve"> of the REIT, and that, as such, he/she is authorized to execute and deliver this Compliance Certificate to the Administrative Agent on behalf of the REIT, in his/her capacity as a Responsible Officer of the REIT (and not in any individual capacity), and that: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20"/>
          <w:szCs w:val="20"/>
          <w:i w:val="1"/>
          <w:iCs w:val="1"/>
          <w:color w:val="auto"/>
        </w:rPr>
        <w:t xml:space="preserve">[Use following paragraph 1 for fiscal </w:t>
      </w:r>
      <w:r>
        <w:rPr>
          <w:rFonts w:ascii="Arial" w:cs="Arial" w:eastAsia="Arial" w:hAnsi="Arial"/>
          <w:sz w:val="20"/>
          <w:szCs w:val="20"/>
          <w:b w:val="1"/>
          <w:bCs w:val="1"/>
          <w:i w:val="1"/>
          <w:iCs w:val="1"/>
          <w:color w:val="auto"/>
        </w:rPr>
        <w:t>year-end</w:t>
      </w:r>
      <w:r>
        <w:rPr>
          <w:rFonts w:ascii="Arial" w:cs="Arial" w:eastAsia="Arial" w:hAnsi="Arial"/>
          <w:sz w:val="20"/>
          <w:szCs w:val="20"/>
          <w:i w:val="1"/>
          <w:iCs w:val="1"/>
          <w:color w:val="auto"/>
        </w:rPr>
        <w:t xml:space="preserve"> financial statements]</w:t>
      </w:r>
    </w:p>
    <w:p>
      <w:pPr>
        <w:spacing w:after="0" w:line="207" w:lineRule="exact"/>
        <w:rPr>
          <w:sz w:val="20"/>
          <w:szCs w:val="20"/>
          <w:color w:val="auto"/>
        </w:rPr>
      </w:pPr>
    </w:p>
    <w:p>
      <w:pPr>
        <w:jc w:val="both"/>
        <w:spacing w:after="0" w:line="266" w:lineRule="auto"/>
        <w:tabs>
          <w:tab w:leader="none" w:pos="341" w:val="left"/>
        </w:tabs>
        <w:numPr>
          <w:ilvl w:val="0"/>
          <w:numId w:val="423"/>
        </w:numPr>
        <w:rPr>
          <w:rFonts w:ascii="Arial" w:cs="Arial" w:eastAsia="Arial" w:hAnsi="Arial"/>
          <w:sz w:val="20"/>
          <w:szCs w:val="20"/>
          <w:color w:val="auto"/>
        </w:rPr>
      </w:pPr>
      <w:r>
        <w:rPr>
          <w:rFonts w:ascii="Arial" w:cs="Arial" w:eastAsia="Arial" w:hAnsi="Arial"/>
          <w:sz w:val="20"/>
          <w:szCs w:val="20"/>
          <w:color w:val="auto"/>
        </w:rPr>
        <w:t xml:space="preserve">The Borrower has delivered the year-end audited financial statements required by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of the Agreement for the fiscal year of the REIT ended as of the above date, together with the report and opinion of an independent certified public accountant required by such section.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xml:space="preserve">[Use following paragraph 1 for fiscal </w:t>
      </w:r>
      <w:r>
        <w:rPr>
          <w:rFonts w:ascii="Arial" w:cs="Arial" w:eastAsia="Arial" w:hAnsi="Arial"/>
          <w:sz w:val="20"/>
          <w:szCs w:val="20"/>
          <w:b w:val="1"/>
          <w:bCs w:val="1"/>
          <w:i w:val="1"/>
          <w:iCs w:val="1"/>
          <w:color w:val="auto"/>
        </w:rPr>
        <w:t>quarter-end</w:t>
      </w:r>
      <w:r>
        <w:rPr>
          <w:rFonts w:ascii="Arial" w:cs="Arial" w:eastAsia="Arial" w:hAnsi="Arial"/>
          <w:sz w:val="20"/>
          <w:szCs w:val="20"/>
          <w:i w:val="1"/>
          <w:iCs w:val="1"/>
          <w:color w:val="auto"/>
        </w:rPr>
        <w:t xml:space="preserve"> financial statements]</w:t>
      </w:r>
    </w:p>
    <w:p>
      <w:pPr>
        <w:spacing w:after="0" w:line="207" w:lineRule="exact"/>
        <w:rPr>
          <w:sz w:val="20"/>
          <w:szCs w:val="20"/>
          <w:color w:val="auto"/>
        </w:rPr>
      </w:pPr>
    </w:p>
    <w:p>
      <w:pPr>
        <w:jc w:val="both"/>
        <w:spacing w:after="0" w:line="260" w:lineRule="auto"/>
        <w:tabs>
          <w:tab w:leader="none" w:pos="341" w:val="left"/>
        </w:tabs>
        <w:numPr>
          <w:ilvl w:val="0"/>
          <w:numId w:val="424"/>
        </w:numPr>
        <w:rPr>
          <w:rFonts w:ascii="Arial" w:cs="Arial" w:eastAsia="Arial" w:hAnsi="Arial"/>
          <w:sz w:val="20"/>
          <w:szCs w:val="20"/>
          <w:color w:val="auto"/>
        </w:rPr>
      </w:pPr>
      <w:r>
        <w:rPr>
          <w:rFonts w:ascii="Arial" w:cs="Arial" w:eastAsia="Arial" w:hAnsi="Arial"/>
          <w:sz w:val="20"/>
          <w:szCs w:val="20"/>
          <w:color w:val="auto"/>
        </w:rPr>
        <w:t xml:space="preserve">The Borrower has delivered the unaudited financial statements required by </w:t>
      </w:r>
      <w:r>
        <w:rPr>
          <w:rFonts w:ascii="Arial" w:cs="Arial" w:eastAsia="Arial" w:hAnsi="Arial"/>
          <w:sz w:val="20"/>
          <w:szCs w:val="20"/>
          <w:u w:val="single" w:color="auto"/>
          <w:color w:val="auto"/>
        </w:rPr>
        <w:t>Section 6.01(b)</w:t>
      </w:r>
      <w:r>
        <w:rPr>
          <w:rFonts w:ascii="Arial" w:cs="Arial" w:eastAsia="Arial" w:hAnsi="Arial"/>
          <w:sz w:val="20"/>
          <w:szCs w:val="20"/>
          <w:color w:val="auto"/>
        </w:rPr>
        <w:t xml:space="preserve"> of the Agreement for the fiscal quarter of the REIT ended as of the above date. Such financial statements fairly present the financial condition, results of operations, shareholder’s equity and cash flows of the Consolidated Group in accordance with GAAP as at such date and for such period, subject only to customary year-end audit adjustments and the absence of footnotes.</w:t>
      </w:r>
    </w:p>
    <w:p>
      <w:pPr>
        <w:spacing w:after="0" w:line="164" w:lineRule="exact"/>
        <w:rPr>
          <w:rFonts w:ascii="Arial" w:cs="Arial" w:eastAsia="Arial" w:hAnsi="Arial"/>
          <w:sz w:val="20"/>
          <w:szCs w:val="20"/>
          <w:color w:val="auto"/>
        </w:rPr>
      </w:pPr>
    </w:p>
    <w:p>
      <w:pPr>
        <w:jc w:val="both"/>
        <w:spacing w:after="0" w:line="266" w:lineRule="auto"/>
        <w:tabs>
          <w:tab w:leader="none" w:pos="379" w:val="left"/>
        </w:tabs>
        <w:numPr>
          <w:ilvl w:val="0"/>
          <w:numId w:val="424"/>
        </w:numPr>
        <w:rPr>
          <w:rFonts w:ascii="Arial" w:cs="Arial" w:eastAsia="Arial" w:hAnsi="Arial"/>
          <w:sz w:val="20"/>
          <w:szCs w:val="20"/>
          <w:color w:val="auto"/>
        </w:rPr>
      </w:pPr>
      <w:r>
        <w:rPr>
          <w:rFonts w:ascii="Arial" w:cs="Arial" w:eastAsia="Arial" w:hAnsi="Arial"/>
          <w:sz w:val="20"/>
          <w:szCs w:val="20"/>
          <w:color w:val="auto"/>
        </w:rPr>
        <w:t>The undersigned has reviewed and is familiar with the terms of the Agreement and has made, or has caused to be made under his/her supervision, a detailed review of the transactions and condition (financial or otherwise) of the Loan Parties during the accounting period covered by such financial statements.</w:t>
      </w:r>
    </w:p>
    <w:p>
      <w:pPr>
        <w:spacing w:after="0" w:line="159" w:lineRule="exact"/>
        <w:rPr>
          <w:rFonts w:ascii="Arial" w:cs="Arial" w:eastAsia="Arial" w:hAnsi="Arial"/>
          <w:sz w:val="20"/>
          <w:szCs w:val="20"/>
          <w:color w:val="auto"/>
        </w:rPr>
      </w:pPr>
    </w:p>
    <w:p>
      <w:pPr>
        <w:jc w:val="both"/>
        <w:spacing w:after="0" w:line="257" w:lineRule="auto"/>
        <w:tabs>
          <w:tab w:leader="none" w:pos="366" w:val="left"/>
        </w:tabs>
        <w:numPr>
          <w:ilvl w:val="0"/>
          <w:numId w:val="424"/>
        </w:numPr>
        <w:rPr>
          <w:rFonts w:ascii="Arial" w:cs="Arial" w:eastAsia="Arial" w:hAnsi="Arial"/>
          <w:sz w:val="20"/>
          <w:szCs w:val="20"/>
          <w:color w:val="auto"/>
        </w:rPr>
      </w:pPr>
      <w:r>
        <w:rPr>
          <w:rFonts w:ascii="Arial" w:cs="Arial" w:eastAsia="Arial" w:hAnsi="Arial"/>
          <w:sz w:val="20"/>
          <w:szCs w:val="20"/>
          <w:color w:val="auto"/>
        </w:rPr>
        <w:t>A review of the activities of the Loan Parties during such fiscal period has been made under the supervision of the undersigned with a view to determining whether during such fiscal period the Loan Parties performed and observed all their Obligations under the Loan Documents, and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[select one:]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Compliance Certificate</w:t>
      </w:r>
    </w:p>
    <w:p>
      <w:pPr>
        <w:sectPr>
          <w:pgSz w:w="11900" w:h="16838" w:orient="portrait"/>
          <w:cols w:equalWidth="0" w:num="1">
            <w:col w:w="11420"/>
          </w:cols>
          <w:pgMar w:left="240" w:top="795" w:right="239" w:bottom="1440" w:gutter="0" w:footer="0" w:header="0"/>
        </w:sectPr>
      </w:pPr>
    </w:p>
    <w:bookmarkStart w:id="372" w:name="page373"/>
    <w:bookmarkEnd w:id="372"/>
    <w:p>
      <w:pPr>
        <w:spacing w:after="0" w:line="259" w:lineRule="auto"/>
        <w:rPr>
          <w:sz w:val="20"/>
          <w:szCs w:val="20"/>
          <w:color w:val="auto"/>
        </w:rPr>
      </w:pPr>
      <w:r>
        <w:rPr>
          <w:rFonts w:ascii="Arial" w:cs="Arial" w:eastAsia="Arial" w:hAnsi="Arial"/>
          <w:sz w:val="20"/>
          <w:szCs w:val="20"/>
          <w:b w:val="1"/>
          <w:bCs w:val="1"/>
          <w:color w:val="auto"/>
        </w:rPr>
        <w:t>[during such fiscal period each of the Loan Parties performed and observed in all material respects each covenant and condition of the Loan Documents applicable to it, and no Default has occurred and is continuing.]</w:t>
      </w:r>
    </w:p>
    <w:p>
      <w:pPr>
        <w:jc w:val="center"/>
        <w:spacing w:after="0"/>
        <w:rPr>
          <w:sz w:val="20"/>
          <w:szCs w:val="20"/>
          <w:color w:val="auto"/>
        </w:rPr>
      </w:pPr>
      <w:r>
        <w:rPr>
          <w:rFonts w:ascii="Arial" w:cs="Arial" w:eastAsia="Arial" w:hAnsi="Arial"/>
          <w:sz w:val="20"/>
          <w:szCs w:val="20"/>
          <w:b w:val="1"/>
          <w:bCs w:val="1"/>
          <w:i w:val="1"/>
          <w:iCs w:val="1"/>
          <w:color w:val="auto"/>
        </w:rPr>
        <w:t>--or--</w:t>
      </w:r>
    </w:p>
    <w:p>
      <w:pPr>
        <w:spacing w:after="0" w:line="7" w:lineRule="exact"/>
        <w:rPr>
          <w:sz w:val="20"/>
          <w:szCs w:val="20"/>
          <w:color w:val="auto"/>
        </w:rPr>
      </w:pPr>
    </w:p>
    <w:p>
      <w:pPr>
        <w:spacing w:after="0" w:line="256" w:lineRule="auto"/>
        <w:rPr>
          <w:sz w:val="20"/>
          <w:szCs w:val="20"/>
          <w:color w:val="auto"/>
        </w:rPr>
      </w:pPr>
      <w:r>
        <w:rPr>
          <w:rFonts w:ascii="Arial" w:cs="Arial" w:eastAsia="Arial" w:hAnsi="Arial"/>
          <w:sz w:val="20"/>
          <w:szCs w:val="20"/>
          <w:b w:val="1"/>
          <w:bCs w:val="1"/>
          <w:color w:val="auto"/>
        </w:rPr>
        <w:t>[during such fiscal period the following covenants or conditions have not been performed or observed and the following is a list of each such Default and its nature and status:]</w:t>
      </w:r>
    </w:p>
    <w:p>
      <w:pPr>
        <w:spacing w:after="0" w:line="168" w:lineRule="exact"/>
        <w:rPr>
          <w:sz w:val="20"/>
          <w:szCs w:val="20"/>
          <w:color w:val="auto"/>
        </w:rPr>
      </w:pPr>
    </w:p>
    <w:p>
      <w:pPr>
        <w:spacing w:after="0" w:line="285" w:lineRule="auto"/>
        <w:tabs>
          <w:tab w:leader="none" w:pos="354" w:val="left"/>
        </w:tabs>
        <w:numPr>
          <w:ilvl w:val="0"/>
          <w:numId w:val="425"/>
        </w:numPr>
        <w:rPr>
          <w:rFonts w:ascii="Arial" w:cs="Arial" w:eastAsia="Arial" w:hAnsi="Arial"/>
          <w:sz w:val="20"/>
          <w:szCs w:val="20"/>
          <w:color w:val="auto"/>
        </w:rPr>
      </w:pPr>
      <w:r>
        <w:rPr>
          <w:rFonts w:ascii="Arial" w:cs="Arial" w:eastAsia="Arial" w:hAnsi="Arial"/>
          <w:sz w:val="20"/>
          <w:szCs w:val="20"/>
          <w:color w:val="auto"/>
        </w:rPr>
        <w:t xml:space="preserve">The financial covenant analyses and information set forth on </w:t>
      </w:r>
      <w:r>
        <w:rPr>
          <w:rFonts w:ascii="Arial" w:cs="Arial" w:eastAsia="Arial" w:hAnsi="Arial"/>
          <w:sz w:val="20"/>
          <w:szCs w:val="20"/>
          <w:u w:val="single" w:color="auto"/>
          <w:color w:val="auto"/>
        </w:rPr>
        <w:t>Schedule 1</w:t>
      </w:r>
      <w:r>
        <w:rPr>
          <w:rFonts w:ascii="Arial" w:cs="Arial" w:eastAsia="Arial" w:hAnsi="Arial"/>
          <w:sz w:val="20"/>
          <w:szCs w:val="20"/>
          <w:color w:val="auto"/>
        </w:rPr>
        <w:t xml:space="preserve"> attached hereto are true and accurate in all material respects on and as of the date of this Certificate.</w:t>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IN WITNESS WHEREOF, </w:t>
      </w:r>
      <w:r>
        <w:rPr>
          <w:rFonts w:ascii="Arial" w:cs="Arial" w:eastAsia="Arial" w:hAnsi="Arial"/>
          <w:sz w:val="20"/>
          <w:szCs w:val="20"/>
          <w:color w:val="auto"/>
        </w:rPr>
        <w:t>the undersigned has executed this Certificate as of _______________, _______.</w:t>
      </w:r>
    </w:p>
    <w:p>
      <w:pPr>
        <w:spacing w:after="0" w:line="207" w:lineRule="exact"/>
        <w:rPr>
          <w:sz w:val="20"/>
          <w:szCs w:val="20"/>
          <w:color w:val="auto"/>
        </w:rPr>
      </w:pPr>
    </w:p>
    <w:p>
      <w:pPr>
        <w:ind w:left="2240" w:hanging="442"/>
        <w:spacing w:after="0"/>
        <w:tabs>
          <w:tab w:leader="none" w:pos="2240" w:val="left"/>
        </w:tabs>
        <w:numPr>
          <w:ilvl w:val="0"/>
          <w:numId w:val="426"/>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313"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AMERICAN ASSETS TRUST, INC.</w:t>
      </w:r>
    </w:p>
    <w:p>
      <w:pPr>
        <w:spacing w:after="0" w:line="200" w:lineRule="exact"/>
        <w:rPr>
          <w:sz w:val="20"/>
          <w:szCs w:val="20"/>
          <w:color w:val="auto"/>
        </w:rPr>
      </w:pPr>
    </w:p>
    <w:p>
      <w:pPr>
        <w:spacing w:after="0" w:line="25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color w:val="auto"/>
        </w:rPr>
        <w:t>___________________________________________</w:t>
      </w:r>
    </w:p>
    <w:p>
      <w:pPr>
        <w:spacing w:after="0" w:line="131" w:lineRule="exact"/>
        <w:rPr>
          <w:sz w:val="20"/>
          <w:szCs w:val="20"/>
          <w:color w:val="auto"/>
        </w:rPr>
      </w:pPr>
    </w:p>
    <w:p>
      <w:pPr>
        <w:ind w:left="3600"/>
        <w:spacing w:after="0"/>
        <w:tabs>
          <w:tab w:leader="none" w:pos="42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20"/>
          <w:szCs w:val="20"/>
          <w:color w:val="auto"/>
        </w:rPr>
        <w:t>________________________________________</w:t>
      </w:r>
    </w:p>
    <w:p>
      <w:pPr>
        <w:spacing w:after="0" w:line="12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9"/>
          <w:szCs w:val="19"/>
          <w:color w:val="auto"/>
        </w:rPr>
        <w:t>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Compliance Certificate</w:t>
      </w:r>
    </w:p>
    <w:p>
      <w:pPr>
        <w:sectPr>
          <w:pgSz w:w="11900" w:h="16838" w:orient="portrait"/>
          <w:cols w:equalWidth="0" w:num="1">
            <w:col w:w="11420"/>
          </w:cols>
          <w:pgMar w:left="240" w:top="789" w:right="239" w:bottom="1440" w:gutter="0" w:footer="0" w:header="0"/>
        </w:sectPr>
      </w:pPr>
    </w:p>
    <w:bookmarkStart w:id="373" w:name="page374"/>
    <w:bookmarkEnd w:id="373"/>
    <w:p>
      <w:pPr>
        <w:ind w:left="1"/>
        <w:spacing w:after="0"/>
        <w:rPr>
          <w:sz w:val="20"/>
          <w:szCs w:val="20"/>
          <w:color w:val="auto"/>
        </w:rPr>
      </w:pPr>
      <w:r>
        <w:rPr>
          <w:rFonts w:ascii="Arial" w:cs="Arial" w:eastAsia="Arial" w:hAnsi="Arial"/>
          <w:sz w:val="20"/>
          <w:szCs w:val="20"/>
          <w:color w:val="auto"/>
        </w:rPr>
        <w:t>For the Quarter/Year ended ___________________(“Statement Date”)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1</w:t>
      </w:r>
    </w:p>
    <w:p>
      <w:pPr>
        <w:spacing w:after="0" w:line="5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to the Compliance Certificate</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in 000’s)</w:t>
      </w:r>
    </w:p>
    <w:p>
      <w:pPr>
        <w:spacing w:after="0" w:line="339" w:lineRule="exact"/>
        <w:rPr>
          <w:sz w:val="20"/>
          <w:szCs w:val="20"/>
          <w:color w:val="auto"/>
        </w:rPr>
      </w:pPr>
    </w:p>
    <w:p>
      <w:pPr>
        <w:ind w:left="441" w:right="100" w:hanging="441"/>
        <w:spacing w:after="0" w:line="260" w:lineRule="auto"/>
        <w:tabs>
          <w:tab w:leader="none" w:pos="441" w:val="left"/>
        </w:tabs>
        <w:numPr>
          <w:ilvl w:val="0"/>
          <w:numId w:val="42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 xml:space="preserve">Section </w:t>
      </w:r>
      <w:r>
        <w:rPr>
          <w:rFonts w:ascii="Arial" w:cs="Arial" w:eastAsia="Arial" w:hAnsi="Arial"/>
          <w:sz w:val="20"/>
          <w:szCs w:val="20"/>
          <w:b w:val="1"/>
          <w:bCs w:val="1"/>
          <w:u w:val="single" w:color="auto"/>
          <w:color w:val="FC0718"/>
          <w:strike w:val="1"/>
        </w:rPr>
        <w:t>7.11</w:t>
      </w:r>
      <w:r>
        <w:rPr>
          <w:rFonts w:ascii="Arial" w:cs="Arial" w:eastAsia="Arial" w:hAnsi="Arial"/>
          <w:sz w:val="20"/>
          <w:szCs w:val="20"/>
          <w:b w:val="1"/>
          <w:bCs w:val="1"/>
          <w:u w:val="single" w:color="auto"/>
          <w:color w:val="071DFF"/>
          <w:highlight w:val="lightGray"/>
        </w:rPr>
        <w:t>7.02</w:t>
      </w:r>
      <w:r>
        <w:rPr>
          <w:rFonts w:ascii="Arial" w:cs="Arial" w:eastAsia="Arial" w:hAnsi="Arial"/>
          <w:sz w:val="20"/>
          <w:szCs w:val="20"/>
          <w:b w:val="1"/>
          <w:bCs w:val="1"/>
          <w:u w:val="single" w:color="auto"/>
          <w:color w:val="auto"/>
        </w:rPr>
        <w:t>(</w:t>
      </w:r>
      <w:r>
        <w:rPr>
          <w:rFonts w:ascii="Arial" w:cs="Arial" w:eastAsia="Arial" w:hAnsi="Arial"/>
          <w:sz w:val="20"/>
          <w:szCs w:val="20"/>
          <w:b w:val="1"/>
          <w:bCs w:val="1"/>
          <w:u w:val="single" w:color="auto"/>
          <w:color w:val="FC0718"/>
        </w:rPr>
        <w:t>a</w:t>
      </w:r>
      <w:r>
        <w:rPr>
          <w:rFonts w:ascii="Arial" w:cs="Arial" w:eastAsia="Arial" w:hAnsi="Arial"/>
          <w:sz w:val="20"/>
          <w:szCs w:val="20"/>
          <w:b w:val="1"/>
          <w:bCs w:val="1"/>
          <w:u w:val="single" w:color="auto"/>
          <w:color w:val="auto"/>
        </w:rPr>
        <w:t xml:space="preserve">b) – </w:t>
      </w:r>
      <w:r>
        <w:rPr>
          <w:rFonts w:ascii="Arial" w:cs="Arial" w:eastAsia="Arial" w:hAnsi="Arial"/>
          <w:sz w:val="20"/>
          <w:szCs w:val="20"/>
          <w:b w:val="1"/>
          <w:bCs w:val="1"/>
          <w:u w:val="single" w:color="auto"/>
          <w:color w:val="FC0718"/>
          <w:strike w:val="1"/>
        </w:rPr>
        <w:t>Consolidated Tangible Net Worth</w:t>
      </w:r>
      <w:r>
        <w:rPr>
          <w:rFonts w:ascii="Arial" w:cs="Arial" w:eastAsia="Arial" w:hAnsi="Arial"/>
          <w:sz w:val="20"/>
          <w:szCs w:val="20"/>
          <w:b w:val="1"/>
          <w:bCs w:val="1"/>
          <w:u w:val="single" w:color="auto"/>
          <w:color w:val="auto"/>
        </w:rPr>
        <w:t xml:space="preserve"> </w:t>
      </w:r>
      <w:r>
        <w:rPr>
          <w:rFonts w:ascii="Arial" w:cs="Arial" w:eastAsia="Arial" w:hAnsi="Arial"/>
          <w:sz w:val="20"/>
          <w:szCs w:val="20"/>
          <w:b w:val="1"/>
          <w:bCs w:val="1"/>
          <w:u w:val="single" w:color="auto"/>
          <w:color w:val="071DFF"/>
          <w:highlight w:val="lightGray"/>
        </w:rPr>
        <w:t>Aggregate Amount of Recourse Indebtedness (other than Pari Passu</w:t>
      </w:r>
      <w:r>
        <w:rPr>
          <w:rFonts w:ascii="Arial" w:cs="Arial" w:eastAsia="Arial" w:hAnsi="Arial"/>
          <w:sz w:val="20"/>
          <w:szCs w:val="20"/>
          <w:b w:val="1"/>
          <w:bCs w:val="1"/>
          <w:u w:val="single" w:color="auto"/>
          <w:color w:val="auto"/>
        </w:rPr>
        <w:t xml:space="preserve"> </w:t>
      </w:r>
      <w:r>
        <w:rPr>
          <w:rFonts w:ascii="Arial" w:cs="Arial" w:eastAsia="Arial" w:hAnsi="Arial"/>
          <w:sz w:val="20"/>
          <w:szCs w:val="20"/>
          <w:b w:val="1"/>
          <w:bCs w:val="1"/>
          <w:u w:val="single" w:color="auto"/>
          <w:color w:val="071DFF"/>
          <w:highlight w:val="lightGray"/>
        </w:rPr>
        <w:t>Obligations)</w:t>
      </w:r>
    </w:p>
    <w:p>
      <w:pPr>
        <w:sectPr>
          <w:pgSz w:w="11900" w:h="16838" w:orient="portrait"/>
          <w:cols w:equalWidth="0" w:num="1">
            <w:col w:w="11181"/>
          </w:cols>
          <w:pgMar w:left="359" w:top="932" w:right="359" w:bottom="1440" w:gutter="0" w:footer="0" w:header="0"/>
        </w:sectPr>
      </w:pPr>
    </w:p>
    <w:p>
      <w:pPr>
        <w:spacing w:after="0" w:line="1" w:lineRule="exact"/>
        <w:rPr>
          <w:sz w:val="20"/>
          <w:szCs w:val="20"/>
          <w:color w:val="auto"/>
        </w:rPr>
      </w:pPr>
    </w:p>
    <w:p>
      <w:pPr>
        <w:ind w:left="1021" w:right="340" w:hanging="572"/>
        <w:spacing w:after="0" w:line="260" w:lineRule="auto"/>
        <w:tabs>
          <w:tab w:leader="none" w:pos="1021" w:val="left"/>
        </w:tabs>
        <w:numPr>
          <w:ilvl w:val="0"/>
          <w:numId w:val="428"/>
        </w:numPr>
        <w:rPr>
          <w:rFonts w:ascii="Arial" w:cs="Arial" w:eastAsia="Arial" w:hAnsi="Arial"/>
          <w:sz w:val="20"/>
          <w:szCs w:val="20"/>
          <w:color w:val="auto"/>
        </w:rPr>
      </w:pPr>
      <w:r>
        <w:rPr>
          <w:rFonts w:ascii="Arial" w:cs="Arial" w:eastAsia="Arial" w:hAnsi="Arial"/>
          <w:sz w:val="20"/>
          <w:szCs w:val="20"/>
          <w:color w:val="FC0718"/>
          <w:strike w:val="1"/>
        </w:rPr>
        <w:t xml:space="preserve">Consolidated Tangible Net Worth </w:t>
      </w:r>
      <w:r>
        <w:rPr>
          <w:rFonts w:ascii="Arial" w:cs="Arial" w:eastAsia="Arial" w:hAnsi="Arial"/>
          <w:sz w:val="20"/>
          <w:szCs w:val="20"/>
          <w:b w:val="1"/>
          <w:bCs w:val="1"/>
          <w:u w:val="single" w:color="auto"/>
          <w:color w:val="071DFF"/>
          <w:highlight w:val="lightGray"/>
          <w:strike w:val="1"/>
        </w:rPr>
        <w:t>Aggregate amount of Recourse Indebtedness (other than Pari</w:t>
      </w:r>
      <w:r>
        <w:rPr>
          <w:rFonts w:ascii="Arial" w:cs="Arial" w:eastAsia="Arial" w:hAnsi="Arial"/>
          <w:sz w:val="20"/>
          <w:szCs w:val="20"/>
          <w:color w:val="FC0718"/>
          <w:strike w:val="1"/>
        </w:rPr>
        <w:t xml:space="preserve"> </w:t>
      </w:r>
      <w:r>
        <w:rPr>
          <w:rFonts w:ascii="Arial" w:cs="Arial" w:eastAsia="Arial" w:hAnsi="Arial"/>
          <w:sz w:val="20"/>
          <w:szCs w:val="20"/>
          <w:b w:val="1"/>
          <w:bCs w:val="1"/>
          <w:u w:val="single" w:color="auto"/>
          <w:color w:val="071DFF"/>
          <w:highlight w:val="lightGray"/>
          <w:strike w:val="1"/>
        </w:rPr>
        <w:t>Passu Obligations)</w:t>
      </w:r>
      <w:r>
        <w:rPr>
          <w:rFonts w:ascii="Arial" w:cs="Arial" w:eastAsia="Arial" w:hAnsi="Arial"/>
          <w:sz w:val="20"/>
          <w:szCs w:val="20"/>
          <w:b w:val="1"/>
          <w:bCs w:val="1"/>
          <w:color w:val="071DFF"/>
          <w:highlight w:val="lightGray"/>
          <w:strike w:val="1"/>
        </w:rPr>
        <w:t xml:space="preserve"> </w:t>
      </w:r>
      <w:r>
        <w:rPr>
          <w:rFonts w:ascii="Arial" w:cs="Arial" w:eastAsia="Arial" w:hAnsi="Arial"/>
          <w:sz w:val="20"/>
          <w:szCs w:val="20"/>
          <w:color w:val="000000"/>
          <w:strike w:val="1"/>
        </w:rPr>
        <w:t>at Statement Date</w:t>
      </w:r>
    </w:p>
    <w:p>
      <w:pPr>
        <w:spacing w:after="0" w:line="1" w:lineRule="exact"/>
        <w:rPr>
          <w:rFonts w:ascii="Arial" w:cs="Arial" w:eastAsia="Arial" w:hAnsi="Arial"/>
          <w:sz w:val="20"/>
          <w:szCs w:val="20"/>
          <w:color w:val="auto"/>
        </w:rPr>
      </w:pPr>
    </w:p>
    <w:p>
      <w:pPr>
        <w:ind w:left="1581" w:right="140" w:hanging="570"/>
        <w:spacing w:after="0" w:line="250" w:lineRule="auto"/>
        <w:tabs>
          <w:tab w:leader="none" w:pos="1581" w:val="left"/>
        </w:tabs>
        <w:numPr>
          <w:ilvl w:val="1"/>
          <w:numId w:val="428"/>
        </w:numPr>
        <w:rPr>
          <w:rFonts w:ascii="Arial" w:cs="Arial" w:eastAsia="Arial" w:hAnsi="Arial"/>
          <w:sz w:val="20"/>
          <w:szCs w:val="20"/>
          <w:color w:val="auto"/>
        </w:rPr>
      </w:pPr>
      <w:r>
        <w:rPr>
          <w:rFonts w:ascii="Arial" w:cs="Arial" w:eastAsia="Arial" w:hAnsi="Arial"/>
          <w:sz w:val="20"/>
          <w:szCs w:val="20"/>
          <w:color w:val="FC0718"/>
          <w:strike w:val="1"/>
        </w:rPr>
        <w:t xml:space="preserve">Shareholders' Equity </w:t>
      </w:r>
      <w:r>
        <w:rPr>
          <w:rFonts w:ascii="Arial" w:cs="Arial" w:eastAsia="Arial" w:hAnsi="Arial"/>
          <w:sz w:val="20"/>
          <w:szCs w:val="20"/>
          <w:b w:val="1"/>
          <w:bCs w:val="1"/>
          <w:u w:val="single" w:color="auto"/>
          <w:color w:val="071DFF"/>
          <w:highlight w:val="lightGray"/>
          <w:strike w:val="1"/>
        </w:rPr>
        <w:t>Aggregate amount of Secured Recourse Indebtedness owed by the</w:t>
      </w:r>
      <w:r>
        <w:rPr>
          <w:rFonts w:ascii="Arial" w:cs="Arial" w:eastAsia="Arial" w:hAnsi="Arial"/>
          <w:sz w:val="20"/>
          <w:szCs w:val="20"/>
          <w:color w:val="FC0718"/>
          <w:strike w:val="1"/>
        </w:rPr>
        <w:t xml:space="preserve"> </w:t>
      </w:r>
      <w:r>
        <w:rPr>
          <w:rFonts w:ascii="Arial" w:cs="Arial" w:eastAsia="Arial" w:hAnsi="Arial"/>
          <w:sz w:val="20"/>
          <w:szCs w:val="20"/>
          <w:b w:val="1"/>
          <w:bCs w:val="1"/>
          <w:u w:val="single" w:color="auto"/>
          <w:color w:val="071DFF"/>
          <w:highlight w:val="lightGray"/>
          <w:strike w:val="1"/>
        </w:rPr>
        <w:t>Borrower or any Guarantor to Persons that are not members</w:t>
      </w:r>
      <w:r>
        <w:rPr>
          <w:rFonts w:ascii="Arial" w:cs="Arial" w:eastAsia="Arial" w:hAnsi="Arial"/>
          <w:sz w:val="20"/>
          <w:szCs w:val="20"/>
          <w:b w:val="1"/>
          <w:bCs w:val="1"/>
          <w:color w:val="071DFF"/>
          <w:highlight w:val="lightGray"/>
          <w:strike w:val="1"/>
        </w:rPr>
        <w:t xml:space="preserve"> </w:t>
      </w:r>
      <w:r>
        <w:rPr>
          <w:rFonts w:ascii="Arial" w:cs="Arial" w:eastAsia="Arial" w:hAnsi="Arial"/>
          <w:sz w:val="20"/>
          <w:szCs w:val="20"/>
          <w:color w:val="000000"/>
          <w:strike w:val="1"/>
        </w:rPr>
        <w:t>of the Consolidated Group as</w:t>
      </w:r>
      <w:r>
        <w:rPr>
          <w:rFonts w:ascii="Arial" w:cs="Arial" w:eastAsia="Arial" w:hAnsi="Arial"/>
          <w:sz w:val="20"/>
          <w:szCs w:val="20"/>
          <w:b w:val="1"/>
          <w:bCs w:val="1"/>
          <w:color w:val="071DFF"/>
          <w:highlight w:val="lightGray"/>
          <w:strike w:val="1"/>
        </w:rPr>
        <w:t xml:space="preserve"> </w:t>
      </w:r>
      <w:r>
        <w:rPr>
          <w:rFonts w:ascii="Arial" w:cs="Arial" w:eastAsia="Arial" w:hAnsi="Arial"/>
          <w:sz w:val="20"/>
          <w:szCs w:val="20"/>
          <w:color w:val="000000"/>
          <w:strike w:val="1"/>
        </w:rPr>
        <w:t>of the Statement Date:</w:t>
      </w:r>
    </w:p>
    <w:p>
      <w:pPr>
        <w:spacing w:after="0" w:line="5" w:lineRule="exact"/>
        <w:rPr>
          <w:rFonts w:ascii="Arial" w:cs="Arial" w:eastAsia="Arial" w:hAnsi="Arial"/>
          <w:sz w:val="20"/>
          <w:szCs w:val="20"/>
          <w:color w:val="auto"/>
        </w:rPr>
      </w:pPr>
    </w:p>
    <w:p>
      <w:pPr>
        <w:ind w:left="1581" w:hanging="570"/>
        <w:spacing w:after="0"/>
        <w:tabs>
          <w:tab w:leader="none" w:pos="1581" w:val="left"/>
        </w:tabs>
        <w:numPr>
          <w:ilvl w:val="1"/>
          <w:numId w:val="428"/>
        </w:numPr>
        <w:rPr>
          <w:rFonts w:ascii="Arial" w:cs="Arial" w:eastAsia="Arial" w:hAnsi="Arial"/>
          <w:sz w:val="19"/>
          <w:szCs w:val="19"/>
          <w:color w:val="auto"/>
        </w:rPr>
      </w:pPr>
      <w:r>
        <w:rPr>
          <w:rFonts w:ascii="Arial" w:cs="Arial" w:eastAsia="Arial" w:hAnsi="Arial"/>
          <w:sz w:val="19"/>
          <w:szCs w:val="19"/>
          <w:color w:val="FC0718"/>
          <w:strike w:val="1"/>
        </w:rPr>
        <w:t xml:space="preserve">Intangible Assets </w:t>
      </w:r>
      <w:r>
        <w:rPr>
          <w:rFonts w:ascii="Arial" w:cs="Arial" w:eastAsia="Arial" w:hAnsi="Arial"/>
          <w:sz w:val="19"/>
          <w:szCs w:val="19"/>
          <w:b w:val="1"/>
          <w:bCs w:val="1"/>
          <w:u w:val="single" w:color="auto"/>
          <w:color w:val="071DFF"/>
          <w:highlight w:val="lightGray"/>
          <w:strike w:val="1"/>
        </w:rPr>
        <w:t>Aggregate amount of Recourse Indebtedness (other than Pari Passu</w:t>
      </w:r>
    </w:p>
    <w:p>
      <w:pPr>
        <w:spacing w:after="0" w:line="28" w:lineRule="exact"/>
        <w:rPr>
          <w:rFonts w:ascii="Arial" w:cs="Arial" w:eastAsia="Arial" w:hAnsi="Arial"/>
          <w:sz w:val="19"/>
          <w:szCs w:val="19"/>
          <w:color w:val="auto"/>
        </w:rPr>
      </w:pPr>
    </w:p>
    <w:p>
      <w:pPr>
        <w:ind w:left="1581" w:right="20"/>
        <w:spacing w:after="0" w:line="243" w:lineRule="auto"/>
        <w:rPr>
          <w:rFonts w:ascii="Arial" w:cs="Arial" w:eastAsia="Arial" w:hAnsi="Arial"/>
          <w:sz w:val="19"/>
          <w:szCs w:val="19"/>
          <w:color w:val="auto"/>
        </w:rPr>
      </w:pPr>
      <w:r>
        <w:rPr>
          <w:rFonts w:ascii="Arial" w:cs="Arial" w:eastAsia="Arial" w:hAnsi="Arial"/>
          <w:sz w:val="20"/>
          <w:szCs w:val="20"/>
          <w:b w:val="1"/>
          <w:bCs w:val="1"/>
          <w:u w:val="single" w:color="auto"/>
          <w:color w:val="071DFF"/>
          <w:highlight w:val="lightGray"/>
        </w:rPr>
        <w:t>Obligations) owed by Subsidiaries of the Borrower that are not Guarantors to Persons that are not members</w:t>
      </w:r>
      <w:r>
        <w:rPr>
          <w:rFonts w:ascii="Arial" w:cs="Arial" w:eastAsia="Arial" w:hAnsi="Arial"/>
          <w:sz w:val="20"/>
          <w:szCs w:val="20"/>
          <w:b w:val="1"/>
          <w:bCs w:val="1"/>
          <w:color w:val="071DFF"/>
          <w:highlight w:val="lightGray"/>
        </w:rPr>
        <w:t xml:space="preserve"> </w:t>
      </w:r>
      <w:r>
        <w:rPr>
          <w:rFonts w:ascii="Arial" w:cs="Arial" w:eastAsia="Arial" w:hAnsi="Arial"/>
          <w:sz w:val="20"/>
          <w:szCs w:val="20"/>
          <w:color w:val="000000"/>
        </w:rPr>
        <w:t>of the Consolidated Group as of the Statement Date:</w:t>
      </w:r>
    </w:p>
    <w:p>
      <w:pPr>
        <w:spacing w:after="0" w:line="17" w:lineRule="exact"/>
        <w:rPr>
          <w:rFonts w:ascii="Arial" w:cs="Arial" w:eastAsia="Arial" w:hAnsi="Arial"/>
          <w:sz w:val="19"/>
          <w:szCs w:val="19"/>
          <w:color w:val="auto"/>
        </w:rPr>
      </w:pPr>
    </w:p>
    <w:p>
      <w:pPr>
        <w:ind w:left="1581" w:hanging="570"/>
        <w:spacing w:after="0" w:line="257" w:lineRule="auto"/>
        <w:tabs>
          <w:tab w:leader="none" w:pos="1581" w:val="left"/>
        </w:tabs>
        <w:numPr>
          <w:ilvl w:val="1"/>
          <w:numId w:val="428"/>
        </w:numPr>
        <w:rPr>
          <w:rFonts w:ascii="Arial" w:cs="Arial" w:eastAsia="Arial" w:hAnsi="Arial"/>
          <w:sz w:val="20"/>
          <w:szCs w:val="20"/>
          <w:color w:val="FC0718"/>
          <w:strike w:val="1"/>
        </w:rPr>
      </w:pPr>
      <w:r>
        <w:rPr>
          <w:rFonts w:ascii="Arial" w:cs="Arial" w:eastAsia="Arial" w:hAnsi="Arial"/>
          <w:sz w:val="20"/>
          <w:szCs w:val="20"/>
          <w:color w:val="FC0718"/>
          <w:strike w:val="1"/>
        </w:rPr>
        <w:t>Accumulated depreciation expense on the assets of the Consolidated Group as of Statement Date in accordance with GAAP:</w:t>
      </w:r>
    </w:p>
    <w:p>
      <w:pPr>
        <w:spacing w:after="0" w:line="1" w:lineRule="exact"/>
        <w:rPr>
          <w:sz w:val="20"/>
          <w:szCs w:val="20"/>
          <w:color w:val="auto"/>
        </w:rPr>
      </w:pPr>
    </w:p>
    <w:p>
      <w:pPr>
        <w:ind w:left="1021"/>
        <w:spacing w:after="0"/>
        <w:tabs>
          <w:tab w:leader="none" w:pos="1561" w:val="left"/>
        </w:tabs>
        <w:rPr>
          <w:sz w:val="20"/>
          <w:szCs w:val="20"/>
          <w:color w:val="auto"/>
        </w:rPr>
      </w:pPr>
      <w:r>
        <w:rPr>
          <w:rFonts w:ascii="Arial" w:cs="Arial" w:eastAsia="Arial" w:hAnsi="Arial"/>
          <w:sz w:val="20"/>
          <w:szCs w:val="20"/>
          <w:color w:val="FC0718"/>
          <w:strike w:val="1"/>
        </w:rPr>
        <w:t>4</w:t>
      </w:r>
      <w:r>
        <w:rPr>
          <w:rFonts w:ascii="Arial" w:cs="Arial" w:eastAsia="Arial" w:hAnsi="Arial"/>
          <w:sz w:val="20"/>
          <w:szCs w:val="20"/>
          <w:u w:val="single" w:color="auto"/>
          <w:color w:val="071DFF"/>
          <w:strike w:val="1"/>
        </w:rPr>
        <w:t>3.</w:t>
      </w:r>
      <w:r>
        <w:rPr>
          <w:sz w:val="20"/>
          <w:szCs w:val="20"/>
          <w:color w:val="auto"/>
        </w:rPr>
        <w:tab/>
      </w:r>
      <w:r>
        <w:rPr>
          <w:rFonts w:ascii="Arial" w:cs="Arial" w:eastAsia="Arial" w:hAnsi="Arial"/>
          <w:sz w:val="17"/>
          <w:szCs w:val="17"/>
          <w:color w:val="FC0718"/>
          <w:strike w:val="1"/>
        </w:rPr>
        <w:t xml:space="preserve">Consolidated Tangible Net Worth </w:t>
      </w:r>
      <w:r>
        <w:rPr>
          <w:rFonts w:ascii="Arial" w:cs="Arial" w:eastAsia="Arial" w:hAnsi="Arial"/>
          <w:sz w:val="17"/>
          <w:szCs w:val="17"/>
          <w:b w:val="1"/>
          <w:bCs w:val="1"/>
          <w:u w:val="single" w:color="auto"/>
          <w:color w:val="071DFF"/>
          <w:highlight w:val="lightGray"/>
          <w:strike w:val="1"/>
        </w:rPr>
        <w:t>Aggregate amount of Recourse Indebtedness (other than</w:t>
      </w:r>
    </w:p>
    <w:p>
      <w:pPr>
        <w:spacing w:after="0" w:line="17" w:lineRule="exact"/>
        <w:rPr>
          <w:sz w:val="20"/>
          <w:szCs w:val="20"/>
          <w:color w:val="auto"/>
        </w:rPr>
      </w:pPr>
    </w:p>
    <w:p>
      <w:pPr>
        <w:ind w:left="1581"/>
        <w:spacing w:after="0"/>
        <w:rPr>
          <w:sz w:val="20"/>
          <w:szCs w:val="20"/>
          <w:color w:val="auto"/>
        </w:rPr>
      </w:pPr>
      <w:r>
        <w:rPr>
          <w:rFonts w:ascii="Arial" w:cs="Arial" w:eastAsia="Arial" w:hAnsi="Arial"/>
          <w:sz w:val="20"/>
          <w:szCs w:val="20"/>
          <w:b w:val="1"/>
          <w:bCs w:val="1"/>
          <w:u w:val="single" w:color="auto"/>
          <w:color w:val="071DFF"/>
          <w:highlight w:val="lightGray"/>
        </w:rPr>
        <w:t>Pari Passu Obligations)</w:t>
      </w:r>
      <w:r>
        <w:rPr>
          <w:rFonts w:ascii="Arial" w:cs="Arial" w:eastAsia="Arial" w:hAnsi="Arial"/>
          <w:sz w:val="20"/>
          <w:szCs w:val="20"/>
          <w:b w:val="1"/>
          <w:bCs w:val="1"/>
          <w:color w:val="071DFF"/>
          <w:highlight w:val="lightGray"/>
        </w:rPr>
        <w:t xml:space="preserve"> </w:t>
      </w:r>
      <w:r>
        <w:rPr>
          <w:rFonts w:ascii="Arial" w:cs="Arial" w:eastAsia="Arial" w:hAnsi="Arial"/>
          <w:sz w:val="20"/>
          <w:szCs w:val="20"/>
          <w:color w:val="000000"/>
        </w:rPr>
        <w:t>(Line I.A</w:t>
      </w:r>
      <w:r>
        <w:rPr>
          <w:rFonts w:ascii="Arial" w:cs="Arial" w:eastAsia="Arial" w:hAnsi="Arial"/>
          <w:sz w:val="20"/>
          <w:szCs w:val="20"/>
          <w:b w:val="1"/>
          <w:bCs w:val="1"/>
          <w:u w:val="single" w:color="auto"/>
          <w:color w:val="071DFF"/>
        </w:rPr>
        <w:t>.</w:t>
      </w:r>
      <w:r>
        <w:rPr>
          <w:rFonts w:ascii="Arial" w:cs="Arial" w:eastAsia="Arial" w:hAnsi="Arial"/>
          <w:sz w:val="20"/>
          <w:szCs w:val="20"/>
          <w:color w:val="000000"/>
        </w:rPr>
        <w:t>1</w:t>
      </w:r>
      <w:r>
        <w:rPr>
          <w:rFonts w:ascii="Arial" w:cs="Arial" w:eastAsia="Arial" w:hAnsi="Arial"/>
          <w:sz w:val="20"/>
          <w:szCs w:val="20"/>
          <w:color w:val="FC0718"/>
          <w:strike w:val="1"/>
        </w:rPr>
        <w:t>. Line I.A.2</w:t>
      </w:r>
      <w:r>
        <w:rPr>
          <w:rFonts w:ascii="Arial" w:cs="Arial" w:eastAsia="Arial" w:hAnsi="Arial"/>
          <w:sz w:val="20"/>
          <w:szCs w:val="20"/>
          <w:b w:val="1"/>
          <w:bCs w:val="1"/>
          <w:color w:val="071DFF"/>
        </w:rPr>
        <w:t>.</w:t>
      </w:r>
      <w:r>
        <w:rPr>
          <w:rFonts w:ascii="Arial" w:cs="Arial" w:eastAsia="Arial" w:hAnsi="Arial"/>
          <w:sz w:val="20"/>
          <w:szCs w:val="20"/>
          <w:b w:val="1"/>
          <w:bCs w:val="1"/>
          <w:color w:val="071DFF"/>
          <w:highlight w:val="lightGray"/>
        </w:rPr>
        <w:t xml:space="preserve"> </w:t>
      </w:r>
      <w:r>
        <w:rPr>
          <w:rFonts w:ascii="Arial" w:cs="Arial" w:eastAsia="Arial" w:hAnsi="Arial"/>
          <w:sz w:val="20"/>
          <w:szCs w:val="20"/>
          <w:color w:val="000000"/>
        </w:rPr>
        <w:t>+ Line I.A.</w:t>
      </w:r>
      <w:r>
        <w:rPr>
          <w:rFonts w:ascii="Arial" w:cs="Arial" w:eastAsia="Arial" w:hAnsi="Arial"/>
          <w:sz w:val="20"/>
          <w:szCs w:val="20"/>
          <w:color w:val="FC0718"/>
        </w:rPr>
        <w:t>3</w:t>
      </w:r>
      <w:r>
        <w:rPr>
          <w:rFonts w:ascii="Arial" w:cs="Arial" w:eastAsia="Arial" w:hAnsi="Arial"/>
          <w:sz w:val="20"/>
          <w:szCs w:val="20"/>
          <w:b w:val="1"/>
          <w:bCs w:val="1"/>
          <w:color w:val="071DFF"/>
          <w:strike w:val="1"/>
        </w:rPr>
        <w:t>2</w:t>
      </w:r>
      <w:r>
        <w:rPr>
          <w:rFonts w:ascii="Arial" w:cs="Arial" w:eastAsia="Arial" w:hAnsi="Arial"/>
          <w:sz w:val="20"/>
          <w:szCs w:val="20"/>
          <w:color w:val="000000"/>
        </w:rPr>
        <w:t>.):</w:t>
      </w:r>
    </w:p>
    <w:p>
      <w:pPr>
        <w:spacing w:after="0" w:line="29" w:lineRule="exact"/>
        <w:rPr>
          <w:sz w:val="20"/>
          <w:szCs w:val="20"/>
          <w:color w:val="auto"/>
        </w:rPr>
      </w:pPr>
    </w:p>
    <w:p>
      <w:pPr>
        <w:ind w:left="1581" w:right="80" w:hanging="1132"/>
        <w:spacing w:after="0" w:line="247" w:lineRule="auto"/>
        <w:tabs>
          <w:tab w:leader="none" w:pos="1581" w:val="left"/>
        </w:tabs>
        <w:numPr>
          <w:ilvl w:val="0"/>
          <w:numId w:val="429"/>
        </w:numPr>
        <w:rPr>
          <w:rFonts w:ascii="Arial" w:cs="Arial" w:eastAsia="Arial" w:hAnsi="Arial"/>
          <w:sz w:val="20"/>
          <w:szCs w:val="20"/>
          <w:color w:val="FC0718"/>
          <w:strike w:val="1"/>
        </w:rPr>
      </w:pPr>
      <w:r>
        <w:rPr>
          <w:rFonts w:ascii="Arial" w:cs="Arial" w:eastAsia="Arial" w:hAnsi="Arial"/>
          <w:sz w:val="20"/>
          <w:szCs w:val="20"/>
          <w:color w:val="FC0718"/>
          <w:strike w:val="1"/>
        </w:rPr>
        <w:t>75% of Net Cash Proceeds received by the REIT from issuances and sales of Equity Interests of the REIT occurring after the Closing Date (other than any such Net Cash Proceeds received in connection with any dividend reinvestment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4236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4236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FC0718"/>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4236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4236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FC0718"/>
          <w:strike w:val="1"/>
        </w:rPr>
        <w:t>$</w:t>
      </w:r>
    </w:p>
    <w:p>
      <w:pPr>
        <w:spacing w:after="0" w:line="72" w:lineRule="exact"/>
        <w:rPr>
          <w:sz w:val="20"/>
          <w:szCs w:val="20"/>
          <w:color w:val="auto"/>
        </w:rPr>
      </w:pPr>
    </w:p>
    <w:p>
      <w:pPr>
        <w:sectPr>
          <w:pgSz w:w="11900" w:h="16838" w:orient="portrait"/>
          <w:cols w:equalWidth="0" w:num="2">
            <w:col w:w="9321" w:space="120"/>
            <w:col w:w="1740"/>
          </w:cols>
          <w:pgMar w:left="359" w:top="932" w:right="359" w:bottom="1440" w:gutter="0" w:footer="0" w:header="0"/>
          <w:type w:val="continuous"/>
        </w:sectPr>
      </w:pPr>
    </w:p>
    <w:p>
      <w:pPr>
        <w:ind w:left="1021" w:hanging="572"/>
        <w:spacing w:after="0"/>
        <w:tabs>
          <w:tab w:leader="none" w:pos="1021" w:val="left"/>
        </w:tabs>
        <w:numPr>
          <w:ilvl w:val="0"/>
          <w:numId w:val="430"/>
        </w:numPr>
        <w:rPr>
          <w:rFonts w:ascii="Arial" w:cs="Arial" w:eastAsia="Arial" w:hAnsi="Arial"/>
          <w:sz w:val="20"/>
          <w:szCs w:val="20"/>
          <w:color w:val="FC0718"/>
          <w:strike w:val="1"/>
        </w:rPr>
      </w:pPr>
      <w:r>
        <w:rPr>
          <w:rFonts w:ascii="Arial" w:cs="Arial" w:eastAsia="Arial" w:hAnsi="Arial"/>
          <w:sz w:val="20"/>
          <w:szCs w:val="20"/>
          <w:b w:val="1"/>
          <w:bCs w:val="1"/>
          <w:color w:val="FC0718"/>
          <w:strike w:val="1"/>
        </w:rPr>
        <w:t>Minimum Required Consolidated Tangible Net Worth</w:t>
      </w:r>
    </w:p>
    <w:p>
      <w:pPr>
        <w:spacing w:after="0" w:line="16" w:lineRule="exact"/>
        <w:rPr>
          <w:rFonts w:ascii="Arial" w:cs="Arial" w:eastAsia="Arial" w:hAnsi="Arial"/>
          <w:sz w:val="20"/>
          <w:szCs w:val="20"/>
          <w:color w:val="FC0718"/>
          <w:strike w:val="1"/>
        </w:rPr>
      </w:pPr>
    </w:p>
    <w:p>
      <w:pPr>
        <w:ind w:left="1021"/>
        <w:spacing w:after="0"/>
        <w:rPr>
          <w:rFonts w:ascii="Arial" w:cs="Arial" w:eastAsia="Arial" w:hAnsi="Arial"/>
          <w:sz w:val="20"/>
          <w:szCs w:val="20"/>
          <w:color w:val="FC0718"/>
          <w:strike w:val="1"/>
        </w:rPr>
      </w:pPr>
      <w:r>
        <w:rPr>
          <w:rFonts w:ascii="Arial" w:cs="Arial" w:eastAsia="Arial" w:hAnsi="Arial"/>
          <w:sz w:val="20"/>
          <w:szCs w:val="20"/>
          <w:b w:val="1"/>
          <w:bCs w:val="1"/>
          <w:color w:val="FC0718"/>
          <w:strike w:val="1"/>
        </w:rPr>
        <w:t>($854,316,000+</w:t>
      </w:r>
      <w:r>
        <w:rPr>
          <w:rFonts w:ascii="Arial" w:cs="Arial" w:eastAsia="Arial" w:hAnsi="Arial"/>
          <w:sz w:val="20"/>
          <w:szCs w:val="20"/>
          <w:b w:val="1"/>
          <w:bCs w:val="1"/>
          <w:color w:val="FC0718"/>
        </w:rPr>
        <w:t xml:space="preserve"> </w:t>
      </w:r>
      <w:r>
        <w:rPr>
          <w:rFonts w:ascii="Arial" w:cs="Arial" w:eastAsia="Arial" w:hAnsi="Arial"/>
          <w:sz w:val="20"/>
          <w:szCs w:val="20"/>
          <w:b w:val="1"/>
          <w:bCs w:val="1"/>
          <w:u w:val="single" w:color="auto"/>
          <w:color w:val="071DFF"/>
          <w:highlight w:val="lightGray"/>
        </w:rPr>
        <w:t>B. Total Asset Value at Statement Date (</w:t>
      </w:r>
      <w:r>
        <w:rPr>
          <w:rFonts w:ascii="Arial" w:cs="Arial" w:eastAsia="Arial" w:hAnsi="Arial"/>
          <w:sz w:val="20"/>
          <w:szCs w:val="20"/>
          <w:color w:val="000000"/>
        </w:rPr>
        <w:t>Line</w:t>
      </w:r>
      <w:r>
        <w:rPr>
          <w:rFonts w:ascii="Arial" w:cs="Arial" w:eastAsia="Arial" w:hAnsi="Arial"/>
          <w:sz w:val="20"/>
          <w:szCs w:val="20"/>
          <w:b w:val="1"/>
          <w:bCs w:val="1"/>
          <w:color w:val="FC0718"/>
        </w:rPr>
        <w:t xml:space="preserve"> </w:t>
      </w:r>
      <w:r>
        <w:rPr>
          <w:rFonts w:ascii="Arial" w:cs="Arial" w:eastAsia="Arial" w:hAnsi="Arial"/>
          <w:sz w:val="20"/>
          <w:szCs w:val="20"/>
          <w:b w:val="1"/>
          <w:bCs w:val="1"/>
          <w:color w:val="FC0718"/>
          <w:strike w:val="1"/>
        </w:rPr>
        <w:t>I</w:t>
      </w:r>
      <w:r>
        <w:rPr>
          <w:rFonts w:ascii="Arial" w:cs="Arial" w:eastAsia="Arial" w:hAnsi="Arial"/>
          <w:sz w:val="20"/>
          <w:szCs w:val="20"/>
          <w:b w:val="1"/>
          <w:bCs w:val="1"/>
          <w:color w:val="071DFF"/>
          <w:highlight w:val="lightGray"/>
        </w:rPr>
        <w:t>II</w:t>
      </w:r>
      <w:r>
        <w:rPr>
          <w:rFonts w:ascii="Arial" w:cs="Arial" w:eastAsia="Arial" w:hAnsi="Arial"/>
          <w:sz w:val="20"/>
          <w:szCs w:val="20"/>
          <w:color w:val="000000"/>
        </w:rPr>
        <w:t>.B.</w:t>
      </w:r>
      <w:r>
        <w:rPr>
          <w:rFonts w:ascii="Arial" w:cs="Arial" w:eastAsia="Arial" w:hAnsi="Arial"/>
          <w:sz w:val="20"/>
          <w:szCs w:val="20"/>
          <w:b w:val="1"/>
          <w:bCs w:val="1"/>
          <w:color w:val="071DFF"/>
          <w:highlight w:val="lightGray"/>
        </w:rPr>
        <w:t>15.</w:t>
      </w:r>
      <w:r>
        <w:rPr>
          <w:rFonts w:ascii="Arial" w:cs="Arial" w:eastAsia="Arial" w:hAnsi="Arial"/>
          <w:sz w:val="20"/>
          <w:szCs w:val="20"/>
          <w:color w:val="000000"/>
        </w:rPr>
        <w:t>):</w:t>
      </w:r>
    </w:p>
    <w:p>
      <w:pPr>
        <w:spacing w:after="0" w:line="23" w:lineRule="exact"/>
        <w:rPr>
          <w:sz w:val="20"/>
          <w:szCs w:val="20"/>
          <w:color w:val="auto"/>
        </w:rPr>
      </w:pPr>
    </w:p>
    <w:p>
      <w:pPr>
        <w:ind w:left="441" w:right="300"/>
        <w:spacing w:after="0" w:line="260" w:lineRule="auto"/>
        <w:rPr>
          <w:sz w:val="20"/>
          <w:szCs w:val="20"/>
          <w:color w:val="auto"/>
        </w:rPr>
      </w:pPr>
      <w:r>
        <w:rPr>
          <w:rFonts w:ascii="Arial" w:cs="Arial" w:eastAsia="Arial" w:hAnsi="Arial"/>
          <w:sz w:val="20"/>
          <w:szCs w:val="20"/>
          <w:b w:val="1"/>
          <w:bCs w:val="1"/>
          <w:color w:val="FF0000"/>
          <w:strike w:val="1"/>
        </w:rPr>
        <w:t xml:space="preserve">Excess (Deficiency) for Covenant Compliance </w:t>
      </w:r>
      <w:r>
        <w:rPr>
          <w:rFonts w:ascii="Arial" w:cs="Arial" w:eastAsia="Arial" w:hAnsi="Arial"/>
          <w:sz w:val="20"/>
          <w:szCs w:val="20"/>
          <w:b w:val="1"/>
          <w:bCs w:val="1"/>
          <w:u w:val="single" w:color="auto"/>
          <w:color w:val="071DFF"/>
          <w:highlight w:val="lightGray"/>
          <w:strike w:val="1"/>
        </w:rPr>
        <w:t>Ratio of Recourse Indebtedness (other than Pari Passu</w:t>
      </w:r>
      <w:r>
        <w:rPr>
          <w:rFonts w:ascii="Arial" w:cs="Arial" w:eastAsia="Arial" w:hAnsi="Arial"/>
          <w:sz w:val="20"/>
          <w:szCs w:val="20"/>
          <w:b w:val="1"/>
          <w:bCs w:val="1"/>
          <w:color w:val="FF0000"/>
          <w:strike w:val="1"/>
        </w:rPr>
        <w:t xml:space="preserve"> </w:t>
      </w:r>
      <w:r>
        <w:rPr>
          <w:rFonts w:ascii="Arial" w:cs="Arial" w:eastAsia="Arial" w:hAnsi="Arial"/>
          <w:sz w:val="20"/>
          <w:szCs w:val="20"/>
          <w:b w:val="1"/>
          <w:bCs w:val="1"/>
          <w:u w:val="single" w:color="auto"/>
          <w:color w:val="071DFF"/>
          <w:highlight w:val="lightGray"/>
          <w:strike w:val="1"/>
        </w:rPr>
        <w:t>Obligations) to Total Asset Value</w:t>
      </w:r>
      <w:r>
        <w:rPr>
          <w:rFonts w:ascii="Arial" w:cs="Arial" w:eastAsia="Arial" w:hAnsi="Arial"/>
          <w:sz w:val="20"/>
          <w:szCs w:val="20"/>
          <w:b w:val="1"/>
          <w:bCs w:val="1"/>
          <w:color w:val="071DFF"/>
          <w:highlight w:val="lightGray"/>
          <w:strike w:val="1"/>
        </w:rPr>
        <w:t xml:space="preserve"> </w:t>
      </w:r>
      <w:r>
        <w:rPr>
          <w:rFonts w:ascii="Arial" w:cs="Arial" w:eastAsia="Arial" w:hAnsi="Arial"/>
          <w:sz w:val="20"/>
          <w:szCs w:val="20"/>
          <w:b w:val="1"/>
          <w:bCs w:val="1"/>
          <w:color w:val="000000"/>
          <w:strike w:val="1"/>
        </w:rPr>
        <w:t>(Line I.A.3. as a percentage of Line I.B.):</w:t>
      </w:r>
    </w:p>
    <w:p>
      <w:pPr>
        <w:spacing w:after="0" w:line="1" w:lineRule="exact"/>
        <w:rPr>
          <w:sz w:val="20"/>
          <w:szCs w:val="20"/>
          <w:color w:val="auto"/>
        </w:rPr>
      </w:pPr>
    </w:p>
    <w:p>
      <w:pPr>
        <w:ind w:left="441"/>
        <w:spacing w:after="0"/>
        <w:rPr>
          <w:sz w:val="20"/>
          <w:szCs w:val="20"/>
          <w:color w:val="auto"/>
        </w:rPr>
      </w:pPr>
      <w:r>
        <w:rPr>
          <w:rFonts w:ascii="Arial" w:cs="Arial" w:eastAsia="Arial" w:hAnsi="Arial"/>
          <w:sz w:val="18"/>
          <w:szCs w:val="18"/>
          <w:b w:val="1"/>
          <w:bCs w:val="1"/>
          <w:u w:val="single" w:color="auto"/>
          <w:color w:val="071DFF"/>
          <w:highlight w:val="lightGray"/>
        </w:rPr>
        <w:t>Maximum Permitted Aggregate Amount of Recourse Indebtedness (other than Pari Passu Obligations):</w:t>
      </w:r>
    </w:p>
    <w:p>
      <w:pPr>
        <w:spacing w:after="0" w:line="393" w:lineRule="exact"/>
        <w:rPr>
          <w:sz w:val="20"/>
          <w:szCs w:val="20"/>
          <w:color w:val="auto"/>
        </w:rPr>
      </w:pPr>
    </w:p>
    <w:p>
      <w:pPr>
        <w:ind w:left="441" w:hanging="441"/>
        <w:spacing w:after="0"/>
        <w:tabs>
          <w:tab w:leader="none" w:pos="441" w:val="left"/>
        </w:tabs>
        <w:numPr>
          <w:ilvl w:val="0"/>
          <w:numId w:val="4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Section 7.11(</w:t>
      </w:r>
      <w:r>
        <w:rPr>
          <w:rFonts w:ascii="Arial" w:cs="Arial" w:eastAsia="Arial" w:hAnsi="Arial"/>
          <w:sz w:val="20"/>
          <w:szCs w:val="20"/>
          <w:b w:val="1"/>
          <w:bCs w:val="1"/>
          <w:u w:val="single" w:color="auto"/>
          <w:color w:val="FC0718"/>
        </w:rPr>
        <w:t>b</w:t>
      </w:r>
      <w:r>
        <w:rPr>
          <w:rFonts w:ascii="Arial" w:cs="Arial" w:eastAsia="Arial" w:hAnsi="Arial"/>
          <w:sz w:val="20"/>
          <w:szCs w:val="20"/>
          <w:b w:val="1"/>
          <w:bCs w:val="1"/>
          <w:u w:val="single" w:color="auto"/>
          <w:color w:val="071DFF"/>
          <w:highlight w:val="lightGray"/>
        </w:rPr>
        <w:t>a</w:t>
      </w:r>
      <w:r>
        <w:rPr>
          <w:rFonts w:ascii="Arial" w:cs="Arial" w:eastAsia="Arial" w:hAnsi="Arial"/>
          <w:sz w:val="20"/>
          <w:szCs w:val="20"/>
          <w:b w:val="1"/>
          <w:bCs w:val="1"/>
          <w:u w:val="single" w:color="auto"/>
          <w:color w:val="auto"/>
        </w:rPr>
        <w:t>) – Consolidated Secured Leverage Ratio</w:t>
      </w:r>
    </w:p>
    <w:p>
      <w:pPr>
        <w:spacing w:after="0" w:line="50" w:lineRule="exact"/>
        <w:rPr>
          <w:rFonts w:ascii="Arial" w:cs="Arial" w:eastAsia="Arial" w:hAnsi="Arial"/>
          <w:sz w:val="20"/>
          <w:szCs w:val="20"/>
          <w:b w:val="1"/>
          <w:bCs w:val="1"/>
          <w:color w:val="auto"/>
        </w:rPr>
      </w:pPr>
    </w:p>
    <w:p>
      <w:pPr>
        <w:ind w:left="441"/>
        <w:spacing w:after="0"/>
        <w:rPr>
          <w:rFonts w:ascii="Arial" w:cs="Arial" w:eastAsia="Arial" w:hAnsi="Arial"/>
          <w:sz w:val="20"/>
          <w:szCs w:val="20"/>
          <w:b w:val="1"/>
          <w:bCs w:val="1"/>
          <w:color w:val="auto"/>
        </w:rPr>
      </w:pPr>
      <w:r>
        <w:rPr>
          <w:rFonts w:ascii="Arial" w:cs="Arial" w:eastAsia="Arial" w:hAnsi="Arial"/>
          <w:sz w:val="20"/>
          <w:szCs w:val="20"/>
          <w:color w:val="auto"/>
        </w:rPr>
        <w:t>A.</w:t>
      </w:r>
      <w:r>
        <w:rPr>
          <w:rFonts w:ascii="Arial" w:cs="Arial" w:eastAsia="Arial" w:hAnsi="Arial"/>
          <w:sz w:val="17"/>
          <w:szCs w:val="17"/>
          <w:color w:val="auto"/>
        </w:rPr>
        <w:t>Consolidated Total Secured Indebtedness at Statement Date:</w:t>
      </w:r>
    </w:p>
    <w:p>
      <w:pPr>
        <w:spacing w:after="0" w:line="38" w:lineRule="exact"/>
        <w:rPr>
          <w:rFonts w:ascii="Arial" w:cs="Arial" w:eastAsia="Arial" w:hAnsi="Arial"/>
          <w:sz w:val="20"/>
          <w:szCs w:val="20"/>
          <w:b w:val="1"/>
          <w:bCs w:val="1"/>
          <w:color w:val="auto"/>
        </w:rPr>
      </w:pPr>
    </w:p>
    <w:p>
      <w:pPr>
        <w:ind w:left="1581" w:right="20" w:hanging="570"/>
        <w:spacing w:after="0" w:line="270" w:lineRule="auto"/>
        <w:tabs>
          <w:tab w:leader="none" w:pos="1581" w:val="left"/>
        </w:tabs>
        <w:numPr>
          <w:ilvl w:val="2"/>
          <w:numId w:val="431"/>
        </w:numPr>
        <w:rPr>
          <w:rFonts w:ascii="Arial" w:cs="Arial" w:eastAsia="Arial" w:hAnsi="Arial"/>
          <w:sz w:val="17"/>
          <w:szCs w:val="17"/>
          <w:color w:val="auto"/>
        </w:rPr>
      </w:pPr>
      <w:r>
        <w:rPr>
          <w:rFonts w:ascii="Arial" w:cs="Arial" w:eastAsia="Arial" w:hAnsi="Arial"/>
          <w:sz w:val="17"/>
          <w:szCs w:val="17"/>
          <w:color w:val="auto"/>
        </w:rPr>
        <w:t>Aggregate amount of all Secured Indebtedness</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71DFF"/>
          <w:highlight w:val="lightGray"/>
        </w:rPr>
        <w:t>owed by members</w:t>
      </w:r>
      <w:r>
        <w:rPr>
          <w:rFonts w:ascii="Arial" w:cs="Arial" w:eastAsia="Arial" w:hAnsi="Arial"/>
          <w:sz w:val="17"/>
          <w:szCs w:val="17"/>
          <w:color w:val="auto"/>
        </w:rPr>
        <w:t xml:space="preserve"> of the Consolidated Group </w:t>
      </w:r>
      <w:r>
        <w:rPr>
          <w:rFonts w:ascii="Arial" w:cs="Arial" w:eastAsia="Arial" w:hAnsi="Arial"/>
          <w:sz w:val="17"/>
          <w:szCs w:val="17"/>
          <w:b w:val="1"/>
          <w:bCs w:val="1"/>
          <w:u w:val="single" w:color="auto"/>
          <w:color w:val="071DFF"/>
          <w:highlight w:val="lightGray"/>
        </w:rPr>
        <w:t>(excluding in any event Indebtedness outstanding under the Credit Agreement)</w:t>
      </w:r>
      <w:r>
        <w:rPr>
          <w:rFonts w:ascii="Arial" w:cs="Arial" w:eastAsia="Arial" w:hAnsi="Arial"/>
          <w:sz w:val="17"/>
          <w:szCs w:val="17"/>
          <w:b w:val="1"/>
          <w:bCs w:val="1"/>
          <w:color w:val="071DFF"/>
          <w:highlight w:val="lightGray"/>
        </w:rPr>
        <w:t xml:space="preserve"> </w:t>
      </w:r>
      <w:r>
        <w:rPr>
          <w:rFonts w:ascii="Arial" w:cs="Arial" w:eastAsia="Arial" w:hAnsi="Arial"/>
          <w:sz w:val="17"/>
          <w:szCs w:val="17"/>
          <w:color w:val="000000"/>
        </w:rPr>
        <w:t>that would</w:t>
      </w:r>
      <w:r>
        <w:rPr>
          <w:rFonts w:ascii="Arial" w:cs="Arial" w:eastAsia="Arial" w:hAnsi="Arial"/>
          <w:sz w:val="17"/>
          <w:szCs w:val="17"/>
          <w:b w:val="1"/>
          <w:bCs w:val="1"/>
          <w:color w:val="071DFF"/>
          <w:highlight w:val="lightGray"/>
        </w:rPr>
        <w:t xml:space="preserve"> </w:t>
      </w:r>
      <w:r>
        <w:rPr>
          <w:rFonts w:ascii="Arial" w:cs="Arial" w:eastAsia="Arial" w:hAnsi="Arial"/>
          <w:sz w:val="17"/>
          <w:szCs w:val="17"/>
          <w:color w:val="000000"/>
        </w:rPr>
        <w:t>be reflected on a consolidated balance sheet of the Consolidated Group as of the Statement Date:</w:t>
      </w:r>
    </w:p>
    <w:p>
      <w:pPr>
        <w:ind w:left="1581" w:hanging="570"/>
        <w:spacing w:after="0" w:line="250" w:lineRule="auto"/>
        <w:tabs>
          <w:tab w:leader="none" w:pos="1581" w:val="left"/>
        </w:tabs>
        <w:numPr>
          <w:ilvl w:val="2"/>
          <w:numId w:val="431"/>
        </w:numPr>
        <w:rPr>
          <w:rFonts w:ascii="Arial" w:cs="Arial" w:eastAsia="Arial" w:hAnsi="Arial"/>
          <w:sz w:val="20"/>
          <w:szCs w:val="20"/>
          <w:color w:val="auto"/>
        </w:rPr>
      </w:pPr>
      <w:r>
        <w:rPr>
          <w:rFonts w:ascii="Arial" w:cs="Arial" w:eastAsia="Arial" w:hAnsi="Arial"/>
          <w:sz w:val="20"/>
          <w:szCs w:val="20"/>
          <w:color w:val="auto"/>
        </w:rPr>
        <w:t xml:space="preserve">Consolidated Group Pro Rata Share of the aggregate amount of all Secured Indebtedness </w:t>
      </w:r>
      <w:r>
        <w:rPr>
          <w:rFonts w:ascii="Arial" w:cs="Arial" w:eastAsia="Arial" w:hAnsi="Arial"/>
          <w:sz w:val="20"/>
          <w:szCs w:val="20"/>
          <w:color w:val="FC0718"/>
        </w:rPr>
        <w:t>of</w:t>
      </w:r>
      <w:r>
        <w:rPr>
          <w:rFonts w:ascii="Arial" w:cs="Arial" w:eastAsia="Arial" w:hAnsi="Arial"/>
          <w:sz w:val="20"/>
          <w:szCs w:val="20"/>
          <w:b w:val="1"/>
          <w:bCs w:val="1"/>
          <w:u w:val="single" w:color="auto"/>
          <w:color w:val="071DFF"/>
          <w:highlight w:val="lightGray"/>
        </w:rPr>
        <w:t>owed</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71DFF"/>
          <w:highlight w:val="lightGray"/>
        </w:rPr>
        <w:t>by</w:t>
      </w:r>
      <w:r>
        <w:rPr>
          <w:rFonts w:ascii="Arial" w:cs="Arial" w:eastAsia="Arial" w:hAnsi="Arial"/>
          <w:sz w:val="20"/>
          <w:szCs w:val="20"/>
          <w:b w:val="1"/>
          <w:bCs w:val="1"/>
          <w:color w:val="071DFF"/>
          <w:highlight w:val="lightGray"/>
        </w:rPr>
        <w:t xml:space="preserve"> </w:t>
      </w:r>
      <w:r>
        <w:rPr>
          <w:rFonts w:ascii="Arial" w:cs="Arial" w:eastAsia="Arial" w:hAnsi="Arial"/>
          <w:sz w:val="20"/>
          <w:szCs w:val="20"/>
          <w:color w:val="000000"/>
        </w:rPr>
        <w:t>each Unconsolidated Affiliate that would be reflected on a balance sheet of such</w:t>
      </w:r>
      <w:r>
        <w:rPr>
          <w:rFonts w:ascii="Arial" w:cs="Arial" w:eastAsia="Arial" w:hAnsi="Arial"/>
          <w:sz w:val="20"/>
          <w:szCs w:val="20"/>
          <w:b w:val="1"/>
          <w:bCs w:val="1"/>
          <w:color w:val="071DFF"/>
          <w:highlight w:val="lightGray"/>
        </w:rPr>
        <w:t xml:space="preserve"> </w:t>
      </w:r>
      <w:r>
        <w:rPr>
          <w:rFonts w:ascii="Arial" w:cs="Arial" w:eastAsia="Arial" w:hAnsi="Arial"/>
          <w:sz w:val="20"/>
          <w:szCs w:val="20"/>
          <w:color w:val="000000"/>
        </w:rPr>
        <w:t>Unconsolidated Affiliate as of the Statement Date:</w:t>
      </w:r>
    </w:p>
    <w:p>
      <w:pPr>
        <w:spacing w:after="0" w:line="11" w:lineRule="exact"/>
        <w:rPr>
          <w:rFonts w:ascii="Arial" w:cs="Arial" w:eastAsia="Arial" w:hAnsi="Arial"/>
          <w:sz w:val="20"/>
          <w:szCs w:val="20"/>
          <w:color w:val="auto"/>
        </w:rPr>
      </w:pPr>
    </w:p>
    <w:p>
      <w:pPr>
        <w:ind w:left="1581" w:hanging="570"/>
        <w:spacing w:after="0"/>
        <w:tabs>
          <w:tab w:leader="none" w:pos="1581" w:val="left"/>
        </w:tabs>
        <w:numPr>
          <w:ilvl w:val="2"/>
          <w:numId w:val="431"/>
        </w:numPr>
        <w:rPr>
          <w:rFonts w:ascii="Arial" w:cs="Arial" w:eastAsia="Arial" w:hAnsi="Arial"/>
          <w:sz w:val="20"/>
          <w:szCs w:val="20"/>
          <w:color w:val="auto"/>
        </w:rPr>
      </w:pPr>
      <w:r>
        <w:rPr>
          <w:rFonts w:ascii="Arial" w:cs="Arial" w:eastAsia="Arial" w:hAnsi="Arial"/>
          <w:sz w:val="20"/>
          <w:szCs w:val="20"/>
          <w:u w:val="single" w:color="auto"/>
          <w:color w:val="auto"/>
        </w:rPr>
        <w:t>Consolidated Total Secured Indebtedness</w:t>
      </w:r>
      <w:r>
        <w:rPr>
          <w:rFonts w:ascii="Arial" w:cs="Arial" w:eastAsia="Arial" w:hAnsi="Arial"/>
          <w:sz w:val="20"/>
          <w:szCs w:val="20"/>
          <w:color w:val="auto"/>
        </w:rPr>
        <w:t xml:space="preserve"> (Line II.A.1. + Line II.A.2.):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421640</wp:posOffset>
            </wp:positionV>
            <wp:extent cx="713803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80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114236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42365" cy="762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-288290</wp:posOffset>
            </wp:positionV>
            <wp:extent cx="114236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5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114236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37" w:lineRule="exact"/>
        <w:rPr>
          <w:sz w:val="20"/>
          <w:szCs w:val="20"/>
          <w:color w:val="auto"/>
        </w:rPr>
      </w:pPr>
    </w:p>
    <w:p>
      <w:pPr>
        <w:jc w:val="both"/>
        <w:ind w:left="560"/>
        <w:spacing w:after="0"/>
        <w:tabs>
          <w:tab w:leader="none" w:pos="1620" w:val="left"/>
        </w:tabs>
        <w:rPr>
          <w:sz w:val="20"/>
          <w:szCs w:val="20"/>
          <w:color w:val="auto"/>
        </w:rPr>
      </w:pPr>
      <w:r>
        <w:rPr>
          <w:rFonts w:ascii="Arial" w:cs="Arial" w:eastAsia="Arial" w:hAnsi="Arial"/>
          <w:sz w:val="20"/>
          <w:szCs w:val="20"/>
          <w:b w:val="1"/>
          <w:bCs w:val="1"/>
          <w:u w:val="single" w:color="auto"/>
          <w:color w:val="071DFF"/>
          <w:highlight w:val="lightGray"/>
        </w:rPr>
        <w:t>15%</w:t>
      </w:r>
      <w:r>
        <w:rPr>
          <w:sz w:val="20"/>
          <w:szCs w:val="20"/>
          <w:color w:val="auto"/>
        </w:rPr>
        <w:tab/>
      </w:r>
      <w:r>
        <w:rPr>
          <w:rFonts w:ascii="Arial" w:cs="Arial" w:eastAsia="Arial" w:hAnsi="Arial"/>
          <w:sz w:val="20"/>
          <w:szCs w:val="20"/>
          <w:b w:val="1"/>
          <w:bCs w:val="1"/>
          <w:u w:val="single" w:color="auto"/>
          <w:color w:val="071DFF"/>
          <w:highlight w:val="lightGray"/>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114236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4236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4236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4236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41" w:space="100"/>
            <w:col w:w="1740"/>
          </w:cols>
          <w:pgMar w:left="359" w:top="932" w:right="35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ind w:left="441" w:right="260" w:hanging="441"/>
        <w:spacing w:after="0" w:line="257" w:lineRule="auto"/>
        <w:tabs>
          <w:tab w:leader="none" w:pos="441" w:val="left"/>
        </w:tabs>
        <w:numPr>
          <w:ilvl w:val="0"/>
          <w:numId w:val="432"/>
        </w:numPr>
        <w:rPr>
          <w:rFonts w:ascii="Arial" w:cs="Arial" w:eastAsia="Arial" w:hAnsi="Arial"/>
          <w:sz w:val="13"/>
          <w:szCs w:val="13"/>
          <w:b w:val="1"/>
          <w:bCs w:val="1"/>
          <w:color w:val="auto"/>
        </w:rPr>
      </w:pPr>
      <w:r>
        <w:rPr>
          <w:rFonts w:ascii="Arial" w:cs="Arial" w:eastAsia="Arial" w:hAnsi="Arial"/>
          <w:sz w:val="13"/>
          <w:szCs w:val="13"/>
          <w:color w:val="auto"/>
        </w:rPr>
        <w:t xml:space="preserve">"Secured Indebtedness” means, with respect to any Person, all Indebtedness </w:t>
      </w:r>
      <w:r>
        <w:rPr>
          <w:rFonts w:ascii="Arial" w:cs="Arial" w:eastAsia="Arial" w:hAnsi="Arial"/>
          <w:sz w:val="13"/>
          <w:szCs w:val="13"/>
          <w:color w:val="FC0718"/>
          <w:strike w:val="1"/>
        </w:rPr>
        <w:t>of</w:t>
      </w:r>
      <w:r>
        <w:rPr>
          <w:rFonts w:ascii="Arial" w:cs="Arial" w:eastAsia="Arial" w:hAnsi="Arial"/>
          <w:sz w:val="13"/>
          <w:szCs w:val="13"/>
          <w:b w:val="1"/>
          <w:bCs w:val="1"/>
          <w:u w:val="single" w:color="auto"/>
          <w:color w:val="071DFF"/>
          <w:highlight w:val="lightGray"/>
        </w:rPr>
        <w:t>owed by</w:t>
      </w:r>
      <w:r>
        <w:rPr>
          <w:rFonts w:ascii="Arial" w:cs="Arial" w:eastAsia="Arial" w:hAnsi="Arial"/>
          <w:sz w:val="13"/>
          <w:szCs w:val="13"/>
          <w:color w:val="auto"/>
        </w:rPr>
        <w:t xml:space="preserve"> such Person that is secured by a mortgage, deed of trust, lien, pledge, encumbrance, security interest or other Lien </w:t>
      </w:r>
      <w:r>
        <w:rPr>
          <w:rFonts w:ascii="Arial" w:cs="Arial" w:eastAsia="Arial" w:hAnsi="Arial"/>
          <w:sz w:val="13"/>
          <w:szCs w:val="13"/>
          <w:b w:val="1"/>
          <w:bCs w:val="1"/>
          <w:u w:val="single" w:color="auto"/>
          <w:color w:val="071DFF"/>
          <w:highlight w:val="lightGray"/>
        </w:rPr>
        <w:t>(excluding in any event Indebtedness outstanding under the Credit Agreement)</w:t>
      </w:r>
      <w:r>
        <w:rPr>
          <w:rFonts w:ascii="Arial" w:cs="Arial" w:eastAsia="Arial" w:hAnsi="Arial"/>
          <w:sz w:val="13"/>
          <w:szCs w:val="13"/>
          <w:color w:val="auto"/>
        </w:rPr>
        <w: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Compliance Certificate</w:t>
      </w:r>
    </w:p>
    <w:p>
      <w:pPr>
        <w:sectPr>
          <w:pgSz w:w="11900" w:h="16838" w:orient="portrait"/>
          <w:cols w:equalWidth="0" w:num="1">
            <w:col w:w="11181"/>
          </w:cols>
          <w:pgMar w:left="359" w:top="932" w:right="359" w:bottom="1440" w:gutter="0" w:footer="0" w:header="0"/>
          <w:type w:val="continuous"/>
        </w:sectPr>
      </w:pPr>
    </w:p>
    <w:bookmarkStart w:id="374" w:name="page375"/>
    <w:bookmarkEnd w:id="374"/>
    <w:p>
      <w:pPr>
        <w:ind w:left="441" w:right="6540" w:firstLine="8"/>
        <w:spacing w:after="0" w:line="286" w:lineRule="auto"/>
        <w:tabs>
          <w:tab w:leader="none" w:pos="1003" w:val="left"/>
        </w:tabs>
        <w:numPr>
          <w:ilvl w:val="0"/>
          <w:numId w:val="433"/>
        </w:numPr>
        <w:rPr>
          <w:rFonts w:ascii="Arial" w:cs="Arial" w:eastAsia="Arial" w:hAnsi="Arial"/>
          <w:sz w:val="20"/>
          <w:szCs w:val="20"/>
          <w:color w:val="auto"/>
        </w:rPr>
      </w:pPr>
      <w:r>
        <w:rPr>
          <w:rFonts w:ascii="Arial" w:cs="Arial" w:eastAsia="Arial" w:hAnsi="Arial"/>
          <w:sz w:val="20"/>
          <w:szCs w:val="20"/>
          <w:color w:val="auto"/>
        </w:rPr>
        <w:t xml:space="preserve">Secured Total Asset Value at Statement Date: </w:t>
      </w:r>
      <w:r>
        <w:rPr>
          <w:rFonts w:ascii="Arial" w:cs="Arial" w:eastAsia="Arial" w:hAnsi="Arial"/>
          <w:sz w:val="20"/>
          <w:szCs w:val="20"/>
          <w:u w:val="single" w:color="auto"/>
          <w:color w:val="auto"/>
        </w:rPr>
        <w:t>Total Asset Value:</w:t>
      </w:r>
    </w:p>
    <w:p>
      <w:pPr>
        <w:spacing w:after="0" w:line="1" w:lineRule="exact"/>
        <w:rPr>
          <w:rFonts w:ascii="Arial" w:cs="Arial" w:eastAsia="Arial" w:hAnsi="Arial"/>
          <w:sz w:val="20"/>
          <w:szCs w:val="20"/>
          <w:color w:val="auto"/>
        </w:rPr>
      </w:pPr>
    </w:p>
    <w:p>
      <w:pPr>
        <w:ind w:left="1581" w:right="1800" w:hanging="570"/>
        <w:spacing w:after="0" w:line="265" w:lineRule="auto"/>
        <w:tabs>
          <w:tab w:leader="none" w:pos="1581" w:val="left"/>
        </w:tabs>
        <w:numPr>
          <w:ilvl w:val="1"/>
          <w:numId w:val="433"/>
        </w:numPr>
        <w:rPr>
          <w:rFonts w:ascii="Arial" w:cs="Arial" w:eastAsia="Arial" w:hAnsi="Arial"/>
          <w:sz w:val="18"/>
          <w:szCs w:val="18"/>
          <w:color w:val="auto"/>
        </w:rPr>
      </w:pPr>
      <w:r>
        <w:rPr>
          <w:rFonts w:ascii="Arial" w:cs="Arial" w:eastAsia="Arial" w:hAnsi="Arial"/>
          <w:sz w:val="18"/>
          <w:szCs w:val="18"/>
          <w:color w:val="auto"/>
        </w:rPr>
        <w:t>Amount equal to (i) the sum of the Portfolio Property Net Operating Income of each Portfolio Property (excluding each Disposed Portfolio Property</w:t>
      </w:r>
      <w:r>
        <w:rPr>
          <w:rFonts w:ascii="Arial" w:cs="Arial" w:eastAsia="Arial" w:hAnsi="Arial"/>
          <w:sz w:val="18"/>
          <w:szCs w:val="18"/>
          <w:b w:val="1"/>
          <w:bCs w:val="1"/>
          <w:u w:val="single" w:color="auto"/>
          <w:color w:val="071DFF"/>
          <w:highlight w:val="lightGray"/>
        </w:rPr>
        <w:t>, each Newly-Acquired Portfolio</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71DFF"/>
          <w:highlight w:val="lightGray"/>
        </w:rPr>
        <w:t>Property</w:t>
      </w:r>
      <w:r>
        <w:rPr>
          <w:rFonts w:ascii="Arial" w:cs="Arial" w:eastAsia="Arial" w:hAnsi="Arial"/>
          <w:sz w:val="18"/>
          <w:szCs w:val="18"/>
          <w:b w:val="1"/>
          <w:bCs w:val="1"/>
          <w:color w:val="071DFF"/>
          <w:highlight w:val="lightGray"/>
        </w:rPr>
        <w:t xml:space="preserve"> </w:t>
      </w:r>
      <w:r>
        <w:rPr>
          <w:rFonts w:ascii="Arial" w:cs="Arial" w:eastAsia="Arial" w:hAnsi="Arial"/>
          <w:sz w:val="18"/>
          <w:szCs w:val="18"/>
          <w:color w:val="000000"/>
        </w:rPr>
        <w:t>and each Non-Stabilized Portfolio Property) owned, or ground leased pursuant to an</w:t>
      </w:r>
      <w:r>
        <w:rPr>
          <w:rFonts w:ascii="Arial" w:cs="Arial" w:eastAsia="Arial" w:hAnsi="Arial"/>
          <w:sz w:val="18"/>
          <w:szCs w:val="18"/>
          <w:b w:val="1"/>
          <w:bCs w:val="1"/>
          <w:color w:val="071DFF"/>
          <w:highlight w:val="lightGray"/>
        </w:rPr>
        <w:t xml:space="preserve"> </w:t>
      </w:r>
      <w:r>
        <w:rPr>
          <w:rFonts w:ascii="Arial" w:cs="Arial" w:eastAsia="Arial" w:hAnsi="Arial"/>
          <w:sz w:val="18"/>
          <w:szCs w:val="18"/>
          <w:color w:val="000000"/>
        </w:rPr>
        <w:t xml:space="preserve">Eligible Ground Lease, by the Consolidated Group for the fiscal quarter ending on </w:t>
      </w:r>
      <w:r>
        <w:rPr>
          <w:rFonts w:ascii="Arial" w:cs="Arial" w:eastAsia="Arial" w:hAnsi="Arial"/>
          <w:sz w:val="18"/>
          <w:szCs w:val="18"/>
          <w:color w:val="FC0718"/>
          <w:strike w:val="1"/>
        </w:rPr>
        <w:t>above date</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71DFF"/>
          <w:highlight w:val="lightGray"/>
        </w:rPr>
        <w:t>the</w:t>
      </w:r>
    </w:p>
    <w:p>
      <w:pPr>
        <w:spacing w:after="0" w:line="1" w:lineRule="exact"/>
        <w:rPr>
          <w:sz w:val="20"/>
          <w:szCs w:val="20"/>
          <w:color w:val="auto"/>
        </w:rPr>
      </w:pPr>
    </w:p>
    <w:p>
      <w:pPr>
        <w:ind w:left="1581"/>
        <w:spacing w:after="0"/>
        <w:rPr>
          <w:sz w:val="20"/>
          <w:szCs w:val="20"/>
          <w:color w:val="auto"/>
        </w:rPr>
      </w:pPr>
      <w:r>
        <w:rPr>
          <w:rFonts w:ascii="Arial" w:cs="Arial" w:eastAsia="Arial" w:hAnsi="Arial"/>
          <w:sz w:val="19"/>
          <w:szCs w:val="19"/>
          <w:b w:val="1"/>
          <w:bCs w:val="1"/>
          <w:u w:val="single" w:color="auto"/>
          <w:color w:val="071DFF"/>
          <w:highlight w:val="lightGray"/>
        </w:rPr>
        <w:t>Statement Date</w:t>
      </w:r>
      <w:r>
        <w:rPr>
          <w:rFonts w:ascii="Arial" w:cs="Arial" w:eastAsia="Arial" w:hAnsi="Arial"/>
          <w:sz w:val="19"/>
          <w:szCs w:val="19"/>
          <w:b w:val="1"/>
          <w:bCs w:val="1"/>
          <w:color w:val="071DFF"/>
          <w:highlight w:val="lightGray"/>
        </w:rPr>
        <w:t xml:space="preserve"> </w:t>
      </w:r>
      <w:r>
        <w:rPr>
          <w:rFonts w:ascii="Arial" w:cs="Arial" w:eastAsia="Arial" w:hAnsi="Arial"/>
          <w:sz w:val="19"/>
          <w:szCs w:val="19"/>
          <w:color w:val="000000"/>
        </w:rPr>
        <w:t>(“Subject Period”)</w:t>
      </w:r>
      <w:r>
        <w:rPr>
          <w:rFonts w:ascii="Arial" w:cs="Arial" w:eastAsia="Arial" w:hAnsi="Arial"/>
          <w:sz w:val="19"/>
          <w:szCs w:val="19"/>
          <w:b w:val="1"/>
          <w:bCs w:val="1"/>
          <w:color w:val="071DFF"/>
          <w:highlight w:val="lightGray"/>
        </w:rPr>
        <w:t xml:space="preserve"> </w:t>
      </w:r>
      <w:r>
        <w:rPr>
          <w:rFonts w:ascii="Arial" w:cs="Arial" w:eastAsia="Arial" w:hAnsi="Arial"/>
          <w:sz w:val="19"/>
          <w:szCs w:val="19"/>
          <w:i w:val="1"/>
          <w:iCs w:val="1"/>
          <w:color w:val="000000"/>
        </w:rPr>
        <w:t>divided</w:t>
      </w:r>
      <w:r>
        <w:rPr>
          <w:rFonts w:ascii="Arial" w:cs="Arial" w:eastAsia="Arial" w:hAnsi="Arial"/>
          <w:sz w:val="19"/>
          <w:szCs w:val="19"/>
          <w:b w:val="1"/>
          <w:bCs w:val="1"/>
          <w:color w:val="071DFF"/>
          <w:highlight w:val="lightGray"/>
        </w:rPr>
        <w:t xml:space="preserve"> </w:t>
      </w:r>
      <w:r>
        <w:rPr>
          <w:rFonts w:ascii="Arial" w:cs="Arial" w:eastAsia="Arial" w:hAnsi="Arial"/>
          <w:sz w:val="19"/>
          <w:szCs w:val="19"/>
          <w:color w:val="000000"/>
        </w:rPr>
        <w:t>by the Applicable Capitalization Rate for each such</w:t>
      </w:r>
    </w:p>
    <w:p>
      <w:pPr>
        <w:spacing w:after="0" w:line="6" w:lineRule="exact"/>
        <w:rPr>
          <w:sz w:val="20"/>
          <w:szCs w:val="20"/>
          <w:color w:val="auto"/>
        </w:rPr>
      </w:pPr>
    </w:p>
    <w:p>
      <w:pPr>
        <w:jc w:val="right"/>
        <w:ind w:right="1640"/>
        <w:spacing w:after="0"/>
        <w:tabs>
          <w:tab w:leader="none" w:pos="80" w:val="left"/>
        </w:tabs>
        <w:rPr>
          <w:sz w:val="20"/>
          <w:szCs w:val="20"/>
          <w:color w:val="auto"/>
        </w:rPr>
      </w:pPr>
      <w:r>
        <w:rPr>
          <w:rFonts w:ascii="Arial" w:cs="Arial" w:eastAsia="Arial" w:hAnsi="Arial"/>
          <w:sz w:val="20"/>
          <w:szCs w:val="20"/>
          <w:color w:val="auto"/>
        </w:rPr>
        <w:t xml:space="preserve">Portfolio Property (see Annex I attached hereto for calculation), </w:t>
      </w:r>
      <w:r>
        <w:rPr>
          <w:rFonts w:ascii="Arial" w:cs="Arial" w:eastAsia="Arial" w:hAnsi="Arial"/>
          <w:sz w:val="20"/>
          <w:szCs w:val="20"/>
          <w:i w:val="1"/>
          <w:iCs w:val="1"/>
          <w:color w:val="auto"/>
        </w:rPr>
        <w:t>multiplied</w:t>
      </w:r>
      <w:r>
        <w:rPr>
          <w:rFonts w:ascii="Arial" w:cs="Arial" w:eastAsia="Arial" w:hAnsi="Arial"/>
          <w:sz w:val="20"/>
          <w:szCs w:val="20"/>
          <w:color w:val="auto"/>
        </w:rPr>
        <w:t xml:space="preserve"> by (ii) 4:</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5984240</wp:posOffset>
            </wp:positionH>
            <wp:positionV relativeFrom="paragraph">
              <wp:posOffset>14605</wp:posOffset>
            </wp:positionV>
            <wp:extent cx="114236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9" w:lineRule="exact"/>
        <w:rPr>
          <w:sz w:val="20"/>
          <w:szCs w:val="20"/>
          <w:color w:val="auto"/>
        </w:rPr>
      </w:pPr>
    </w:p>
    <w:p>
      <w:pPr>
        <w:ind w:left="1581" w:hanging="570"/>
        <w:spacing w:after="0"/>
        <w:tabs>
          <w:tab w:leader="none" w:pos="1581" w:val="left"/>
        </w:tabs>
        <w:numPr>
          <w:ilvl w:val="0"/>
          <w:numId w:val="434"/>
        </w:numPr>
        <w:rPr>
          <w:rFonts w:ascii="Arial" w:cs="Arial" w:eastAsia="Arial" w:hAnsi="Arial"/>
          <w:sz w:val="18"/>
          <w:szCs w:val="18"/>
          <w:color w:val="auto"/>
        </w:rPr>
      </w:pPr>
      <w:r>
        <w:rPr>
          <w:rFonts w:ascii="Arial" w:cs="Arial" w:eastAsia="Arial" w:hAnsi="Arial"/>
          <w:sz w:val="18"/>
          <w:szCs w:val="18"/>
          <w:color w:val="auto"/>
        </w:rPr>
        <w:t>Aggregate acquisition cost paid by Consolidated Group for Newly-Acquired Portfolio Properties: $</w:t>
      </w:r>
    </w:p>
    <w:p>
      <w:pPr>
        <w:sectPr>
          <w:pgSz w:w="11900" w:h="16838" w:orient="portrait"/>
          <w:cols w:equalWidth="0" w:num="1">
            <w:col w:w="11181"/>
          </w:cols>
          <w:pgMar w:left="359" w:top="932" w:right="359" w:bottom="1440" w:gutter="0" w:footer="0" w:header="0"/>
        </w:sectPr>
      </w:pPr>
    </w:p>
    <w:p>
      <w:pPr>
        <w:spacing w:after="0" w:line="74" w:lineRule="exact"/>
        <w:rPr>
          <w:sz w:val="20"/>
          <w:szCs w:val="20"/>
          <w:color w:val="auto"/>
        </w:rPr>
      </w:pPr>
    </w:p>
    <w:p>
      <w:pPr>
        <w:ind w:left="1581" w:right="120" w:hanging="570"/>
        <w:spacing w:after="0" w:line="263" w:lineRule="auto"/>
        <w:tabs>
          <w:tab w:leader="none" w:pos="1581" w:val="left"/>
        </w:tabs>
        <w:numPr>
          <w:ilvl w:val="0"/>
          <w:numId w:val="435"/>
        </w:numPr>
        <w:rPr>
          <w:rFonts w:ascii="Arial" w:cs="Arial" w:eastAsia="Arial" w:hAnsi="Arial"/>
          <w:sz w:val="20"/>
          <w:szCs w:val="20"/>
          <w:color w:val="auto"/>
        </w:rPr>
      </w:pPr>
      <w:r>
        <w:rPr>
          <w:rFonts w:ascii="Arial" w:cs="Arial" w:eastAsia="Arial" w:hAnsi="Arial"/>
          <w:sz w:val="20"/>
          <w:szCs w:val="20"/>
          <w:color w:val="auto"/>
        </w:rPr>
        <w:t xml:space="preserve">Aggregate book value of all </w:t>
      </w:r>
      <w:r>
        <w:rPr>
          <w:rFonts w:ascii="Arial" w:cs="Arial" w:eastAsia="Arial" w:hAnsi="Arial"/>
          <w:sz w:val="20"/>
          <w:szCs w:val="20"/>
          <w:color w:val="FC0718"/>
          <w:strike w:val="1"/>
        </w:rPr>
        <w:t>Permitted</w:t>
      </w:r>
      <w:r>
        <w:rPr>
          <w:rFonts w:ascii="Arial" w:cs="Arial" w:eastAsia="Arial" w:hAnsi="Arial"/>
          <w:sz w:val="20"/>
          <w:szCs w:val="20"/>
          <w:b w:val="1"/>
          <w:bCs w:val="1"/>
          <w:u w:val="single" w:color="auto"/>
          <w:color w:val="071DFF"/>
          <w:highlight w:val="lightGray"/>
        </w:rPr>
        <w:t>Specified</w:t>
      </w:r>
      <w:r>
        <w:rPr>
          <w:rFonts w:ascii="Arial" w:cs="Arial" w:eastAsia="Arial" w:hAnsi="Arial"/>
          <w:sz w:val="20"/>
          <w:szCs w:val="20"/>
          <w:color w:val="auto"/>
        </w:rPr>
        <w:t xml:space="preserve"> Investments owned by Consolidated Group at Statement Date:</w:t>
      </w:r>
    </w:p>
    <w:p>
      <w:pPr>
        <w:spacing w:after="0" w:line="1" w:lineRule="exact"/>
        <w:rPr>
          <w:rFonts w:ascii="Arial" w:cs="Arial" w:eastAsia="Arial" w:hAnsi="Arial"/>
          <w:sz w:val="20"/>
          <w:szCs w:val="20"/>
          <w:color w:val="auto"/>
        </w:rPr>
      </w:pPr>
    </w:p>
    <w:p>
      <w:pPr>
        <w:ind w:left="1581" w:right="420" w:hanging="570"/>
        <w:spacing w:after="0" w:line="259" w:lineRule="auto"/>
        <w:tabs>
          <w:tab w:leader="none" w:pos="1581" w:val="left"/>
        </w:tabs>
        <w:numPr>
          <w:ilvl w:val="0"/>
          <w:numId w:val="435"/>
        </w:numPr>
        <w:rPr>
          <w:rFonts w:ascii="Arial" w:cs="Arial" w:eastAsia="Arial" w:hAnsi="Arial"/>
          <w:sz w:val="20"/>
          <w:szCs w:val="20"/>
          <w:color w:val="auto"/>
        </w:rPr>
      </w:pPr>
      <w:r>
        <w:rPr>
          <w:rFonts w:ascii="Arial" w:cs="Arial" w:eastAsia="Arial" w:hAnsi="Arial"/>
          <w:sz w:val="20"/>
          <w:szCs w:val="20"/>
          <w:color w:val="auto"/>
        </w:rPr>
        <w:t>Aggregate undepreciated book value of all Qualified Development Properties and all Non-Stabilized Portfolio Properties at Statement Date:</w:t>
      </w:r>
    </w:p>
    <w:p>
      <w:pPr>
        <w:spacing w:after="0" w:line="3" w:lineRule="exact"/>
        <w:rPr>
          <w:rFonts w:ascii="Arial" w:cs="Arial" w:eastAsia="Arial" w:hAnsi="Arial"/>
          <w:sz w:val="20"/>
          <w:szCs w:val="20"/>
          <w:color w:val="auto"/>
        </w:rPr>
      </w:pPr>
    </w:p>
    <w:p>
      <w:pPr>
        <w:ind w:left="1581" w:hanging="570"/>
        <w:spacing w:after="0"/>
        <w:tabs>
          <w:tab w:leader="none" w:pos="1581" w:val="left"/>
        </w:tabs>
        <w:numPr>
          <w:ilvl w:val="0"/>
          <w:numId w:val="435"/>
        </w:numPr>
        <w:rPr>
          <w:rFonts w:ascii="Arial" w:cs="Arial" w:eastAsia="Arial" w:hAnsi="Arial"/>
          <w:sz w:val="20"/>
          <w:szCs w:val="20"/>
          <w:color w:val="auto"/>
        </w:rPr>
      </w:pPr>
      <w:r>
        <w:rPr>
          <w:rFonts w:ascii="Arial" w:cs="Arial" w:eastAsia="Arial" w:hAnsi="Arial"/>
          <w:sz w:val="20"/>
          <w:szCs w:val="20"/>
          <w:color w:val="auto"/>
        </w:rPr>
        <w:t>Line II.B.1. + Line II.B.2. + Line II.B.3. + Line II.B.4:</w:t>
      </w:r>
    </w:p>
    <w:p>
      <w:pPr>
        <w:spacing w:after="0" w:line="57" w:lineRule="exact"/>
        <w:rPr>
          <w:rFonts w:ascii="Arial" w:cs="Arial" w:eastAsia="Arial" w:hAnsi="Arial"/>
          <w:sz w:val="20"/>
          <w:szCs w:val="20"/>
          <w:color w:val="auto"/>
        </w:rPr>
      </w:pPr>
    </w:p>
    <w:p>
      <w:pPr>
        <w:ind w:left="1581" w:hanging="570"/>
        <w:spacing w:after="0" w:line="242" w:lineRule="auto"/>
        <w:tabs>
          <w:tab w:leader="none" w:pos="1581" w:val="left"/>
        </w:tabs>
        <w:numPr>
          <w:ilvl w:val="0"/>
          <w:numId w:val="435"/>
        </w:numPr>
        <w:rPr>
          <w:rFonts w:ascii="Arial" w:cs="Arial" w:eastAsia="Arial" w:hAnsi="Arial"/>
          <w:sz w:val="20"/>
          <w:szCs w:val="20"/>
          <w:color w:val="auto"/>
        </w:rPr>
      </w:pPr>
      <w:r>
        <w:rPr>
          <w:rFonts w:ascii="Arial" w:cs="Arial" w:eastAsia="Arial" w:hAnsi="Arial"/>
          <w:sz w:val="20"/>
          <w:szCs w:val="20"/>
          <w:color w:val="auto"/>
        </w:rPr>
        <w:t>Consolidated Group Pro Rata Share of items referenced in Lines II.B.1. through II.B.4. (and the components thereof) to the extent relating to Portfolio Properties,</w:t>
      </w:r>
    </w:p>
    <w:p>
      <w:pPr>
        <w:spacing w:after="0" w:line="1" w:lineRule="exact"/>
        <w:rPr>
          <w:rFonts w:ascii="Arial" w:cs="Arial" w:eastAsia="Arial" w:hAnsi="Arial"/>
          <w:sz w:val="20"/>
          <w:szCs w:val="20"/>
          <w:color w:val="auto"/>
        </w:rPr>
      </w:pPr>
    </w:p>
    <w:p>
      <w:pPr>
        <w:ind w:left="1581" w:right="20"/>
        <w:spacing w:after="0" w:line="243" w:lineRule="auto"/>
        <w:rPr>
          <w:rFonts w:ascii="Arial" w:cs="Arial" w:eastAsia="Arial" w:hAnsi="Arial"/>
          <w:sz w:val="20"/>
          <w:szCs w:val="20"/>
          <w:color w:val="auto"/>
        </w:rPr>
      </w:pPr>
      <w:r>
        <w:rPr>
          <w:rFonts w:ascii="Arial" w:cs="Arial" w:eastAsia="Arial" w:hAnsi="Arial"/>
          <w:sz w:val="20"/>
          <w:szCs w:val="20"/>
          <w:color w:val="FC0718"/>
          <w:strike w:val="1"/>
        </w:rPr>
        <w:t>Permitted</w:t>
      </w:r>
      <w:r>
        <w:rPr>
          <w:rFonts w:ascii="Arial" w:cs="Arial" w:eastAsia="Arial" w:hAnsi="Arial"/>
          <w:sz w:val="20"/>
          <w:szCs w:val="20"/>
          <w:b w:val="1"/>
          <w:bCs w:val="1"/>
          <w:u w:val="single" w:color="auto"/>
          <w:color w:val="071DFF"/>
          <w:highlight w:val="lightGray"/>
        </w:rPr>
        <w:t>Specified</w:t>
      </w:r>
      <w:r>
        <w:rPr>
          <w:rFonts w:ascii="Arial" w:cs="Arial" w:eastAsia="Arial" w:hAnsi="Arial"/>
          <w:sz w:val="20"/>
          <w:szCs w:val="20"/>
          <w:color w:val="FC0718"/>
        </w:rPr>
        <w:t xml:space="preserve"> </w:t>
      </w:r>
      <w:r>
        <w:rPr>
          <w:rFonts w:ascii="Arial" w:cs="Arial" w:eastAsia="Arial" w:hAnsi="Arial"/>
          <w:sz w:val="20"/>
          <w:szCs w:val="20"/>
          <w:color w:val="000000"/>
        </w:rPr>
        <w:t>Investments, Qualified Development Properties or Non-Stabilized Portfolio</w:t>
      </w:r>
      <w:r>
        <w:rPr>
          <w:rFonts w:ascii="Arial" w:cs="Arial" w:eastAsia="Arial" w:hAnsi="Arial"/>
          <w:sz w:val="20"/>
          <w:szCs w:val="20"/>
          <w:color w:val="FC0718"/>
        </w:rPr>
        <w:t xml:space="preserve"> </w:t>
      </w:r>
      <w:r>
        <w:rPr>
          <w:rFonts w:ascii="Arial" w:cs="Arial" w:eastAsia="Arial" w:hAnsi="Arial"/>
          <w:sz w:val="20"/>
          <w:szCs w:val="20"/>
          <w:color w:val="000000"/>
        </w:rPr>
        <w:t>Properties, as applicable, owned by Unconsolidated Affiliates:</w:t>
      </w:r>
    </w:p>
    <w:p>
      <w:pPr>
        <w:spacing w:after="0" w:line="11" w:lineRule="exact"/>
        <w:rPr>
          <w:rFonts w:ascii="Arial" w:cs="Arial" w:eastAsia="Arial" w:hAnsi="Arial"/>
          <w:sz w:val="20"/>
          <w:szCs w:val="20"/>
          <w:color w:val="auto"/>
        </w:rPr>
      </w:pPr>
    </w:p>
    <w:p>
      <w:pPr>
        <w:ind w:left="1581" w:right="720" w:hanging="570"/>
        <w:spacing w:after="0" w:line="260" w:lineRule="auto"/>
        <w:tabs>
          <w:tab w:leader="none" w:pos="1581" w:val="left"/>
        </w:tabs>
        <w:numPr>
          <w:ilvl w:val="0"/>
          <w:numId w:val="435"/>
        </w:numPr>
        <w:rPr>
          <w:rFonts w:ascii="Arial" w:cs="Arial" w:eastAsia="Arial" w:hAnsi="Arial"/>
          <w:sz w:val="20"/>
          <w:szCs w:val="20"/>
          <w:b w:val="1"/>
          <w:bCs w:val="1"/>
          <w:u w:val="single" w:color="auto"/>
          <w:color w:val="071DFF"/>
          <w:highlight w:val="lightGray"/>
        </w:rPr>
      </w:pPr>
      <w:r>
        <w:rPr>
          <w:rFonts w:ascii="Arial" w:cs="Arial" w:eastAsia="Arial" w:hAnsi="Arial"/>
          <w:sz w:val="20"/>
          <w:szCs w:val="20"/>
          <w:b w:val="1"/>
          <w:bCs w:val="1"/>
          <w:u w:val="single" w:color="auto"/>
          <w:color w:val="071DFF"/>
          <w:highlight w:val="lightGray"/>
        </w:rPr>
        <w:t>Cash and Cash Equivalents owned by members of the Consolidated Group on the Statement Date:</w:t>
      </w:r>
    </w:p>
    <w:p>
      <w:pPr>
        <w:spacing w:after="0" w:line="1" w:lineRule="exact"/>
        <w:rPr>
          <w:rFonts w:ascii="Arial" w:cs="Arial" w:eastAsia="Arial" w:hAnsi="Arial"/>
          <w:sz w:val="20"/>
          <w:szCs w:val="20"/>
          <w:b w:val="1"/>
          <w:bCs w:val="1"/>
          <w:u w:val="single" w:color="auto"/>
          <w:color w:val="071DFF"/>
          <w:highlight w:val="lightGray"/>
        </w:rPr>
      </w:pPr>
    </w:p>
    <w:p>
      <w:pPr>
        <w:ind w:left="1581" w:hanging="570"/>
        <w:spacing w:after="0"/>
        <w:tabs>
          <w:tab w:leader="none" w:pos="1581" w:val="left"/>
        </w:tabs>
        <w:numPr>
          <w:ilvl w:val="0"/>
          <w:numId w:val="435"/>
        </w:numPr>
        <w:rPr>
          <w:rFonts w:ascii="Arial" w:cs="Arial" w:eastAsia="Arial" w:hAnsi="Arial"/>
          <w:sz w:val="20"/>
          <w:szCs w:val="20"/>
          <w:b w:val="1"/>
          <w:bCs w:val="1"/>
          <w:u w:val="single" w:color="auto"/>
          <w:color w:val="071DFF"/>
          <w:highlight w:val="lightGray"/>
        </w:rPr>
      </w:pPr>
      <w:r>
        <w:rPr>
          <w:rFonts w:ascii="Arial" w:cs="Arial" w:eastAsia="Arial" w:hAnsi="Arial"/>
          <w:sz w:val="20"/>
          <w:szCs w:val="20"/>
          <w:b w:val="1"/>
          <w:bCs w:val="1"/>
          <w:u w:val="single" w:color="auto"/>
          <w:color w:val="071DFF"/>
          <w:highlight w:val="lightGray"/>
        </w:rPr>
        <w:t>Line II.B.5. + Line II.B.6. + Line II.B.7.:</w:t>
      </w:r>
    </w:p>
    <w:p>
      <w:pPr>
        <w:spacing w:after="0" w:line="269" w:lineRule="exact"/>
        <w:rPr>
          <w:rFonts w:ascii="Arial" w:cs="Arial" w:eastAsia="Arial" w:hAnsi="Arial"/>
          <w:sz w:val="20"/>
          <w:szCs w:val="20"/>
          <w:b w:val="1"/>
          <w:bCs w:val="1"/>
          <w:u w:val="single" w:color="auto"/>
          <w:color w:val="071DFF"/>
          <w:highlight w:val="lightGray"/>
        </w:rPr>
      </w:pPr>
    </w:p>
    <w:p>
      <w:pPr>
        <w:ind w:left="1581" w:right="520" w:hanging="570"/>
        <w:spacing w:after="0" w:line="274" w:lineRule="auto"/>
        <w:tabs>
          <w:tab w:leader="none" w:pos="1581" w:val="left"/>
        </w:tabs>
        <w:numPr>
          <w:ilvl w:val="0"/>
          <w:numId w:val="435"/>
        </w:numPr>
        <w:rPr>
          <w:rFonts w:ascii="Arial" w:cs="Arial" w:eastAsia="Arial" w:hAnsi="Arial"/>
          <w:sz w:val="19"/>
          <w:szCs w:val="19"/>
          <w:b w:val="1"/>
          <w:bCs w:val="1"/>
          <w:u w:val="single" w:color="auto"/>
          <w:color w:val="071DFF"/>
          <w:highlight w:val="lightGray"/>
        </w:rPr>
      </w:pPr>
      <w:r>
        <w:rPr>
          <w:rFonts w:ascii="Arial" w:cs="Arial" w:eastAsia="Arial" w:hAnsi="Arial"/>
          <w:sz w:val="19"/>
          <w:szCs w:val="19"/>
          <w:b w:val="1"/>
          <w:bCs w:val="1"/>
          <w:u w:val="single" w:color="auto"/>
          <w:color w:val="071DFF"/>
          <w:highlight w:val="lightGray"/>
        </w:rPr>
        <w:t>Percentage of Line II.B.8. attributable to costs to construct Portfolio Properties (i.e., construction-in-progress) and real property assets under development:</w:t>
      </w:r>
    </w:p>
    <w:p>
      <w:pPr>
        <w:ind w:left="1581" w:right="300" w:hanging="570"/>
        <w:spacing w:after="0" w:line="247" w:lineRule="auto"/>
        <w:tabs>
          <w:tab w:leader="none" w:pos="1581" w:val="left"/>
        </w:tabs>
        <w:numPr>
          <w:ilvl w:val="0"/>
          <w:numId w:val="435"/>
        </w:numPr>
        <w:rPr>
          <w:rFonts w:ascii="Arial" w:cs="Arial" w:eastAsia="Arial" w:hAnsi="Arial"/>
          <w:sz w:val="19"/>
          <w:szCs w:val="19"/>
          <w:b w:val="1"/>
          <w:bCs w:val="1"/>
          <w:u w:val="single" w:color="auto"/>
          <w:color w:val="071DFF"/>
          <w:highlight w:val="lightGray"/>
        </w:rPr>
      </w:pPr>
      <w:r>
        <w:rPr>
          <w:rFonts w:ascii="Arial" w:cs="Arial" w:eastAsia="Arial" w:hAnsi="Arial"/>
          <w:sz w:val="19"/>
          <w:szCs w:val="19"/>
          <w:b w:val="1"/>
          <w:bCs w:val="1"/>
          <w:u w:val="single" w:color="auto"/>
          <w:color w:val="071DFF"/>
          <w:highlight w:val="lightGray"/>
        </w:rPr>
        <w:t>Percentage of Line II.B.8. attributable to unimproved land holdings (excluding, for the avoidance of doubt, Investments accounted for in Line II.B.9):</w:t>
      </w:r>
      <w:r>
        <w:rPr>
          <w:rFonts w:ascii="Arial" w:cs="Arial" w:eastAsia="Arial" w:hAnsi="Arial"/>
          <w:sz w:val="25"/>
          <w:szCs w:val="25"/>
          <w:b w:val="1"/>
          <w:bCs w:val="1"/>
          <w:u w:val="single" w:color="auto"/>
          <w:color w:val="071DFF"/>
          <w:vertAlign w:val="superscript"/>
        </w:rPr>
        <w:t>3</w:t>
      </w:r>
    </w:p>
    <w:p>
      <w:pPr>
        <w:ind w:left="1581" w:hanging="570"/>
        <w:spacing w:after="0" w:line="226" w:lineRule="auto"/>
        <w:tabs>
          <w:tab w:leader="none" w:pos="1581" w:val="left"/>
        </w:tabs>
        <w:numPr>
          <w:ilvl w:val="0"/>
          <w:numId w:val="435"/>
        </w:numPr>
        <w:rPr>
          <w:rFonts w:ascii="Arial" w:cs="Arial" w:eastAsia="Arial" w:hAnsi="Arial"/>
          <w:sz w:val="20"/>
          <w:szCs w:val="20"/>
          <w:b w:val="1"/>
          <w:bCs w:val="1"/>
          <w:u w:val="single" w:color="auto"/>
          <w:color w:val="071DFF"/>
          <w:highlight w:val="lightGray"/>
        </w:rPr>
      </w:pPr>
      <w:r>
        <w:rPr>
          <w:rFonts w:ascii="Arial" w:cs="Arial" w:eastAsia="Arial" w:hAnsi="Arial"/>
          <w:sz w:val="20"/>
          <w:szCs w:val="20"/>
          <w:b w:val="1"/>
          <w:bCs w:val="1"/>
          <w:u w:val="single" w:color="auto"/>
          <w:color w:val="071DFF"/>
          <w:highlight w:val="lightGray"/>
        </w:rPr>
        <w:t>Percentage of Line II.B.8. attributable to commercial mortgage loans and commercial real estate-related mezzanine loans:</w:t>
      </w:r>
      <w:r>
        <w:rPr>
          <w:rFonts w:ascii="Arial" w:cs="Arial" w:eastAsia="Arial" w:hAnsi="Arial"/>
          <w:sz w:val="26"/>
          <w:szCs w:val="26"/>
          <w:b w:val="1"/>
          <w:bCs w:val="1"/>
          <w:u w:val="single" w:color="auto"/>
          <w:color w:val="071DFF"/>
          <w:vertAlign w:val="superscript"/>
        </w:rPr>
        <w:t>4</w:t>
      </w:r>
    </w:p>
    <w:p>
      <w:pPr>
        <w:spacing w:after="0" w:line="1" w:lineRule="exact"/>
        <w:rPr>
          <w:rFonts w:ascii="Arial" w:cs="Arial" w:eastAsia="Arial" w:hAnsi="Arial"/>
          <w:sz w:val="20"/>
          <w:szCs w:val="20"/>
          <w:b w:val="1"/>
          <w:bCs w:val="1"/>
          <w:u w:val="single" w:color="auto"/>
          <w:color w:val="071DFF"/>
          <w:highlight w:val="lightGray"/>
        </w:rPr>
      </w:pPr>
    </w:p>
    <w:p>
      <w:pPr>
        <w:ind w:left="1581" w:hanging="570"/>
        <w:spacing w:after="0"/>
        <w:tabs>
          <w:tab w:leader="none" w:pos="1581" w:val="left"/>
        </w:tabs>
        <w:numPr>
          <w:ilvl w:val="0"/>
          <w:numId w:val="435"/>
        </w:numPr>
        <w:rPr>
          <w:rFonts w:ascii="Arial" w:cs="Arial" w:eastAsia="Arial" w:hAnsi="Arial"/>
          <w:sz w:val="19"/>
          <w:szCs w:val="19"/>
          <w:b w:val="1"/>
          <w:bCs w:val="1"/>
          <w:u w:val="single" w:color="auto"/>
          <w:color w:val="071DFF"/>
          <w:highlight w:val="lightGray"/>
        </w:rPr>
      </w:pPr>
      <w:r>
        <w:rPr>
          <w:rFonts w:ascii="Arial" w:cs="Arial" w:eastAsia="Arial" w:hAnsi="Arial"/>
          <w:sz w:val="19"/>
          <w:szCs w:val="19"/>
          <w:b w:val="1"/>
          <w:bCs w:val="1"/>
          <w:u w:val="single" w:color="auto"/>
          <w:color w:val="071DFF"/>
          <w:highlight w:val="lightGray"/>
        </w:rPr>
        <w:t xml:space="preserve">Percentage of Line II.B.8. attributable to Investments in Unconsolidated Affiliates: </w:t>
      </w:r>
      <w:r>
        <w:rPr>
          <w:rFonts w:ascii="Arial" w:cs="Arial" w:eastAsia="Arial" w:hAnsi="Arial"/>
          <w:sz w:val="22"/>
          <w:szCs w:val="22"/>
          <w:b w:val="1"/>
          <w:bCs w:val="1"/>
          <w:u w:val="single" w:color="auto"/>
          <w:color w:val="071DFF"/>
          <w:vertAlign w:val="superscript"/>
        </w:rPr>
        <w:t>5</w:t>
      </w:r>
    </w:p>
    <w:p>
      <w:pPr>
        <w:spacing w:after="0" w:line="34" w:lineRule="exact"/>
        <w:rPr>
          <w:rFonts w:ascii="Arial" w:cs="Arial" w:eastAsia="Arial" w:hAnsi="Arial"/>
          <w:sz w:val="19"/>
          <w:szCs w:val="19"/>
          <w:b w:val="1"/>
          <w:bCs w:val="1"/>
          <w:u w:val="single" w:color="auto"/>
          <w:color w:val="071DFF"/>
          <w:highlight w:val="lightGray"/>
        </w:rPr>
      </w:pPr>
    </w:p>
    <w:p>
      <w:pPr>
        <w:ind w:left="1581" w:hanging="570"/>
        <w:spacing w:after="0"/>
        <w:tabs>
          <w:tab w:leader="none" w:pos="1581" w:val="left"/>
        </w:tabs>
        <w:numPr>
          <w:ilvl w:val="0"/>
          <w:numId w:val="435"/>
        </w:numPr>
        <w:rPr>
          <w:rFonts w:ascii="Arial" w:cs="Arial" w:eastAsia="Arial" w:hAnsi="Arial"/>
          <w:sz w:val="20"/>
          <w:szCs w:val="20"/>
          <w:b w:val="1"/>
          <w:bCs w:val="1"/>
          <w:u w:val="single" w:color="auto"/>
          <w:color w:val="071DFF"/>
          <w:highlight w:val="lightGray"/>
        </w:rPr>
      </w:pPr>
      <w:r>
        <w:rPr>
          <w:rFonts w:ascii="Arial" w:cs="Arial" w:eastAsia="Arial" w:hAnsi="Arial"/>
          <w:sz w:val="20"/>
          <w:szCs w:val="20"/>
          <w:b w:val="1"/>
          <w:bCs w:val="1"/>
          <w:u w:val="single" w:color="auto"/>
          <w:color w:val="071DFF"/>
          <w:highlight w:val="lightGray"/>
        </w:rPr>
        <w:t>Percentage of Line II.B.8. attributable to Specified Investments:</w:t>
      </w:r>
      <w:r>
        <w:rPr>
          <w:rFonts w:ascii="Arial" w:cs="Arial" w:eastAsia="Arial" w:hAnsi="Arial"/>
          <w:sz w:val="23"/>
          <w:szCs w:val="23"/>
          <w:b w:val="1"/>
          <w:bCs w:val="1"/>
          <w:u w:val="single" w:color="auto"/>
          <w:color w:val="071DFF"/>
          <w:vertAlign w:val="superscript"/>
        </w:rPr>
        <w:t>6</w:t>
      </w:r>
    </w:p>
    <w:p>
      <w:pPr>
        <w:spacing w:after="0" w:line="22" w:lineRule="exact"/>
        <w:rPr>
          <w:rFonts w:ascii="Arial" w:cs="Arial" w:eastAsia="Arial" w:hAnsi="Arial"/>
          <w:sz w:val="20"/>
          <w:szCs w:val="20"/>
          <w:b w:val="1"/>
          <w:bCs w:val="1"/>
          <w:u w:val="single" w:color="auto"/>
          <w:color w:val="071DFF"/>
          <w:highlight w:val="lightGray"/>
        </w:rPr>
      </w:pPr>
    </w:p>
    <w:p>
      <w:pPr>
        <w:ind w:left="1581" w:hanging="570"/>
        <w:spacing w:after="0"/>
        <w:tabs>
          <w:tab w:leader="none" w:pos="1581" w:val="left"/>
        </w:tabs>
        <w:numPr>
          <w:ilvl w:val="0"/>
          <w:numId w:val="435"/>
        </w:numPr>
        <w:rPr>
          <w:rFonts w:ascii="Arial" w:cs="Arial" w:eastAsia="Arial" w:hAnsi="Arial"/>
          <w:sz w:val="18"/>
          <w:szCs w:val="18"/>
          <w:b w:val="1"/>
          <w:bCs w:val="1"/>
          <w:u w:val="single" w:color="auto"/>
          <w:color w:val="071DFF"/>
        </w:rPr>
      </w:pPr>
      <w:r>
        <w:rPr>
          <w:rFonts w:ascii="Arial" w:cs="Arial" w:eastAsia="Arial" w:hAnsi="Arial"/>
          <w:sz w:val="18"/>
          <w:szCs w:val="18"/>
          <w:b w:val="1"/>
          <w:bCs w:val="1"/>
          <w:u w:val="single" w:color="auto"/>
          <w:color w:val="071DFF"/>
          <w:highlight w:val="lightGray"/>
        </w:rPr>
        <w:t>Adjustment (if any) to reflect limitations referenced in Line II.B.9. through Line II.B.13.:</w:t>
      </w:r>
    </w:p>
    <w:p>
      <w:pPr>
        <w:spacing w:after="0" w:line="58" w:lineRule="exact"/>
        <w:rPr>
          <w:rFonts w:ascii="Arial" w:cs="Arial" w:eastAsia="Arial" w:hAnsi="Arial"/>
          <w:sz w:val="18"/>
          <w:szCs w:val="18"/>
          <w:b w:val="1"/>
          <w:bCs w:val="1"/>
          <w:u w:val="single" w:color="auto"/>
          <w:color w:val="071DFF"/>
        </w:rPr>
      </w:pPr>
    </w:p>
    <w:p>
      <w:pPr>
        <w:ind w:left="1581" w:hanging="570"/>
        <w:spacing w:after="0"/>
        <w:tabs>
          <w:tab w:leader="none" w:pos="1581" w:val="left"/>
        </w:tabs>
        <w:numPr>
          <w:ilvl w:val="0"/>
          <w:numId w:val="436"/>
        </w:numPr>
        <w:rPr>
          <w:rFonts w:ascii="Arial" w:cs="Arial" w:eastAsia="Arial" w:hAnsi="Arial"/>
          <w:sz w:val="20"/>
          <w:szCs w:val="20"/>
          <w:color w:val="FC0718"/>
          <w:strike w:val="1"/>
        </w:rPr>
      </w:pPr>
      <w:r>
        <w:rPr>
          <w:rFonts w:ascii="Arial" w:cs="Arial" w:eastAsia="Arial" w:hAnsi="Arial"/>
          <w:sz w:val="20"/>
          <w:szCs w:val="20"/>
          <w:u w:val="single" w:color="auto"/>
          <w:color w:val="auto"/>
        </w:rPr>
        <w:t>Total Asset Value</w:t>
      </w:r>
      <w:r>
        <w:rPr>
          <w:rFonts w:ascii="Arial" w:cs="Arial" w:eastAsia="Arial" w:hAnsi="Arial"/>
          <w:sz w:val="20"/>
          <w:szCs w:val="20"/>
          <w:u w:val="single" w:color="auto"/>
          <w:color w:val="FC0718"/>
          <w:strike w:val="1"/>
        </w:rPr>
        <w:t>:</w:t>
      </w:r>
      <w:r>
        <w:rPr>
          <w:rFonts w:ascii="Arial" w:cs="Arial" w:eastAsia="Arial" w:hAnsi="Arial"/>
          <w:sz w:val="20"/>
          <w:szCs w:val="20"/>
          <w:color w:val="auto"/>
        </w:rPr>
        <w:t xml:space="preserve"> </w:t>
      </w:r>
      <w:r>
        <w:rPr>
          <w:rFonts w:ascii="Arial" w:cs="Arial" w:eastAsia="Arial" w:hAnsi="Arial"/>
          <w:sz w:val="20"/>
          <w:szCs w:val="20"/>
          <w:b w:val="1"/>
          <w:bCs w:val="1"/>
          <w:color w:val="071DFF"/>
        </w:rPr>
        <w:t>(</w:t>
      </w:r>
      <w:r>
        <w:rPr>
          <w:rFonts w:ascii="Arial" w:cs="Arial" w:eastAsia="Arial" w:hAnsi="Arial"/>
          <w:sz w:val="20"/>
          <w:szCs w:val="20"/>
          <w:color w:val="auto"/>
        </w:rPr>
        <w:t>Line II.B.</w:t>
      </w:r>
      <w:r>
        <w:rPr>
          <w:rFonts w:ascii="Arial" w:cs="Arial" w:eastAsia="Arial" w:hAnsi="Arial"/>
          <w:sz w:val="20"/>
          <w:szCs w:val="20"/>
          <w:color w:val="FC0718"/>
          <w:strike w:val="1"/>
        </w:rPr>
        <w:t>5</w:t>
      </w:r>
      <w:r>
        <w:rPr>
          <w:rFonts w:ascii="Arial" w:cs="Arial" w:eastAsia="Arial" w:hAnsi="Arial"/>
          <w:sz w:val="20"/>
          <w:szCs w:val="20"/>
          <w:b w:val="1"/>
          <w:bCs w:val="1"/>
          <w:u w:val="single" w:color="auto"/>
          <w:color w:val="071DFF"/>
          <w:highlight w:val="lightGray"/>
        </w:rPr>
        <w:t>8</w:t>
      </w:r>
      <w:r>
        <w:rPr>
          <w:rFonts w:ascii="Arial" w:cs="Arial" w:eastAsia="Arial" w:hAnsi="Arial"/>
          <w:sz w:val="20"/>
          <w:szCs w:val="20"/>
          <w:color w:val="auto"/>
        </w:rPr>
        <w:t xml:space="preserve">. </w:t>
      </w:r>
      <w:r>
        <w:rPr>
          <w:rFonts w:ascii="Arial" w:cs="Arial" w:eastAsia="Arial" w:hAnsi="Arial"/>
          <w:sz w:val="20"/>
          <w:szCs w:val="20"/>
          <w:color w:val="FC0718"/>
          <w:strike w:val="1"/>
        </w:rPr>
        <w:t>+</w:t>
      </w:r>
      <w:r>
        <w:rPr>
          <w:rFonts w:ascii="Arial" w:cs="Arial" w:eastAsia="Arial" w:hAnsi="Arial"/>
          <w:sz w:val="20"/>
          <w:szCs w:val="20"/>
          <w:b w:val="1"/>
          <w:bCs w:val="1"/>
          <w:u w:val="single" w:color="auto"/>
          <w:color w:val="071DFF"/>
          <w:highlight w:val="lightGray"/>
        </w:rPr>
        <w:t>-</w:t>
      </w:r>
      <w:r>
        <w:rPr>
          <w:rFonts w:ascii="Arial" w:cs="Arial" w:eastAsia="Arial" w:hAnsi="Arial"/>
          <w:sz w:val="20"/>
          <w:szCs w:val="20"/>
          <w:color w:val="auto"/>
        </w:rPr>
        <w:t xml:space="preserve"> Line II.B.</w:t>
      </w:r>
      <w:r>
        <w:rPr>
          <w:rFonts w:ascii="Arial" w:cs="Arial" w:eastAsia="Arial" w:hAnsi="Arial"/>
          <w:sz w:val="20"/>
          <w:szCs w:val="20"/>
          <w:color w:val="FC0718"/>
          <w:strike w:val="1"/>
        </w:rPr>
        <w:t>6</w:t>
      </w:r>
      <w:r>
        <w:rPr>
          <w:rFonts w:ascii="Arial" w:cs="Arial" w:eastAsia="Arial" w:hAnsi="Arial"/>
          <w:sz w:val="20"/>
          <w:szCs w:val="20"/>
          <w:b w:val="1"/>
          <w:bCs w:val="1"/>
          <w:u w:val="single" w:color="auto"/>
          <w:color w:val="071DFF"/>
          <w:highlight w:val="lightGray"/>
        </w:rPr>
        <w:t>14</w:t>
      </w:r>
      <w:r>
        <w:rPr>
          <w:rFonts w:ascii="Arial" w:cs="Arial" w:eastAsia="Arial" w:hAnsi="Arial"/>
          <w:sz w:val="20"/>
          <w:szCs w:val="20"/>
          <w:b w:val="1"/>
          <w:bCs w:val="1"/>
          <w:color w:val="071DFF"/>
        </w:rPr>
        <w:t>.)</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4366260</wp:posOffset>
            </wp:positionH>
            <wp:positionV relativeFrom="paragraph">
              <wp:posOffset>-1168400</wp:posOffset>
            </wp:positionV>
            <wp:extent cx="39370" cy="134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9370" cy="134620"/>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-850900</wp:posOffset>
            </wp:positionV>
            <wp:extent cx="47625" cy="134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7625" cy="134620"/>
                    </a:xfrm>
                    <a:prstGeom prst="rect">
                      <a:avLst/>
                    </a:prstGeom>
                    <a:noFill/>
                  </pic:spPr>
                </pic:pic>
              </a:graphicData>
            </a:graphic>
          </wp:anchor>
        </w:drawing>
        <w:drawing>
          <wp:anchor simplePos="0" relativeHeight="251657728" behindDoc="1" locked="0" layoutInCell="0" allowOverlap="1">
            <wp:simplePos x="0" y="0"/>
            <wp:positionH relativeFrom="column">
              <wp:posOffset>5468620</wp:posOffset>
            </wp:positionH>
            <wp:positionV relativeFrom="paragraph">
              <wp:posOffset>-676910</wp:posOffset>
            </wp:positionV>
            <wp:extent cx="63500" cy="134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-494030</wp:posOffset>
            </wp:positionV>
            <wp:extent cx="31750" cy="134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1750" cy="134620"/>
                    </a:xfrm>
                    <a:prstGeom prst="rect">
                      <a:avLst/>
                    </a:prstGeom>
                    <a:noFill/>
                  </pic:spPr>
                </pic:pic>
              </a:graphicData>
            </a:graphic>
          </wp:anchor>
        </w:drawing>
      </w:r>
    </w:p>
    <w:p>
      <w:pPr>
        <w:spacing w:after="0" w:line="56" w:lineRule="exact"/>
        <w:rPr>
          <w:sz w:val="20"/>
          <w:szCs w:val="20"/>
          <w:color w:val="auto"/>
        </w:rPr>
      </w:pPr>
    </w:p>
    <w:p>
      <w:pPr>
        <w:ind w:left="1581" w:hanging="570"/>
        <w:spacing w:after="0"/>
        <w:tabs>
          <w:tab w:leader="none" w:pos="1581" w:val="left"/>
        </w:tabs>
        <w:numPr>
          <w:ilvl w:val="0"/>
          <w:numId w:val="437"/>
        </w:numPr>
        <w:rPr>
          <w:rFonts w:ascii="Arial" w:cs="Arial" w:eastAsia="Arial" w:hAnsi="Arial"/>
          <w:sz w:val="20"/>
          <w:szCs w:val="20"/>
          <w:color w:val="FC0718"/>
          <w:strike w:val="1"/>
        </w:rPr>
      </w:pPr>
      <w:r>
        <w:rPr>
          <w:rFonts w:ascii="Arial" w:cs="Arial" w:eastAsia="Arial" w:hAnsi="Arial"/>
          <w:sz w:val="20"/>
          <w:szCs w:val="20"/>
          <w:color w:val="FC0718"/>
          <w:strike w:val="1"/>
        </w:rPr>
        <w:t>Cash and Cash Equivalents owned by the Consolidated Group on the Statement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421640</wp:posOffset>
            </wp:positionV>
            <wp:extent cx="713803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80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4236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42365" cy="762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-292100</wp:posOffset>
            </wp:positionV>
            <wp:extent cx="114236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4236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4236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4236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71DFF"/>
          <w:highlight w:val="lightGray"/>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1142365"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71DFF"/>
          <w:highlight w:val="lightGray"/>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1142365"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50"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071DFF"/>
          <w:highlight w:val="lightGray"/>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114236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50"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071DFF"/>
          <w:highlight w:val="lightGray"/>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114236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50"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071DFF"/>
          <w:highlight w:val="lightGray"/>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114236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37"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071DFF"/>
          <w:highlight w:val="lightGray"/>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114236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37"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071DFF"/>
          <w:highlight w:val="lightGray"/>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114236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37" w:lineRule="exact"/>
        <w:rPr>
          <w:sz w:val="20"/>
          <w:szCs w:val="20"/>
          <w:color w:val="auto"/>
        </w:rPr>
      </w:pPr>
    </w:p>
    <w:p>
      <w:pPr>
        <w:ind w:left="160" w:hanging="159"/>
        <w:spacing w:after="0"/>
        <w:tabs>
          <w:tab w:leader="none" w:pos="160" w:val="left"/>
        </w:tabs>
        <w:numPr>
          <w:ilvl w:val="0"/>
          <w:numId w:val="438"/>
        </w:numPr>
        <w:rPr>
          <w:rFonts w:ascii="Arial" w:cs="Arial" w:eastAsia="Arial" w:hAnsi="Arial"/>
          <w:sz w:val="20"/>
          <w:szCs w:val="20"/>
          <w:b w:val="1"/>
          <w:bCs w:val="1"/>
          <w:u w:val="single" w:color="auto"/>
          <w:color w:val="071DFF"/>
          <w:highlight w:val="lightGray"/>
        </w:rPr>
      </w:pPr>
      <w:r>
        <w:rPr>
          <w:rFonts w:ascii="Arial" w:cs="Arial" w:eastAsia="Arial" w:hAnsi="Arial"/>
          <w:sz w:val="20"/>
          <w:szCs w:val="20"/>
          <w:b w:val="1"/>
          <w:bCs w:val="1"/>
          <w:u w:val="single" w:color="auto"/>
          <w:color w:val="071DFF"/>
          <w:highlight w:val="lightGray"/>
        </w:rPr>
        <w:t>( )</w:t>
      </w:r>
    </w:p>
    <w:p>
      <w:pPr>
        <w:spacing w:after="0" w:line="63" w:lineRule="exact"/>
        <w:rPr>
          <w:rFonts w:ascii="Arial" w:cs="Arial" w:eastAsia="Arial" w:hAnsi="Arial"/>
          <w:sz w:val="20"/>
          <w:szCs w:val="20"/>
          <w:b w:val="1"/>
          <w:bCs w:val="1"/>
          <w:u w:val="single" w:color="auto"/>
          <w:color w:val="071DFF"/>
          <w:highlight w:val="lightGray"/>
        </w:rPr>
      </w:pPr>
    </w:p>
    <w:p>
      <w:pPr>
        <w:spacing w:after="0"/>
        <w:tabs>
          <w:tab w:leader="none" w:pos="0" w:val="left"/>
        </w:tabs>
        <w:numPr>
          <w:ilvl w:val="0"/>
          <w:numId w:val="438"/>
        </w:numPr>
        <w:rPr>
          <w:rFonts w:ascii="Arial" w:cs="Arial" w:eastAsia="Arial" w:hAnsi="Arial"/>
          <w:sz w:val="20"/>
          <w:szCs w:val="20"/>
          <w:color w:val="auto"/>
        </w:rPr>
      </w:pPr>
    </w:p>
    <w:p>
      <w:pPr>
        <w:spacing w:after="0" w:line="57" w:lineRule="exact"/>
        <w:rPr>
          <w:rFonts w:ascii="Arial" w:cs="Arial" w:eastAsia="Arial" w:hAnsi="Arial"/>
          <w:sz w:val="20"/>
          <w:szCs w:val="20"/>
          <w:color w:val="auto"/>
        </w:rPr>
      </w:pPr>
    </w:p>
    <w:p>
      <w:pPr>
        <w:spacing w:after="0"/>
        <w:tabs>
          <w:tab w:leader="none" w:pos="0" w:val="left"/>
        </w:tabs>
        <w:numPr>
          <w:ilvl w:val="0"/>
          <w:numId w:val="438"/>
        </w:numPr>
        <w:rPr>
          <w:rFonts w:ascii="Arial" w:cs="Arial" w:eastAsia="Arial" w:hAnsi="Arial"/>
          <w:sz w:val="20"/>
          <w:szCs w:val="20"/>
          <w:color w:val="FC0718"/>
          <w:strike w:val="1"/>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222885</wp:posOffset>
            </wp:positionV>
            <wp:extent cx="114236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42365" cy="762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24765</wp:posOffset>
            </wp:positionV>
            <wp:extent cx="114236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42365" cy="762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-156845</wp:posOffset>
            </wp:positionV>
            <wp:extent cx="114236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42365" cy="762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-339725</wp:posOffset>
            </wp:positionV>
            <wp:extent cx="114236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41" w:space="200"/>
            <w:col w:w="1740"/>
          </w:cols>
          <w:pgMar w:left="359" w:top="932" w:right="359"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441" w:hanging="441"/>
        <w:spacing w:after="0"/>
        <w:tabs>
          <w:tab w:leader="none" w:pos="441" w:val="left"/>
        </w:tabs>
        <w:numPr>
          <w:ilvl w:val="0"/>
          <w:numId w:val="439"/>
        </w:numPr>
        <w:rPr>
          <w:rFonts w:ascii="Arial" w:cs="Arial" w:eastAsia="Arial" w:hAnsi="Arial"/>
          <w:sz w:val="11"/>
          <w:szCs w:val="11"/>
          <w:b w:val="1"/>
          <w:bCs w:val="1"/>
          <w:u w:val="single" w:color="auto"/>
          <w:color w:val="071DFF"/>
          <w:highlight w:val="lightGray"/>
        </w:rPr>
      </w:pPr>
      <w:r>
        <w:rPr>
          <w:rFonts w:ascii="Arial" w:cs="Arial" w:eastAsia="Arial" w:hAnsi="Arial"/>
          <w:sz w:val="11"/>
          <w:szCs w:val="11"/>
          <w:b w:val="1"/>
          <w:bCs w:val="1"/>
          <w:u w:val="single" w:color="auto"/>
          <w:color w:val="071DFF"/>
          <w:highlight w:val="lightGray"/>
        </w:rPr>
        <w:t>Not more than 25% of the TAV may be attributable to costs to construct Portfolio Properties (i.e., construction-in-progress) and real property assets under development</w:t>
      </w:r>
    </w:p>
    <w:p>
      <w:pPr>
        <w:spacing w:after="0" w:line="60" w:lineRule="exact"/>
        <w:rPr>
          <w:rFonts w:ascii="Arial" w:cs="Arial" w:eastAsia="Arial" w:hAnsi="Arial"/>
          <w:sz w:val="11"/>
          <w:szCs w:val="11"/>
          <w:b w:val="1"/>
          <w:bCs w:val="1"/>
          <w:u w:val="single" w:color="auto"/>
          <w:color w:val="071DFF"/>
          <w:highlight w:val="lightGray"/>
        </w:rPr>
      </w:pPr>
    </w:p>
    <w:p>
      <w:pPr>
        <w:ind w:left="1"/>
        <w:spacing w:after="0"/>
        <w:rPr>
          <w:rFonts w:ascii="Arial" w:cs="Arial" w:eastAsia="Arial" w:hAnsi="Arial"/>
          <w:sz w:val="11"/>
          <w:szCs w:val="11"/>
          <w:b w:val="1"/>
          <w:bCs w:val="1"/>
          <w:u w:val="single" w:color="auto"/>
          <w:color w:val="071DFF"/>
          <w:highlight w:val="lightGray"/>
        </w:rPr>
      </w:pPr>
      <w:r>
        <w:rPr>
          <w:rFonts w:ascii="Arial" w:cs="Arial" w:eastAsia="Arial" w:hAnsi="Arial"/>
          <w:sz w:val="13"/>
          <w:szCs w:val="13"/>
          <w:b w:val="1"/>
          <w:bCs w:val="1"/>
          <w:u w:val="single" w:color="auto"/>
          <w:color w:val="071DFF"/>
          <w:highlight w:val="lightGray"/>
        </w:rPr>
        <w:t>3</w:t>
      </w:r>
      <w:r>
        <w:rPr>
          <w:rFonts w:ascii="Arial" w:cs="Arial" w:eastAsia="Arial" w:hAnsi="Arial"/>
          <w:sz w:val="12"/>
          <w:szCs w:val="12"/>
          <w:b w:val="1"/>
          <w:bCs w:val="1"/>
          <w:u w:val="single" w:color="auto"/>
          <w:color w:val="071DFF"/>
          <w:highlight w:val="lightGray"/>
        </w:rPr>
        <w:t>Not more than 5% of the TAV may be may be attributable to unimproved land holdings</w:t>
      </w:r>
    </w:p>
    <w:p>
      <w:pPr>
        <w:spacing w:after="0" w:line="37" w:lineRule="exact"/>
        <w:rPr>
          <w:rFonts w:ascii="Arial" w:cs="Arial" w:eastAsia="Arial" w:hAnsi="Arial"/>
          <w:sz w:val="11"/>
          <w:szCs w:val="11"/>
          <w:b w:val="1"/>
          <w:bCs w:val="1"/>
          <w:u w:val="single" w:color="auto"/>
          <w:color w:val="071DFF"/>
          <w:highlight w:val="lightGray"/>
        </w:rPr>
      </w:pPr>
    </w:p>
    <w:p>
      <w:pPr>
        <w:ind w:left="1"/>
        <w:spacing w:after="0"/>
        <w:rPr>
          <w:rFonts w:ascii="Arial" w:cs="Arial" w:eastAsia="Arial" w:hAnsi="Arial"/>
          <w:sz w:val="11"/>
          <w:szCs w:val="11"/>
          <w:b w:val="1"/>
          <w:bCs w:val="1"/>
          <w:u w:val="single" w:color="auto"/>
          <w:color w:val="071DFF"/>
          <w:highlight w:val="lightGray"/>
        </w:rPr>
      </w:pPr>
      <w:r>
        <w:rPr>
          <w:rFonts w:ascii="Arial" w:cs="Arial" w:eastAsia="Arial" w:hAnsi="Arial"/>
          <w:sz w:val="13"/>
          <w:szCs w:val="13"/>
          <w:b w:val="1"/>
          <w:bCs w:val="1"/>
          <w:u w:val="single" w:color="auto"/>
          <w:color w:val="071DFF"/>
          <w:highlight w:val="lightGray"/>
        </w:rPr>
        <w:t>4</w:t>
      </w:r>
      <w:r>
        <w:rPr>
          <w:rFonts w:ascii="Arial" w:cs="Arial" w:eastAsia="Arial" w:hAnsi="Arial"/>
          <w:sz w:val="12"/>
          <w:szCs w:val="12"/>
          <w:b w:val="1"/>
          <w:bCs w:val="1"/>
          <w:u w:val="single" w:color="auto"/>
          <w:color w:val="071DFF"/>
          <w:highlight w:val="lightGray"/>
        </w:rPr>
        <w:t>Not more than 10% of the TAV may be attributable to commercial mortgage loans and commercial real estate-related mezzanine loans</w:t>
      </w:r>
    </w:p>
    <w:p>
      <w:pPr>
        <w:spacing w:after="0" w:line="37" w:lineRule="exact"/>
        <w:rPr>
          <w:rFonts w:ascii="Arial" w:cs="Arial" w:eastAsia="Arial" w:hAnsi="Arial"/>
          <w:sz w:val="11"/>
          <w:szCs w:val="11"/>
          <w:b w:val="1"/>
          <w:bCs w:val="1"/>
          <w:u w:val="single" w:color="auto"/>
          <w:color w:val="071DFF"/>
          <w:highlight w:val="lightGray"/>
        </w:rPr>
      </w:pPr>
    </w:p>
    <w:p>
      <w:pPr>
        <w:ind w:left="1"/>
        <w:spacing w:after="0"/>
        <w:rPr>
          <w:rFonts w:ascii="Arial" w:cs="Arial" w:eastAsia="Arial" w:hAnsi="Arial"/>
          <w:sz w:val="11"/>
          <w:szCs w:val="11"/>
          <w:b w:val="1"/>
          <w:bCs w:val="1"/>
          <w:u w:val="single" w:color="auto"/>
          <w:color w:val="071DFF"/>
          <w:highlight w:val="lightGray"/>
        </w:rPr>
      </w:pPr>
      <w:r>
        <w:rPr>
          <w:rFonts w:ascii="Arial" w:cs="Arial" w:eastAsia="Arial" w:hAnsi="Arial"/>
          <w:sz w:val="13"/>
          <w:szCs w:val="13"/>
          <w:b w:val="1"/>
          <w:bCs w:val="1"/>
          <w:u w:val="single" w:color="auto"/>
          <w:color w:val="071DFF"/>
          <w:highlight w:val="lightGray"/>
        </w:rPr>
        <w:t>5</w:t>
      </w:r>
      <w:r>
        <w:rPr>
          <w:rFonts w:ascii="Arial" w:cs="Arial" w:eastAsia="Arial" w:hAnsi="Arial"/>
          <w:sz w:val="12"/>
          <w:szCs w:val="12"/>
          <w:b w:val="1"/>
          <w:bCs w:val="1"/>
          <w:u w:val="single" w:color="auto"/>
          <w:color w:val="071DFF"/>
          <w:highlight w:val="lightGray"/>
        </w:rPr>
        <w:t>Not more than 20% of the TAV may be attributable to Investments in Unconsolidated Affiliates</w:t>
      </w:r>
    </w:p>
    <w:p>
      <w:pPr>
        <w:spacing w:after="0" w:line="37" w:lineRule="exact"/>
        <w:rPr>
          <w:rFonts w:ascii="Arial" w:cs="Arial" w:eastAsia="Arial" w:hAnsi="Arial"/>
          <w:sz w:val="11"/>
          <w:szCs w:val="11"/>
          <w:b w:val="1"/>
          <w:bCs w:val="1"/>
          <w:u w:val="single" w:color="auto"/>
          <w:color w:val="071DFF"/>
          <w:highlight w:val="lightGray"/>
        </w:rPr>
      </w:pPr>
    </w:p>
    <w:p>
      <w:pPr>
        <w:ind w:left="1"/>
        <w:spacing w:after="0"/>
        <w:rPr>
          <w:rFonts w:ascii="Arial" w:cs="Arial" w:eastAsia="Arial" w:hAnsi="Arial"/>
          <w:sz w:val="11"/>
          <w:szCs w:val="11"/>
          <w:b w:val="1"/>
          <w:bCs w:val="1"/>
          <w:u w:val="single" w:color="auto"/>
          <w:color w:val="071DFF"/>
          <w:highlight w:val="lightGray"/>
        </w:rPr>
      </w:pPr>
      <w:r>
        <w:rPr>
          <w:rFonts w:ascii="Arial" w:cs="Arial" w:eastAsia="Arial" w:hAnsi="Arial"/>
          <w:sz w:val="13"/>
          <w:szCs w:val="13"/>
          <w:b w:val="1"/>
          <w:bCs w:val="1"/>
          <w:u w:val="single" w:color="auto"/>
          <w:color w:val="071DFF"/>
          <w:highlight w:val="lightGray"/>
        </w:rPr>
        <w:t>6</w:t>
      </w:r>
      <w:r>
        <w:rPr>
          <w:rFonts w:ascii="Arial" w:cs="Arial" w:eastAsia="Arial" w:hAnsi="Arial"/>
          <w:sz w:val="12"/>
          <w:szCs w:val="12"/>
          <w:b w:val="1"/>
          <w:bCs w:val="1"/>
          <w:u w:val="single" w:color="auto"/>
          <w:color w:val="071DFF"/>
          <w:highlight w:val="lightGray"/>
        </w:rPr>
        <w:t>Not more than 25% of the TAV may be attributable to Specified Investments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Compliance Certificate</w:t>
      </w:r>
    </w:p>
    <w:p>
      <w:pPr>
        <w:sectPr>
          <w:pgSz w:w="11900" w:h="16838" w:orient="portrait"/>
          <w:cols w:equalWidth="0" w:num="1">
            <w:col w:w="11181"/>
          </w:cols>
          <w:pgMar w:left="359" w:top="932" w:right="359" w:bottom="1440" w:gutter="0" w:footer="0" w:header="0"/>
          <w:type w:val="continuous"/>
        </w:sectPr>
      </w:pPr>
    </w:p>
    <w:bookmarkStart w:id="375" w:name="page376"/>
    <w:bookmarkEnd w:id="375"/>
    <w:p>
      <w:pPr>
        <w:ind w:left="1021"/>
        <w:spacing w:after="0"/>
        <w:tabs>
          <w:tab w:leader="none" w:pos="1561" w:val="left"/>
        </w:tabs>
        <w:rPr>
          <w:sz w:val="20"/>
          <w:szCs w:val="20"/>
          <w:color w:val="auto"/>
        </w:rPr>
      </w:pPr>
      <w:r>
        <w:rPr>
          <w:rFonts w:ascii="Arial" w:cs="Arial" w:eastAsia="Arial" w:hAnsi="Arial"/>
          <w:sz w:val="20"/>
          <w:szCs w:val="20"/>
          <w:color w:val="FC0718"/>
          <w:strike w:val="1"/>
        </w:rPr>
        <w:t>9</w:t>
      </w:r>
      <w:r>
        <w:rPr>
          <w:rFonts w:ascii="Arial" w:cs="Arial" w:eastAsia="Arial" w:hAnsi="Arial"/>
          <w:sz w:val="20"/>
          <w:szCs w:val="20"/>
          <w:b w:val="1"/>
          <w:bCs w:val="1"/>
          <w:u w:val="single" w:color="auto"/>
          <w:color w:val="071DFF"/>
          <w:highlight w:val="lightGray"/>
        </w:rPr>
        <w:t>16</w:t>
      </w:r>
      <w:r>
        <w:rPr>
          <w:rFonts w:ascii="Arial" w:cs="Arial" w:eastAsia="Arial" w:hAnsi="Arial"/>
          <w:sz w:val="20"/>
          <w:szCs w:val="20"/>
          <w:b w:val="1"/>
          <w:bCs w:val="1"/>
          <w:color w:val="071DFF"/>
        </w:rPr>
        <w:t>.</w:t>
      </w:r>
      <w:r>
        <w:rPr>
          <w:sz w:val="20"/>
          <w:szCs w:val="20"/>
          <w:color w:val="auto"/>
        </w:rPr>
        <w:tab/>
      </w:r>
      <w:r>
        <w:rPr>
          <w:rFonts w:ascii="Arial" w:cs="Arial" w:eastAsia="Arial" w:hAnsi="Arial"/>
          <w:sz w:val="17"/>
          <w:szCs w:val="17"/>
          <w:color w:val="auto"/>
        </w:rPr>
        <w:t>Consolidated Group Pro Rata Share of cash and Cash Equivalents owned by Unconsolidated</w:t>
      </w:r>
    </w:p>
    <w:p>
      <w:pPr>
        <w:spacing w:after="0" w:line="17" w:lineRule="exact"/>
        <w:rPr>
          <w:sz w:val="20"/>
          <w:szCs w:val="20"/>
          <w:color w:val="auto"/>
        </w:rPr>
      </w:pPr>
    </w:p>
    <w:tbl>
      <w:tblPr>
        <w:tblLayout w:type="fixed"/>
        <w:tblInd w:w="441" w:type="dxa"/>
        <w:tblCellMar>
          <w:top w:w="0" w:type="dxa"/>
          <w:left w:w="0" w:type="dxa"/>
          <w:bottom w:w="0" w:type="dxa"/>
          <w:right w:w="0" w:type="dxa"/>
        </w:tblCellMar>
      </w:tblPr>
      <w:tr>
        <w:trPr>
          <w:trHeight w:val="254"/>
        </w:trPr>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60" w:type="dxa"/>
            <w:vAlign w:val="bottom"/>
            <w:gridSpan w:val="14"/>
          </w:tcPr>
          <w:p>
            <w:pPr>
              <w:jc w:val="right"/>
              <w:ind w:right="4240"/>
              <w:spacing w:after="0"/>
              <w:rPr>
                <w:sz w:val="20"/>
                <w:szCs w:val="20"/>
                <w:color w:val="auto"/>
              </w:rPr>
            </w:pPr>
            <w:r>
              <w:rPr>
                <w:rFonts w:ascii="Arial" w:cs="Arial" w:eastAsia="Arial" w:hAnsi="Arial"/>
                <w:sz w:val="20"/>
                <w:szCs w:val="20"/>
                <w:color w:val="auto"/>
                <w:w w:val="94"/>
              </w:rPr>
              <w:t>Affiliates on the Statement Date:</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640" w:type="dxa"/>
            <w:vAlign w:val="bottom"/>
          </w:tcPr>
          <w:p>
            <w:pPr>
              <w:spacing w:after="0"/>
              <w:rPr>
                <w:sz w:val="2"/>
                <w:szCs w:val="2"/>
                <w:color w:val="auto"/>
              </w:rPr>
            </w:pPr>
          </w:p>
        </w:tc>
        <w:tc>
          <w:tcPr>
            <w:tcW w:w="220" w:type="dxa"/>
            <w:vAlign w:val="bottom"/>
            <w:vMerge w:val="restart"/>
          </w:tcPr>
          <w:p>
            <w:pPr>
              <w:jc w:val="right"/>
              <w:spacing w:after="0" w:line="191" w:lineRule="exact"/>
              <w:rPr>
                <w:sz w:val="20"/>
                <w:szCs w:val="20"/>
                <w:color w:val="auto"/>
              </w:rPr>
            </w:pPr>
            <w:r>
              <w:rPr>
                <w:rFonts w:ascii="Arial" w:cs="Arial" w:eastAsia="Arial" w:hAnsi="Arial"/>
                <w:sz w:val="20"/>
                <w:szCs w:val="20"/>
                <w:color w:val="FC0718"/>
                <w:strike w:val="1"/>
                <w:w w:val="80"/>
              </w:rPr>
              <w:t>10</w:t>
            </w:r>
          </w:p>
        </w:tc>
        <w:tc>
          <w:tcPr>
            <w:tcW w:w="180" w:type="dxa"/>
            <w:vAlign w:val="bottom"/>
          </w:tcPr>
          <w:p>
            <w:pPr>
              <w:spacing w:after="0"/>
              <w:rPr>
                <w:sz w:val="2"/>
                <w:szCs w:val="2"/>
                <w:color w:val="auto"/>
              </w:rPr>
            </w:pPr>
          </w:p>
        </w:tc>
        <w:tc>
          <w:tcPr>
            <w:tcW w:w="2340" w:type="dxa"/>
            <w:vAlign w:val="bottom"/>
            <w:gridSpan w:val="3"/>
            <w:vMerge w:val="restart"/>
          </w:tcPr>
          <w:p>
            <w:pPr>
              <w:spacing w:after="0" w:line="191" w:lineRule="exact"/>
              <w:rPr>
                <w:sz w:val="20"/>
                <w:szCs w:val="20"/>
                <w:color w:val="auto"/>
              </w:rPr>
            </w:pPr>
            <w:r>
              <w:rPr>
                <w:rFonts w:ascii="Arial" w:cs="Arial" w:eastAsia="Arial" w:hAnsi="Arial"/>
                <w:sz w:val="20"/>
                <w:szCs w:val="20"/>
                <w:color w:val="auto"/>
                <w:w w:val="91"/>
              </w:rPr>
              <w:t>. Secured Total Asset Value</w:t>
            </w:r>
            <w:r>
              <w:rPr>
                <w:rFonts w:ascii="Arial" w:cs="Arial" w:eastAsia="Arial" w:hAnsi="Arial"/>
                <w:sz w:val="20"/>
                <w:szCs w:val="20"/>
                <w:color w:val="FF0000"/>
                <w:strike w:val="1"/>
                <w:w w:val="91"/>
              </w:rPr>
              <w:t>:</w:t>
            </w:r>
          </w:p>
        </w:tc>
        <w:tc>
          <w:tcPr>
            <w:tcW w:w="60" w:type="dxa"/>
            <w:vAlign w:val="bottom"/>
          </w:tcPr>
          <w:p>
            <w:pPr>
              <w:spacing w:after="0"/>
              <w:rPr>
                <w:sz w:val="2"/>
                <w:szCs w:val="2"/>
                <w:color w:val="auto"/>
              </w:rPr>
            </w:pPr>
          </w:p>
        </w:tc>
        <w:tc>
          <w:tcPr>
            <w:tcW w:w="800" w:type="dxa"/>
            <w:vAlign w:val="bottom"/>
            <w:vMerge w:val="restart"/>
          </w:tcPr>
          <w:p>
            <w:pPr>
              <w:jc w:val="right"/>
              <w:spacing w:after="0" w:line="191" w:lineRule="exact"/>
              <w:rPr>
                <w:sz w:val="20"/>
                <w:szCs w:val="20"/>
                <w:color w:val="auto"/>
              </w:rPr>
            </w:pPr>
            <w:r>
              <w:rPr>
                <w:rFonts w:ascii="Arial" w:cs="Arial" w:eastAsia="Arial" w:hAnsi="Arial"/>
                <w:sz w:val="20"/>
                <w:szCs w:val="20"/>
                <w:color w:val="auto"/>
                <w:w w:val="98"/>
              </w:rPr>
              <w:t>Line II.B.</w:t>
            </w:r>
          </w:p>
        </w:tc>
        <w:tc>
          <w:tcPr>
            <w:tcW w:w="100" w:type="dxa"/>
            <w:vAlign w:val="bottom"/>
            <w:vMerge w:val="restart"/>
          </w:tcPr>
          <w:p>
            <w:pPr>
              <w:jc w:val="right"/>
              <w:spacing w:after="0" w:line="191" w:lineRule="exact"/>
              <w:rPr>
                <w:sz w:val="20"/>
                <w:szCs w:val="20"/>
                <w:color w:val="auto"/>
              </w:rPr>
            </w:pPr>
            <w:r>
              <w:rPr>
                <w:rFonts w:ascii="Arial" w:cs="Arial" w:eastAsia="Arial" w:hAnsi="Arial"/>
                <w:sz w:val="20"/>
                <w:szCs w:val="20"/>
                <w:color w:val="FF0000"/>
                <w:strike w:val="1"/>
                <w:w w:val="71"/>
              </w:rPr>
              <w:t>7</w:t>
            </w:r>
          </w:p>
        </w:tc>
        <w:tc>
          <w:tcPr>
            <w:tcW w:w="200" w:type="dxa"/>
            <w:vAlign w:val="bottom"/>
          </w:tcPr>
          <w:p>
            <w:pPr>
              <w:spacing w:after="0"/>
              <w:rPr>
                <w:sz w:val="2"/>
                <w:szCs w:val="2"/>
                <w:color w:val="auto"/>
              </w:rPr>
            </w:pPr>
          </w:p>
        </w:tc>
        <w:tc>
          <w:tcPr>
            <w:tcW w:w="1040" w:type="dxa"/>
            <w:vAlign w:val="bottom"/>
            <w:vMerge w:val="restart"/>
          </w:tcPr>
          <w:p>
            <w:pPr>
              <w:spacing w:after="0" w:line="191" w:lineRule="exact"/>
              <w:rPr>
                <w:sz w:val="20"/>
                <w:szCs w:val="20"/>
                <w:color w:val="auto"/>
              </w:rPr>
            </w:pPr>
            <w:r>
              <w:rPr>
                <w:rFonts w:ascii="Arial" w:cs="Arial" w:eastAsia="Arial" w:hAnsi="Arial"/>
                <w:sz w:val="20"/>
                <w:szCs w:val="20"/>
                <w:color w:val="auto"/>
                <w:w w:val="95"/>
              </w:rPr>
              <w:t>. + Line II.B.</w:t>
            </w:r>
          </w:p>
        </w:tc>
        <w:tc>
          <w:tcPr>
            <w:tcW w:w="120" w:type="dxa"/>
            <w:vAlign w:val="bottom"/>
            <w:vMerge w:val="restart"/>
          </w:tcPr>
          <w:p>
            <w:pPr>
              <w:jc w:val="right"/>
              <w:spacing w:after="0" w:line="191" w:lineRule="exact"/>
              <w:rPr>
                <w:sz w:val="20"/>
                <w:szCs w:val="20"/>
                <w:color w:val="auto"/>
              </w:rPr>
            </w:pPr>
            <w:r>
              <w:rPr>
                <w:rFonts w:ascii="Arial" w:cs="Arial" w:eastAsia="Arial" w:hAnsi="Arial"/>
                <w:sz w:val="20"/>
                <w:szCs w:val="20"/>
                <w:color w:val="FF0000"/>
                <w:strike w:val="1"/>
                <w:w w:val="71"/>
              </w:rPr>
              <w:t>8</w:t>
            </w:r>
          </w:p>
        </w:tc>
        <w:tc>
          <w:tcPr>
            <w:tcW w:w="180" w:type="dxa"/>
            <w:vAlign w:val="bottom"/>
          </w:tcPr>
          <w:p>
            <w:pPr>
              <w:spacing w:after="0"/>
              <w:rPr>
                <w:sz w:val="2"/>
                <w:szCs w:val="2"/>
                <w:color w:val="auto"/>
              </w:rPr>
            </w:pPr>
          </w:p>
        </w:tc>
        <w:tc>
          <w:tcPr>
            <w:tcW w:w="100" w:type="dxa"/>
            <w:vAlign w:val="bottom"/>
            <w:vMerge w:val="restart"/>
          </w:tcPr>
          <w:p>
            <w:pPr>
              <w:jc w:val="right"/>
              <w:spacing w:after="0" w:line="191" w:lineRule="exact"/>
              <w:rPr>
                <w:sz w:val="20"/>
                <w:szCs w:val="20"/>
                <w:color w:val="auto"/>
              </w:rPr>
            </w:pPr>
            <w:r>
              <w:rPr>
                <w:rFonts w:ascii="Arial" w:cs="Arial" w:eastAsia="Arial" w:hAnsi="Arial"/>
                <w:sz w:val="20"/>
                <w:szCs w:val="20"/>
                <w:color w:val="auto"/>
                <w:w w:val="71"/>
              </w:rPr>
              <w:t>.</w:t>
            </w:r>
          </w:p>
        </w:tc>
        <w:tc>
          <w:tcPr>
            <w:tcW w:w="1100" w:type="dxa"/>
            <w:vAlign w:val="bottom"/>
            <w:vMerge w:val="restart"/>
          </w:tcPr>
          <w:p>
            <w:pPr>
              <w:spacing w:after="0" w:line="191" w:lineRule="exact"/>
              <w:rPr>
                <w:sz w:val="20"/>
                <w:szCs w:val="20"/>
                <w:color w:val="auto"/>
              </w:rPr>
            </w:pPr>
            <w:r>
              <w:rPr>
                <w:rFonts w:ascii="Arial" w:cs="Arial" w:eastAsia="Arial" w:hAnsi="Arial"/>
                <w:sz w:val="20"/>
                <w:szCs w:val="20"/>
                <w:color w:val="FF0000"/>
                <w:strike w:val="1"/>
                <w:w w:val="95"/>
              </w:rPr>
              <w:t>+ Line II.B.9.</w:t>
            </w:r>
          </w:p>
        </w:tc>
        <w:tc>
          <w:tcPr>
            <w:tcW w:w="60" w:type="dxa"/>
            <w:vAlign w:val="bottom"/>
          </w:tcPr>
          <w:p>
            <w:pPr>
              <w:spacing w:after="0"/>
              <w:rPr>
                <w:sz w:val="2"/>
                <w:szCs w:val="2"/>
                <w:color w:val="auto"/>
              </w:rPr>
            </w:pPr>
          </w:p>
        </w:tc>
        <w:tc>
          <w:tcPr>
            <w:tcW w:w="960" w:type="dxa"/>
            <w:vAlign w:val="bottom"/>
            <w:vMerge w:val="restart"/>
          </w:tcPr>
          <w:p>
            <w:pPr>
              <w:jc w:val="right"/>
              <w:ind w:right="800"/>
              <w:spacing w:after="0" w:line="191" w:lineRule="exact"/>
              <w:rPr>
                <w:sz w:val="20"/>
                <w:szCs w:val="20"/>
                <w:color w:val="auto"/>
              </w:rPr>
            </w:pPr>
            <w:r>
              <w:rPr>
                <w:rFonts w:ascii="Arial" w:cs="Arial" w:eastAsia="Arial" w:hAnsi="Arial"/>
                <w:sz w:val="20"/>
                <w:szCs w:val="20"/>
                <w:color w:val="auto"/>
                <w:w w:val="71"/>
              </w:rPr>
              <w:t>:</w:t>
            </w:r>
          </w:p>
        </w:tc>
        <w:tc>
          <w:tcPr>
            <w:tcW w:w="1000" w:type="dxa"/>
            <w:vAlign w:val="bottom"/>
            <w:vMerge w:val="restart"/>
          </w:tcPr>
          <w:p>
            <w:pPr>
              <w:jc w:val="right"/>
              <w:spacing w:after="0" w:line="191" w:lineRule="exact"/>
              <w:rPr>
                <w:sz w:val="20"/>
                <w:szCs w:val="20"/>
                <w:color w:val="auto"/>
              </w:rPr>
            </w:pPr>
            <w:r>
              <w:rPr>
                <w:rFonts w:ascii="Arial" w:cs="Arial" w:eastAsia="Arial" w:hAnsi="Arial"/>
                <w:sz w:val="20"/>
                <w:szCs w:val="20"/>
                <w:color w:val="auto"/>
              </w:rPr>
              <w:t>$</w:t>
            </w:r>
          </w:p>
        </w:tc>
        <w:tc>
          <w:tcPr>
            <w:tcW w:w="0" w:type="dxa"/>
            <w:vAlign w:val="bottom"/>
          </w:tcPr>
          <w:p>
            <w:pPr>
              <w:spacing w:after="0" w:line="20" w:lineRule="exact"/>
              <w:rPr>
                <w:sz w:val="1"/>
                <w:szCs w:val="1"/>
                <w:color w:val="auto"/>
              </w:rPr>
            </w:pPr>
          </w:p>
        </w:tc>
      </w:tr>
      <w:tr>
        <w:trPr>
          <w:trHeight w:val="187"/>
        </w:trPr>
        <w:tc>
          <w:tcPr>
            <w:tcW w:w="64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80" w:type="dxa"/>
            <w:vAlign w:val="bottom"/>
            <w:shd w:val="clear" w:color="auto" w:fill="D6D6D6"/>
          </w:tcPr>
          <w:p>
            <w:pPr>
              <w:jc w:val="right"/>
              <w:spacing w:after="0" w:line="167" w:lineRule="exact"/>
              <w:rPr>
                <w:sz w:val="20"/>
                <w:szCs w:val="20"/>
                <w:color w:val="auto"/>
              </w:rPr>
            </w:pPr>
            <w:r>
              <w:rPr>
                <w:rFonts w:ascii="Arial" w:cs="Arial" w:eastAsia="Arial" w:hAnsi="Arial"/>
                <w:sz w:val="19"/>
                <w:szCs w:val="19"/>
                <w:b w:val="1"/>
                <w:bCs w:val="1"/>
                <w:color w:val="071DFF"/>
                <w:highlight w:val="lightGray"/>
                <w:w w:val="75"/>
              </w:rPr>
              <w:t>17</w:t>
            </w:r>
          </w:p>
        </w:tc>
        <w:tc>
          <w:tcPr>
            <w:tcW w:w="2340" w:type="dxa"/>
            <w:vAlign w:val="bottom"/>
            <w:gridSpan w:val="3"/>
            <w:vMerge w:val="continue"/>
          </w:tcPr>
          <w:p>
            <w:pPr>
              <w:spacing w:after="0"/>
              <w:rPr>
                <w:sz w:val="16"/>
                <w:szCs w:val="16"/>
                <w:color w:val="auto"/>
              </w:rPr>
            </w:pPr>
          </w:p>
        </w:tc>
        <w:tc>
          <w:tcPr>
            <w:tcW w:w="60" w:type="dxa"/>
            <w:vAlign w:val="bottom"/>
            <w:shd w:val="clear" w:color="auto" w:fill="D6D6D6"/>
          </w:tcPr>
          <w:p>
            <w:pPr>
              <w:jc w:val="right"/>
              <w:spacing w:after="0" w:line="168" w:lineRule="exact"/>
              <w:rPr>
                <w:sz w:val="20"/>
                <w:szCs w:val="20"/>
                <w:color w:val="auto"/>
              </w:rPr>
            </w:pPr>
            <w:r>
              <w:rPr>
                <w:rFonts w:ascii="Arial" w:cs="Arial" w:eastAsia="Arial" w:hAnsi="Arial"/>
                <w:sz w:val="16"/>
                <w:szCs w:val="16"/>
                <w:b w:val="1"/>
                <w:bCs w:val="1"/>
                <w:color w:val="0000FF"/>
                <w:highlight w:val="lightGray"/>
                <w:w w:val="74"/>
              </w:rPr>
              <w:t>(</w:t>
            </w:r>
          </w:p>
        </w:tc>
        <w:tc>
          <w:tcPr>
            <w:tcW w:w="8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shd w:val="clear" w:color="auto" w:fill="D6D6D6"/>
          </w:tcPr>
          <w:p>
            <w:pPr>
              <w:jc w:val="right"/>
              <w:spacing w:after="0" w:line="167" w:lineRule="exact"/>
              <w:rPr>
                <w:sz w:val="20"/>
                <w:szCs w:val="20"/>
                <w:color w:val="auto"/>
              </w:rPr>
            </w:pPr>
            <w:r>
              <w:rPr>
                <w:rFonts w:ascii="Arial" w:cs="Arial" w:eastAsia="Arial" w:hAnsi="Arial"/>
                <w:sz w:val="19"/>
                <w:szCs w:val="19"/>
                <w:b w:val="1"/>
                <w:bCs w:val="1"/>
                <w:color w:val="0000FF"/>
                <w:highlight w:val="lightGray"/>
                <w:w w:val="84"/>
              </w:rPr>
              <w:t>15</w:t>
            </w:r>
          </w:p>
        </w:tc>
        <w:tc>
          <w:tcPr>
            <w:tcW w:w="104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shd w:val="clear" w:color="auto" w:fill="D6D6D6"/>
          </w:tcPr>
          <w:p>
            <w:pPr>
              <w:jc w:val="right"/>
              <w:spacing w:after="0" w:line="167" w:lineRule="exact"/>
              <w:rPr>
                <w:sz w:val="20"/>
                <w:szCs w:val="20"/>
                <w:color w:val="auto"/>
              </w:rPr>
            </w:pPr>
            <w:r>
              <w:rPr>
                <w:rFonts w:ascii="Arial" w:cs="Arial" w:eastAsia="Arial" w:hAnsi="Arial"/>
                <w:sz w:val="19"/>
                <w:szCs w:val="19"/>
                <w:b w:val="1"/>
                <w:bCs w:val="1"/>
                <w:color w:val="0000FF"/>
                <w:highlight w:val="lightGray"/>
                <w:w w:val="75"/>
              </w:rPr>
              <w:t>16</w:t>
            </w:r>
          </w:p>
        </w:tc>
        <w:tc>
          <w:tcPr>
            <w:tcW w:w="1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60" w:type="dxa"/>
            <w:vAlign w:val="bottom"/>
            <w:shd w:val="clear" w:color="auto" w:fill="D6D6D6"/>
          </w:tcPr>
          <w:p>
            <w:pPr>
              <w:jc w:val="right"/>
              <w:spacing w:after="0" w:line="168" w:lineRule="exact"/>
              <w:rPr>
                <w:sz w:val="20"/>
                <w:szCs w:val="20"/>
                <w:color w:val="auto"/>
              </w:rPr>
            </w:pPr>
            <w:r>
              <w:rPr>
                <w:rFonts w:ascii="Arial" w:cs="Arial" w:eastAsia="Arial" w:hAnsi="Arial"/>
                <w:sz w:val="16"/>
                <w:szCs w:val="16"/>
                <w:b w:val="1"/>
                <w:bCs w:val="1"/>
                <w:color w:val="0000FF"/>
                <w:highlight w:val="lightGray"/>
                <w:w w:val="74"/>
              </w:rPr>
              <w:t>)</w:t>
            </w:r>
          </w:p>
        </w:tc>
        <w:tc>
          <w:tcPr>
            <w:tcW w:w="9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40" w:type="dxa"/>
            <w:vAlign w:val="bottom"/>
          </w:tcPr>
          <w:p>
            <w:pPr>
              <w:spacing w:after="0"/>
              <w:rPr>
                <w:sz w:val="2"/>
                <w:szCs w:val="2"/>
                <w:color w:val="auto"/>
              </w:rPr>
            </w:pPr>
          </w:p>
        </w:tc>
        <w:tc>
          <w:tcPr>
            <w:tcW w:w="220" w:type="dxa"/>
            <w:vAlign w:val="bottom"/>
            <w:tcBorders>
              <w:right w:val="single" w:sz="8" w:color="071DFF"/>
            </w:tcBorders>
          </w:tcPr>
          <w:p>
            <w:pPr>
              <w:spacing w:after="0"/>
              <w:rPr>
                <w:sz w:val="2"/>
                <w:szCs w:val="2"/>
                <w:color w:val="auto"/>
              </w:rPr>
            </w:pPr>
          </w:p>
        </w:tc>
        <w:tc>
          <w:tcPr>
            <w:tcW w:w="180" w:type="dxa"/>
            <w:vAlign w:val="bottom"/>
            <w:shd w:val="clear" w:color="auto" w:fill="071DFF"/>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800" w:type="dxa"/>
            <w:vAlign w:val="bottom"/>
            <w:tcBorders>
              <w:left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040" w:type="dxa"/>
            <w:vAlign w:val="bottom"/>
            <w:tcBorders>
              <w:left w:val="single" w:sz="8" w:color="0000FF"/>
            </w:tcBorders>
          </w:tcPr>
          <w:p>
            <w:pPr>
              <w:spacing w:after="0"/>
              <w:rPr>
                <w:sz w:val="2"/>
                <w:szCs w:val="2"/>
                <w:color w:val="auto"/>
              </w:rPr>
            </w:pPr>
          </w:p>
        </w:tc>
        <w:tc>
          <w:tcPr>
            <w:tcW w:w="120" w:type="dxa"/>
            <w:vAlign w:val="bottom"/>
            <w:tcBorders>
              <w:right w:val="single" w:sz="8" w:color="0000FF"/>
            </w:tcBorders>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0"/>
        </w:trPr>
        <w:tc>
          <w:tcPr>
            <w:tcW w:w="8100" w:type="dxa"/>
            <w:vAlign w:val="bottom"/>
            <w:gridSpan w:val="17"/>
          </w:tcPr>
          <w:p>
            <w:pPr>
              <w:spacing w:after="0"/>
              <w:rPr>
                <w:sz w:val="20"/>
                <w:szCs w:val="20"/>
                <w:color w:val="auto"/>
              </w:rPr>
            </w:pPr>
            <w:r>
              <w:rPr>
                <w:rFonts w:ascii="Arial" w:cs="Arial" w:eastAsia="Arial" w:hAnsi="Arial"/>
                <w:sz w:val="20"/>
                <w:szCs w:val="20"/>
                <w:b w:val="1"/>
                <w:bCs w:val="1"/>
                <w:color w:val="auto"/>
              </w:rPr>
              <w:t>Consolidated Secured Leverage Ratio (Line II.A.3. as a percentage of Line II.B.17):</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8100" w:type="dxa"/>
            <w:vAlign w:val="bottom"/>
            <w:gridSpan w:val="17"/>
          </w:tcPr>
          <w:p>
            <w:pPr>
              <w:spacing w:after="0"/>
              <w:rPr>
                <w:sz w:val="20"/>
                <w:szCs w:val="20"/>
                <w:color w:val="auto"/>
              </w:rPr>
            </w:pPr>
            <w:r>
              <w:rPr>
                <w:rFonts w:ascii="Arial" w:cs="Arial" w:eastAsia="Arial" w:hAnsi="Arial"/>
                <w:sz w:val="20"/>
                <w:szCs w:val="20"/>
                <w:b w:val="1"/>
                <w:bCs w:val="1"/>
                <w:color w:val="auto"/>
              </w:rPr>
              <w:t>Maximum Permitted Consolidated Secured Leverage Ratio:</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441" w:right="4920" w:hanging="441"/>
        <w:spacing w:after="0" w:line="318" w:lineRule="auto"/>
        <w:tabs>
          <w:tab w:leader="none" w:pos="441" w:val="left"/>
        </w:tabs>
        <w:numPr>
          <w:ilvl w:val="0"/>
          <w:numId w:val="4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7.11(</w:t>
      </w:r>
      <w:r>
        <w:rPr>
          <w:rFonts w:ascii="Arial" w:cs="Arial" w:eastAsia="Arial" w:hAnsi="Arial"/>
          <w:sz w:val="18"/>
          <w:szCs w:val="18"/>
          <w:b w:val="1"/>
          <w:bCs w:val="1"/>
          <w:u w:val="single" w:color="auto"/>
          <w:color w:val="FC0718"/>
          <w:strike w:val="1"/>
        </w:rPr>
        <w:t>c</w:t>
      </w:r>
      <w:r>
        <w:rPr>
          <w:rFonts w:ascii="Arial" w:cs="Arial" w:eastAsia="Arial" w:hAnsi="Arial"/>
          <w:sz w:val="18"/>
          <w:szCs w:val="18"/>
          <w:b w:val="1"/>
          <w:bCs w:val="1"/>
          <w:u w:val="single" w:color="auto"/>
          <w:color w:val="071DFF"/>
        </w:rPr>
        <w:t>b</w:t>
      </w:r>
      <w:r>
        <w:rPr>
          <w:rFonts w:ascii="Arial" w:cs="Arial" w:eastAsia="Arial" w:hAnsi="Arial"/>
          <w:sz w:val="18"/>
          <w:szCs w:val="18"/>
          <w:b w:val="1"/>
          <w:bCs w:val="1"/>
          <w:u w:val="single" w:color="auto"/>
          <w:color w:val="auto"/>
        </w:rPr>
        <w:t xml:space="preserve">) – Consolidated Total Leverage Ratio </w:t>
      </w:r>
      <w:r>
        <w:rPr>
          <w:rFonts w:ascii="Arial" w:cs="Arial" w:eastAsia="Arial" w:hAnsi="Arial"/>
          <w:sz w:val="18"/>
          <w:szCs w:val="18"/>
          <w:color w:val="auto"/>
        </w:rPr>
        <w:t>A. Consolidated Total Indebtedness at Statement Date:</w:t>
      </w:r>
    </w:p>
    <w:p>
      <w:pPr>
        <w:spacing w:after="0" w:line="1" w:lineRule="exact"/>
        <w:rPr>
          <w:sz w:val="20"/>
          <w:szCs w:val="20"/>
          <w:color w:val="auto"/>
        </w:rPr>
      </w:pPr>
    </w:p>
    <w:p>
      <w:pPr>
        <w:ind w:left="1581" w:hanging="570"/>
        <w:spacing w:after="0"/>
        <w:tabs>
          <w:tab w:leader="none" w:pos="1581" w:val="left"/>
        </w:tabs>
        <w:numPr>
          <w:ilvl w:val="0"/>
          <w:numId w:val="441"/>
        </w:numPr>
        <w:rPr>
          <w:rFonts w:ascii="Arial" w:cs="Arial" w:eastAsia="Arial" w:hAnsi="Arial"/>
          <w:sz w:val="18"/>
          <w:szCs w:val="18"/>
          <w:color w:val="auto"/>
        </w:rPr>
      </w:pPr>
      <w:r>
        <w:rPr>
          <w:rFonts w:ascii="Arial" w:cs="Arial" w:eastAsia="Arial" w:hAnsi="Arial"/>
          <w:sz w:val="18"/>
          <w:szCs w:val="18"/>
          <w:color w:val="auto"/>
        </w:rPr>
        <w:t xml:space="preserve">Aggregate amount of all Indebtedness </w:t>
      </w:r>
      <w:r>
        <w:rPr>
          <w:rFonts w:ascii="Arial" w:cs="Arial" w:eastAsia="Arial" w:hAnsi="Arial"/>
          <w:sz w:val="18"/>
          <w:szCs w:val="18"/>
          <w:color w:val="FF0000"/>
          <w:strike w:val="1"/>
        </w:rPr>
        <w:t>of</w:t>
      </w:r>
      <w:r>
        <w:rPr>
          <w:rFonts w:ascii="Arial" w:cs="Arial" w:eastAsia="Arial" w:hAnsi="Arial"/>
          <w:sz w:val="18"/>
          <w:szCs w:val="18"/>
          <w:b w:val="1"/>
          <w:bCs w:val="1"/>
          <w:u w:val="single" w:color="auto"/>
          <w:color w:val="0000FF"/>
          <w:highlight w:val="lightGray"/>
        </w:rPr>
        <w:t>owed by</w:t>
      </w:r>
      <w:r>
        <w:rPr>
          <w:rFonts w:ascii="Arial" w:cs="Arial" w:eastAsia="Arial" w:hAnsi="Arial"/>
          <w:sz w:val="18"/>
          <w:szCs w:val="18"/>
          <w:color w:val="auto"/>
        </w:rPr>
        <w:t xml:space="preserve"> the Consolidated Group that would be reflected</w:t>
      </w:r>
    </w:p>
    <w:p>
      <w:pPr>
        <w:spacing w:after="0" w:line="40" w:lineRule="exact"/>
        <w:rPr>
          <w:sz w:val="20"/>
          <w:szCs w:val="20"/>
          <w:color w:val="auto"/>
        </w:rPr>
      </w:pPr>
    </w:p>
    <w:p>
      <w:pPr>
        <w:jc w:val="right"/>
        <w:ind w:right="520"/>
        <w:spacing w:after="0"/>
        <w:tabs>
          <w:tab w:leader="none" w:pos="600" w:val="left"/>
        </w:tabs>
        <w:rPr>
          <w:sz w:val="20"/>
          <w:szCs w:val="20"/>
          <w:color w:val="auto"/>
        </w:rPr>
      </w:pPr>
      <w:r>
        <w:rPr>
          <w:rFonts w:ascii="Arial" w:cs="Arial" w:eastAsia="Arial" w:hAnsi="Arial"/>
          <w:sz w:val="20"/>
          <w:szCs w:val="20"/>
          <w:color w:val="auto"/>
        </w:rPr>
        <w:t>on a consolidated balance sheet of the Consolidated Group as of Statement Date:</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ind w:left="1581" w:hanging="570"/>
        <w:spacing w:after="0"/>
        <w:tabs>
          <w:tab w:leader="none" w:pos="1581" w:val="left"/>
        </w:tabs>
        <w:numPr>
          <w:ilvl w:val="0"/>
          <w:numId w:val="442"/>
        </w:numPr>
        <w:rPr>
          <w:rFonts w:ascii="Arial" w:cs="Arial" w:eastAsia="Arial" w:hAnsi="Arial"/>
          <w:sz w:val="18"/>
          <w:szCs w:val="18"/>
          <w:color w:val="auto"/>
        </w:rPr>
      </w:pPr>
      <w:r>
        <w:rPr>
          <w:rFonts w:ascii="Arial" w:cs="Arial" w:eastAsia="Arial" w:hAnsi="Arial"/>
          <w:sz w:val="18"/>
          <w:szCs w:val="18"/>
          <w:color w:val="auto"/>
        </w:rPr>
        <w:t xml:space="preserve">Consolidated Group Pro Rata Share of the aggregate amount of all Indebtedness </w:t>
      </w:r>
      <w:r>
        <w:rPr>
          <w:rFonts w:ascii="Arial" w:cs="Arial" w:eastAsia="Arial" w:hAnsi="Arial"/>
          <w:sz w:val="18"/>
          <w:szCs w:val="18"/>
          <w:color w:val="FF0000"/>
          <w:strike w:val="1"/>
        </w:rPr>
        <w:t>of</w:t>
      </w:r>
      <w:r>
        <w:rPr>
          <w:rFonts w:ascii="Arial" w:cs="Arial" w:eastAsia="Arial" w:hAnsi="Arial"/>
          <w:sz w:val="18"/>
          <w:szCs w:val="18"/>
          <w:b w:val="1"/>
          <w:bCs w:val="1"/>
          <w:u w:val="single" w:color="auto"/>
          <w:color w:val="0000FF"/>
          <w:highlight w:val="lightGray"/>
        </w:rPr>
        <w:t>owed by</w:t>
      </w:r>
      <w:r>
        <w:rPr>
          <w:rFonts w:ascii="Arial" w:cs="Arial" w:eastAsia="Arial" w:hAnsi="Arial"/>
          <w:sz w:val="18"/>
          <w:szCs w:val="18"/>
          <w:color w:val="auto"/>
        </w:rPr>
        <w:t xml:space="preserve"> each</w:t>
      </w:r>
    </w:p>
    <w:p>
      <w:pPr>
        <w:spacing w:after="0" w:line="19" w:lineRule="exact"/>
        <w:rPr>
          <w:sz w:val="20"/>
          <w:szCs w:val="20"/>
          <w:color w:val="auto"/>
        </w:rPr>
      </w:pPr>
    </w:p>
    <w:tbl>
      <w:tblPr>
        <w:tblLayout w:type="fixed"/>
        <w:tblInd w:w="1021"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20"/>
                <w:szCs w:val="20"/>
                <w:color w:val="auto"/>
                <w:w w:val="94"/>
              </w:rPr>
              <w:t>Unconsolidated Affiliate that would be reflected on a balance sheet of such Unconsolidated</w:t>
            </w:r>
          </w:p>
        </w:tc>
        <w:tc>
          <w:tcPr>
            <w:tcW w:w="380" w:type="dxa"/>
            <w:vAlign w:val="bottom"/>
          </w:tcPr>
          <w:p>
            <w:pPr>
              <w:spacing w:after="0"/>
              <w:rPr>
                <w:sz w:val="19"/>
                <w:szCs w:val="19"/>
                <w:color w:val="auto"/>
              </w:rPr>
            </w:pPr>
          </w:p>
        </w:tc>
      </w:tr>
      <w:tr>
        <w:trPr>
          <w:trHeight w:val="254"/>
        </w:trPr>
        <w:tc>
          <w:tcPr>
            <w:tcW w:w="560" w:type="dxa"/>
            <w:vAlign w:val="bottom"/>
          </w:tcPr>
          <w:p>
            <w:pPr>
              <w:spacing w:after="0"/>
              <w:rPr>
                <w:sz w:val="22"/>
                <w:szCs w:val="22"/>
                <w:color w:val="auto"/>
              </w:rPr>
            </w:pPr>
          </w:p>
        </w:tc>
        <w:tc>
          <w:tcPr>
            <w:tcW w:w="7580" w:type="dxa"/>
            <w:vAlign w:val="bottom"/>
            <w:gridSpan w:val="2"/>
          </w:tcPr>
          <w:p>
            <w:pPr>
              <w:spacing w:after="0"/>
              <w:rPr>
                <w:sz w:val="20"/>
                <w:szCs w:val="20"/>
                <w:color w:val="auto"/>
              </w:rPr>
            </w:pPr>
            <w:r>
              <w:rPr>
                <w:rFonts w:ascii="Arial" w:cs="Arial" w:eastAsia="Arial" w:hAnsi="Arial"/>
                <w:sz w:val="20"/>
                <w:szCs w:val="20"/>
                <w:color w:val="auto"/>
              </w:rPr>
              <w:t>Affiliate as of Statement Date:</w:t>
            </w:r>
          </w:p>
        </w:tc>
        <w:tc>
          <w:tcPr>
            <w:tcW w:w="3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27"/>
        </w:trPr>
        <w:tc>
          <w:tcPr>
            <w:tcW w:w="560" w:type="dxa"/>
            <w:vAlign w:val="bottom"/>
          </w:tcPr>
          <w:p>
            <w:pPr>
              <w:jc w:val="right"/>
              <w:ind w:right="320"/>
              <w:spacing w:after="0" w:line="207" w:lineRule="exact"/>
              <w:rPr>
                <w:sz w:val="20"/>
                <w:szCs w:val="20"/>
                <w:color w:val="auto"/>
              </w:rPr>
            </w:pPr>
            <w:r>
              <w:rPr>
                <w:rFonts w:ascii="Arial" w:cs="Arial" w:eastAsia="Arial" w:hAnsi="Arial"/>
                <w:sz w:val="20"/>
                <w:szCs w:val="20"/>
                <w:color w:val="auto"/>
                <w:w w:val="71"/>
              </w:rPr>
              <w:t>3.</w:t>
            </w:r>
          </w:p>
        </w:tc>
        <w:tc>
          <w:tcPr>
            <w:tcW w:w="7580" w:type="dxa"/>
            <w:vAlign w:val="bottom"/>
            <w:gridSpan w:val="2"/>
          </w:tcPr>
          <w:p>
            <w:pPr>
              <w:spacing w:after="0" w:line="207" w:lineRule="exact"/>
              <w:rPr>
                <w:sz w:val="20"/>
                <w:szCs w:val="20"/>
                <w:color w:val="auto"/>
              </w:rPr>
            </w:pPr>
            <w:r>
              <w:rPr>
                <w:rFonts w:ascii="Arial" w:cs="Arial" w:eastAsia="Arial" w:hAnsi="Arial"/>
                <w:sz w:val="20"/>
                <w:szCs w:val="20"/>
                <w:color w:val="auto"/>
              </w:rPr>
              <w:t>Consolidated Total Indebtedness (Line III.A.1. + Line III.A.2.):</w:t>
            </w:r>
          </w:p>
        </w:tc>
        <w:tc>
          <w:tcPr>
            <w:tcW w:w="38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r>
      <w:tr>
        <w:trPr>
          <w:trHeight w:val="20"/>
        </w:trPr>
        <w:tc>
          <w:tcPr>
            <w:tcW w:w="56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68" w:lineRule="exact"/>
        <w:rPr>
          <w:sz w:val="20"/>
          <w:szCs w:val="20"/>
          <w:color w:val="auto"/>
        </w:rPr>
      </w:pPr>
    </w:p>
    <w:p>
      <w:pPr>
        <w:ind w:left="1021" w:hanging="572"/>
        <w:spacing w:after="0"/>
        <w:tabs>
          <w:tab w:leader="none" w:pos="1021" w:val="left"/>
        </w:tabs>
        <w:numPr>
          <w:ilvl w:val="0"/>
          <w:numId w:val="443"/>
        </w:numPr>
        <w:rPr>
          <w:rFonts w:ascii="Arial" w:cs="Arial" w:eastAsia="Arial" w:hAnsi="Arial"/>
          <w:sz w:val="20"/>
          <w:szCs w:val="20"/>
          <w:color w:val="auto"/>
        </w:rPr>
      </w:pPr>
      <w:r>
        <w:rPr>
          <w:rFonts w:ascii="Arial" w:cs="Arial" w:eastAsia="Arial" w:hAnsi="Arial"/>
          <w:sz w:val="20"/>
          <w:szCs w:val="20"/>
          <w:color w:val="auto"/>
        </w:rPr>
        <w:t>Unrestricted Cash Amount at Statement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28575</wp:posOffset>
            </wp:positionV>
            <wp:extent cx="114236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42365" cy="7620"/>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-153035</wp:posOffset>
            </wp:positionV>
            <wp:extent cx="114236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42365" cy="7620"/>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-335915</wp:posOffset>
            </wp:positionV>
            <wp:extent cx="114236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42365" cy="7620"/>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-652780</wp:posOffset>
            </wp:positionV>
            <wp:extent cx="1142365"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1511300</wp:posOffset>
            </wp:positionV>
            <wp:extent cx="114236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42365" cy="7620"/>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1328420</wp:posOffset>
            </wp:positionV>
            <wp:extent cx="114236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42365" cy="7620"/>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868680</wp:posOffset>
            </wp:positionV>
            <wp:extent cx="114236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660" w:lineRule="exact"/>
        <w:rPr>
          <w:sz w:val="20"/>
          <w:szCs w:val="20"/>
          <w:color w:val="auto"/>
        </w:rPr>
      </w:pPr>
    </w:p>
    <w:p>
      <w:pPr>
        <w:sectPr>
          <w:pgSz w:w="11900" w:h="16838" w:orient="portrait"/>
          <w:cols w:equalWidth="0" w:num="2">
            <w:col w:w="10061" w:space="720"/>
            <w:col w:w="400"/>
          </w:cols>
          <w:pgMar w:left="359" w:top="926" w:right="359" w:bottom="1440" w:gutter="0" w:footer="0" w:header="0"/>
        </w:sectPr>
      </w:pPr>
    </w:p>
    <w:p>
      <w:pPr>
        <w:jc w:val="both"/>
        <w:ind w:left="1581" w:right="100" w:hanging="570"/>
        <w:spacing w:after="0" w:line="265" w:lineRule="auto"/>
        <w:tabs>
          <w:tab w:leader="none" w:pos="1581" w:val="left"/>
        </w:tabs>
        <w:numPr>
          <w:ilvl w:val="0"/>
          <w:numId w:val="444"/>
        </w:numPr>
        <w:rPr>
          <w:rFonts w:ascii="Arial" w:cs="Arial" w:eastAsia="Arial" w:hAnsi="Arial"/>
          <w:sz w:val="19"/>
          <w:szCs w:val="19"/>
          <w:color w:val="auto"/>
        </w:rPr>
      </w:pPr>
      <w:r>
        <w:rPr>
          <w:rFonts w:ascii="Arial" w:cs="Arial" w:eastAsia="Arial" w:hAnsi="Arial"/>
          <w:sz w:val="19"/>
          <w:szCs w:val="19"/>
          <w:color w:val="auto"/>
        </w:rPr>
        <w:t>Aggregate amount of cash and Cash Equivalents of the Consolidated Group on Statement Date that are not subject to any pledge, Lien or control agreement (excluding statutory Liens in favor of any depositary bank where such cash is maintained):</w:t>
      </w:r>
    </w:p>
    <w:p>
      <w:pPr>
        <w:spacing w:after="0" w:line="1" w:lineRule="exact"/>
        <w:rPr>
          <w:sz w:val="20"/>
          <w:szCs w:val="20"/>
          <w:color w:val="auto"/>
        </w:rPr>
      </w:pPr>
    </w:p>
    <w:p>
      <w:pPr>
        <w:ind w:left="1581" w:hanging="570"/>
        <w:spacing w:after="0" w:line="256" w:lineRule="auto"/>
        <w:tabs>
          <w:tab w:leader="none" w:pos="1581" w:val="left"/>
        </w:tabs>
        <w:numPr>
          <w:ilvl w:val="1"/>
          <w:numId w:val="445"/>
        </w:numPr>
        <w:rPr>
          <w:rFonts w:ascii="Arial" w:cs="Arial" w:eastAsia="Arial" w:hAnsi="Arial"/>
          <w:sz w:val="19"/>
          <w:szCs w:val="19"/>
          <w:color w:val="auto"/>
        </w:rPr>
      </w:pPr>
      <w:r>
        <w:rPr>
          <w:rFonts w:ascii="Arial" w:cs="Arial" w:eastAsia="Arial" w:hAnsi="Arial"/>
          <w:sz w:val="19"/>
          <w:szCs w:val="19"/>
          <w:color w:val="auto"/>
        </w:rPr>
        <w:t>Amounts included in Line III.B.1. above that are held in the name of, or in the possession or control of a Person (other than any possession or control by such Person arising solely from such Person acting in its capacity as a depository or financial intermediary for, or on behalf of, a member of the Consolidated Group) that is not the REIT, the Borrower or any their respective Subsidiaries as deposits or security for contractual obligations:</w:t>
      </w:r>
    </w:p>
    <w:p>
      <w:pPr>
        <w:spacing w:after="0" w:line="8" w:lineRule="exact"/>
        <w:rPr>
          <w:rFonts w:ascii="Arial" w:cs="Arial" w:eastAsia="Arial" w:hAnsi="Arial"/>
          <w:sz w:val="19"/>
          <w:szCs w:val="19"/>
          <w:color w:val="auto"/>
        </w:rPr>
      </w:pPr>
    </w:p>
    <w:p>
      <w:pPr>
        <w:ind w:left="1581" w:hanging="570"/>
        <w:spacing w:after="0"/>
        <w:tabs>
          <w:tab w:leader="none" w:pos="1581" w:val="left"/>
        </w:tabs>
        <w:numPr>
          <w:ilvl w:val="1"/>
          <w:numId w:val="445"/>
        </w:numPr>
        <w:rPr>
          <w:rFonts w:ascii="Arial" w:cs="Arial" w:eastAsia="Arial" w:hAnsi="Arial"/>
          <w:sz w:val="20"/>
          <w:szCs w:val="20"/>
          <w:color w:val="auto"/>
        </w:rPr>
      </w:pPr>
      <w:r>
        <w:rPr>
          <w:rFonts w:ascii="Arial" w:cs="Arial" w:eastAsia="Arial" w:hAnsi="Arial"/>
          <w:sz w:val="20"/>
          <w:szCs w:val="20"/>
          <w:color w:val="auto"/>
        </w:rPr>
        <w:t>Total Revolving Credit Outstandings on Statement Date:</w:t>
      </w:r>
    </w:p>
    <w:p>
      <w:pPr>
        <w:spacing w:after="0" w:line="57" w:lineRule="exact"/>
        <w:rPr>
          <w:rFonts w:ascii="Arial" w:cs="Arial" w:eastAsia="Arial" w:hAnsi="Arial"/>
          <w:sz w:val="20"/>
          <w:szCs w:val="20"/>
          <w:color w:val="auto"/>
        </w:rPr>
      </w:pPr>
    </w:p>
    <w:p>
      <w:pPr>
        <w:ind w:left="1581" w:hanging="570"/>
        <w:spacing w:after="0" w:line="257" w:lineRule="auto"/>
        <w:tabs>
          <w:tab w:leader="none" w:pos="1581" w:val="left"/>
        </w:tabs>
        <w:numPr>
          <w:ilvl w:val="1"/>
          <w:numId w:val="445"/>
        </w:numPr>
        <w:rPr>
          <w:rFonts w:ascii="Arial" w:cs="Arial" w:eastAsia="Arial" w:hAnsi="Arial"/>
          <w:sz w:val="20"/>
          <w:szCs w:val="20"/>
          <w:color w:val="auto"/>
        </w:rPr>
      </w:pPr>
      <w:r>
        <w:rPr>
          <w:rFonts w:ascii="Arial" w:cs="Arial" w:eastAsia="Arial" w:hAnsi="Arial"/>
          <w:sz w:val="20"/>
          <w:szCs w:val="20"/>
          <w:u w:val="single" w:color="auto"/>
          <w:color w:val="auto"/>
        </w:rPr>
        <w:t>Unrestricted Cash Amount</w:t>
      </w:r>
      <w:r>
        <w:rPr>
          <w:rFonts w:ascii="Arial" w:cs="Arial" w:eastAsia="Arial" w:hAnsi="Arial"/>
          <w:sz w:val="20"/>
          <w:szCs w:val="20"/>
          <w:color w:val="auto"/>
        </w:rPr>
        <w:t xml:space="preserve"> (Greater of (x) Line III.B.1. - (the sum of $15,000,000 + Line III.B.2. + Line III.B.3.) and (y) $0):</w:t>
      </w:r>
    </w:p>
    <w:p>
      <w:pPr>
        <w:spacing w:after="0" w:line="1" w:lineRule="exact"/>
        <w:rPr>
          <w:rFonts w:ascii="Arial" w:cs="Arial" w:eastAsia="Arial" w:hAnsi="Arial"/>
          <w:sz w:val="20"/>
          <w:szCs w:val="20"/>
          <w:color w:val="auto"/>
        </w:rPr>
      </w:pPr>
    </w:p>
    <w:p>
      <w:pPr>
        <w:ind w:left="1021" w:hanging="572"/>
        <w:spacing w:after="0"/>
        <w:tabs>
          <w:tab w:leader="none" w:pos="1021" w:val="left"/>
        </w:tabs>
        <w:numPr>
          <w:ilvl w:val="0"/>
          <w:numId w:val="446"/>
        </w:numPr>
        <w:rPr>
          <w:rFonts w:ascii="Arial" w:cs="Arial" w:eastAsia="Arial" w:hAnsi="Arial"/>
          <w:sz w:val="20"/>
          <w:szCs w:val="20"/>
          <w:color w:val="auto"/>
        </w:rPr>
      </w:pPr>
      <w:r>
        <w:rPr>
          <w:rFonts w:ascii="Arial" w:cs="Arial" w:eastAsia="Arial" w:hAnsi="Arial"/>
          <w:sz w:val="20"/>
          <w:szCs w:val="20"/>
          <w:u w:val="single" w:color="auto"/>
          <w:color w:val="auto"/>
        </w:rPr>
        <w:t>Total Asset Value at Statement Date</w:t>
      </w:r>
      <w:r>
        <w:rPr>
          <w:rFonts w:ascii="Arial" w:cs="Arial" w:eastAsia="Arial" w:hAnsi="Arial"/>
          <w:sz w:val="20"/>
          <w:szCs w:val="20"/>
          <w:color w:val="auto"/>
        </w:rPr>
        <w:t>: (Line II.B.</w:t>
      </w:r>
      <w:r>
        <w:rPr>
          <w:rFonts w:ascii="Arial" w:cs="Arial" w:eastAsia="Arial" w:hAnsi="Arial"/>
          <w:sz w:val="20"/>
          <w:szCs w:val="20"/>
          <w:color w:val="FC0718"/>
          <w:strike w:val="1"/>
        </w:rPr>
        <w:t>7</w:t>
      </w:r>
      <w:r>
        <w:rPr>
          <w:rFonts w:ascii="Arial" w:cs="Arial" w:eastAsia="Arial" w:hAnsi="Arial"/>
          <w:sz w:val="20"/>
          <w:szCs w:val="20"/>
          <w:b w:val="1"/>
          <w:bCs w:val="1"/>
          <w:u w:val="single" w:color="auto"/>
          <w:color w:val="071DFF"/>
          <w:highlight w:val="lightGray"/>
        </w:rPr>
        <w:t>15</w:t>
      </w:r>
      <w:r>
        <w:rPr>
          <w:rFonts w:ascii="Arial" w:cs="Arial" w:eastAsia="Arial" w:hAnsi="Arial"/>
          <w:sz w:val="20"/>
          <w:szCs w:val="20"/>
          <w:color w:val="auto"/>
        </w:rPr>
        <w:t>.):</w:t>
      </w:r>
    </w:p>
    <w:p>
      <w:pPr>
        <w:spacing w:after="0" w:line="150" w:lineRule="exact"/>
        <w:rPr>
          <w:rFonts w:ascii="Arial" w:cs="Arial" w:eastAsia="Arial" w:hAnsi="Arial"/>
          <w:sz w:val="20"/>
          <w:szCs w:val="20"/>
          <w:color w:val="auto"/>
        </w:rPr>
      </w:pPr>
    </w:p>
    <w:p>
      <w:pPr>
        <w:ind w:left="1021" w:hanging="572"/>
        <w:spacing w:after="0"/>
        <w:tabs>
          <w:tab w:leader="none" w:pos="1021" w:val="left"/>
        </w:tabs>
        <w:numPr>
          <w:ilvl w:val="0"/>
          <w:numId w:val="446"/>
        </w:numPr>
        <w:rPr>
          <w:rFonts w:ascii="Arial" w:cs="Arial" w:eastAsia="Arial" w:hAnsi="Arial"/>
          <w:sz w:val="19"/>
          <w:szCs w:val="19"/>
          <w:color w:val="auto"/>
        </w:rPr>
      </w:pPr>
      <w:r>
        <w:rPr>
          <w:rFonts w:ascii="Arial" w:cs="Arial" w:eastAsia="Arial" w:hAnsi="Arial"/>
          <w:sz w:val="19"/>
          <w:szCs w:val="19"/>
          <w:color w:val="auto"/>
        </w:rPr>
        <w:t>Consolidated Total Indebtedness minus Unrestricted Cash Amount (Line III.A.3. – Line III.B.4.):</w:t>
      </w:r>
    </w:p>
    <w:p>
      <w:pPr>
        <w:spacing w:after="0" w:line="62" w:lineRule="exact"/>
        <w:rPr>
          <w:rFonts w:ascii="Arial" w:cs="Arial" w:eastAsia="Arial" w:hAnsi="Arial"/>
          <w:sz w:val="19"/>
          <w:szCs w:val="19"/>
          <w:color w:val="auto"/>
        </w:rPr>
      </w:pPr>
    </w:p>
    <w:p>
      <w:pPr>
        <w:ind w:left="441" w:right="2300"/>
        <w:spacing w:after="0" w:line="299" w:lineRule="auto"/>
        <w:rPr>
          <w:rFonts w:ascii="Arial" w:cs="Arial" w:eastAsia="Arial" w:hAnsi="Arial"/>
          <w:sz w:val="19"/>
          <w:szCs w:val="19"/>
          <w:color w:val="auto"/>
        </w:rPr>
      </w:pPr>
      <w:r>
        <w:rPr>
          <w:rFonts w:ascii="Arial" w:cs="Arial" w:eastAsia="Arial" w:hAnsi="Arial"/>
          <w:sz w:val="20"/>
          <w:szCs w:val="20"/>
          <w:b w:val="1"/>
          <w:bCs w:val="1"/>
          <w:color w:val="auto"/>
        </w:rPr>
        <w:t>Consolidated Total Leverage Ratio (Line III.D as a percentage of Line III.C): Maximum Permitted Consolidated Total Leverage Ratio:</w:t>
      </w:r>
    </w:p>
    <w:p>
      <w:pPr>
        <w:spacing w:after="0" w:line="1" w:lineRule="exact"/>
        <w:rPr>
          <w:rFonts w:ascii="Arial" w:cs="Arial" w:eastAsia="Arial" w:hAnsi="Arial"/>
          <w:sz w:val="19"/>
          <w:szCs w:val="19"/>
          <w:color w:val="auto"/>
        </w:rPr>
      </w:pPr>
    </w:p>
    <w:p>
      <w:pPr>
        <w:ind w:left="441"/>
        <w:spacing w:after="0"/>
        <w:rPr>
          <w:rFonts w:ascii="Arial" w:cs="Arial" w:eastAsia="Arial" w:hAnsi="Arial"/>
          <w:sz w:val="19"/>
          <w:szCs w:val="19"/>
          <w:color w:val="auto"/>
        </w:rPr>
      </w:pPr>
      <w:r>
        <w:rPr>
          <w:rFonts w:ascii="Arial" w:cs="Arial" w:eastAsia="Arial" w:hAnsi="Arial"/>
          <w:sz w:val="20"/>
          <w:szCs w:val="20"/>
          <w:b w:val="1"/>
          <w:bCs w:val="1"/>
          <w:color w:val="auto"/>
        </w:rPr>
        <w:t>[Pricing Level under the Leveraged-Based Applicable Rate [I][II][III][IV][V][VI]]</w:t>
      </w:r>
      <w:r>
        <w:rPr>
          <w:rFonts w:ascii="Arial" w:cs="Arial" w:eastAsia="Arial" w:hAnsi="Arial"/>
          <w:sz w:val="26"/>
          <w:szCs w:val="26"/>
          <w:b w:val="1"/>
          <w:bCs w:val="1"/>
          <w:color w:val="FC0718"/>
          <w:strike w:val="1"/>
          <w:vertAlign w:val="superscript"/>
        </w:rPr>
        <w:t>2</w:t>
      </w:r>
      <w:r>
        <w:rPr>
          <w:rFonts w:ascii="Arial" w:cs="Arial" w:eastAsia="Arial" w:hAnsi="Arial"/>
          <w:sz w:val="26"/>
          <w:szCs w:val="26"/>
          <w:b w:val="1"/>
          <w:bCs w:val="1"/>
          <w:u w:val="single" w:color="auto"/>
          <w:color w:val="071DFF"/>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4770755</wp:posOffset>
            </wp:positionH>
            <wp:positionV relativeFrom="paragraph">
              <wp:posOffset>-173355</wp:posOffset>
            </wp:positionV>
            <wp:extent cx="47625" cy="134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7625" cy="134620"/>
                    </a:xfrm>
                    <a:prstGeom prst="rect">
                      <a:avLst/>
                    </a:prstGeom>
                    <a:noFill/>
                  </pic:spPr>
                </pic:pic>
              </a:graphicData>
            </a:graphic>
          </wp:anchor>
        </w:drawing>
      </w:r>
    </w:p>
    <w:p>
      <w:pPr>
        <w:spacing w:after="0" w:line="256" w:lineRule="exact"/>
        <w:rPr>
          <w:sz w:val="20"/>
          <w:szCs w:val="20"/>
          <w:color w:val="auto"/>
        </w:rPr>
      </w:pPr>
    </w:p>
    <w:p>
      <w:pPr>
        <w:ind w:left="1"/>
        <w:spacing w:after="0"/>
        <w:tabs>
          <w:tab w:leader="none" w:pos="421" w:val="left"/>
        </w:tabs>
        <w:rPr>
          <w:sz w:val="20"/>
          <w:szCs w:val="20"/>
          <w:color w:val="auto"/>
        </w:rPr>
      </w:pPr>
      <w:r>
        <w:rPr>
          <w:rFonts w:ascii="Arial" w:cs="Arial" w:eastAsia="Arial" w:hAnsi="Arial"/>
          <w:sz w:val="20"/>
          <w:szCs w:val="20"/>
          <w:b w:val="1"/>
          <w:bCs w:val="1"/>
          <w:color w:val="auto"/>
        </w:rPr>
        <w:t>IV.</w:t>
      </w:r>
      <w:r>
        <w:rPr>
          <w:sz w:val="20"/>
          <w:szCs w:val="20"/>
          <w:color w:val="auto"/>
        </w:rPr>
        <w:tab/>
      </w:r>
      <w:r>
        <w:rPr>
          <w:rFonts w:ascii="Arial" w:cs="Arial" w:eastAsia="Arial" w:hAnsi="Arial"/>
          <w:sz w:val="17"/>
          <w:szCs w:val="17"/>
          <w:b w:val="1"/>
          <w:bCs w:val="1"/>
          <w:u w:val="single" w:color="auto"/>
          <w:color w:val="auto"/>
        </w:rPr>
        <w:t>Section 7.11(</w:t>
      </w:r>
      <w:r>
        <w:rPr>
          <w:rFonts w:ascii="Arial" w:cs="Arial" w:eastAsia="Arial" w:hAnsi="Arial"/>
          <w:sz w:val="17"/>
          <w:szCs w:val="17"/>
          <w:b w:val="1"/>
          <w:bCs w:val="1"/>
          <w:u w:val="single" w:color="auto"/>
          <w:color w:val="FC0718"/>
          <w:strike w:val="1"/>
        </w:rPr>
        <w:t>d</w:t>
      </w:r>
      <w:r>
        <w:rPr>
          <w:rFonts w:ascii="Arial" w:cs="Arial" w:eastAsia="Arial" w:hAnsi="Arial"/>
          <w:sz w:val="17"/>
          <w:szCs w:val="17"/>
          <w:b w:val="1"/>
          <w:bCs w:val="1"/>
          <w:u w:val="single" w:color="auto"/>
          <w:color w:val="071DFF"/>
          <w:highlight w:val="lightGray"/>
        </w:rPr>
        <w:t>c</w:t>
      </w:r>
      <w:r>
        <w:rPr>
          <w:rFonts w:ascii="Arial" w:cs="Arial" w:eastAsia="Arial" w:hAnsi="Arial"/>
          <w:sz w:val="17"/>
          <w:szCs w:val="17"/>
          <w:b w:val="1"/>
          <w:bCs w:val="1"/>
          <w:u w:val="single" w:color="auto"/>
          <w:color w:val="auto"/>
        </w:rPr>
        <w:t>) – Consolidated Fixed Charge Coverage Ratio</w:t>
      </w:r>
    </w:p>
    <w:p>
      <w:pPr>
        <w:spacing w:after="0" w:line="51" w:lineRule="exact"/>
        <w:rPr>
          <w:sz w:val="20"/>
          <w:szCs w:val="20"/>
          <w:color w:val="auto"/>
        </w:rPr>
      </w:pPr>
    </w:p>
    <w:p>
      <w:pPr>
        <w:ind w:left="1021" w:right="220" w:hanging="572"/>
        <w:spacing w:after="0" w:line="259" w:lineRule="auto"/>
        <w:tabs>
          <w:tab w:leader="none" w:pos="1021" w:val="left"/>
        </w:tabs>
        <w:numPr>
          <w:ilvl w:val="0"/>
          <w:numId w:val="447"/>
        </w:numPr>
        <w:rPr>
          <w:rFonts w:ascii="Arial" w:cs="Arial" w:eastAsia="Arial" w:hAnsi="Arial"/>
          <w:sz w:val="20"/>
          <w:szCs w:val="20"/>
          <w:color w:val="auto"/>
        </w:rPr>
      </w:pPr>
      <w:r>
        <w:rPr>
          <w:rFonts w:ascii="Arial" w:cs="Arial" w:eastAsia="Arial" w:hAnsi="Arial"/>
          <w:sz w:val="20"/>
          <w:szCs w:val="20"/>
          <w:color w:val="auto"/>
        </w:rPr>
        <w:t>Consolidated EBITDA for the four consecutive fiscal quarters of the REIT ending on Statement Date (“</w:t>
      </w:r>
      <w:r>
        <w:rPr>
          <w:rFonts w:ascii="Arial" w:cs="Arial" w:eastAsia="Arial" w:hAnsi="Arial"/>
          <w:sz w:val="20"/>
          <w:szCs w:val="20"/>
          <w:u w:val="single" w:color="auto"/>
          <w:color w:val="auto"/>
        </w:rPr>
        <w:t>4 Quarter Subject Period</w:t>
      </w:r>
      <w:r>
        <w:rPr>
          <w:rFonts w:ascii="Arial" w:cs="Arial" w:eastAsia="Arial" w:hAnsi="Arial"/>
          <w:sz w:val="20"/>
          <w:szCs w:val="20"/>
          <w:color w:val="auto"/>
        </w:rPr>
        <w:t>”):</w:t>
      </w:r>
    </w:p>
    <w:p>
      <w:pPr>
        <w:spacing w:after="0" w:line="3" w:lineRule="exact"/>
        <w:rPr>
          <w:rFonts w:ascii="Arial" w:cs="Arial" w:eastAsia="Arial" w:hAnsi="Arial"/>
          <w:sz w:val="20"/>
          <w:szCs w:val="20"/>
          <w:color w:val="auto"/>
        </w:rPr>
      </w:pPr>
    </w:p>
    <w:p>
      <w:pPr>
        <w:ind w:left="1021"/>
        <w:spacing w:after="0"/>
        <w:rPr>
          <w:rFonts w:ascii="Arial" w:cs="Arial" w:eastAsia="Arial" w:hAnsi="Arial"/>
          <w:sz w:val="20"/>
          <w:szCs w:val="20"/>
          <w:color w:val="auto"/>
        </w:rPr>
      </w:pPr>
      <w:r>
        <w:rPr>
          <w:rFonts w:ascii="Arial" w:cs="Arial" w:eastAsia="Arial" w:hAnsi="Arial"/>
          <w:sz w:val="20"/>
          <w:szCs w:val="20"/>
          <w:color w:val="auto"/>
        </w:rPr>
        <w:t>1.</w:t>
      </w:r>
      <w:r>
        <w:rPr>
          <w:rFonts w:ascii="Arial" w:cs="Arial" w:eastAsia="Arial" w:hAnsi="Arial"/>
          <w:sz w:val="18"/>
          <w:szCs w:val="18"/>
          <w:color w:val="auto"/>
        </w:rPr>
        <w:t>Consolidated Net Income for 4 Quarter Subject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595630</wp:posOffset>
            </wp:positionV>
            <wp:extent cx="713803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80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4236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4236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4236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42365"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4236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4236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3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1142365"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37"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60%</w:t>
      </w:r>
    </w:p>
    <w:p>
      <w:pPr>
        <w:spacing w:after="0" w:line="1829" w:lineRule="exact"/>
        <w:rPr>
          <w:sz w:val="20"/>
          <w:szCs w:val="20"/>
          <w:color w:val="auto"/>
        </w:rPr>
      </w:pPr>
    </w:p>
    <w:p>
      <w:pPr>
        <w:sectPr>
          <w:pgSz w:w="11900" w:h="16838" w:orient="portrait"/>
          <w:cols w:equalWidth="0" w:num="2">
            <w:col w:w="9321" w:space="120"/>
            <w:col w:w="1740"/>
          </w:cols>
          <w:pgMar w:left="359" w:top="92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
        <w:spacing w:after="0"/>
        <w:tabs>
          <w:tab w:leader="none" w:pos="421" w:val="left"/>
        </w:tabs>
        <w:rPr>
          <w:sz w:val="20"/>
          <w:szCs w:val="20"/>
          <w:color w:val="auto"/>
        </w:rPr>
      </w:pPr>
      <w:r>
        <w:rPr>
          <w:rFonts w:ascii="Arial" w:cs="Arial" w:eastAsia="Arial" w:hAnsi="Arial"/>
          <w:sz w:val="13"/>
          <w:szCs w:val="13"/>
          <w:b w:val="1"/>
          <w:bCs w:val="1"/>
          <w:color w:val="FC0718"/>
          <w:strike w:val="1"/>
        </w:rPr>
        <w:t>2</w:t>
      </w:r>
      <w:r>
        <w:rPr>
          <w:rFonts w:ascii="Arial" w:cs="Arial" w:eastAsia="Arial" w:hAnsi="Arial"/>
          <w:sz w:val="13"/>
          <w:szCs w:val="13"/>
          <w:b w:val="1"/>
          <w:bCs w:val="1"/>
          <w:u w:val="single" w:color="auto"/>
          <w:color w:val="071DFF"/>
          <w:highlight w:val="lightGray"/>
        </w:rPr>
        <w:t>7</w:t>
      </w:r>
      <w:r>
        <w:rPr>
          <w:sz w:val="20"/>
          <w:szCs w:val="20"/>
          <w:color w:val="auto"/>
        </w:rPr>
        <w:tab/>
      </w:r>
      <w:r>
        <w:rPr>
          <w:rFonts w:ascii="Arial" w:cs="Arial" w:eastAsia="Arial" w:hAnsi="Arial"/>
          <w:sz w:val="12"/>
          <w:szCs w:val="12"/>
          <w:color w:val="auto"/>
        </w:rPr>
        <w:t>Applicable only prior to Investment Grade Pricing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D-5</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of Compliance Certificate</w:t>
      </w:r>
    </w:p>
    <w:p>
      <w:pPr>
        <w:sectPr>
          <w:pgSz w:w="11900" w:h="16838" w:orient="portrait"/>
          <w:cols w:equalWidth="0" w:num="1">
            <w:col w:w="11181"/>
          </w:cols>
          <w:pgMar w:left="359" w:top="926" w:right="359" w:bottom="1440" w:gutter="0" w:footer="0" w:header="0"/>
          <w:type w:val="continuous"/>
        </w:sectPr>
      </w:pPr>
    </w:p>
    <w:bookmarkStart w:id="376" w:name="page377"/>
    <w:bookmarkEnd w:id="376"/>
    <w:p>
      <w:pPr>
        <w:ind w:left="570" w:right="20"/>
        <w:spacing w:after="0" w:line="247" w:lineRule="auto"/>
        <w:rPr>
          <w:sz w:val="20"/>
          <w:szCs w:val="20"/>
          <w:color w:val="auto"/>
        </w:rPr>
      </w:pPr>
      <w:r>
        <w:rPr>
          <w:rFonts w:ascii="Arial" w:cs="Arial" w:eastAsia="Arial" w:hAnsi="Arial"/>
          <w:sz w:val="20"/>
          <w:szCs w:val="20"/>
          <w:color w:val="auto"/>
        </w:rPr>
        <w:t>a. The net income (or loss) of the Consolidated Group (including the Consolidated Group Pro Rata Share of the net income (or loss) of each Unconsolidated Affiliate), computed in accordance with GAAP for 4 Quarter Subject Period:</w:t>
      </w:r>
    </w:p>
    <w:p>
      <w:pPr>
        <w:spacing w:after="0" w:line="14" w:lineRule="exact"/>
        <w:rPr>
          <w:sz w:val="20"/>
          <w:szCs w:val="20"/>
          <w:color w:val="auto"/>
        </w:rPr>
      </w:pPr>
    </w:p>
    <w:p>
      <w:pPr>
        <w:ind w:left="570" w:right="500"/>
        <w:spacing w:after="0" w:line="242" w:lineRule="auto"/>
        <w:rPr>
          <w:sz w:val="20"/>
          <w:szCs w:val="20"/>
          <w:color w:val="auto"/>
        </w:rPr>
      </w:pPr>
      <w:r>
        <w:rPr>
          <w:rFonts w:ascii="Arial" w:cs="Arial" w:eastAsia="Arial" w:hAnsi="Arial"/>
          <w:sz w:val="20"/>
          <w:szCs w:val="20"/>
          <w:color w:val="auto"/>
        </w:rPr>
        <w:t>b. Any extraordinary or non-recurring gain realized during 4 Quarter Subject Period by any member of Consolidated Group (including Consolidated Group Pro Rata Share of any extraordinary or non-recurring gain realized during 4 Quarter Subject Period by any Unconsolidated Affiliate):</w:t>
      </w:r>
    </w:p>
    <w:p>
      <w:pPr>
        <w:spacing w:after="0" w:line="22" w:lineRule="exact"/>
        <w:rPr>
          <w:sz w:val="20"/>
          <w:szCs w:val="20"/>
          <w:color w:val="auto"/>
        </w:rPr>
      </w:pPr>
    </w:p>
    <w:p>
      <w:pPr>
        <w:ind w:left="570" w:right="540"/>
        <w:spacing w:after="0" w:line="242" w:lineRule="auto"/>
        <w:rPr>
          <w:sz w:val="20"/>
          <w:szCs w:val="20"/>
          <w:color w:val="auto"/>
        </w:rPr>
      </w:pPr>
      <w:r>
        <w:rPr>
          <w:rFonts w:ascii="Arial" w:cs="Arial" w:eastAsia="Arial" w:hAnsi="Arial"/>
          <w:sz w:val="20"/>
          <w:szCs w:val="20"/>
          <w:color w:val="auto"/>
        </w:rPr>
        <w:t>c. Any extraordinary or non-recurring loss realized during 4 Quarter Subject Period by any member of Consolidated Group (including Consolidated Group Pro Rata Share of any extraordinary or non-recurring loss realized during 4 Quarter Subject Period by any Unconsolidated Affiliate):</w:t>
      </w:r>
    </w:p>
    <w:p>
      <w:pPr>
        <w:spacing w:after="0" w:line="22" w:lineRule="exact"/>
        <w:rPr>
          <w:sz w:val="20"/>
          <w:szCs w:val="20"/>
          <w:color w:val="auto"/>
        </w:rPr>
      </w:pPr>
    </w:p>
    <w:p>
      <w:pPr>
        <w:ind w:left="570"/>
        <w:spacing w:after="0"/>
        <w:rPr>
          <w:sz w:val="20"/>
          <w:szCs w:val="20"/>
          <w:color w:val="auto"/>
        </w:rPr>
      </w:pPr>
      <w:r>
        <w:rPr>
          <w:rFonts w:ascii="Arial" w:cs="Arial" w:eastAsia="Arial" w:hAnsi="Arial"/>
          <w:sz w:val="20"/>
          <w:szCs w:val="20"/>
          <w:color w:val="auto"/>
        </w:rPr>
        <w:t>d. Consolidated Net Income (Line IV.A.1.a. - Line IV.A.1.b. + Line IV.A.1.c.):</w:t>
      </w:r>
    </w:p>
    <w:p>
      <w:pPr>
        <w:spacing w:after="0" w:line="57" w:lineRule="exact"/>
        <w:rPr>
          <w:sz w:val="20"/>
          <w:szCs w:val="20"/>
          <w:color w:val="auto"/>
        </w:rPr>
      </w:pPr>
    </w:p>
    <w:p>
      <w:pPr>
        <w:ind w:left="570" w:hanging="570"/>
        <w:spacing w:after="0" w:line="271" w:lineRule="auto"/>
        <w:tabs>
          <w:tab w:leader="none" w:pos="57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Total cash interest expense (including, for the avoidance of doubt, capitalized interest) of the Consolidated Group for 4 Quarter Subject Period determined on a consolidated basis in accordance with GAAP (including the Consolidated Group Pro Rata Share of total cash interest expense (including, for the avoidance of doubt, capitalized interest) of each Unconsolidated Affiliated for 4 Quarter Subject Period determined in accordance with GAAP) (plus, to the extent not already included in such total cash interest expense, amortization of deferred financing costs):</w:t>
      </w:r>
    </w:p>
    <w:p>
      <w:pPr>
        <w:spacing w:after="0" w:line="221" w:lineRule="exact"/>
        <w:rPr>
          <w:rFonts w:ascii="Arial" w:cs="Arial" w:eastAsia="Arial" w:hAnsi="Arial"/>
          <w:sz w:val="18"/>
          <w:szCs w:val="18"/>
          <w:color w:val="auto"/>
        </w:rPr>
      </w:pPr>
    </w:p>
    <w:p>
      <w:pPr>
        <w:ind w:left="570" w:right="80" w:hanging="570"/>
        <w:spacing w:after="0" w:line="265" w:lineRule="auto"/>
        <w:tabs>
          <w:tab w:leader="none" w:pos="570" w:val="left"/>
        </w:tabs>
        <w:numPr>
          <w:ilvl w:val="0"/>
          <w:numId w:val="448"/>
        </w:numPr>
        <w:rPr>
          <w:rFonts w:ascii="Arial" w:cs="Arial" w:eastAsia="Arial" w:hAnsi="Arial"/>
          <w:sz w:val="19"/>
          <w:szCs w:val="19"/>
          <w:color w:val="auto"/>
        </w:rPr>
      </w:pPr>
      <w:r>
        <w:rPr>
          <w:rFonts w:ascii="Arial" w:cs="Arial" w:eastAsia="Arial" w:hAnsi="Arial"/>
          <w:sz w:val="19"/>
          <w:szCs w:val="19"/>
          <w:color w:val="auto"/>
        </w:rPr>
        <w:t>Provision for federal, state, local and foreign income taxes of the Consolidated Group (including the Consolidated Group Pro Rata Share of the provision for federal, state, local and foreign income taxes of each Unconsolidated Affiliate) for 4 Quarter Subject Period:</w:t>
      </w:r>
    </w:p>
    <w:p>
      <w:pPr>
        <w:ind w:left="570" w:right="240" w:hanging="570"/>
        <w:spacing w:after="0" w:line="289" w:lineRule="auto"/>
        <w:tabs>
          <w:tab w:leader="none" w:pos="57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Non-cash charges of the Consolidated Group for 4 Quarter Subject Period (excluding any non-cash charge that results in an accrual of a reserve for a cash charge in any future period):</w:t>
      </w:r>
    </w:p>
    <w:p>
      <w:pPr>
        <w:spacing w:after="0" w:line="1" w:lineRule="exact"/>
        <w:rPr>
          <w:rFonts w:ascii="Arial" w:cs="Arial" w:eastAsia="Arial" w:hAnsi="Arial"/>
          <w:sz w:val="18"/>
          <w:szCs w:val="18"/>
          <w:color w:val="auto"/>
        </w:rPr>
      </w:pPr>
    </w:p>
    <w:p>
      <w:pPr>
        <w:ind w:left="570" w:right="120" w:hanging="570"/>
        <w:spacing w:after="0" w:line="247" w:lineRule="auto"/>
        <w:tabs>
          <w:tab w:leader="none" w:pos="570" w:val="left"/>
        </w:tabs>
        <w:numPr>
          <w:ilvl w:val="0"/>
          <w:numId w:val="448"/>
        </w:numPr>
        <w:rPr>
          <w:rFonts w:ascii="Arial" w:cs="Arial" w:eastAsia="Arial" w:hAnsi="Arial"/>
          <w:sz w:val="20"/>
          <w:szCs w:val="20"/>
          <w:color w:val="auto"/>
        </w:rPr>
      </w:pPr>
      <w:r>
        <w:rPr>
          <w:rFonts w:ascii="Arial" w:cs="Arial" w:eastAsia="Arial" w:hAnsi="Arial"/>
          <w:sz w:val="20"/>
          <w:szCs w:val="20"/>
          <w:color w:val="auto"/>
        </w:rPr>
        <w:t>Consolidated Group Pro Rata Share of non-cash charges of Unconsolidated Affiliates for 4 Quarter Subject Period (excluding any non-cash charge that results in an accrual of a reserve for a cash charge in any future period):</w:t>
      </w:r>
    </w:p>
    <w:p>
      <w:pPr>
        <w:spacing w:after="0" w:line="14" w:lineRule="exact"/>
        <w:rPr>
          <w:rFonts w:ascii="Arial" w:cs="Arial" w:eastAsia="Arial" w:hAnsi="Arial"/>
          <w:sz w:val="20"/>
          <w:szCs w:val="20"/>
          <w:color w:val="auto"/>
        </w:rPr>
      </w:pPr>
    </w:p>
    <w:p>
      <w:pPr>
        <w:ind w:left="570" w:right="240" w:hanging="570"/>
        <w:spacing w:after="0" w:line="242" w:lineRule="auto"/>
        <w:tabs>
          <w:tab w:leader="none" w:pos="570" w:val="left"/>
        </w:tabs>
        <w:numPr>
          <w:ilvl w:val="0"/>
          <w:numId w:val="448"/>
        </w:numPr>
        <w:rPr>
          <w:rFonts w:ascii="Arial" w:cs="Arial" w:eastAsia="Arial" w:hAnsi="Arial"/>
          <w:sz w:val="20"/>
          <w:szCs w:val="20"/>
          <w:color w:val="auto"/>
        </w:rPr>
      </w:pPr>
      <w:r>
        <w:rPr>
          <w:rFonts w:ascii="Arial" w:cs="Arial" w:eastAsia="Arial" w:hAnsi="Arial"/>
          <w:sz w:val="20"/>
          <w:szCs w:val="20"/>
          <w:color w:val="auto"/>
        </w:rPr>
        <w:t>Acquisition closing costs of the Consolidated Group that were capitalized prior to FAS 141-R reducing Consolidated Net Income (including the Consolidated Group Pro Rata Share of acquisition closing costs of Unconsolidated Affiliates that were capitalized prior to FAS 141-R reducing Consolidated Net Income):</w:t>
      </w:r>
    </w:p>
    <w:p>
      <w:pPr>
        <w:spacing w:after="0" w:line="21" w:lineRule="exact"/>
        <w:rPr>
          <w:rFonts w:ascii="Arial" w:cs="Arial" w:eastAsia="Arial" w:hAnsi="Arial"/>
          <w:sz w:val="20"/>
          <w:szCs w:val="20"/>
          <w:color w:val="auto"/>
        </w:rPr>
      </w:pPr>
    </w:p>
    <w:p>
      <w:pPr>
        <w:ind w:left="570" w:right="240" w:hanging="570"/>
        <w:spacing w:after="0" w:line="247" w:lineRule="auto"/>
        <w:tabs>
          <w:tab w:leader="none" w:pos="570" w:val="left"/>
        </w:tabs>
        <w:numPr>
          <w:ilvl w:val="0"/>
          <w:numId w:val="448"/>
        </w:numPr>
        <w:rPr>
          <w:rFonts w:ascii="Arial" w:cs="Arial" w:eastAsia="Arial" w:hAnsi="Arial"/>
          <w:sz w:val="20"/>
          <w:szCs w:val="20"/>
          <w:color w:val="auto"/>
        </w:rPr>
      </w:pPr>
      <w:r>
        <w:rPr>
          <w:rFonts w:ascii="Arial" w:cs="Arial" w:eastAsia="Arial" w:hAnsi="Arial"/>
          <w:sz w:val="20"/>
          <w:szCs w:val="20"/>
          <w:color w:val="auto"/>
        </w:rPr>
        <w:t>Depreciation and amortization expense of the Consolidated Group (including the Consolidated Group Pro Rata Share of depreciation and amortization expense of each Unconsolidated Affiliate) for 4 Quarter Subject Period:</w:t>
      </w:r>
    </w:p>
    <w:p>
      <w:pPr>
        <w:spacing w:after="0" w:line="14" w:lineRule="exact"/>
        <w:rPr>
          <w:rFonts w:ascii="Arial" w:cs="Arial" w:eastAsia="Arial" w:hAnsi="Arial"/>
          <w:sz w:val="20"/>
          <w:szCs w:val="20"/>
          <w:color w:val="auto"/>
        </w:rPr>
      </w:pPr>
    </w:p>
    <w:p>
      <w:pPr>
        <w:jc w:val="both"/>
        <w:ind w:left="570" w:right="20" w:hanging="570"/>
        <w:spacing w:after="0" w:line="279" w:lineRule="auto"/>
        <w:tabs>
          <w:tab w:leader="none" w:pos="57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One-time costs and expenses relating to the effectiveness of the credit facilities evidenced by the Agreement and the transactions relating thereto, to the extent such fees and expenses are incurred on or prior to the date that is ninety-days following the Restatement Effective Date:</w:t>
      </w:r>
    </w:p>
    <w:p>
      <w:pPr>
        <w:spacing w:after="0" w:line="2" w:lineRule="exact"/>
        <w:rPr>
          <w:rFonts w:ascii="Arial" w:cs="Arial" w:eastAsia="Arial" w:hAnsi="Arial"/>
          <w:sz w:val="18"/>
          <w:szCs w:val="18"/>
          <w:color w:val="auto"/>
        </w:rPr>
      </w:pPr>
    </w:p>
    <w:p>
      <w:pPr>
        <w:jc w:val="both"/>
        <w:ind w:left="570" w:right="100" w:hanging="570"/>
        <w:spacing w:after="0" w:line="287" w:lineRule="auto"/>
        <w:tabs>
          <w:tab w:leader="none" w:pos="57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Non-cash items of the Consolidated Group for 4 Quarter Subject Period increasing Consolidated Net Income (other than the reversal of any accrual of a reserve referred to in the parenthetical in Line IV.A.4. above, except to the extent such reversal results from a cash payment):</w:t>
      </w:r>
    </w:p>
    <w:p>
      <w:pPr>
        <w:spacing w:after="0" w:line="207" w:lineRule="exact"/>
        <w:rPr>
          <w:sz w:val="20"/>
          <w:szCs w:val="20"/>
          <w:color w:val="auto"/>
        </w:rPr>
      </w:pPr>
    </w:p>
    <w:p>
      <w:pPr>
        <w:jc w:val="center"/>
        <w:ind w:left="790"/>
        <w:spacing w:after="0"/>
        <w:rPr>
          <w:sz w:val="20"/>
          <w:szCs w:val="20"/>
          <w:color w:val="auto"/>
        </w:rPr>
      </w:pPr>
      <w:r>
        <w:rPr>
          <w:rFonts w:ascii="Arial" w:cs="Arial" w:eastAsia="Arial" w:hAnsi="Arial"/>
          <w:sz w:val="20"/>
          <w:szCs w:val="20"/>
          <w:color w:val="auto"/>
        </w:rPr>
        <w:t>D-6</w:t>
      </w:r>
    </w:p>
    <w:p>
      <w:pPr>
        <w:spacing w:after="0" w:line="23" w:lineRule="exact"/>
        <w:rPr>
          <w:sz w:val="20"/>
          <w:szCs w:val="20"/>
          <w:color w:val="auto"/>
        </w:rPr>
      </w:pPr>
    </w:p>
    <w:p>
      <w:pPr>
        <w:jc w:val="center"/>
        <w:ind w:left="790"/>
        <w:spacing w:after="0"/>
        <w:rPr>
          <w:sz w:val="20"/>
          <w:szCs w:val="20"/>
          <w:color w:val="auto"/>
        </w:rPr>
      </w:pPr>
      <w:r>
        <w:rPr>
          <w:rFonts w:ascii="Arial" w:cs="Arial" w:eastAsia="Arial" w:hAnsi="Arial"/>
          <w:sz w:val="20"/>
          <w:szCs w:val="20"/>
          <w:color w:val="auto"/>
        </w:rPr>
        <w:t>Form of Compliance Certificate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4236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42365"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42365"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42365"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4236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42365"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4236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4236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42365"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4236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4236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4236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ectPr>
          <w:pgSz w:w="11900" w:h="16838" w:orient="portrait"/>
          <w:cols w:equalWidth="0" w:num="2">
            <w:col w:w="8370" w:space="60"/>
            <w:col w:w="659"/>
          </w:cols>
          <w:pgMar w:left="1370" w:top="932" w:right="1440" w:bottom="1440" w:gutter="0" w:footer="0" w:header="0"/>
        </w:sectPr>
      </w:pPr>
    </w:p>
    <w:bookmarkStart w:id="377" w:name="page378"/>
    <w:bookmarkEnd w:id="377"/>
    <w:p>
      <w:pPr>
        <w:ind w:left="1581" w:hanging="570"/>
        <w:spacing w:after="0" w:line="242" w:lineRule="auto"/>
        <w:tabs>
          <w:tab w:leader="none" w:pos="1581" w:val="left"/>
        </w:tabs>
        <w:numPr>
          <w:ilvl w:val="2"/>
          <w:numId w:val="449"/>
        </w:numPr>
        <w:rPr>
          <w:rFonts w:ascii="Arial" w:cs="Arial" w:eastAsia="Arial" w:hAnsi="Arial"/>
          <w:sz w:val="20"/>
          <w:szCs w:val="20"/>
          <w:color w:val="auto"/>
        </w:rPr>
      </w:pPr>
      <w:r>
        <w:rPr>
          <w:rFonts w:ascii="Arial" w:cs="Arial" w:eastAsia="Arial" w:hAnsi="Arial"/>
          <w:sz w:val="20"/>
          <w:szCs w:val="20"/>
          <w:color w:val="auto"/>
        </w:rPr>
        <w:t>Consolidated Group Pro Rata Share of non-cash items of Unconsolidated Affiliates for 4 Quarter Subject Period increasing Consolidated Net Income (other than the reversal of any accrual of a reserve referred to in the parenthetical in Line IV.A.5. above, except to the extent such reversal results from a cash payment):</w:t>
      </w:r>
    </w:p>
    <w:p>
      <w:pPr>
        <w:spacing w:after="0" w:line="21" w:lineRule="exact"/>
        <w:rPr>
          <w:rFonts w:ascii="Arial" w:cs="Arial" w:eastAsia="Arial" w:hAnsi="Arial"/>
          <w:sz w:val="20"/>
          <w:szCs w:val="20"/>
          <w:color w:val="auto"/>
        </w:rPr>
      </w:pPr>
    </w:p>
    <w:p>
      <w:pPr>
        <w:ind w:left="1581" w:right="360" w:hanging="570"/>
        <w:spacing w:after="0" w:line="286" w:lineRule="auto"/>
        <w:tabs>
          <w:tab w:leader="none" w:pos="1581" w:val="left"/>
        </w:tabs>
        <w:numPr>
          <w:ilvl w:val="2"/>
          <w:numId w:val="449"/>
        </w:numPr>
        <w:rPr>
          <w:rFonts w:ascii="Arial" w:cs="Arial" w:eastAsia="Arial" w:hAnsi="Arial"/>
          <w:sz w:val="19"/>
          <w:szCs w:val="19"/>
          <w:color w:val="auto"/>
        </w:rPr>
      </w:pPr>
      <w:r>
        <w:rPr>
          <w:rFonts w:ascii="Arial" w:cs="Arial" w:eastAsia="Arial" w:hAnsi="Arial"/>
          <w:sz w:val="19"/>
          <w:szCs w:val="19"/>
          <w:u w:val="single" w:color="auto"/>
          <w:color w:val="auto"/>
        </w:rPr>
        <w:t>Consolidated EBITDA</w:t>
      </w:r>
      <w:r>
        <w:rPr>
          <w:rFonts w:ascii="Arial" w:cs="Arial" w:eastAsia="Arial" w:hAnsi="Arial"/>
          <w:sz w:val="19"/>
          <w:szCs w:val="19"/>
          <w:color w:val="auto"/>
        </w:rPr>
        <w:t xml:space="preserve"> (Lines IV.A.1.d. + Line IV.A.2. + Line IV.A.3. + Line IV.A.4. + Line IV.A.5. + Line IV.A.6. + Line IV.A.7. + Line IV.A.8. - Line IV.A.9. – Line IV.A.10.):</w:t>
      </w:r>
    </w:p>
    <w:p>
      <w:pPr>
        <w:spacing w:after="0" w:line="291" w:lineRule="exact"/>
        <w:rPr>
          <w:rFonts w:ascii="Arial" w:cs="Arial" w:eastAsia="Arial" w:hAnsi="Arial"/>
          <w:sz w:val="19"/>
          <w:szCs w:val="19"/>
          <w:color w:val="auto"/>
        </w:rPr>
      </w:pPr>
    </w:p>
    <w:p>
      <w:pPr>
        <w:ind w:left="1021" w:hanging="572"/>
        <w:spacing w:after="0"/>
        <w:tabs>
          <w:tab w:leader="none" w:pos="1021" w:val="left"/>
        </w:tabs>
        <w:numPr>
          <w:ilvl w:val="1"/>
          <w:numId w:val="450"/>
        </w:numPr>
        <w:rPr>
          <w:rFonts w:ascii="Arial" w:cs="Arial" w:eastAsia="Arial" w:hAnsi="Arial"/>
          <w:sz w:val="20"/>
          <w:szCs w:val="20"/>
          <w:color w:val="auto"/>
        </w:rPr>
      </w:pPr>
      <w:r>
        <w:rPr>
          <w:rFonts w:ascii="Arial" w:cs="Arial" w:eastAsia="Arial" w:hAnsi="Arial"/>
          <w:sz w:val="20"/>
          <w:szCs w:val="20"/>
          <w:color w:val="auto"/>
        </w:rPr>
        <w:t>Consolidated Fixed Charges for 4 Quarter Subject Period:</w:t>
      </w:r>
    </w:p>
    <w:p>
      <w:pPr>
        <w:spacing w:after="0" w:line="44" w:lineRule="exact"/>
        <w:rPr>
          <w:rFonts w:ascii="Arial" w:cs="Arial" w:eastAsia="Arial" w:hAnsi="Arial"/>
          <w:sz w:val="20"/>
          <w:szCs w:val="20"/>
          <w:color w:val="auto"/>
        </w:rPr>
      </w:pPr>
    </w:p>
    <w:p>
      <w:pPr>
        <w:ind w:left="1581" w:right="100" w:hanging="570"/>
        <w:spacing w:after="0" w:line="270" w:lineRule="auto"/>
        <w:tabs>
          <w:tab w:leader="none" w:pos="1581" w:val="left"/>
        </w:tabs>
        <w:numPr>
          <w:ilvl w:val="2"/>
          <w:numId w:val="450"/>
        </w:numPr>
        <w:rPr>
          <w:rFonts w:ascii="Arial" w:cs="Arial" w:eastAsia="Arial" w:hAnsi="Arial"/>
          <w:sz w:val="18"/>
          <w:szCs w:val="18"/>
          <w:color w:val="auto"/>
        </w:rPr>
      </w:pPr>
      <w:r>
        <w:rPr>
          <w:rFonts w:ascii="Arial" w:cs="Arial" w:eastAsia="Arial" w:hAnsi="Arial"/>
          <w:sz w:val="18"/>
          <w:szCs w:val="18"/>
          <w:color w:val="auto"/>
        </w:rPr>
        <w:t>Total cash interest expense (including, for the avoidance of doubt, capitalized interest) of the Consolidated Group for 4 Quarter Subject Period determined on a consolidated basis in accordance with GAAP (including the Consolidated Group Pro Rata Share of total cash interest expense (including, for the avoidance of doubt, capitalized interest) of each Unconsolidated Affiliated for 4 Quarter Subject Period determined in accordance with GAAP):</w:t>
      </w:r>
    </w:p>
    <w:p>
      <w:pPr>
        <w:spacing w:after="0" w:line="3" w:lineRule="exact"/>
        <w:rPr>
          <w:rFonts w:ascii="Arial" w:cs="Arial" w:eastAsia="Arial" w:hAnsi="Arial"/>
          <w:sz w:val="18"/>
          <w:szCs w:val="18"/>
          <w:color w:val="auto"/>
        </w:rPr>
      </w:pPr>
    </w:p>
    <w:p>
      <w:pPr>
        <w:ind w:left="1581" w:hanging="570"/>
        <w:spacing w:after="0" w:line="263" w:lineRule="auto"/>
        <w:tabs>
          <w:tab w:leader="none" w:pos="1581" w:val="left"/>
        </w:tabs>
        <w:numPr>
          <w:ilvl w:val="2"/>
          <w:numId w:val="450"/>
        </w:numPr>
        <w:rPr>
          <w:rFonts w:ascii="Arial" w:cs="Arial" w:eastAsia="Arial" w:hAnsi="Arial"/>
          <w:sz w:val="20"/>
          <w:szCs w:val="20"/>
          <w:color w:val="auto"/>
        </w:rPr>
      </w:pPr>
      <w:r>
        <w:rPr>
          <w:rFonts w:ascii="Arial" w:cs="Arial" w:eastAsia="Arial" w:hAnsi="Arial"/>
          <w:sz w:val="20"/>
          <w:szCs w:val="20"/>
          <w:color w:val="auto"/>
        </w:rPr>
        <w:t xml:space="preserve">Scheduled payments of principal on Consolidated Total </w:t>
      </w:r>
      <w:r>
        <w:rPr>
          <w:rFonts w:ascii="Arial" w:cs="Arial" w:eastAsia="Arial" w:hAnsi="Arial"/>
          <w:sz w:val="20"/>
          <w:szCs w:val="20"/>
          <w:color w:val="FF0000"/>
          <w:strike w:val="1"/>
        </w:rPr>
        <w:t>Debt</w:t>
      </w:r>
      <w:r>
        <w:rPr>
          <w:rFonts w:ascii="Arial" w:cs="Arial" w:eastAsia="Arial" w:hAnsi="Arial"/>
          <w:sz w:val="20"/>
          <w:szCs w:val="20"/>
          <w:b w:val="1"/>
          <w:bCs w:val="1"/>
          <w:u w:val="single" w:color="auto"/>
          <w:color w:val="0000FF"/>
          <w:highlight w:val="lightGray"/>
        </w:rPr>
        <w:t>Indebtedness</w:t>
      </w:r>
      <w:r>
        <w:rPr>
          <w:rFonts w:ascii="Arial" w:cs="Arial" w:eastAsia="Arial" w:hAnsi="Arial"/>
          <w:sz w:val="20"/>
          <w:szCs w:val="20"/>
          <w:color w:val="auto"/>
        </w:rPr>
        <w:t xml:space="preserve"> for 4 Quarter Subject Period (excluding balloon payments payable on maturity):</w:t>
      </w:r>
    </w:p>
    <w:p>
      <w:pPr>
        <w:spacing w:after="0" w:line="1" w:lineRule="exact"/>
        <w:rPr>
          <w:rFonts w:ascii="Arial" w:cs="Arial" w:eastAsia="Arial" w:hAnsi="Arial"/>
          <w:sz w:val="20"/>
          <w:szCs w:val="20"/>
          <w:color w:val="auto"/>
        </w:rPr>
      </w:pPr>
    </w:p>
    <w:p>
      <w:pPr>
        <w:ind w:left="1581" w:right="20" w:hanging="570"/>
        <w:spacing w:after="0" w:line="259" w:lineRule="auto"/>
        <w:tabs>
          <w:tab w:leader="none" w:pos="1581" w:val="left"/>
        </w:tabs>
        <w:numPr>
          <w:ilvl w:val="2"/>
          <w:numId w:val="450"/>
        </w:numPr>
        <w:rPr>
          <w:rFonts w:ascii="Arial" w:cs="Arial" w:eastAsia="Arial" w:hAnsi="Arial"/>
          <w:sz w:val="19"/>
          <w:szCs w:val="19"/>
          <w:color w:val="auto"/>
        </w:rPr>
      </w:pPr>
      <w:r>
        <w:rPr>
          <w:rFonts w:ascii="Arial" w:cs="Arial" w:eastAsia="Arial" w:hAnsi="Arial"/>
          <w:sz w:val="19"/>
          <w:szCs w:val="19"/>
          <w:color w:val="auto"/>
        </w:rPr>
        <w:t>The amount of dividends or distributions paid or required to be paid by any member of the Consolidated Group (other than to another member of the Consolidated Group) during 4 Quarter Subject Period in respect of its preferred Equity Interests (excluding any balloon payments payable on maturity or redemption in whole of such Equity Interests) :</w:t>
      </w:r>
    </w:p>
    <w:p>
      <w:pPr>
        <w:spacing w:after="0" w:line="6" w:lineRule="exact"/>
        <w:rPr>
          <w:rFonts w:ascii="Arial" w:cs="Arial" w:eastAsia="Arial" w:hAnsi="Arial"/>
          <w:sz w:val="19"/>
          <w:szCs w:val="19"/>
          <w:color w:val="auto"/>
        </w:rPr>
      </w:pPr>
    </w:p>
    <w:p>
      <w:pPr>
        <w:ind w:left="1581" w:right="60" w:hanging="570"/>
        <w:spacing w:after="0" w:line="253" w:lineRule="auto"/>
        <w:tabs>
          <w:tab w:leader="none" w:pos="1581" w:val="left"/>
        </w:tabs>
        <w:numPr>
          <w:ilvl w:val="2"/>
          <w:numId w:val="450"/>
        </w:numPr>
        <w:rPr>
          <w:rFonts w:ascii="Arial" w:cs="Arial" w:eastAsia="Arial" w:hAnsi="Arial"/>
          <w:sz w:val="19"/>
          <w:szCs w:val="19"/>
          <w:color w:val="auto"/>
        </w:rPr>
      </w:pPr>
      <w:r>
        <w:rPr>
          <w:rFonts w:ascii="Arial" w:cs="Arial" w:eastAsia="Arial" w:hAnsi="Arial"/>
          <w:sz w:val="19"/>
          <w:szCs w:val="19"/>
          <w:color w:val="auto"/>
        </w:rPr>
        <w:t>The Consolidated Group Pro Rata Share of the amount of dividends or distributions paid or required to be paid by any Unconsolidated Affiliate (to Persons other than (x) a member of the Consolidated Group or (y) an Unconsolidated Affiliate in which the percentage of Equity Interests of such Unconsolidated Affiliate owned by the Consolidated Group is greater than or equal to the percentage of Equity Interests owned by the Consolidated Group in the Unconsolidated Affiliate paying the dividend or distribution) during 4 Quarter Subject Period in respect of its preferred Equity Interests:</w:t>
      </w:r>
    </w:p>
    <w:p>
      <w:pPr>
        <w:spacing w:after="0" w:line="11" w:lineRule="exact"/>
        <w:rPr>
          <w:rFonts w:ascii="Arial" w:cs="Arial" w:eastAsia="Arial" w:hAnsi="Arial"/>
          <w:sz w:val="19"/>
          <w:szCs w:val="19"/>
          <w:color w:val="auto"/>
        </w:rPr>
      </w:pPr>
    </w:p>
    <w:p>
      <w:pPr>
        <w:ind w:left="1581" w:hanging="570"/>
        <w:spacing w:after="0"/>
        <w:tabs>
          <w:tab w:leader="none" w:pos="1581" w:val="left"/>
        </w:tabs>
        <w:numPr>
          <w:ilvl w:val="2"/>
          <w:numId w:val="450"/>
        </w:numPr>
        <w:rPr>
          <w:rFonts w:ascii="Arial" w:cs="Arial" w:eastAsia="Arial" w:hAnsi="Arial"/>
          <w:sz w:val="20"/>
          <w:szCs w:val="20"/>
          <w:color w:val="auto"/>
        </w:rPr>
      </w:pPr>
      <w:r>
        <w:rPr>
          <w:rFonts w:ascii="Arial" w:cs="Arial" w:eastAsia="Arial" w:hAnsi="Arial"/>
          <w:sz w:val="20"/>
          <w:szCs w:val="20"/>
          <w:color w:val="auto"/>
        </w:rPr>
        <w:t>Consolidated Fixed Charges (Line IV.B.1. + Line IV.B.2. + Line IV.B.3. + Line IV.B.4.):</w:t>
      </w:r>
    </w:p>
    <w:p>
      <w:pPr>
        <w:spacing w:after="0" w:line="51" w:lineRule="exact"/>
        <w:rPr>
          <w:rFonts w:ascii="Arial" w:cs="Arial" w:eastAsia="Arial" w:hAnsi="Arial"/>
          <w:sz w:val="20"/>
          <w:szCs w:val="20"/>
          <w:color w:val="auto"/>
        </w:rPr>
      </w:pPr>
    </w:p>
    <w:p>
      <w:pPr>
        <w:ind w:left="441" w:right="2560"/>
        <w:spacing w:after="0" w:line="331" w:lineRule="auto"/>
        <w:rPr>
          <w:rFonts w:ascii="Arial" w:cs="Arial" w:eastAsia="Arial" w:hAnsi="Arial"/>
          <w:sz w:val="20"/>
          <w:szCs w:val="20"/>
          <w:color w:val="auto"/>
        </w:rPr>
      </w:pPr>
      <w:r>
        <w:rPr>
          <w:rFonts w:ascii="Arial" w:cs="Arial" w:eastAsia="Arial" w:hAnsi="Arial"/>
          <w:sz w:val="20"/>
          <w:szCs w:val="20"/>
          <w:b w:val="1"/>
          <w:bCs w:val="1"/>
          <w:color w:val="auto"/>
        </w:rPr>
        <w:t>Consolidated Fixed Charge Coverage Ratio (Line IV.A.11. ÷ Line IV.B.5.): Minimum Required Fixed Charge Coverage Ratio:</w:t>
      </w:r>
    </w:p>
    <w:p>
      <w:pPr>
        <w:spacing w:after="0" w:line="227" w:lineRule="exact"/>
        <w:rPr>
          <w:rFonts w:ascii="Arial" w:cs="Arial" w:eastAsia="Arial" w:hAnsi="Arial"/>
          <w:sz w:val="20"/>
          <w:szCs w:val="20"/>
          <w:color w:val="auto"/>
        </w:rPr>
      </w:pPr>
    </w:p>
    <w:p>
      <w:pPr>
        <w:ind w:left="441" w:hanging="441"/>
        <w:spacing w:after="0"/>
        <w:tabs>
          <w:tab w:leader="none" w:pos="441" w:val="left"/>
        </w:tabs>
        <w:numPr>
          <w:ilvl w:val="0"/>
          <w:numId w:val="45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Section 7.11(</w:t>
      </w:r>
      <w:r>
        <w:rPr>
          <w:rFonts w:ascii="Arial" w:cs="Arial" w:eastAsia="Arial" w:hAnsi="Arial"/>
          <w:sz w:val="20"/>
          <w:szCs w:val="20"/>
          <w:b w:val="1"/>
          <w:bCs w:val="1"/>
          <w:u w:val="single" w:color="auto"/>
          <w:color w:val="FC0718"/>
          <w:strike w:val="1"/>
        </w:rPr>
        <w:t>c</w:t>
      </w:r>
      <w:r>
        <w:rPr>
          <w:rFonts w:ascii="Arial" w:cs="Arial" w:eastAsia="Arial" w:hAnsi="Arial"/>
          <w:sz w:val="20"/>
          <w:szCs w:val="20"/>
          <w:b w:val="1"/>
          <w:bCs w:val="1"/>
          <w:u w:val="single" w:color="auto"/>
          <w:color w:val="071DFF"/>
          <w:highlight w:val="lightGray"/>
        </w:rPr>
        <w:t>d</w:t>
      </w:r>
      <w:r>
        <w:rPr>
          <w:rFonts w:ascii="Arial" w:cs="Arial" w:eastAsia="Arial" w:hAnsi="Arial"/>
          <w:sz w:val="20"/>
          <w:szCs w:val="20"/>
          <w:b w:val="1"/>
          <w:bCs w:val="1"/>
          <w:u w:val="single" w:color="auto"/>
          <w:color w:val="auto"/>
        </w:rPr>
        <w:t>) – Consolidated Unsecured Interest Coverage Ratio</w:t>
      </w:r>
    </w:p>
    <w:p>
      <w:pPr>
        <w:spacing w:after="0" w:line="50" w:lineRule="exact"/>
        <w:rPr>
          <w:rFonts w:ascii="Arial" w:cs="Arial" w:eastAsia="Arial" w:hAnsi="Arial"/>
          <w:sz w:val="20"/>
          <w:szCs w:val="20"/>
          <w:b w:val="1"/>
          <w:bCs w:val="1"/>
          <w:color w:val="auto"/>
        </w:rPr>
      </w:pPr>
    </w:p>
    <w:p>
      <w:pPr>
        <w:ind w:left="1021" w:right="320" w:hanging="572"/>
        <w:spacing w:after="0" w:line="289" w:lineRule="auto"/>
        <w:tabs>
          <w:tab w:leader="none" w:pos="1021" w:val="left"/>
        </w:tabs>
        <w:numPr>
          <w:ilvl w:val="1"/>
          <w:numId w:val="451"/>
        </w:numPr>
        <w:rPr>
          <w:rFonts w:ascii="Arial" w:cs="Arial" w:eastAsia="Arial" w:hAnsi="Arial"/>
          <w:sz w:val="18"/>
          <w:szCs w:val="18"/>
          <w:color w:val="auto"/>
        </w:rPr>
      </w:pPr>
      <w:r>
        <w:rPr>
          <w:rFonts w:ascii="Arial" w:cs="Arial" w:eastAsia="Arial" w:hAnsi="Arial"/>
          <w:sz w:val="18"/>
          <w:szCs w:val="18"/>
          <w:color w:val="auto"/>
        </w:rPr>
        <w:t>Sum of Unencumbered Property NOI of each Unencumbered Eligible Property for the fiscal quarter ending on Statement Date (“</w:t>
      </w:r>
      <w:r>
        <w:rPr>
          <w:rFonts w:ascii="Arial" w:cs="Arial" w:eastAsia="Arial" w:hAnsi="Arial"/>
          <w:sz w:val="18"/>
          <w:szCs w:val="18"/>
          <w:u w:val="single" w:color="auto"/>
          <w:color w:val="auto"/>
        </w:rPr>
        <w:t>Subject Period</w:t>
      </w:r>
      <w:r>
        <w:rPr>
          <w:rFonts w:ascii="Arial" w:cs="Arial" w:eastAsia="Arial" w:hAnsi="Arial"/>
          <w:sz w:val="18"/>
          <w:szCs w:val="18"/>
          <w:color w:val="auto"/>
        </w:rPr>
        <w:t>”)(see Annex II attached hereto for calculation):</w:t>
      </w:r>
    </w:p>
    <w:p>
      <w:pPr>
        <w:spacing w:after="0" w:line="1" w:lineRule="exact"/>
        <w:rPr>
          <w:rFonts w:ascii="Arial" w:cs="Arial" w:eastAsia="Arial" w:hAnsi="Arial"/>
          <w:sz w:val="18"/>
          <w:szCs w:val="18"/>
          <w:color w:val="auto"/>
        </w:rPr>
      </w:pPr>
    </w:p>
    <w:p>
      <w:pPr>
        <w:ind w:left="1021" w:right="260" w:hanging="572"/>
        <w:spacing w:after="0" w:line="263" w:lineRule="auto"/>
        <w:tabs>
          <w:tab w:leader="none" w:pos="1021" w:val="left"/>
        </w:tabs>
        <w:numPr>
          <w:ilvl w:val="1"/>
          <w:numId w:val="451"/>
        </w:numPr>
        <w:rPr>
          <w:rFonts w:ascii="Arial" w:cs="Arial" w:eastAsia="Arial" w:hAnsi="Arial"/>
          <w:sz w:val="19"/>
          <w:szCs w:val="19"/>
          <w:color w:val="auto"/>
        </w:rPr>
      </w:pPr>
      <w:r>
        <w:rPr>
          <w:rFonts w:ascii="Arial" w:cs="Arial" w:eastAsia="Arial" w:hAnsi="Arial"/>
          <w:sz w:val="19"/>
          <w:szCs w:val="19"/>
          <w:color w:val="auto"/>
        </w:rPr>
        <w:t xml:space="preserve">Consolidated Unsecured Interest Expense for Subject Period (the portion of Consolidated Interest Expense for Subject Period that </w:t>
      </w:r>
      <w:r>
        <w:rPr>
          <w:rFonts w:ascii="Arial" w:cs="Arial" w:eastAsia="Arial" w:hAnsi="Arial"/>
          <w:sz w:val="19"/>
          <w:szCs w:val="19"/>
          <w:color w:val="FF0000"/>
          <w:strike w:val="1"/>
        </w:rPr>
        <w:t>is</w:t>
      </w:r>
      <w:r>
        <w:rPr>
          <w:rFonts w:ascii="Arial" w:cs="Arial" w:eastAsia="Arial" w:hAnsi="Arial"/>
          <w:sz w:val="19"/>
          <w:szCs w:val="19"/>
          <w:b w:val="1"/>
          <w:bCs w:val="1"/>
          <w:u w:val="single" w:color="auto"/>
          <w:color w:val="0000FF"/>
          <w:highlight w:val="lightGray"/>
        </w:rPr>
        <w:t>was</w:t>
      </w:r>
      <w:r>
        <w:rPr>
          <w:rFonts w:ascii="Arial" w:cs="Arial" w:eastAsia="Arial" w:hAnsi="Arial"/>
          <w:sz w:val="19"/>
          <w:szCs w:val="19"/>
          <w:color w:val="auto"/>
        </w:rPr>
        <w:t xml:space="preserve"> incurred in respect of Unsecured Indebtedness </w:t>
      </w:r>
      <w:r>
        <w:rPr>
          <w:rFonts w:ascii="Arial" w:cs="Arial" w:eastAsia="Arial" w:hAnsi="Arial"/>
          <w:sz w:val="19"/>
          <w:szCs w:val="19"/>
          <w:color w:val="FF0000"/>
          <w:strike w:val="1"/>
        </w:rPr>
        <w:t>of</w:t>
      </w:r>
      <w:r>
        <w:rPr>
          <w:rFonts w:ascii="Arial" w:cs="Arial" w:eastAsia="Arial" w:hAnsi="Arial"/>
          <w:sz w:val="19"/>
          <w:szCs w:val="19"/>
          <w:b w:val="1"/>
          <w:bCs w:val="1"/>
          <w:u w:val="single" w:color="auto"/>
          <w:color w:val="0000FF"/>
          <w:highlight w:val="lightGray"/>
        </w:rPr>
        <w:t>owed by</w:t>
      </w:r>
      <w:r>
        <w:rPr>
          <w:rFonts w:ascii="Arial" w:cs="Arial" w:eastAsia="Arial" w:hAnsi="Arial"/>
          <w:sz w:val="19"/>
          <w:szCs w:val="19"/>
          <w:color w:val="auto"/>
        </w:rPr>
        <w:t xml:space="preserve"> any member of the Consolidated Group or an Unconsolidated Affiliate):</w:t>
      </w:r>
    </w:p>
    <w:p>
      <w:pPr>
        <w:ind w:left="441"/>
        <w:spacing w:after="0"/>
        <w:rPr>
          <w:sz w:val="20"/>
          <w:szCs w:val="20"/>
          <w:color w:val="auto"/>
        </w:rPr>
      </w:pPr>
      <w:r>
        <w:rPr>
          <w:rFonts w:ascii="Arial" w:cs="Arial" w:eastAsia="Arial" w:hAnsi="Arial"/>
          <w:sz w:val="20"/>
          <w:szCs w:val="20"/>
          <w:b w:val="1"/>
          <w:bCs w:val="1"/>
          <w:color w:val="auto"/>
        </w:rPr>
        <w:t>Consolidated Unsecured Interest Coverage Ratio (Line V.A.÷ Line V.B.):</w:t>
      </w:r>
    </w:p>
    <w:p>
      <w:pPr>
        <w:spacing w:after="0" w:line="57" w:lineRule="exact"/>
        <w:rPr>
          <w:sz w:val="20"/>
          <w:szCs w:val="20"/>
          <w:color w:val="auto"/>
        </w:rPr>
      </w:pPr>
    </w:p>
    <w:p>
      <w:pPr>
        <w:ind w:left="441"/>
        <w:spacing w:after="0"/>
        <w:rPr>
          <w:sz w:val="20"/>
          <w:szCs w:val="20"/>
          <w:color w:val="auto"/>
        </w:rPr>
      </w:pPr>
      <w:r>
        <w:rPr>
          <w:rFonts w:ascii="Arial" w:cs="Arial" w:eastAsia="Arial" w:hAnsi="Arial"/>
          <w:sz w:val="20"/>
          <w:szCs w:val="20"/>
          <w:b w:val="1"/>
          <w:bCs w:val="1"/>
          <w:color w:val="auto"/>
        </w:rPr>
        <w:t>Minimum Required Consolidated Unsecured Interest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left="1861"/>
        <w:spacing w:after="0"/>
        <w:rPr>
          <w:sz w:val="20"/>
          <w:szCs w:val="20"/>
          <w:color w:val="auto"/>
        </w:rPr>
      </w:pPr>
      <w:r>
        <w:rPr>
          <w:rFonts w:ascii="Arial" w:cs="Arial" w:eastAsia="Arial" w:hAnsi="Arial"/>
          <w:sz w:val="20"/>
          <w:szCs w:val="20"/>
          <w:color w:val="auto"/>
        </w:rPr>
        <w:t>D-7</w:t>
      </w:r>
    </w:p>
    <w:p>
      <w:pPr>
        <w:spacing w:after="0" w:line="23" w:lineRule="exact"/>
        <w:rPr>
          <w:sz w:val="20"/>
          <w:szCs w:val="20"/>
          <w:color w:val="auto"/>
        </w:rPr>
      </w:pPr>
    </w:p>
    <w:p>
      <w:pPr>
        <w:jc w:val="center"/>
        <w:ind w:left="1861"/>
        <w:spacing w:after="0"/>
        <w:rPr>
          <w:sz w:val="20"/>
          <w:szCs w:val="20"/>
          <w:color w:val="auto"/>
        </w:rPr>
      </w:pPr>
      <w:r>
        <w:rPr>
          <w:rFonts w:ascii="Arial" w:cs="Arial" w:eastAsia="Arial" w:hAnsi="Arial"/>
          <w:sz w:val="20"/>
          <w:szCs w:val="20"/>
          <w:color w:val="auto"/>
        </w:rPr>
        <w:t>Form of Compliance Certificate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42365"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42365" cy="762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-577215</wp:posOffset>
            </wp:positionV>
            <wp:extent cx="114236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4236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42365"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42365"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42365"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42365"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42365"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 to 1.00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1.50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42365"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42365"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 to 1.00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1.75 to 1.00</w:t>
      </w:r>
    </w:p>
    <w:p>
      <w:pPr>
        <w:sectPr>
          <w:pgSz w:w="11900" w:h="16838" w:orient="portrait"/>
          <w:cols w:equalWidth="0" w:num="2">
            <w:col w:w="9321" w:space="120"/>
            <w:col w:w="1020"/>
          </w:cols>
          <w:pgMar w:left="359" w:top="932" w:right="1079" w:bottom="1440" w:gutter="0" w:footer="0" w:header="0"/>
        </w:sectPr>
      </w:pPr>
    </w:p>
    <w:bookmarkStart w:id="378" w:name="page379"/>
    <w:bookmarkEnd w:id="378"/>
    <w:p>
      <w:pPr>
        <w:spacing w:after="0"/>
        <w:tabs>
          <w:tab w:leader="none" w:pos="420" w:val="left"/>
        </w:tabs>
        <w:rPr>
          <w:sz w:val="20"/>
          <w:szCs w:val="20"/>
          <w:color w:val="auto"/>
        </w:rPr>
      </w:pPr>
      <w:r>
        <w:rPr>
          <w:rFonts w:ascii="Arial" w:cs="Arial" w:eastAsia="Arial" w:hAnsi="Arial"/>
          <w:sz w:val="20"/>
          <w:szCs w:val="20"/>
          <w:b w:val="1"/>
          <w:bCs w:val="1"/>
          <w:color w:val="auto"/>
        </w:rPr>
        <w:t>VI.</w:t>
      </w:r>
      <w:r>
        <w:rPr>
          <w:sz w:val="20"/>
          <w:szCs w:val="20"/>
          <w:color w:val="auto"/>
        </w:rPr>
        <w:tab/>
      </w:r>
      <w:r>
        <w:rPr>
          <w:rFonts w:ascii="Arial" w:cs="Arial" w:eastAsia="Arial" w:hAnsi="Arial"/>
          <w:sz w:val="17"/>
          <w:szCs w:val="17"/>
          <w:b w:val="1"/>
          <w:bCs w:val="1"/>
          <w:u w:val="single" w:color="auto"/>
          <w:color w:val="auto"/>
        </w:rPr>
        <w:t>Section 7.11(</w:t>
      </w:r>
      <w:r>
        <w:rPr>
          <w:rFonts w:ascii="Arial" w:cs="Arial" w:eastAsia="Arial" w:hAnsi="Arial"/>
          <w:sz w:val="17"/>
          <w:szCs w:val="17"/>
          <w:b w:val="1"/>
          <w:bCs w:val="1"/>
          <w:u w:val="single" w:color="auto"/>
          <w:color w:val="FC0718"/>
          <w:strike w:val="1"/>
        </w:rPr>
        <w:t>f</w:t>
      </w:r>
      <w:r>
        <w:rPr>
          <w:rFonts w:ascii="Arial" w:cs="Arial" w:eastAsia="Arial" w:hAnsi="Arial"/>
          <w:sz w:val="17"/>
          <w:szCs w:val="17"/>
          <w:b w:val="1"/>
          <w:bCs w:val="1"/>
          <w:u w:val="single" w:color="auto"/>
          <w:color w:val="071DFF"/>
          <w:highlight w:val="lightGray"/>
        </w:rPr>
        <w:t>e</w:t>
      </w:r>
      <w:r>
        <w:rPr>
          <w:rFonts w:ascii="Arial" w:cs="Arial" w:eastAsia="Arial" w:hAnsi="Arial"/>
          <w:sz w:val="17"/>
          <w:szCs w:val="17"/>
          <w:b w:val="1"/>
          <w:bCs w:val="1"/>
          <w:u w:val="single" w:color="auto"/>
          <w:color w:val="auto"/>
        </w:rPr>
        <w:t>) – Consolidated Unsecured Leverage Ratio</w:t>
      </w:r>
    </w:p>
    <w:p>
      <w:pPr>
        <w:spacing w:after="0" w:line="51" w:lineRule="exact"/>
        <w:rPr>
          <w:sz w:val="20"/>
          <w:szCs w:val="20"/>
          <w:color w:val="auto"/>
        </w:rPr>
      </w:pPr>
    </w:p>
    <w:p>
      <w:pPr>
        <w:ind w:left="1020" w:hanging="572"/>
        <w:spacing w:after="0"/>
        <w:tabs>
          <w:tab w:leader="none" w:pos="1020" w:val="left"/>
        </w:tabs>
        <w:numPr>
          <w:ilvl w:val="0"/>
          <w:numId w:val="452"/>
        </w:numPr>
        <w:rPr>
          <w:rFonts w:ascii="Arial" w:cs="Arial" w:eastAsia="Arial" w:hAnsi="Arial"/>
          <w:sz w:val="20"/>
          <w:szCs w:val="20"/>
          <w:color w:val="auto"/>
        </w:rPr>
      </w:pPr>
      <w:r>
        <w:rPr>
          <w:rFonts w:ascii="Arial" w:cs="Arial" w:eastAsia="Arial" w:hAnsi="Arial"/>
          <w:sz w:val="20"/>
          <w:szCs w:val="20"/>
          <w:color w:val="auto"/>
        </w:rPr>
        <w:t>Consolidated Total Unsecured Indebtedness at Statement Date:</w:t>
      </w:r>
    </w:p>
    <w:p>
      <w:pPr>
        <w:spacing w:after="0" w:line="24" w:lineRule="exact"/>
        <w:rPr>
          <w:rFonts w:ascii="Arial" w:cs="Arial" w:eastAsia="Arial" w:hAnsi="Arial"/>
          <w:sz w:val="20"/>
          <w:szCs w:val="20"/>
          <w:color w:val="auto"/>
        </w:rPr>
      </w:pPr>
    </w:p>
    <w:p>
      <w:pPr>
        <w:ind w:left="1580" w:hanging="570"/>
        <w:spacing w:after="0" w:line="209" w:lineRule="auto"/>
        <w:tabs>
          <w:tab w:leader="none" w:pos="1580" w:val="left"/>
        </w:tabs>
        <w:numPr>
          <w:ilvl w:val="1"/>
          <w:numId w:val="452"/>
        </w:numPr>
        <w:rPr>
          <w:rFonts w:ascii="Arial" w:cs="Arial" w:eastAsia="Arial" w:hAnsi="Arial"/>
          <w:sz w:val="20"/>
          <w:szCs w:val="20"/>
          <w:color w:val="auto"/>
        </w:rPr>
      </w:pPr>
      <w:r>
        <w:rPr>
          <w:rFonts w:ascii="Arial" w:cs="Arial" w:eastAsia="Arial" w:hAnsi="Arial"/>
          <w:sz w:val="20"/>
          <w:szCs w:val="20"/>
          <w:color w:val="auto"/>
        </w:rPr>
        <w:t>Aggregate amount of all Unsecured Indebtedness</w:t>
      </w:r>
      <w:r>
        <w:rPr>
          <w:rFonts w:ascii="Arial" w:cs="Arial" w:eastAsia="Arial" w:hAnsi="Arial"/>
          <w:sz w:val="26"/>
          <w:szCs w:val="26"/>
          <w:color w:val="FC0718"/>
          <w:strike w:val="1"/>
          <w:vertAlign w:val="superscript"/>
        </w:rPr>
        <w:t>3</w:t>
      </w:r>
      <w:r>
        <w:rPr>
          <w:rFonts w:ascii="Arial" w:cs="Arial" w:eastAsia="Arial" w:hAnsi="Arial"/>
          <w:sz w:val="26"/>
          <w:szCs w:val="26"/>
          <w:b w:val="1"/>
          <w:bCs w:val="1"/>
          <w:color w:val="071DFF"/>
          <w:vertAlign w:val="superscript"/>
        </w:rPr>
        <w:t>8</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owed by members</w:t>
      </w:r>
    </w:p>
    <w:p>
      <w:pPr>
        <w:spacing w:after="0" w:line="1" w:lineRule="exact"/>
        <w:rPr>
          <w:rFonts w:ascii="Arial" w:cs="Arial" w:eastAsia="Arial" w:hAnsi="Arial"/>
          <w:sz w:val="20"/>
          <w:szCs w:val="20"/>
          <w:color w:val="auto"/>
        </w:rPr>
      </w:pPr>
    </w:p>
    <w:p>
      <w:pPr>
        <w:ind w:left="1580"/>
        <w:spacing w:after="0" w:line="280" w:lineRule="auto"/>
        <w:rPr>
          <w:rFonts w:ascii="Arial" w:cs="Arial" w:eastAsia="Arial" w:hAnsi="Arial"/>
          <w:sz w:val="20"/>
          <w:szCs w:val="20"/>
          <w:color w:val="auto"/>
        </w:rPr>
      </w:pPr>
      <w:r>
        <w:rPr>
          <w:rFonts w:ascii="Arial" w:cs="Arial" w:eastAsia="Arial" w:hAnsi="Arial"/>
          <w:sz w:val="18"/>
          <w:szCs w:val="18"/>
          <w:color w:val="auto"/>
        </w:rPr>
        <w:t>of the Consolidated Group (including Indebtedness outstanding under the Agreement) that would be reflected on a consolidated balance sheet of the Consolidated Group as of Statement Date:</w:t>
      </w:r>
    </w:p>
    <w:p>
      <w:pPr>
        <w:jc w:val="both"/>
        <w:ind w:left="1580" w:right="420" w:hanging="570"/>
        <w:spacing w:after="0" w:line="247" w:lineRule="auto"/>
        <w:tabs>
          <w:tab w:leader="none" w:pos="1580" w:val="left"/>
        </w:tabs>
        <w:numPr>
          <w:ilvl w:val="1"/>
          <w:numId w:val="452"/>
        </w:numPr>
        <w:rPr>
          <w:rFonts w:ascii="Arial" w:cs="Arial" w:eastAsia="Arial" w:hAnsi="Arial"/>
          <w:sz w:val="20"/>
          <w:szCs w:val="20"/>
          <w:color w:val="auto"/>
        </w:rPr>
      </w:pPr>
      <w:r>
        <w:rPr>
          <w:rFonts w:ascii="Arial" w:cs="Arial" w:eastAsia="Arial" w:hAnsi="Arial"/>
          <w:sz w:val="20"/>
          <w:szCs w:val="20"/>
          <w:color w:val="auto"/>
        </w:rPr>
        <w:t xml:space="preserve">Consolidated Group Pro Rata Share of the aggregate amount of all Unsecured Indebtedness </w:t>
      </w:r>
      <w:r>
        <w:rPr>
          <w:rFonts w:ascii="Arial" w:cs="Arial" w:eastAsia="Arial" w:hAnsi="Arial"/>
          <w:sz w:val="20"/>
          <w:szCs w:val="20"/>
          <w:color w:val="FF0000"/>
          <w:strike w:val="1"/>
        </w:rPr>
        <w:t>of</w:t>
      </w:r>
      <w:r>
        <w:rPr>
          <w:rFonts w:ascii="Arial" w:cs="Arial" w:eastAsia="Arial" w:hAnsi="Arial"/>
          <w:sz w:val="20"/>
          <w:szCs w:val="20"/>
          <w:b w:val="1"/>
          <w:bCs w:val="1"/>
          <w:u w:val="single" w:color="auto"/>
          <w:color w:val="0000FF"/>
          <w:highlight w:val="lightGray"/>
        </w:rPr>
        <w:t>owed by</w:t>
      </w:r>
      <w:r>
        <w:rPr>
          <w:rFonts w:ascii="Arial" w:cs="Arial" w:eastAsia="Arial" w:hAnsi="Arial"/>
          <w:sz w:val="20"/>
          <w:szCs w:val="20"/>
          <w:color w:val="FF0000"/>
        </w:rPr>
        <w:t xml:space="preserve"> </w:t>
      </w:r>
      <w:r>
        <w:rPr>
          <w:rFonts w:ascii="Arial" w:cs="Arial" w:eastAsia="Arial" w:hAnsi="Arial"/>
          <w:sz w:val="20"/>
          <w:szCs w:val="20"/>
          <w:color w:val="000000"/>
        </w:rPr>
        <w:t>each Unconsolidated Affiliate that would be reflected on a balance sheet of such</w:t>
      </w:r>
      <w:r>
        <w:rPr>
          <w:rFonts w:ascii="Arial" w:cs="Arial" w:eastAsia="Arial" w:hAnsi="Arial"/>
          <w:sz w:val="20"/>
          <w:szCs w:val="20"/>
          <w:color w:val="FF0000"/>
        </w:rPr>
        <w:t xml:space="preserve"> </w:t>
      </w:r>
      <w:r>
        <w:rPr>
          <w:rFonts w:ascii="Arial" w:cs="Arial" w:eastAsia="Arial" w:hAnsi="Arial"/>
          <w:sz w:val="20"/>
          <w:szCs w:val="20"/>
          <w:color w:val="000000"/>
        </w:rPr>
        <w:t>Unconsolidated Affiliate as of Statement Date:</w:t>
      </w:r>
    </w:p>
    <w:p>
      <w:pPr>
        <w:spacing w:after="0" w:line="14" w:lineRule="exact"/>
        <w:rPr>
          <w:rFonts w:ascii="Arial" w:cs="Arial" w:eastAsia="Arial" w:hAnsi="Arial"/>
          <w:sz w:val="20"/>
          <w:szCs w:val="20"/>
          <w:color w:val="auto"/>
        </w:rPr>
      </w:pPr>
    </w:p>
    <w:p>
      <w:pPr>
        <w:ind w:left="1580" w:hanging="570"/>
        <w:spacing w:after="0"/>
        <w:tabs>
          <w:tab w:leader="none" w:pos="1580" w:val="left"/>
        </w:tabs>
        <w:numPr>
          <w:ilvl w:val="1"/>
          <w:numId w:val="452"/>
        </w:numPr>
        <w:rPr>
          <w:rFonts w:ascii="Arial" w:cs="Arial" w:eastAsia="Arial" w:hAnsi="Arial"/>
          <w:sz w:val="20"/>
          <w:szCs w:val="20"/>
          <w:color w:val="auto"/>
        </w:rPr>
      </w:pPr>
      <w:r>
        <w:rPr>
          <w:rFonts w:ascii="Arial" w:cs="Arial" w:eastAsia="Arial" w:hAnsi="Arial"/>
          <w:sz w:val="20"/>
          <w:szCs w:val="20"/>
          <w:u w:val="single" w:color="auto"/>
          <w:color w:val="auto"/>
        </w:rPr>
        <w:t>Consolidated Total Unsecured Indebtedness</w:t>
      </w:r>
      <w:r>
        <w:rPr>
          <w:rFonts w:ascii="Arial" w:cs="Arial" w:eastAsia="Arial" w:hAnsi="Arial"/>
          <w:sz w:val="20"/>
          <w:szCs w:val="20"/>
          <w:color w:val="auto"/>
        </w:rPr>
        <w:t xml:space="preserve"> (Line VI.A.1 + Line IV.A.2.):</w:t>
      </w:r>
    </w:p>
    <w:p>
      <w:pPr>
        <w:spacing w:after="0" w:line="57" w:lineRule="exact"/>
        <w:rPr>
          <w:rFonts w:ascii="Arial" w:cs="Arial" w:eastAsia="Arial" w:hAnsi="Arial"/>
          <w:sz w:val="20"/>
          <w:szCs w:val="20"/>
          <w:color w:val="auto"/>
        </w:rPr>
      </w:pPr>
    </w:p>
    <w:p>
      <w:pPr>
        <w:ind w:left="1020" w:hanging="572"/>
        <w:spacing w:after="0"/>
        <w:tabs>
          <w:tab w:leader="none" w:pos="1020" w:val="left"/>
        </w:tabs>
        <w:numPr>
          <w:ilvl w:val="0"/>
          <w:numId w:val="452"/>
        </w:numPr>
        <w:rPr>
          <w:rFonts w:ascii="Arial" w:cs="Arial" w:eastAsia="Arial" w:hAnsi="Arial"/>
          <w:sz w:val="20"/>
          <w:szCs w:val="20"/>
          <w:color w:val="auto"/>
        </w:rPr>
      </w:pPr>
      <w:r>
        <w:rPr>
          <w:rFonts w:ascii="Arial" w:cs="Arial" w:eastAsia="Arial" w:hAnsi="Arial"/>
          <w:sz w:val="20"/>
          <w:szCs w:val="20"/>
          <w:color w:val="auto"/>
        </w:rPr>
        <w:t>Unrestricted Cash Amount at Statement Date (Line III.B.4.):</w:t>
      </w:r>
    </w:p>
    <w:p>
      <w:pPr>
        <w:spacing w:after="0" w:line="44" w:lineRule="exact"/>
        <w:rPr>
          <w:rFonts w:ascii="Arial" w:cs="Arial" w:eastAsia="Arial" w:hAnsi="Arial"/>
          <w:sz w:val="20"/>
          <w:szCs w:val="20"/>
          <w:color w:val="auto"/>
        </w:rPr>
      </w:pPr>
    </w:p>
    <w:p>
      <w:pPr>
        <w:ind w:left="1020" w:hanging="572"/>
        <w:spacing w:after="0"/>
        <w:tabs>
          <w:tab w:leader="none" w:pos="1020" w:val="left"/>
        </w:tabs>
        <w:numPr>
          <w:ilvl w:val="0"/>
          <w:numId w:val="452"/>
        </w:numPr>
        <w:rPr>
          <w:rFonts w:ascii="Arial" w:cs="Arial" w:eastAsia="Arial" w:hAnsi="Arial"/>
          <w:sz w:val="20"/>
          <w:szCs w:val="20"/>
          <w:color w:val="auto"/>
        </w:rPr>
      </w:pPr>
      <w:r>
        <w:rPr>
          <w:rFonts w:ascii="Arial" w:cs="Arial" w:eastAsia="Arial" w:hAnsi="Arial"/>
          <w:sz w:val="20"/>
          <w:szCs w:val="20"/>
          <w:color w:val="auto"/>
        </w:rPr>
        <w:t>Unencumbered Asset Value at Statement Date</w:t>
      </w:r>
    </w:p>
    <w:p>
      <w:pPr>
        <w:spacing w:after="0" w:line="44" w:lineRule="exact"/>
        <w:rPr>
          <w:rFonts w:ascii="Arial" w:cs="Arial" w:eastAsia="Arial" w:hAnsi="Arial"/>
          <w:sz w:val="20"/>
          <w:szCs w:val="20"/>
          <w:color w:val="auto"/>
        </w:rPr>
      </w:pPr>
    </w:p>
    <w:p>
      <w:pPr>
        <w:ind w:left="1580" w:right="200" w:hanging="570"/>
        <w:spacing w:after="0" w:line="254" w:lineRule="auto"/>
        <w:tabs>
          <w:tab w:leader="none" w:pos="1580" w:val="left"/>
        </w:tabs>
        <w:numPr>
          <w:ilvl w:val="1"/>
          <w:numId w:val="452"/>
        </w:numPr>
        <w:rPr>
          <w:rFonts w:ascii="Arial" w:cs="Arial" w:eastAsia="Arial" w:hAnsi="Arial"/>
          <w:sz w:val="19"/>
          <w:szCs w:val="19"/>
          <w:color w:val="auto"/>
        </w:rPr>
      </w:pPr>
      <w:r>
        <w:rPr>
          <w:rFonts w:ascii="Arial" w:cs="Arial" w:eastAsia="Arial" w:hAnsi="Arial"/>
          <w:sz w:val="19"/>
          <w:szCs w:val="19"/>
          <w:color w:val="auto"/>
        </w:rPr>
        <w:t>Unencumbered Property NOI of each Unencumbered Eligible Property (excluding Disposed Portfolio Properties, Newly-Acquired Portfolio Properties</w:t>
      </w:r>
      <w:r>
        <w:rPr>
          <w:rFonts w:ascii="Arial" w:cs="Arial" w:eastAsia="Arial" w:hAnsi="Arial"/>
          <w:sz w:val="19"/>
          <w:szCs w:val="19"/>
          <w:b w:val="1"/>
          <w:bCs w:val="1"/>
          <w:u w:val="single" w:color="auto"/>
          <w:color w:val="0000FF"/>
          <w:highlight w:val="lightGray"/>
        </w:rPr>
        <w:t>, Qualified Development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highlight w:val="lightGray"/>
        </w:rPr>
        <w:t>Properties</w:t>
      </w:r>
      <w:r>
        <w:rPr>
          <w:rFonts w:ascii="Arial" w:cs="Arial" w:eastAsia="Arial" w:hAnsi="Arial"/>
          <w:sz w:val="19"/>
          <w:szCs w:val="19"/>
          <w:b w:val="1"/>
          <w:bCs w:val="1"/>
          <w:color w:val="0000FF"/>
          <w:highlight w:val="lightGray"/>
        </w:rPr>
        <w:t xml:space="preserve"> </w:t>
      </w:r>
      <w:r>
        <w:rPr>
          <w:rFonts w:ascii="Arial" w:cs="Arial" w:eastAsia="Arial" w:hAnsi="Arial"/>
          <w:sz w:val="19"/>
          <w:szCs w:val="19"/>
          <w:color w:val="000000"/>
        </w:rPr>
        <w:t>and Non-Stabilized Portfolio Properties) owned or ground leased under an Eligible</w:t>
      </w:r>
      <w:r>
        <w:rPr>
          <w:rFonts w:ascii="Arial" w:cs="Arial" w:eastAsia="Arial" w:hAnsi="Arial"/>
          <w:sz w:val="19"/>
          <w:szCs w:val="19"/>
          <w:b w:val="1"/>
          <w:bCs w:val="1"/>
          <w:color w:val="0000FF"/>
          <w:highlight w:val="lightGray"/>
        </w:rPr>
        <w:t xml:space="preserve"> </w:t>
      </w:r>
      <w:r>
        <w:rPr>
          <w:rFonts w:ascii="Arial" w:cs="Arial" w:eastAsia="Arial" w:hAnsi="Arial"/>
          <w:sz w:val="19"/>
          <w:szCs w:val="19"/>
          <w:color w:val="000000"/>
        </w:rPr>
        <w:t>Ground Lease by the Consolidated Group for the fiscal quarter ending on the Statement Date (“</w:t>
      </w:r>
      <w:r>
        <w:rPr>
          <w:rFonts w:ascii="Arial" w:cs="Arial" w:eastAsia="Arial" w:hAnsi="Arial"/>
          <w:sz w:val="19"/>
          <w:szCs w:val="19"/>
          <w:u w:val="single" w:color="auto"/>
          <w:color w:val="000000"/>
        </w:rPr>
        <w:t>Subject Period</w:t>
      </w:r>
      <w:r>
        <w:rPr>
          <w:rFonts w:ascii="Arial" w:cs="Arial" w:eastAsia="Arial" w:hAnsi="Arial"/>
          <w:sz w:val="19"/>
          <w:szCs w:val="19"/>
          <w:color w:val="000000"/>
        </w:rPr>
        <w:t xml:space="preserve">”) </w:t>
      </w:r>
      <w:r>
        <w:rPr>
          <w:rFonts w:ascii="Arial" w:cs="Arial" w:eastAsia="Arial" w:hAnsi="Arial"/>
          <w:sz w:val="19"/>
          <w:szCs w:val="19"/>
          <w:i w:val="1"/>
          <w:iCs w:val="1"/>
          <w:color w:val="000000"/>
        </w:rPr>
        <w:t>divided by</w:t>
      </w:r>
      <w:r>
        <w:rPr>
          <w:rFonts w:ascii="Arial" w:cs="Arial" w:eastAsia="Arial" w:hAnsi="Arial"/>
          <w:sz w:val="19"/>
          <w:szCs w:val="19"/>
          <w:color w:val="000000"/>
        </w:rPr>
        <w:t xml:space="preserve"> the Applicable Capitalization Rate for each such Unencumbered Eligible Property (See Annex III attached hereto):</w:t>
      </w:r>
    </w:p>
    <w:p>
      <w:pPr>
        <w:spacing w:after="0" w:line="11" w:lineRule="exact"/>
        <w:rPr>
          <w:rFonts w:ascii="Arial" w:cs="Arial" w:eastAsia="Arial" w:hAnsi="Arial"/>
          <w:sz w:val="19"/>
          <w:szCs w:val="19"/>
          <w:color w:val="auto"/>
        </w:rPr>
      </w:pPr>
    </w:p>
    <w:p>
      <w:pPr>
        <w:ind w:left="1580" w:right="620" w:hanging="570"/>
        <w:spacing w:after="0" w:line="289" w:lineRule="auto"/>
        <w:tabs>
          <w:tab w:leader="none" w:pos="158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Undepreciated book value of all Unencumbered Eligible Properties that are Qualified Development Properties or Non-Stabilized Properties (</w:t>
      </w:r>
      <w:r>
        <w:rPr>
          <w:rFonts w:ascii="Arial" w:cs="Arial" w:eastAsia="Arial" w:hAnsi="Arial"/>
          <w:sz w:val="18"/>
          <w:szCs w:val="18"/>
          <w:color w:val="FC0718"/>
          <w:strike w:val="1"/>
        </w:rPr>
        <w:t>see</w:t>
      </w:r>
      <w:r>
        <w:rPr>
          <w:rFonts w:ascii="Arial" w:cs="Arial" w:eastAsia="Arial" w:hAnsi="Arial"/>
          <w:sz w:val="18"/>
          <w:szCs w:val="18"/>
          <w:b w:val="1"/>
          <w:bCs w:val="1"/>
          <w:u w:val="single" w:color="auto"/>
          <w:color w:val="071DFF"/>
          <w:highlight w:val="lightGray"/>
        </w:rPr>
        <w:t>See</w:t>
      </w:r>
      <w:r>
        <w:rPr>
          <w:rFonts w:ascii="Arial" w:cs="Arial" w:eastAsia="Arial" w:hAnsi="Arial"/>
          <w:sz w:val="18"/>
          <w:szCs w:val="18"/>
          <w:color w:val="auto"/>
        </w:rPr>
        <w:t xml:space="preserve"> Annex III attached hereto):</w:t>
      </w:r>
    </w:p>
    <w:p>
      <w:pPr>
        <w:spacing w:after="0" w:line="1" w:lineRule="exact"/>
        <w:rPr>
          <w:rFonts w:ascii="Arial" w:cs="Arial" w:eastAsia="Arial" w:hAnsi="Arial"/>
          <w:sz w:val="18"/>
          <w:szCs w:val="18"/>
          <w:color w:val="auto"/>
        </w:rPr>
      </w:pPr>
    </w:p>
    <w:p>
      <w:pPr>
        <w:ind w:left="1580" w:right="420" w:hanging="570"/>
        <w:spacing w:after="0" w:line="257" w:lineRule="auto"/>
        <w:tabs>
          <w:tab w:leader="none" w:pos="1580" w:val="left"/>
        </w:tabs>
        <w:numPr>
          <w:ilvl w:val="1"/>
          <w:numId w:val="452"/>
        </w:numPr>
        <w:rPr>
          <w:rFonts w:ascii="Arial" w:cs="Arial" w:eastAsia="Arial" w:hAnsi="Arial"/>
          <w:sz w:val="20"/>
          <w:szCs w:val="20"/>
          <w:color w:val="auto"/>
        </w:rPr>
      </w:pPr>
      <w:r>
        <w:rPr>
          <w:rFonts w:ascii="Arial" w:cs="Arial" w:eastAsia="Arial" w:hAnsi="Arial"/>
          <w:sz w:val="20"/>
          <w:szCs w:val="20"/>
          <w:color w:val="auto"/>
        </w:rPr>
        <w:t>Acquisition cost paid by Consolidated Group for Unencumbered Eligible Properties that are Newly-Acquired Portfolio Properties (See Annex III attached hereto):</w:t>
      </w:r>
    </w:p>
    <w:p>
      <w:pPr>
        <w:spacing w:after="0" w:line="1" w:lineRule="exact"/>
        <w:rPr>
          <w:rFonts w:ascii="Arial" w:cs="Arial" w:eastAsia="Arial" w:hAnsi="Arial"/>
          <w:sz w:val="20"/>
          <w:szCs w:val="20"/>
          <w:color w:val="auto"/>
        </w:rPr>
      </w:pPr>
    </w:p>
    <w:p>
      <w:pPr>
        <w:ind w:left="1580" w:hanging="570"/>
        <w:spacing w:after="0"/>
        <w:tabs>
          <w:tab w:leader="none" w:pos="1580" w:val="left"/>
        </w:tabs>
        <w:numPr>
          <w:ilvl w:val="1"/>
          <w:numId w:val="452"/>
        </w:numPr>
        <w:rPr>
          <w:rFonts w:ascii="Arial" w:cs="Arial" w:eastAsia="Arial" w:hAnsi="Arial"/>
          <w:sz w:val="20"/>
          <w:szCs w:val="20"/>
          <w:color w:val="auto"/>
        </w:rPr>
      </w:pPr>
      <w:r>
        <w:rPr>
          <w:rFonts w:ascii="Arial" w:cs="Arial" w:eastAsia="Arial" w:hAnsi="Arial"/>
          <w:sz w:val="20"/>
          <w:szCs w:val="20"/>
          <w:color w:val="auto"/>
        </w:rPr>
        <w:t xml:space="preserve">(Line VI.C.1. * 4) + Line </w:t>
      </w:r>
      <w:r>
        <w:rPr>
          <w:rFonts w:ascii="Arial" w:cs="Arial" w:eastAsia="Arial" w:hAnsi="Arial"/>
          <w:sz w:val="20"/>
          <w:szCs w:val="20"/>
          <w:color w:val="FF0000"/>
          <w:strike w:val="1"/>
        </w:rPr>
        <w:t>VII.B. + Line VII</w:t>
      </w:r>
      <w:r>
        <w:rPr>
          <w:rFonts w:ascii="Arial" w:cs="Arial" w:eastAsia="Arial" w:hAnsi="Arial"/>
          <w:sz w:val="20"/>
          <w:szCs w:val="20"/>
          <w:b w:val="1"/>
          <w:bCs w:val="1"/>
          <w:u w:val="single" w:color="auto"/>
          <w:color w:val="0000FF"/>
          <w:highlight w:val="lightGray"/>
        </w:rPr>
        <w:t>VI</w:t>
      </w:r>
      <w:r>
        <w:rPr>
          <w:rFonts w:ascii="Arial" w:cs="Arial" w:eastAsia="Arial" w:hAnsi="Arial"/>
          <w:sz w:val="20"/>
          <w:szCs w:val="20"/>
          <w:color w:val="auto"/>
        </w:rPr>
        <w:t>.C.</w:t>
      </w:r>
      <w:r>
        <w:rPr>
          <w:rFonts w:ascii="Arial" w:cs="Arial" w:eastAsia="Arial" w:hAnsi="Arial"/>
          <w:sz w:val="20"/>
          <w:szCs w:val="20"/>
          <w:b w:val="1"/>
          <w:bCs w:val="1"/>
          <w:u w:val="single" w:color="auto"/>
          <w:color w:val="0000FF"/>
          <w:highlight w:val="lightGray"/>
        </w:rPr>
        <w:t>2. + Line VI.C.3.</w:t>
      </w:r>
      <w:r>
        <w:rPr>
          <w:rFonts w:ascii="Arial" w:cs="Arial" w:eastAsia="Arial" w:hAnsi="Arial"/>
          <w:sz w:val="20"/>
          <w:szCs w:val="20"/>
          <w:color w:val="auto"/>
        </w:rPr>
        <w:t>:</w:t>
      </w:r>
    </w:p>
    <w:p>
      <w:pPr>
        <w:spacing w:after="0" w:line="63" w:lineRule="exact"/>
        <w:rPr>
          <w:rFonts w:ascii="Arial" w:cs="Arial" w:eastAsia="Arial" w:hAnsi="Arial"/>
          <w:sz w:val="20"/>
          <w:szCs w:val="20"/>
          <w:color w:val="auto"/>
        </w:rPr>
      </w:pPr>
    </w:p>
    <w:p>
      <w:pPr>
        <w:ind w:left="1580" w:right="260" w:hanging="570"/>
        <w:spacing w:after="0" w:line="233" w:lineRule="auto"/>
        <w:tabs>
          <w:tab w:leader="none" w:pos="1580" w:val="left"/>
        </w:tabs>
        <w:numPr>
          <w:ilvl w:val="1"/>
          <w:numId w:val="452"/>
        </w:numPr>
        <w:rPr>
          <w:rFonts w:ascii="Arial" w:cs="Arial" w:eastAsia="Arial" w:hAnsi="Arial"/>
          <w:sz w:val="20"/>
          <w:szCs w:val="20"/>
          <w:color w:val="auto"/>
        </w:rPr>
      </w:pPr>
      <w:r>
        <w:rPr>
          <w:rFonts w:ascii="Arial" w:cs="Arial" w:eastAsia="Arial" w:hAnsi="Arial"/>
          <w:sz w:val="20"/>
          <w:szCs w:val="20"/>
          <w:color w:val="auto"/>
        </w:rPr>
        <w:t>Percentage of Line VI.C.4. derived from Unencumbered Eligibe Properties that are not office, retail or multi-family properties:</w:t>
      </w:r>
      <w:r>
        <w:rPr>
          <w:rFonts w:ascii="Arial" w:cs="Arial" w:eastAsia="Arial" w:hAnsi="Arial"/>
          <w:sz w:val="26"/>
          <w:szCs w:val="26"/>
          <w:color w:val="FC0718"/>
          <w:strike w:val="1"/>
          <w:vertAlign w:val="superscript"/>
        </w:rPr>
        <w:t>4</w:t>
      </w:r>
      <w:r>
        <w:rPr>
          <w:rFonts w:ascii="Arial" w:cs="Arial" w:eastAsia="Arial" w:hAnsi="Arial"/>
          <w:sz w:val="26"/>
          <w:szCs w:val="26"/>
          <w:b w:val="1"/>
          <w:bCs w:val="1"/>
          <w:u w:val="single" w:color="auto"/>
          <w:color w:val="071DFF"/>
          <w:vertAlign w:val="superscript"/>
        </w:rPr>
        <w:t>9</w:t>
      </w:r>
    </w:p>
    <w:p>
      <w:pPr>
        <w:spacing w:after="0" w:line="2" w:lineRule="exact"/>
        <w:rPr>
          <w:rFonts w:ascii="Arial" w:cs="Arial" w:eastAsia="Arial" w:hAnsi="Arial"/>
          <w:sz w:val="20"/>
          <w:szCs w:val="20"/>
          <w:color w:val="auto"/>
        </w:rPr>
      </w:pPr>
    </w:p>
    <w:p>
      <w:pPr>
        <w:ind w:left="1580" w:right="100" w:hanging="570"/>
        <w:spacing w:after="0" w:line="236" w:lineRule="auto"/>
        <w:tabs>
          <w:tab w:leader="none" w:pos="1580" w:val="left"/>
        </w:tabs>
        <w:numPr>
          <w:ilvl w:val="1"/>
          <w:numId w:val="452"/>
        </w:numPr>
        <w:rPr>
          <w:rFonts w:ascii="Arial" w:cs="Arial" w:eastAsia="Arial" w:hAnsi="Arial"/>
          <w:sz w:val="19"/>
          <w:szCs w:val="19"/>
          <w:color w:val="auto"/>
        </w:rPr>
      </w:pPr>
      <w:r>
        <w:rPr>
          <w:rFonts w:ascii="Arial" w:cs="Arial" w:eastAsia="Arial" w:hAnsi="Arial"/>
          <w:sz w:val="19"/>
          <w:szCs w:val="19"/>
          <w:color w:val="auto"/>
        </w:rPr>
        <w:t>Percentage of Line VI.C.4. derived from Unencumbered Eligible Properties that are owned by a Controlled Joint Venture or ground leased under an Eligible Ground Lease:</w:t>
      </w:r>
      <w:r>
        <w:rPr>
          <w:rFonts w:ascii="Arial" w:cs="Arial" w:eastAsia="Arial" w:hAnsi="Arial"/>
          <w:sz w:val="25"/>
          <w:szCs w:val="25"/>
          <w:color w:val="FC0718"/>
          <w:strike w:val="1"/>
          <w:vertAlign w:val="superscript"/>
        </w:rPr>
        <w:t>5</w:t>
      </w:r>
      <w:r>
        <w:rPr>
          <w:rFonts w:ascii="Arial" w:cs="Arial" w:eastAsia="Arial" w:hAnsi="Arial"/>
          <w:sz w:val="25"/>
          <w:szCs w:val="25"/>
          <w:b w:val="1"/>
          <w:bCs w:val="1"/>
          <w:u w:val="single" w:color="auto"/>
          <w:color w:val="071DFF"/>
          <w:vertAlign w:val="superscript"/>
        </w:rPr>
        <w:t>10</w:t>
      </w:r>
    </w:p>
    <w:p>
      <w:pPr>
        <w:spacing w:after="0" w:line="2" w:lineRule="exact"/>
        <w:rPr>
          <w:rFonts w:ascii="Arial" w:cs="Arial" w:eastAsia="Arial" w:hAnsi="Arial"/>
          <w:sz w:val="19"/>
          <w:szCs w:val="19"/>
          <w:color w:val="auto"/>
        </w:rPr>
      </w:pPr>
    </w:p>
    <w:p>
      <w:pPr>
        <w:ind w:left="1580" w:right="540" w:hanging="570"/>
        <w:spacing w:after="0" w:line="226" w:lineRule="auto"/>
        <w:tabs>
          <w:tab w:leader="none" w:pos="1580" w:val="left"/>
        </w:tabs>
        <w:numPr>
          <w:ilvl w:val="1"/>
          <w:numId w:val="452"/>
        </w:numPr>
        <w:rPr>
          <w:rFonts w:ascii="Arial" w:cs="Arial" w:eastAsia="Arial" w:hAnsi="Arial"/>
          <w:sz w:val="20"/>
          <w:szCs w:val="20"/>
          <w:color w:val="auto"/>
        </w:rPr>
      </w:pPr>
      <w:r>
        <w:rPr>
          <w:rFonts w:ascii="Arial" w:cs="Arial" w:eastAsia="Arial" w:hAnsi="Arial"/>
          <w:sz w:val="20"/>
          <w:szCs w:val="20"/>
          <w:color w:val="auto"/>
        </w:rPr>
        <w:t>Percentage of Line VI.C.4. derived from Unencumbered Eligible Properties that constitute Qualified Development Properties:</w:t>
      </w:r>
      <w:r>
        <w:rPr>
          <w:rFonts w:ascii="Arial" w:cs="Arial" w:eastAsia="Arial" w:hAnsi="Arial"/>
          <w:sz w:val="26"/>
          <w:szCs w:val="26"/>
          <w:color w:val="FC0718"/>
          <w:strike w:val="1"/>
          <w:vertAlign w:val="superscript"/>
        </w:rPr>
        <w:t>6</w:t>
      </w:r>
      <w:r>
        <w:rPr>
          <w:rFonts w:ascii="Arial" w:cs="Arial" w:eastAsia="Arial" w:hAnsi="Arial"/>
          <w:sz w:val="26"/>
          <w:szCs w:val="26"/>
          <w:b w:val="1"/>
          <w:bCs w:val="1"/>
          <w:u w:val="single" w:color="auto"/>
          <w:color w:val="071DFF"/>
          <w:vertAlign w:val="superscript"/>
        </w:rPr>
        <w:t>11</w:t>
      </w:r>
    </w:p>
    <w:p>
      <w:pPr>
        <w:spacing w:after="0" w:line="1" w:lineRule="exact"/>
        <w:rPr>
          <w:rFonts w:ascii="Arial" w:cs="Arial" w:eastAsia="Arial" w:hAnsi="Arial"/>
          <w:sz w:val="20"/>
          <w:szCs w:val="20"/>
          <w:color w:val="auto"/>
        </w:rPr>
      </w:pPr>
    </w:p>
    <w:p>
      <w:pPr>
        <w:ind w:left="1580" w:right="100" w:hanging="570"/>
        <w:spacing w:after="0" w:line="229" w:lineRule="auto"/>
        <w:tabs>
          <w:tab w:leader="none" w:pos="1580" w:val="left"/>
        </w:tabs>
        <w:numPr>
          <w:ilvl w:val="1"/>
          <w:numId w:val="452"/>
        </w:numPr>
        <w:rPr>
          <w:rFonts w:ascii="Arial" w:cs="Arial" w:eastAsia="Arial" w:hAnsi="Arial"/>
          <w:sz w:val="20"/>
          <w:szCs w:val="20"/>
          <w:color w:val="auto"/>
        </w:rPr>
      </w:pPr>
      <w:r>
        <w:rPr>
          <w:rFonts w:ascii="Arial" w:cs="Arial" w:eastAsia="Arial" w:hAnsi="Arial"/>
          <w:sz w:val="20"/>
          <w:szCs w:val="20"/>
          <w:color w:val="auto"/>
        </w:rPr>
        <w:t>Percentage of Line VI.C.4. derived from Unencumbered Eligible Properties that are owned by a Controlled Joint Venture or ground leased under an Eligible Ground Lease or that constitute Qualified Development Properties:</w:t>
      </w:r>
      <w:r>
        <w:rPr>
          <w:rFonts w:ascii="Arial" w:cs="Arial" w:eastAsia="Arial" w:hAnsi="Arial"/>
          <w:sz w:val="26"/>
          <w:szCs w:val="26"/>
          <w:color w:val="FC0718"/>
          <w:strike w:val="1"/>
          <w:vertAlign w:val="superscript"/>
        </w:rPr>
        <w:t>7</w:t>
      </w:r>
      <w:r>
        <w:rPr>
          <w:rFonts w:ascii="Arial" w:cs="Arial" w:eastAsia="Arial" w:hAnsi="Arial"/>
          <w:sz w:val="26"/>
          <w:szCs w:val="26"/>
          <w:b w:val="1"/>
          <w:bCs w:val="1"/>
          <w:u w:val="single" w:color="auto"/>
          <w:color w:val="071DFF"/>
          <w:vertAlign w:val="superscript"/>
        </w:rPr>
        <w:t>12</w:t>
      </w:r>
    </w:p>
    <w:p>
      <w:pPr>
        <w:ind w:left="1580" w:right="60" w:hanging="570"/>
        <w:spacing w:after="0" w:line="243" w:lineRule="auto"/>
        <w:tabs>
          <w:tab w:leader="none" w:pos="1580" w:val="left"/>
        </w:tabs>
        <w:numPr>
          <w:ilvl w:val="1"/>
          <w:numId w:val="452"/>
        </w:numPr>
        <w:rPr>
          <w:rFonts w:ascii="Arial" w:cs="Arial" w:eastAsia="Arial" w:hAnsi="Arial"/>
          <w:sz w:val="20"/>
          <w:szCs w:val="20"/>
          <w:color w:val="auto"/>
        </w:rPr>
      </w:pPr>
      <w:r>
        <w:rPr>
          <w:rFonts w:ascii="Arial" w:cs="Arial" w:eastAsia="Arial" w:hAnsi="Arial"/>
          <w:sz w:val="20"/>
          <w:szCs w:val="20"/>
          <w:color w:val="auto"/>
        </w:rPr>
        <w:t>Adjustment (if any) to reflect limitations referenced in Lines VI.C.5., Line VI.C.6., Line VI.C.7. and Line VI.C.8.:</w:t>
      </w:r>
    </w:p>
    <w:p>
      <w:pPr>
        <w:spacing w:after="0" w:line="17" w:lineRule="exact"/>
        <w:rPr>
          <w:rFonts w:ascii="Arial" w:cs="Arial" w:eastAsia="Arial" w:hAnsi="Arial"/>
          <w:sz w:val="20"/>
          <w:szCs w:val="20"/>
          <w:color w:val="auto"/>
        </w:rPr>
      </w:pPr>
    </w:p>
    <w:p>
      <w:pPr>
        <w:ind w:left="1580" w:hanging="570"/>
        <w:spacing w:after="0"/>
        <w:tabs>
          <w:tab w:leader="none" w:pos="1580" w:val="left"/>
        </w:tabs>
        <w:numPr>
          <w:ilvl w:val="1"/>
          <w:numId w:val="452"/>
        </w:numPr>
        <w:rPr>
          <w:rFonts w:ascii="Arial" w:cs="Arial" w:eastAsia="Arial" w:hAnsi="Arial"/>
          <w:sz w:val="20"/>
          <w:szCs w:val="20"/>
          <w:color w:val="auto"/>
        </w:rPr>
      </w:pPr>
      <w:r>
        <w:rPr>
          <w:rFonts w:ascii="Arial" w:cs="Arial" w:eastAsia="Arial" w:hAnsi="Arial"/>
          <w:sz w:val="20"/>
          <w:szCs w:val="20"/>
          <w:u w:val="single" w:color="auto"/>
          <w:color w:val="auto"/>
        </w:rPr>
        <w:t>Unencumbered Asset Value</w:t>
      </w:r>
      <w:r>
        <w:rPr>
          <w:rFonts w:ascii="Arial" w:cs="Arial" w:eastAsia="Arial" w:hAnsi="Arial"/>
          <w:sz w:val="20"/>
          <w:szCs w:val="20"/>
          <w:color w:val="auto"/>
        </w:rPr>
        <w:t>: Line VI.C.4. - Line VI.C.9: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231140</wp:posOffset>
            </wp:positionV>
            <wp:extent cx="713803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8035" cy="7620"/>
                    </a:xfrm>
                    <a:prstGeom prst="rect">
                      <a:avLst/>
                    </a:prstGeom>
                    <a:noFill/>
                  </pic:spPr>
                </pic:pic>
              </a:graphicData>
            </a:graphic>
          </wp:anchor>
        </w:drawing>
        <w:drawing>
          <wp:anchor simplePos="0" relativeHeight="251657728" behindDoc="1" locked="0" layoutInCell="0" allowOverlap="1">
            <wp:simplePos x="0" y="0"/>
            <wp:positionH relativeFrom="column">
              <wp:posOffset>3548380</wp:posOffset>
            </wp:positionH>
            <wp:positionV relativeFrom="paragraph">
              <wp:posOffset>-5018405</wp:posOffset>
            </wp:positionV>
            <wp:extent cx="1054735" cy="134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54735" cy="134620"/>
                    </a:xfrm>
                    <a:prstGeom prst="rect">
                      <a:avLst/>
                    </a:prstGeom>
                    <a:noFill/>
                  </pic:spPr>
                </pic:pic>
              </a:graphicData>
            </a:graphic>
          </wp:anchor>
        </w:drawing>
        <w:drawing>
          <wp:anchor simplePos="0" relativeHeight="251657728" behindDoc="1" locked="0" layoutInCell="0" allowOverlap="1">
            <wp:simplePos x="0" y="0"/>
            <wp:positionH relativeFrom="column">
              <wp:posOffset>2683510</wp:posOffset>
            </wp:positionH>
            <wp:positionV relativeFrom="paragraph">
              <wp:posOffset>-1719580</wp:posOffset>
            </wp:positionV>
            <wp:extent cx="47625" cy="134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7625" cy="13462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-1402080</wp:posOffset>
            </wp:positionV>
            <wp:extent cx="79375" cy="134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9375" cy="134620"/>
                    </a:xfrm>
                    <a:prstGeom prst="rect">
                      <a:avLst/>
                    </a:prstGeom>
                    <a:noFill/>
                  </pic:spPr>
                </pic:pic>
              </a:graphicData>
            </a:graphic>
          </wp:anchor>
        </w:drawing>
        <w:drawing>
          <wp:anchor simplePos="0" relativeHeight="251657728" behindDoc="1" locked="0" layoutInCell="0" allowOverlap="1">
            <wp:simplePos x="0" y="0"/>
            <wp:positionH relativeFrom="column">
              <wp:posOffset>2818765</wp:posOffset>
            </wp:positionH>
            <wp:positionV relativeFrom="paragraph">
              <wp:posOffset>-1085215</wp:posOffset>
            </wp:positionV>
            <wp:extent cx="79375" cy="134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9375"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4236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4236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42365"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4236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4236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42365"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42365"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4236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4236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42365"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4236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42365"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142365"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340" w:space="100"/>
            <w:col w:w="1680"/>
          </w:cols>
          <w:pgMar w:left="360" w:top="926" w:right="419" w:bottom="1440" w:gutter="0" w:footer="0" w:header="0"/>
        </w:sectPr>
      </w:pPr>
    </w:p>
    <w:p>
      <w:pPr>
        <w:spacing w:after="0" w:line="181" w:lineRule="exact"/>
        <w:rPr>
          <w:sz w:val="20"/>
          <w:szCs w:val="20"/>
          <w:color w:val="auto"/>
        </w:rPr>
      </w:pPr>
    </w:p>
    <w:p>
      <w:pPr>
        <w:ind w:left="440" w:right="180" w:hanging="449"/>
        <w:spacing w:after="0" w:line="257" w:lineRule="auto"/>
        <w:tabs>
          <w:tab w:leader="none" w:pos="420" w:val="left"/>
        </w:tabs>
        <w:rPr>
          <w:sz w:val="20"/>
          <w:szCs w:val="20"/>
          <w:color w:val="auto"/>
        </w:rPr>
      </w:pPr>
      <w:r>
        <w:rPr>
          <w:rFonts w:ascii="Arial" w:cs="Arial" w:eastAsia="Arial" w:hAnsi="Arial"/>
          <w:sz w:val="13"/>
          <w:szCs w:val="13"/>
          <w:color w:val="FC0718"/>
          <w:strike w:val="1"/>
        </w:rPr>
        <w:t>3</w:t>
      </w:r>
      <w:r>
        <w:rPr>
          <w:rFonts w:ascii="Arial" w:cs="Arial" w:eastAsia="Arial" w:hAnsi="Arial"/>
          <w:sz w:val="13"/>
          <w:szCs w:val="13"/>
          <w:b w:val="1"/>
          <w:bCs w:val="1"/>
          <w:u w:val="single" w:color="auto"/>
          <w:color w:val="071DFF"/>
          <w:highlight w:val="lightGray"/>
        </w:rPr>
        <w:t>8</w:t>
      </w:r>
      <w:r>
        <w:rPr>
          <w:sz w:val="20"/>
          <w:szCs w:val="20"/>
          <w:color w:val="auto"/>
        </w:rPr>
        <w:tab/>
      </w:r>
      <w:r>
        <w:rPr>
          <w:rFonts w:ascii="Arial" w:cs="Arial" w:eastAsia="Arial" w:hAnsi="Arial"/>
          <w:sz w:val="13"/>
          <w:szCs w:val="13"/>
          <w:color w:val="auto"/>
        </w:rPr>
        <w:t xml:space="preserve">“Unsecured Indebtedness” means, with respect to any Person, all Indebtedness </w:t>
      </w:r>
      <w:r>
        <w:rPr>
          <w:rFonts w:ascii="Arial" w:cs="Arial" w:eastAsia="Arial" w:hAnsi="Arial"/>
          <w:sz w:val="13"/>
          <w:szCs w:val="13"/>
          <w:color w:val="FF0000"/>
          <w:strike w:val="1"/>
        </w:rPr>
        <w:t>of</w:t>
      </w:r>
      <w:r>
        <w:rPr>
          <w:rFonts w:ascii="Arial" w:cs="Arial" w:eastAsia="Arial" w:hAnsi="Arial"/>
          <w:sz w:val="13"/>
          <w:szCs w:val="13"/>
          <w:b w:val="1"/>
          <w:bCs w:val="1"/>
          <w:u w:val="single" w:color="auto"/>
          <w:color w:val="0000FF"/>
          <w:highlight w:val="lightGray"/>
        </w:rPr>
        <w:t>owed by</w:t>
      </w:r>
      <w:r>
        <w:rPr>
          <w:rFonts w:ascii="Arial" w:cs="Arial" w:eastAsia="Arial" w:hAnsi="Arial"/>
          <w:sz w:val="13"/>
          <w:szCs w:val="13"/>
          <w:color w:val="auto"/>
        </w:rPr>
        <w:t xml:space="preserve"> such Person that is not Secured Indebtedness</w:t>
      </w:r>
      <w:r>
        <w:rPr>
          <w:rFonts w:ascii="Arial" w:cs="Arial" w:eastAsia="Arial" w:hAnsi="Arial"/>
          <w:sz w:val="13"/>
          <w:szCs w:val="13"/>
          <w:b w:val="1"/>
          <w:bCs w:val="1"/>
          <w:u w:val="single" w:color="auto"/>
          <w:color w:val="0000FF"/>
          <w:highlight w:val="lightGray"/>
        </w:rPr>
        <w:t>; provided, however that any Indebtedness that is secured</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0000FF"/>
          <w:highlight w:val="lightGray"/>
        </w:rPr>
        <w:t>only by a pledge of Equity Interests shall be deemed to be Unsecured Indebtedness</w:t>
      </w:r>
      <w:r>
        <w:rPr>
          <w:rFonts w:ascii="Arial" w:cs="Arial" w:eastAsia="Arial" w:hAnsi="Arial"/>
          <w:sz w:val="13"/>
          <w:szCs w:val="13"/>
          <w:u w:val="single" w:color="auto"/>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-102870</wp:posOffset>
            </wp:positionV>
            <wp:extent cx="15875" cy="793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5875" cy="79375"/>
                    </a:xfrm>
                    <a:prstGeom prst="rect">
                      <a:avLst/>
                    </a:prstGeom>
                    <a:noFill/>
                  </pic:spPr>
                </pic:pic>
              </a:graphicData>
            </a:graphic>
          </wp:anchor>
        </w:drawing>
      </w:r>
    </w:p>
    <w:p>
      <w:pPr>
        <w:ind w:left="440" w:hanging="449"/>
        <w:spacing w:after="0" w:line="237" w:lineRule="auto"/>
        <w:tabs>
          <w:tab w:leader="none" w:pos="420" w:val="left"/>
        </w:tabs>
        <w:rPr>
          <w:sz w:val="20"/>
          <w:szCs w:val="20"/>
          <w:color w:val="auto"/>
        </w:rPr>
      </w:pPr>
      <w:r>
        <w:rPr>
          <w:rFonts w:ascii="Arial" w:cs="Arial" w:eastAsia="Arial" w:hAnsi="Arial"/>
          <w:sz w:val="13"/>
          <w:szCs w:val="13"/>
          <w:color w:val="FC0718"/>
          <w:strike w:val="1"/>
        </w:rPr>
        <w:t>4</w:t>
      </w:r>
      <w:r>
        <w:rPr>
          <w:rFonts w:ascii="Arial" w:cs="Arial" w:eastAsia="Arial" w:hAnsi="Arial"/>
          <w:sz w:val="13"/>
          <w:szCs w:val="13"/>
          <w:b w:val="1"/>
          <w:bCs w:val="1"/>
          <w:u w:val="single" w:color="auto"/>
          <w:color w:val="071DFF"/>
          <w:highlight w:val="lightGray"/>
        </w:rPr>
        <w:t>9</w:t>
      </w:r>
      <w:r>
        <w:rPr>
          <w:sz w:val="20"/>
          <w:szCs w:val="20"/>
          <w:color w:val="auto"/>
        </w:rPr>
        <w:tab/>
      </w:r>
      <w:r>
        <w:rPr>
          <w:rFonts w:ascii="Arial" w:cs="Arial" w:eastAsia="Arial" w:hAnsi="Arial"/>
          <w:sz w:val="13"/>
          <w:szCs w:val="13"/>
          <w:color w:val="auto"/>
        </w:rPr>
        <w:t>Not more than 20% of the UAV may be in respect of Unencumbered Eligible Properties that are not office, retail or multi-family properties (and, for purposes of determiningcompliance with such 20% limitation, if an Unencumbered Eligible Property is considered “multi-use”, the Borrower shall be permitted to include the Unencumbered Property NOI of such Unencumbered Eligible Property’s office, retail or multi-family component without limitation under this Line VI.C.5.)</w:t>
      </w:r>
    </w:p>
    <w:p>
      <w:pPr>
        <w:spacing w:after="0" w:line="19" w:lineRule="exact"/>
        <w:rPr>
          <w:sz w:val="20"/>
          <w:szCs w:val="20"/>
          <w:color w:val="auto"/>
        </w:rPr>
      </w:pPr>
    </w:p>
    <w:p>
      <w:pPr>
        <w:spacing w:after="0"/>
        <w:tabs>
          <w:tab w:leader="none" w:pos="420" w:val="left"/>
        </w:tabs>
        <w:rPr>
          <w:sz w:val="20"/>
          <w:szCs w:val="20"/>
          <w:color w:val="auto"/>
        </w:rPr>
      </w:pPr>
      <w:r>
        <w:rPr>
          <w:rFonts w:ascii="Arial" w:cs="Arial" w:eastAsia="Arial" w:hAnsi="Arial"/>
          <w:sz w:val="13"/>
          <w:szCs w:val="13"/>
          <w:color w:val="FC0718"/>
          <w:strike w:val="1"/>
        </w:rPr>
        <w:t>5</w:t>
      </w:r>
      <w:r>
        <w:rPr>
          <w:rFonts w:ascii="Arial" w:cs="Arial" w:eastAsia="Arial" w:hAnsi="Arial"/>
          <w:sz w:val="13"/>
          <w:szCs w:val="13"/>
          <w:b w:val="1"/>
          <w:bCs w:val="1"/>
          <w:u w:val="single" w:color="auto"/>
          <w:color w:val="071DFF"/>
          <w:highlight w:val="lightGray"/>
        </w:rPr>
        <w:t>10</w:t>
      </w:r>
      <w:r>
        <w:rPr>
          <w:sz w:val="20"/>
          <w:szCs w:val="20"/>
          <w:color w:val="auto"/>
        </w:rPr>
        <w:tab/>
      </w:r>
      <w:r>
        <w:rPr>
          <w:rFonts w:ascii="Arial" w:cs="Arial" w:eastAsia="Arial" w:hAnsi="Arial"/>
          <w:sz w:val="12"/>
          <w:szCs w:val="12"/>
          <w:color w:val="auto"/>
        </w:rPr>
        <w:t>Not more than 20% of the UAV may be in respect of Unencumbered Eligible Properties that are either owned by a Controlled Joint Venture or ground leased under an Eligible Ground Lease</w:t>
      </w:r>
    </w:p>
    <w:p>
      <w:pPr>
        <w:spacing w:after="0" w:line="38" w:lineRule="exact"/>
        <w:rPr>
          <w:sz w:val="20"/>
          <w:szCs w:val="20"/>
          <w:color w:val="auto"/>
        </w:rPr>
      </w:pPr>
    </w:p>
    <w:p>
      <w:pPr>
        <w:spacing w:after="0"/>
        <w:tabs>
          <w:tab w:leader="none" w:pos="420" w:val="left"/>
        </w:tabs>
        <w:rPr>
          <w:sz w:val="20"/>
          <w:szCs w:val="20"/>
          <w:color w:val="auto"/>
        </w:rPr>
      </w:pPr>
      <w:r>
        <w:rPr>
          <w:rFonts w:ascii="Arial" w:cs="Arial" w:eastAsia="Arial" w:hAnsi="Arial"/>
          <w:sz w:val="13"/>
          <w:szCs w:val="13"/>
          <w:color w:val="FC0718"/>
          <w:strike w:val="1"/>
        </w:rPr>
        <w:t>6</w:t>
      </w:r>
      <w:r>
        <w:rPr>
          <w:rFonts w:ascii="Arial" w:cs="Arial" w:eastAsia="Arial" w:hAnsi="Arial"/>
          <w:sz w:val="13"/>
          <w:szCs w:val="13"/>
          <w:b w:val="1"/>
          <w:bCs w:val="1"/>
          <w:u w:val="single" w:color="auto"/>
          <w:color w:val="071DFF"/>
          <w:highlight w:val="lightGray"/>
        </w:rPr>
        <w:t>11</w:t>
      </w:r>
      <w:r>
        <w:rPr>
          <w:sz w:val="20"/>
          <w:szCs w:val="20"/>
          <w:color w:val="auto"/>
        </w:rPr>
        <w:tab/>
      </w:r>
      <w:r>
        <w:rPr>
          <w:rFonts w:ascii="Arial" w:cs="Arial" w:eastAsia="Arial" w:hAnsi="Arial"/>
          <w:sz w:val="12"/>
          <w:szCs w:val="12"/>
          <w:color w:val="auto"/>
        </w:rPr>
        <w:t>Not more than 10% of the UAV may be in respect of Unencumbered Eligible Properties that constitute Qualified Development Properties</w:t>
      </w:r>
    </w:p>
    <w:p>
      <w:pPr>
        <w:spacing w:after="0" w:line="38" w:lineRule="exact"/>
        <w:rPr>
          <w:sz w:val="20"/>
          <w:szCs w:val="20"/>
          <w:color w:val="auto"/>
        </w:rPr>
      </w:pPr>
    </w:p>
    <w:p>
      <w:pPr>
        <w:ind w:left="440" w:hanging="449"/>
        <w:spacing w:after="0" w:line="251" w:lineRule="auto"/>
        <w:tabs>
          <w:tab w:leader="none" w:pos="420" w:val="left"/>
        </w:tabs>
        <w:rPr>
          <w:sz w:val="20"/>
          <w:szCs w:val="20"/>
          <w:color w:val="auto"/>
        </w:rPr>
      </w:pPr>
      <w:r>
        <w:rPr>
          <w:rFonts w:ascii="Arial" w:cs="Arial" w:eastAsia="Arial" w:hAnsi="Arial"/>
          <w:sz w:val="13"/>
          <w:szCs w:val="13"/>
          <w:color w:val="FC0718"/>
          <w:strike w:val="1"/>
        </w:rPr>
        <w:t>7</w:t>
      </w:r>
      <w:r>
        <w:rPr>
          <w:rFonts w:ascii="Arial" w:cs="Arial" w:eastAsia="Arial" w:hAnsi="Arial"/>
          <w:sz w:val="13"/>
          <w:szCs w:val="13"/>
          <w:b w:val="1"/>
          <w:bCs w:val="1"/>
          <w:u w:val="single" w:color="auto"/>
          <w:color w:val="071DFF"/>
          <w:highlight w:val="lightGray"/>
        </w:rPr>
        <w:t>12</w:t>
      </w:r>
      <w:r>
        <w:rPr>
          <w:sz w:val="20"/>
          <w:szCs w:val="20"/>
          <w:color w:val="auto"/>
        </w:rPr>
        <w:tab/>
      </w:r>
      <w:r>
        <w:rPr>
          <w:rFonts w:ascii="Arial" w:cs="Arial" w:eastAsia="Arial" w:hAnsi="Arial"/>
          <w:sz w:val="13"/>
          <w:szCs w:val="13"/>
          <w:color w:val="auto"/>
        </w:rPr>
        <w:t>Not more than 20% of the UAV may be in respect of Unencumbered Eligible Properties that are owned by a Controlled Joint Venture or ground leased under an Eligible Ground Lease or that constitute Qualified Development Properties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D-8</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Form of Compliance Certificate</w:t>
      </w:r>
    </w:p>
    <w:p>
      <w:pPr>
        <w:sectPr>
          <w:pgSz w:w="11900" w:h="16838" w:orient="portrait"/>
          <w:cols w:equalWidth="0" w:num="1">
            <w:col w:w="11120"/>
          </w:cols>
          <w:pgMar w:left="360" w:top="926" w:right="419" w:bottom="1440" w:gutter="0" w:footer="0" w:header="0"/>
          <w:type w:val="continuous"/>
        </w:sectPr>
      </w:pPr>
    </w:p>
    <w:bookmarkStart w:id="379" w:name="page380"/>
    <w:bookmarkEnd w:id="379"/>
    <w:p>
      <w:pPr>
        <w:ind w:left="1000" w:hanging="572"/>
        <w:spacing w:after="0"/>
        <w:tabs>
          <w:tab w:leader="none" w:pos="1000" w:val="left"/>
        </w:tabs>
        <w:numPr>
          <w:ilvl w:val="0"/>
          <w:numId w:val="453"/>
        </w:numPr>
        <w:rPr>
          <w:rFonts w:ascii="Arial" w:cs="Arial" w:eastAsia="Arial" w:hAnsi="Arial"/>
          <w:sz w:val="20"/>
          <w:szCs w:val="20"/>
          <w:color w:val="auto"/>
        </w:rPr>
      </w:pPr>
      <w:r>
        <w:rPr>
          <w:rFonts w:ascii="Arial" w:cs="Arial" w:eastAsia="Arial" w:hAnsi="Arial"/>
          <w:sz w:val="20"/>
          <w:szCs w:val="20"/>
          <w:color w:val="auto"/>
        </w:rPr>
        <w:t>Consolidated Total Unsecured Indebtedness minus Unrestricted Cash Amount (Line VI.A.3. - Line</w:t>
      </w:r>
    </w:p>
    <w:p>
      <w:pPr>
        <w:spacing w:after="0" w:line="1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60" w:type="dxa"/>
            <w:vAlign w:val="bottom"/>
            <w:gridSpan w:val="3"/>
          </w:tcPr>
          <w:p>
            <w:pPr>
              <w:ind w:left="240"/>
              <w:spacing w:after="0"/>
              <w:rPr>
                <w:sz w:val="20"/>
                <w:szCs w:val="20"/>
                <w:color w:val="auto"/>
              </w:rPr>
            </w:pPr>
            <w:r>
              <w:rPr>
                <w:rFonts w:ascii="Arial" w:cs="Arial" w:eastAsia="Arial" w:hAnsi="Arial"/>
                <w:sz w:val="20"/>
                <w:szCs w:val="20"/>
                <w:color w:val="auto"/>
              </w:rPr>
              <w:t>VI.B.):</w:t>
            </w:r>
          </w:p>
        </w:tc>
        <w:tc>
          <w:tcPr>
            <w:tcW w:w="24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2460" w:type="dxa"/>
            <w:vAlign w:val="bottom"/>
            <w:gridSpan w:val="2"/>
          </w:tcPr>
          <w:p>
            <w:pPr>
              <w:ind w:left="7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r>
      <w:tr>
        <w:trPr>
          <w:trHeight w:val="260"/>
        </w:trPr>
        <w:tc>
          <w:tcPr>
            <w:tcW w:w="380" w:type="dxa"/>
            <w:vAlign w:val="bottom"/>
          </w:tcPr>
          <w:p>
            <w:pPr>
              <w:spacing w:after="0"/>
              <w:rPr>
                <w:sz w:val="22"/>
                <w:szCs w:val="22"/>
                <w:color w:val="auto"/>
              </w:rPr>
            </w:pPr>
          </w:p>
        </w:tc>
        <w:tc>
          <w:tcPr>
            <w:tcW w:w="8340" w:type="dxa"/>
            <w:vAlign w:val="bottom"/>
            <w:gridSpan w:val="8"/>
          </w:tcPr>
          <w:p>
            <w:pPr>
              <w:ind w:left="40"/>
              <w:spacing w:after="0"/>
              <w:rPr>
                <w:sz w:val="20"/>
                <w:szCs w:val="20"/>
                <w:color w:val="auto"/>
              </w:rPr>
            </w:pPr>
            <w:r>
              <w:rPr>
                <w:rFonts w:ascii="Arial" w:cs="Arial" w:eastAsia="Arial" w:hAnsi="Arial"/>
                <w:sz w:val="20"/>
                <w:szCs w:val="20"/>
                <w:b w:val="1"/>
                <w:bCs w:val="1"/>
                <w:color w:val="auto"/>
              </w:rPr>
              <w:t>Consolidated Unsecured Leverage Ratio (Line VI.D. as a percentage of Line VI.C.10):</w:t>
            </w:r>
          </w:p>
        </w:tc>
        <w:tc>
          <w:tcPr>
            <w:tcW w:w="680" w:type="dxa"/>
            <w:vAlign w:val="bottom"/>
          </w:tcPr>
          <w:p>
            <w:pPr>
              <w:spacing w:after="0"/>
              <w:rPr>
                <w:sz w:val="22"/>
                <w:szCs w:val="22"/>
                <w:color w:val="auto"/>
              </w:rPr>
            </w:pPr>
          </w:p>
        </w:tc>
        <w:tc>
          <w:tcPr>
            <w:tcW w:w="18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20"/>
                <w:szCs w:val="20"/>
                <w:b w:val="1"/>
                <w:bCs w:val="1"/>
                <w:color w:val="auto"/>
              </w:rPr>
              <w:t>%</w:t>
            </w:r>
          </w:p>
        </w:tc>
      </w:tr>
      <w:tr>
        <w:trPr>
          <w:trHeight w:val="260"/>
        </w:trPr>
        <w:tc>
          <w:tcPr>
            <w:tcW w:w="380" w:type="dxa"/>
            <w:vAlign w:val="bottom"/>
          </w:tcPr>
          <w:p>
            <w:pPr>
              <w:spacing w:after="0"/>
              <w:rPr>
                <w:sz w:val="22"/>
                <w:szCs w:val="22"/>
                <w:color w:val="auto"/>
              </w:rPr>
            </w:pPr>
          </w:p>
        </w:tc>
        <w:tc>
          <w:tcPr>
            <w:tcW w:w="5900" w:type="dxa"/>
            <w:vAlign w:val="bottom"/>
            <w:gridSpan w:val="7"/>
          </w:tcPr>
          <w:p>
            <w:pPr>
              <w:ind w:left="40"/>
              <w:spacing w:after="0"/>
              <w:rPr>
                <w:sz w:val="20"/>
                <w:szCs w:val="20"/>
                <w:color w:val="auto"/>
              </w:rPr>
            </w:pPr>
            <w:r>
              <w:rPr>
                <w:rFonts w:ascii="Arial" w:cs="Arial" w:eastAsia="Arial" w:hAnsi="Arial"/>
                <w:sz w:val="20"/>
                <w:szCs w:val="20"/>
                <w:b w:val="1"/>
                <w:bCs w:val="1"/>
                <w:color w:val="auto"/>
                <w:w w:val="99"/>
              </w:rPr>
              <w:t>Maximum Permitted Consolidated Unsecured Leverage Ratio:</w:t>
            </w:r>
          </w:p>
        </w:tc>
        <w:tc>
          <w:tcPr>
            <w:tcW w:w="2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780" w:type="dxa"/>
            <w:vAlign w:val="bottom"/>
          </w:tcPr>
          <w:p>
            <w:pPr>
              <w:jc w:val="right"/>
              <w:ind w:right="580"/>
              <w:spacing w:after="0"/>
              <w:rPr>
                <w:sz w:val="20"/>
                <w:szCs w:val="20"/>
                <w:color w:val="auto"/>
              </w:rPr>
            </w:pPr>
            <w:r>
              <w:rPr>
                <w:rFonts w:ascii="Arial" w:cs="Arial" w:eastAsia="Arial" w:hAnsi="Arial"/>
                <w:sz w:val="20"/>
                <w:szCs w:val="20"/>
                <w:b w:val="1"/>
                <w:bCs w:val="1"/>
                <w:color w:val="auto"/>
              </w:rPr>
              <w:t>60%</w:t>
            </w:r>
          </w:p>
        </w:tc>
        <w:tc>
          <w:tcPr>
            <w:tcW w:w="20" w:type="dxa"/>
            <w:vAlign w:val="bottom"/>
          </w:tcPr>
          <w:p>
            <w:pPr>
              <w:spacing w:after="0"/>
              <w:rPr>
                <w:sz w:val="22"/>
                <w:szCs w:val="22"/>
                <w:color w:val="auto"/>
              </w:rPr>
            </w:pPr>
          </w:p>
        </w:tc>
      </w:tr>
      <w:tr>
        <w:trPr>
          <w:trHeight w:val="889"/>
        </w:trPr>
        <w:tc>
          <w:tcPr>
            <w:tcW w:w="380" w:type="dxa"/>
            <w:vAlign w:val="bottom"/>
          </w:tcPr>
          <w:p>
            <w:pPr>
              <w:ind w:left="20"/>
              <w:spacing w:after="0"/>
              <w:rPr>
                <w:sz w:val="20"/>
                <w:szCs w:val="20"/>
                <w:color w:val="auto"/>
              </w:rPr>
            </w:pPr>
            <w:r>
              <w:rPr>
                <w:rFonts w:ascii="Arial" w:cs="Arial" w:eastAsia="Arial" w:hAnsi="Arial"/>
                <w:sz w:val="20"/>
                <w:szCs w:val="20"/>
                <w:b w:val="1"/>
                <w:bCs w:val="1"/>
                <w:color w:val="FC0718"/>
                <w:strike w:val="1"/>
              </w:rPr>
              <w:t>VII.</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tcBorders>
              <w:bottom w:val="single" w:sz="8" w:color="FC0718"/>
            </w:tcBorders>
            <w:gridSpan w:val="2"/>
          </w:tcPr>
          <w:p>
            <w:pPr>
              <w:spacing w:after="0"/>
              <w:rPr>
                <w:sz w:val="20"/>
                <w:szCs w:val="20"/>
                <w:color w:val="auto"/>
              </w:rPr>
            </w:pPr>
            <w:r>
              <w:rPr>
                <w:rFonts w:ascii="Arial" w:cs="Arial" w:eastAsia="Arial" w:hAnsi="Arial"/>
                <w:sz w:val="20"/>
                <w:szCs w:val="20"/>
                <w:b w:val="1"/>
                <w:bCs w:val="1"/>
                <w:color w:val="FC0718"/>
                <w:strike w:val="1"/>
                <w:w w:val="89"/>
              </w:rPr>
              <w:t>Permitted Investments</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5"/>
        </w:trPr>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700" w:type="dxa"/>
            <w:vAlign w:val="bottom"/>
            <w:tcBorders>
              <w:bottom w:val="single" w:sz="8" w:color="FC0718"/>
            </w:tcBorders>
            <w:gridSpan w:val="3"/>
          </w:tcPr>
          <w:p>
            <w:pPr>
              <w:spacing w:after="0"/>
              <w:rPr>
                <w:sz w:val="20"/>
                <w:szCs w:val="20"/>
                <w:color w:val="auto"/>
              </w:rPr>
            </w:pPr>
            <w:r>
              <w:rPr>
                <w:rFonts w:ascii="Arial" w:cs="Arial" w:eastAsia="Arial" w:hAnsi="Arial"/>
                <w:sz w:val="20"/>
                <w:szCs w:val="20"/>
                <w:color w:val="FC0718"/>
                <w:strike w:val="1"/>
                <w:w w:val="88"/>
              </w:rPr>
              <w:t>Investments at Statement Date in:</w:t>
            </w:r>
          </w:p>
        </w:tc>
        <w:tc>
          <w:tcPr>
            <w:tcW w:w="4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2"/>
        </w:trPr>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09"/>
        </w:trPr>
        <w:tc>
          <w:tcPr>
            <w:tcW w:w="2640" w:type="dxa"/>
            <w:vAlign w:val="bottom"/>
            <w:tcBorders>
              <w:left w:val="single" w:sz="8" w:color="auto"/>
            </w:tcBorders>
            <w:gridSpan w:val="5"/>
            <w:shd w:val="clear" w:color="auto" w:fill="FFDEAD"/>
          </w:tcPr>
          <w:p>
            <w:pPr>
              <w:ind w:left="40"/>
              <w:spacing w:after="0"/>
              <w:rPr>
                <w:sz w:val="20"/>
                <w:szCs w:val="20"/>
                <w:color w:val="auto"/>
              </w:rPr>
            </w:pPr>
            <w:r>
              <w:rPr>
                <w:rFonts w:ascii="Arial" w:cs="Arial" w:eastAsia="Arial" w:hAnsi="Arial"/>
                <w:sz w:val="18"/>
                <w:szCs w:val="18"/>
                <w:b w:val="1"/>
                <w:bCs w:val="1"/>
                <w:color w:val="FF0000"/>
                <w:strike w:val="1"/>
              </w:rPr>
              <w:t>Type of Permitted Investment</w:t>
            </w:r>
          </w:p>
        </w:tc>
        <w:tc>
          <w:tcPr>
            <w:tcW w:w="760" w:type="dxa"/>
            <w:vAlign w:val="bottom"/>
            <w:shd w:val="clear" w:color="auto" w:fill="FFDEAD"/>
          </w:tcPr>
          <w:p>
            <w:pPr>
              <w:spacing w:after="0"/>
              <w:rPr>
                <w:sz w:val="18"/>
                <w:szCs w:val="18"/>
                <w:color w:val="auto"/>
              </w:rPr>
            </w:pPr>
          </w:p>
        </w:tc>
        <w:tc>
          <w:tcPr>
            <w:tcW w:w="420" w:type="dxa"/>
            <w:vAlign w:val="bottom"/>
            <w:tcBorders>
              <w:right w:val="single" w:sz="8" w:color="auto"/>
            </w:tcBorders>
            <w:shd w:val="clear" w:color="auto" w:fill="FFDEAD"/>
          </w:tcPr>
          <w:p>
            <w:pPr>
              <w:spacing w:after="0"/>
              <w:rPr>
                <w:sz w:val="18"/>
                <w:szCs w:val="18"/>
                <w:color w:val="auto"/>
              </w:rPr>
            </w:pPr>
          </w:p>
        </w:tc>
        <w:tc>
          <w:tcPr>
            <w:tcW w:w="2460" w:type="dxa"/>
            <w:vAlign w:val="bottom"/>
            <w:tcBorders>
              <w:right w:val="single" w:sz="8" w:color="auto"/>
            </w:tcBorders>
            <w:shd w:val="clear" w:color="auto" w:fill="FFDEAD"/>
          </w:tcPr>
          <w:p>
            <w:pPr>
              <w:ind w:left="20"/>
              <w:spacing w:after="0"/>
              <w:rPr>
                <w:sz w:val="20"/>
                <w:szCs w:val="20"/>
                <w:color w:val="auto"/>
              </w:rPr>
            </w:pPr>
            <w:r>
              <w:rPr>
                <w:rFonts w:ascii="Arial" w:cs="Arial" w:eastAsia="Arial" w:hAnsi="Arial"/>
                <w:sz w:val="18"/>
                <w:szCs w:val="18"/>
                <w:b w:val="1"/>
                <w:bCs w:val="1"/>
                <w:color w:val="FF0000"/>
                <w:strike w:val="1"/>
                <w:w w:val="99"/>
              </w:rPr>
              <w:t>Limitation under Section 7.3</w:t>
            </w:r>
          </w:p>
        </w:tc>
        <w:tc>
          <w:tcPr>
            <w:tcW w:w="2440" w:type="dxa"/>
            <w:vAlign w:val="bottom"/>
            <w:tcBorders>
              <w:right w:val="single" w:sz="8" w:color="auto"/>
            </w:tcBorders>
            <w:shd w:val="clear" w:color="auto" w:fill="FFDEAD"/>
          </w:tcPr>
          <w:p>
            <w:pPr>
              <w:ind w:left="20"/>
              <w:spacing w:after="0"/>
              <w:rPr>
                <w:sz w:val="20"/>
                <w:szCs w:val="20"/>
                <w:color w:val="auto"/>
              </w:rPr>
            </w:pPr>
            <w:r>
              <w:rPr>
                <w:rFonts w:ascii="Arial" w:cs="Arial" w:eastAsia="Arial" w:hAnsi="Arial"/>
                <w:sz w:val="18"/>
                <w:szCs w:val="18"/>
                <w:b w:val="1"/>
                <w:bCs w:val="1"/>
                <w:color w:val="FF0000"/>
                <w:strike w:val="1"/>
              </w:rPr>
              <w:t>Actual Percentage of TAV</w:t>
            </w:r>
          </w:p>
        </w:tc>
        <w:tc>
          <w:tcPr>
            <w:tcW w:w="2460" w:type="dxa"/>
            <w:vAlign w:val="bottom"/>
            <w:tcBorders>
              <w:right w:val="single" w:sz="8" w:color="auto"/>
            </w:tcBorders>
            <w:gridSpan w:val="2"/>
            <w:shd w:val="clear" w:color="auto" w:fill="FFDEAD"/>
          </w:tcPr>
          <w:p>
            <w:pPr>
              <w:ind w:left="20"/>
              <w:spacing w:after="0"/>
              <w:rPr>
                <w:sz w:val="20"/>
                <w:szCs w:val="20"/>
                <w:color w:val="auto"/>
              </w:rPr>
            </w:pPr>
            <w:r>
              <w:rPr>
                <w:rFonts w:ascii="Arial" w:cs="Arial" w:eastAsia="Arial" w:hAnsi="Arial"/>
                <w:sz w:val="18"/>
                <w:szCs w:val="18"/>
                <w:b w:val="1"/>
                <w:bCs w:val="1"/>
                <w:color w:val="FF0000"/>
                <w:strike w:val="1"/>
                <w:w w:val="98"/>
              </w:rPr>
              <w:t>Actual Aggregate Amount of</w:t>
            </w:r>
          </w:p>
        </w:tc>
        <w:tc>
          <w:tcPr>
            <w:tcW w:w="20" w:type="dxa"/>
            <w:vAlign w:val="bottom"/>
          </w:tcPr>
          <w:p>
            <w:pPr>
              <w:spacing w:after="0"/>
              <w:rPr>
                <w:sz w:val="18"/>
                <w:szCs w:val="18"/>
                <w:color w:val="auto"/>
              </w:rPr>
            </w:pPr>
          </w:p>
        </w:tc>
      </w:tr>
      <w:tr>
        <w:trPr>
          <w:trHeight w:val="263"/>
        </w:trPr>
        <w:tc>
          <w:tcPr>
            <w:tcW w:w="380" w:type="dxa"/>
            <w:vAlign w:val="bottom"/>
            <w:tcBorders>
              <w:left w:val="single" w:sz="8" w:color="auto"/>
              <w:bottom w:val="single" w:sz="8" w:color="FFDEAD"/>
            </w:tcBorders>
            <w:shd w:val="clear" w:color="auto" w:fill="FFDEAD"/>
          </w:tcPr>
          <w:p>
            <w:pPr>
              <w:spacing w:after="0"/>
              <w:rPr>
                <w:sz w:val="22"/>
                <w:szCs w:val="22"/>
                <w:color w:val="auto"/>
              </w:rPr>
            </w:pPr>
          </w:p>
        </w:tc>
        <w:tc>
          <w:tcPr>
            <w:tcW w:w="260" w:type="dxa"/>
            <w:vAlign w:val="bottom"/>
            <w:tcBorders>
              <w:bottom w:val="single" w:sz="8" w:color="FFDEAD"/>
            </w:tcBorders>
            <w:shd w:val="clear" w:color="auto" w:fill="FFDEAD"/>
          </w:tcPr>
          <w:p>
            <w:pPr>
              <w:spacing w:after="0"/>
              <w:rPr>
                <w:sz w:val="22"/>
                <w:szCs w:val="22"/>
                <w:color w:val="auto"/>
              </w:rPr>
            </w:pPr>
          </w:p>
        </w:tc>
        <w:tc>
          <w:tcPr>
            <w:tcW w:w="60" w:type="dxa"/>
            <w:vAlign w:val="bottom"/>
            <w:tcBorders>
              <w:bottom w:val="single" w:sz="8" w:color="FFDEAD"/>
            </w:tcBorders>
            <w:shd w:val="clear" w:color="auto" w:fill="FFDEAD"/>
          </w:tcPr>
          <w:p>
            <w:pPr>
              <w:spacing w:after="0"/>
              <w:rPr>
                <w:sz w:val="22"/>
                <w:szCs w:val="22"/>
                <w:color w:val="auto"/>
              </w:rPr>
            </w:pPr>
          </w:p>
        </w:tc>
        <w:tc>
          <w:tcPr>
            <w:tcW w:w="60" w:type="dxa"/>
            <w:vAlign w:val="bottom"/>
            <w:tcBorders>
              <w:bottom w:val="single" w:sz="8" w:color="FFDEAD"/>
            </w:tcBorders>
            <w:shd w:val="clear" w:color="auto" w:fill="FFDEAD"/>
          </w:tcPr>
          <w:p>
            <w:pPr>
              <w:spacing w:after="0"/>
              <w:rPr>
                <w:sz w:val="22"/>
                <w:szCs w:val="22"/>
                <w:color w:val="auto"/>
              </w:rPr>
            </w:pPr>
          </w:p>
        </w:tc>
        <w:tc>
          <w:tcPr>
            <w:tcW w:w="1880" w:type="dxa"/>
            <w:vAlign w:val="bottom"/>
            <w:tcBorders>
              <w:bottom w:val="single" w:sz="8" w:color="FFDEAD"/>
            </w:tcBorders>
            <w:shd w:val="clear" w:color="auto" w:fill="FFDEAD"/>
          </w:tcPr>
          <w:p>
            <w:pPr>
              <w:spacing w:after="0"/>
              <w:rPr>
                <w:sz w:val="22"/>
                <w:szCs w:val="22"/>
                <w:color w:val="auto"/>
              </w:rPr>
            </w:pPr>
          </w:p>
        </w:tc>
        <w:tc>
          <w:tcPr>
            <w:tcW w:w="760" w:type="dxa"/>
            <w:vAlign w:val="bottom"/>
            <w:tcBorders>
              <w:bottom w:val="single" w:sz="8" w:color="FFDEAD"/>
            </w:tcBorders>
            <w:shd w:val="clear" w:color="auto" w:fill="FFDEAD"/>
          </w:tcPr>
          <w:p>
            <w:pPr>
              <w:spacing w:after="0"/>
              <w:rPr>
                <w:sz w:val="22"/>
                <w:szCs w:val="22"/>
                <w:color w:val="auto"/>
              </w:rPr>
            </w:pPr>
          </w:p>
        </w:tc>
        <w:tc>
          <w:tcPr>
            <w:tcW w:w="420" w:type="dxa"/>
            <w:vAlign w:val="bottom"/>
            <w:tcBorders>
              <w:bottom w:val="single" w:sz="8" w:color="FFDEAD"/>
              <w:right w:val="single" w:sz="8" w:color="auto"/>
            </w:tcBorders>
            <w:shd w:val="clear" w:color="auto" w:fill="FFDEAD"/>
          </w:tcPr>
          <w:p>
            <w:pPr>
              <w:spacing w:after="0"/>
              <w:rPr>
                <w:sz w:val="22"/>
                <w:szCs w:val="22"/>
                <w:color w:val="auto"/>
              </w:rPr>
            </w:pPr>
          </w:p>
        </w:tc>
        <w:tc>
          <w:tcPr>
            <w:tcW w:w="2460" w:type="dxa"/>
            <w:vAlign w:val="bottom"/>
            <w:tcBorders>
              <w:bottom w:val="single" w:sz="8" w:color="FFDEAD"/>
              <w:right w:val="single" w:sz="8" w:color="auto"/>
            </w:tcBorders>
            <w:shd w:val="clear" w:color="auto" w:fill="FFDEAD"/>
          </w:tcPr>
          <w:p>
            <w:pPr>
              <w:spacing w:after="0"/>
              <w:rPr>
                <w:sz w:val="22"/>
                <w:szCs w:val="22"/>
                <w:color w:val="auto"/>
              </w:rPr>
            </w:pPr>
          </w:p>
        </w:tc>
        <w:tc>
          <w:tcPr>
            <w:tcW w:w="2440" w:type="dxa"/>
            <w:vAlign w:val="bottom"/>
            <w:tcBorders>
              <w:bottom w:val="single" w:sz="8" w:color="FFDEAD"/>
              <w:right w:val="single" w:sz="8" w:color="auto"/>
            </w:tcBorders>
            <w:shd w:val="clear" w:color="auto" w:fill="FFDEAD"/>
          </w:tcPr>
          <w:p>
            <w:pPr>
              <w:spacing w:after="0"/>
              <w:rPr>
                <w:sz w:val="22"/>
                <w:szCs w:val="22"/>
                <w:color w:val="auto"/>
              </w:rPr>
            </w:pPr>
          </w:p>
        </w:tc>
        <w:tc>
          <w:tcPr>
            <w:tcW w:w="2460" w:type="dxa"/>
            <w:vAlign w:val="bottom"/>
            <w:tcBorders>
              <w:bottom w:val="single" w:sz="8" w:color="FFDEAD"/>
              <w:right w:val="single" w:sz="8" w:color="auto"/>
            </w:tcBorders>
            <w:gridSpan w:val="2"/>
            <w:shd w:val="clear" w:color="auto" w:fill="FFDEAD"/>
          </w:tcPr>
          <w:p>
            <w:pPr>
              <w:ind w:left="20"/>
              <w:spacing w:after="0"/>
              <w:rPr>
                <w:sz w:val="20"/>
                <w:szCs w:val="20"/>
                <w:color w:val="auto"/>
              </w:rPr>
            </w:pPr>
            <w:r>
              <w:rPr>
                <w:rFonts w:ascii="Arial" w:cs="Arial" w:eastAsia="Arial" w:hAnsi="Arial"/>
                <w:sz w:val="18"/>
                <w:szCs w:val="18"/>
                <w:b w:val="1"/>
                <w:bCs w:val="1"/>
                <w:color w:val="FF0000"/>
                <w:strike w:val="1"/>
                <w:w w:val="99"/>
              </w:rPr>
              <w:t>such Permitted Investments</w:t>
            </w:r>
          </w:p>
        </w:tc>
        <w:tc>
          <w:tcPr>
            <w:tcW w:w="20" w:type="dxa"/>
            <w:vAlign w:val="bottom"/>
          </w:tcPr>
          <w:p>
            <w:pPr>
              <w:spacing w:after="0"/>
              <w:rPr>
                <w:sz w:val="22"/>
                <w:szCs w:val="22"/>
                <w:color w:val="auto"/>
              </w:rPr>
            </w:pPr>
          </w:p>
        </w:tc>
      </w:tr>
      <w:tr>
        <w:trPr>
          <w:trHeight w:val="213"/>
        </w:trPr>
        <w:tc>
          <w:tcPr>
            <w:tcW w:w="3400" w:type="dxa"/>
            <w:vAlign w:val="bottom"/>
            <w:tcBorders>
              <w:top w:val="single" w:sz="8" w:color="auto"/>
              <w:left w:val="single" w:sz="8" w:color="auto"/>
            </w:tcBorders>
            <w:gridSpan w:val="6"/>
            <w:shd w:val="clear" w:color="auto" w:fill="FFDEAD"/>
          </w:tcPr>
          <w:p>
            <w:pPr>
              <w:ind w:left="40"/>
              <w:spacing w:after="0"/>
              <w:rPr>
                <w:sz w:val="20"/>
                <w:szCs w:val="20"/>
                <w:color w:val="auto"/>
              </w:rPr>
            </w:pPr>
            <w:r>
              <w:rPr>
                <w:rFonts w:ascii="Arial" w:cs="Arial" w:eastAsia="Arial" w:hAnsi="Arial"/>
                <w:sz w:val="18"/>
                <w:szCs w:val="18"/>
                <w:color w:val="FF0000"/>
                <w:strike w:val="1"/>
              </w:rPr>
              <w:t>The Aggregate Unconsolidated Affiliate</w:t>
            </w:r>
          </w:p>
        </w:tc>
        <w:tc>
          <w:tcPr>
            <w:tcW w:w="420" w:type="dxa"/>
            <w:vAlign w:val="bottom"/>
            <w:tcBorders>
              <w:top w:val="single" w:sz="8" w:color="auto"/>
              <w:right w:val="single" w:sz="8" w:color="auto"/>
            </w:tcBorders>
            <w:shd w:val="clear" w:color="auto" w:fill="FFDEAD"/>
          </w:tcPr>
          <w:p>
            <w:pPr>
              <w:spacing w:after="0"/>
              <w:rPr>
                <w:sz w:val="18"/>
                <w:szCs w:val="18"/>
                <w:color w:val="auto"/>
              </w:rPr>
            </w:pPr>
          </w:p>
        </w:tc>
        <w:tc>
          <w:tcPr>
            <w:tcW w:w="2460" w:type="dxa"/>
            <w:vAlign w:val="bottom"/>
            <w:tcBorders>
              <w:top w:val="single" w:sz="8" w:color="auto"/>
              <w:right w:val="single" w:sz="8" w:color="auto"/>
            </w:tcBorders>
            <w:shd w:val="clear" w:color="auto" w:fill="FFDEAD"/>
          </w:tcPr>
          <w:p>
            <w:pPr>
              <w:ind w:left="20"/>
              <w:spacing w:after="0"/>
              <w:rPr>
                <w:sz w:val="20"/>
                <w:szCs w:val="20"/>
                <w:color w:val="auto"/>
              </w:rPr>
            </w:pPr>
            <w:r>
              <w:rPr>
                <w:rFonts w:ascii="Arial" w:cs="Arial" w:eastAsia="Arial" w:hAnsi="Arial"/>
                <w:sz w:val="18"/>
                <w:szCs w:val="18"/>
                <w:color w:val="FF0000"/>
                <w:strike w:val="1"/>
              </w:rPr>
              <w:t>Not in excess of 20% of the</w:t>
            </w:r>
          </w:p>
        </w:tc>
        <w:tc>
          <w:tcPr>
            <w:tcW w:w="2440" w:type="dxa"/>
            <w:vAlign w:val="bottom"/>
            <w:tcBorders>
              <w:top w:val="single" w:sz="8" w:color="auto"/>
              <w:right w:val="single" w:sz="8" w:color="auto"/>
            </w:tcBorders>
            <w:shd w:val="clear" w:color="auto" w:fill="FFDEAD"/>
          </w:tcPr>
          <w:p>
            <w:pPr>
              <w:ind w:left="20"/>
              <w:spacing w:after="0"/>
              <w:rPr>
                <w:sz w:val="20"/>
                <w:szCs w:val="20"/>
                <w:color w:val="auto"/>
              </w:rPr>
            </w:pPr>
            <w:r>
              <w:rPr>
                <w:rFonts w:ascii="Arial" w:cs="Arial" w:eastAsia="Arial" w:hAnsi="Arial"/>
                <w:sz w:val="18"/>
                <w:szCs w:val="18"/>
                <w:color w:val="FF0000"/>
                <w:strike w:val="1"/>
              </w:rPr>
              <w:t>________% of Total Asset</w:t>
            </w:r>
          </w:p>
        </w:tc>
        <w:tc>
          <w:tcPr>
            <w:tcW w:w="2460" w:type="dxa"/>
            <w:vAlign w:val="bottom"/>
            <w:tcBorders>
              <w:top w:val="single" w:sz="8" w:color="auto"/>
              <w:right w:val="single" w:sz="8" w:color="auto"/>
            </w:tcBorders>
            <w:gridSpan w:val="2"/>
            <w:shd w:val="clear" w:color="auto" w:fill="FFDEAD"/>
          </w:tcPr>
          <w:p>
            <w:pPr>
              <w:ind w:left="20"/>
              <w:spacing w:after="0"/>
              <w:rPr>
                <w:sz w:val="20"/>
                <w:szCs w:val="20"/>
                <w:color w:val="auto"/>
              </w:rPr>
            </w:pPr>
            <w:r>
              <w:rPr>
                <w:rFonts w:ascii="Arial" w:cs="Arial" w:eastAsia="Arial" w:hAnsi="Arial"/>
                <w:sz w:val="18"/>
                <w:szCs w:val="18"/>
                <w:color w:val="FF0000"/>
                <w:strike w:val="1"/>
              </w:rPr>
              <w:t>$____________</w:t>
            </w:r>
          </w:p>
        </w:tc>
        <w:tc>
          <w:tcPr>
            <w:tcW w:w="20" w:type="dxa"/>
            <w:vAlign w:val="bottom"/>
          </w:tcPr>
          <w:p>
            <w:pPr>
              <w:spacing w:after="0"/>
              <w:rPr>
                <w:sz w:val="18"/>
                <w:szCs w:val="18"/>
                <w:color w:val="auto"/>
              </w:rPr>
            </w:pPr>
          </w:p>
        </w:tc>
      </w:tr>
      <w:tr>
        <w:trPr>
          <w:trHeight w:val="212"/>
        </w:trPr>
        <w:tc>
          <w:tcPr>
            <w:tcW w:w="2640" w:type="dxa"/>
            <w:vAlign w:val="bottom"/>
            <w:tcBorders>
              <w:left w:val="single" w:sz="8" w:color="auto"/>
            </w:tcBorders>
            <w:gridSpan w:val="5"/>
            <w:shd w:val="clear" w:color="auto" w:fill="FFDEAD"/>
          </w:tcPr>
          <w:p>
            <w:pPr>
              <w:ind w:left="40"/>
              <w:spacing w:after="0"/>
              <w:rPr>
                <w:sz w:val="20"/>
                <w:szCs w:val="20"/>
                <w:color w:val="auto"/>
              </w:rPr>
            </w:pPr>
            <w:r>
              <w:rPr>
                <w:rFonts w:ascii="Arial" w:cs="Arial" w:eastAsia="Arial" w:hAnsi="Arial"/>
                <w:sz w:val="18"/>
                <w:szCs w:val="18"/>
                <w:color w:val="FF0000"/>
                <w:strike w:val="1"/>
              </w:rPr>
              <w:t>Investment Amount</w:t>
            </w:r>
          </w:p>
        </w:tc>
        <w:tc>
          <w:tcPr>
            <w:tcW w:w="760" w:type="dxa"/>
            <w:vAlign w:val="bottom"/>
            <w:shd w:val="clear" w:color="auto" w:fill="FFDEAD"/>
          </w:tcPr>
          <w:p>
            <w:pPr>
              <w:spacing w:after="0"/>
              <w:rPr>
                <w:sz w:val="18"/>
                <w:szCs w:val="18"/>
                <w:color w:val="auto"/>
              </w:rPr>
            </w:pPr>
          </w:p>
        </w:tc>
        <w:tc>
          <w:tcPr>
            <w:tcW w:w="420" w:type="dxa"/>
            <w:vAlign w:val="bottom"/>
            <w:tcBorders>
              <w:right w:val="single" w:sz="8" w:color="auto"/>
            </w:tcBorders>
            <w:shd w:val="clear" w:color="auto" w:fill="FFDEAD"/>
          </w:tcPr>
          <w:p>
            <w:pPr>
              <w:spacing w:after="0"/>
              <w:rPr>
                <w:sz w:val="18"/>
                <w:szCs w:val="18"/>
                <w:color w:val="auto"/>
              </w:rPr>
            </w:pPr>
          </w:p>
        </w:tc>
        <w:tc>
          <w:tcPr>
            <w:tcW w:w="2460" w:type="dxa"/>
            <w:vAlign w:val="bottom"/>
            <w:tcBorders>
              <w:right w:val="single" w:sz="8" w:color="auto"/>
            </w:tcBorders>
            <w:shd w:val="clear" w:color="auto" w:fill="FFDEAD"/>
          </w:tcPr>
          <w:p>
            <w:pPr>
              <w:ind w:left="20"/>
              <w:spacing w:after="0"/>
              <w:rPr>
                <w:sz w:val="20"/>
                <w:szCs w:val="20"/>
                <w:color w:val="auto"/>
              </w:rPr>
            </w:pPr>
            <w:r>
              <w:rPr>
                <w:rFonts w:ascii="Arial" w:cs="Arial" w:eastAsia="Arial" w:hAnsi="Arial"/>
                <w:sz w:val="18"/>
                <w:szCs w:val="18"/>
                <w:color w:val="FF0000"/>
                <w:strike w:val="1"/>
              </w:rPr>
              <w:t>Total Asset Value</w:t>
            </w:r>
          </w:p>
        </w:tc>
        <w:tc>
          <w:tcPr>
            <w:tcW w:w="2440" w:type="dxa"/>
            <w:vAlign w:val="bottom"/>
            <w:tcBorders>
              <w:right w:val="single" w:sz="8" w:color="auto"/>
            </w:tcBorders>
            <w:shd w:val="clear" w:color="auto" w:fill="FFDEAD"/>
          </w:tcPr>
          <w:p>
            <w:pPr>
              <w:ind w:left="20"/>
              <w:spacing w:after="0"/>
              <w:rPr>
                <w:sz w:val="20"/>
                <w:szCs w:val="20"/>
                <w:color w:val="auto"/>
              </w:rPr>
            </w:pPr>
            <w:r>
              <w:rPr>
                <w:rFonts w:ascii="Arial" w:cs="Arial" w:eastAsia="Arial" w:hAnsi="Arial"/>
                <w:sz w:val="18"/>
                <w:szCs w:val="18"/>
                <w:color w:val="FF0000"/>
                <w:strike w:val="1"/>
              </w:rPr>
              <w:t>Value</w:t>
            </w:r>
          </w:p>
        </w:tc>
        <w:tc>
          <w:tcPr>
            <w:tcW w:w="680" w:type="dxa"/>
            <w:vAlign w:val="bottom"/>
            <w:shd w:val="clear" w:color="auto" w:fill="FFDEAD"/>
          </w:tcPr>
          <w:p>
            <w:pPr>
              <w:spacing w:after="0"/>
              <w:rPr>
                <w:sz w:val="18"/>
                <w:szCs w:val="18"/>
                <w:color w:val="auto"/>
              </w:rPr>
            </w:pPr>
          </w:p>
        </w:tc>
        <w:tc>
          <w:tcPr>
            <w:tcW w:w="1780" w:type="dxa"/>
            <w:vAlign w:val="bottom"/>
            <w:tcBorders>
              <w:right w:val="single" w:sz="8" w:color="auto"/>
            </w:tcBorders>
            <w:shd w:val="clear" w:color="auto" w:fill="FFDEAD"/>
          </w:tcPr>
          <w:p>
            <w:pPr>
              <w:spacing w:after="0"/>
              <w:rPr>
                <w:sz w:val="18"/>
                <w:szCs w:val="18"/>
                <w:color w:val="auto"/>
              </w:rPr>
            </w:pPr>
          </w:p>
        </w:tc>
        <w:tc>
          <w:tcPr>
            <w:tcW w:w="20" w:type="dxa"/>
            <w:vAlign w:val="bottom"/>
          </w:tcPr>
          <w:p>
            <w:pPr>
              <w:spacing w:after="0"/>
              <w:rPr>
                <w:sz w:val="18"/>
                <w:szCs w:val="18"/>
                <w:color w:val="auto"/>
              </w:rPr>
            </w:pPr>
          </w:p>
        </w:tc>
      </w:tr>
      <w:tr>
        <w:trPr>
          <w:trHeight w:val="259"/>
        </w:trPr>
        <w:tc>
          <w:tcPr>
            <w:tcW w:w="380" w:type="dxa"/>
            <w:vAlign w:val="bottom"/>
            <w:tcBorders>
              <w:left w:val="single" w:sz="8" w:color="auto"/>
              <w:bottom w:val="single" w:sz="8" w:color="FFDEAD"/>
            </w:tcBorders>
            <w:shd w:val="clear" w:color="auto" w:fill="FFDEAD"/>
          </w:tcPr>
          <w:p>
            <w:pPr>
              <w:spacing w:after="0"/>
              <w:rPr>
                <w:sz w:val="22"/>
                <w:szCs w:val="22"/>
                <w:color w:val="auto"/>
              </w:rPr>
            </w:pPr>
          </w:p>
        </w:tc>
        <w:tc>
          <w:tcPr>
            <w:tcW w:w="260" w:type="dxa"/>
            <w:vAlign w:val="bottom"/>
            <w:tcBorders>
              <w:bottom w:val="single" w:sz="8" w:color="FFDEAD"/>
            </w:tcBorders>
            <w:shd w:val="clear" w:color="auto" w:fill="FFDEAD"/>
          </w:tcPr>
          <w:p>
            <w:pPr>
              <w:spacing w:after="0"/>
              <w:rPr>
                <w:sz w:val="22"/>
                <w:szCs w:val="22"/>
                <w:color w:val="auto"/>
              </w:rPr>
            </w:pPr>
          </w:p>
        </w:tc>
        <w:tc>
          <w:tcPr>
            <w:tcW w:w="60" w:type="dxa"/>
            <w:vAlign w:val="bottom"/>
            <w:tcBorders>
              <w:bottom w:val="single" w:sz="8" w:color="FFDEAD"/>
            </w:tcBorders>
            <w:shd w:val="clear" w:color="auto" w:fill="FFDEAD"/>
          </w:tcPr>
          <w:p>
            <w:pPr>
              <w:spacing w:after="0"/>
              <w:rPr>
                <w:sz w:val="22"/>
                <w:szCs w:val="22"/>
                <w:color w:val="auto"/>
              </w:rPr>
            </w:pPr>
          </w:p>
        </w:tc>
        <w:tc>
          <w:tcPr>
            <w:tcW w:w="60" w:type="dxa"/>
            <w:vAlign w:val="bottom"/>
            <w:tcBorders>
              <w:bottom w:val="single" w:sz="8" w:color="FFDEAD"/>
            </w:tcBorders>
            <w:shd w:val="clear" w:color="auto" w:fill="FFDEAD"/>
          </w:tcPr>
          <w:p>
            <w:pPr>
              <w:spacing w:after="0"/>
              <w:rPr>
                <w:sz w:val="22"/>
                <w:szCs w:val="22"/>
                <w:color w:val="auto"/>
              </w:rPr>
            </w:pPr>
          </w:p>
        </w:tc>
        <w:tc>
          <w:tcPr>
            <w:tcW w:w="1880" w:type="dxa"/>
            <w:vAlign w:val="bottom"/>
            <w:tcBorders>
              <w:bottom w:val="single" w:sz="8" w:color="FFDEAD"/>
            </w:tcBorders>
            <w:shd w:val="clear" w:color="auto" w:fill="FFDEAD"/>
          </w:tcPr>
          <w:p>
            <w:pPr>
              <w:spacing w:after="0"/>
              <w:rPr>
                <w:sz w:val="22"/>
                <w:szCs w:val="22"/>
                <w:color w:val="auto"/>
              </w:rPr>
            </w:pPr>
          </w:p>
        </w:tc>
        <w:tc>
          <w:tcPr>
            <w:tcW w:w="760" w:type="dxa"/>
            <w:vAlign w:val="bottom"/>
            <w:tcBorders>
              <w:bottom w:val="single" w:sz="8" w:color="FFDEAD"/>
            </w:tcBorders>
            <w:shd w:val="clear" w:color="auto" w:fill="FFDEAD"/>
          </w:tcPr>
          <w:p>
            <w:pPr>
              <w:spacing w:after="0"/>
              <w:rPr>
                <w:sz w:val="22"/>
                <w:szCs w:val="22"/>
                <w:color w:val="auto"/>
              </w:rPr>
            </w:pPr>
          </w:p>
        </w:tc>
        <w:tc>
          <w:tcPr>
            <w:tcW w:w="420" w:type="dxa"/>
            <w:vAlign w:val="bottom"/>
            <w:tcBorders>
              <w:bottom w:val="single" w:sz="8" w:color="FFDEAD"/>
              <w:right w:val="single" w:sz="8" w:color="auto"/>
            </w:tcBorders>
            <w:shd w:val="clear" w:color="auto" w:fill="FFDEAD"/>
          </w:tcPr>
          <w:p>
            <w:pPr>
              <w:spacing w:after="0"/>
              <w:rPr>
                <w:sz w:val="22"/>
                <w:szCs w:val="22"/>
                <w:color w:val="auto"/>
              </w:rPr>
            </w:pPr>
          </w:p>
        </w:tc>
        <w:tc>
          <w:tcPr>
            <w:tcW w:w="2460" w:type="dxa"/>
            <w:vAlign w:val="bottom"/>
            <w:tcBorders>
              <w:bottom w:val="single" w:sz="8" w:color="FFDEAD"/>
              <w:right w:val="single" w:sz="8" w:color="auto"/>
            </w:tcBorders>
            <w:shd w:val="clear" w:color="auto" w:fill="FFDEAD"/>
          </w:tcPr>
          <w:p>
            <w:pPr>
              <w:ind w:left="20"/>
              <w:spacing w:after="0"/>
              <w:rPr>
                <w:sz w:val="20"/>
                <w:szCs w:val="20"/>
                <w:color w:val="auto"/>
              </w:rPr>
            </w:pPr>
            <w:r>
              <w:rPr>
                <w:rFonts w:ascii="Arial" w:cs="Arial" w:eastAsia="Arial" w:hAnsi="Arial"/>
                <w:sz w:val="18"/>
                <w:szCs w:val="18"/>
                <w:color w:val="FF0000"/>
                <w:strike w:val="1"/>
              </w:rPr>
              <w:t>[7.03(b)(iii)]</w:t>
            </w:r>
          </w:p>
        </w:tc>
        <w:tc>
          <w:tcPr>
            <w:tcW w:w="2440" w:type="dxa"/>
            <w:vAlign w:val="bottom"/>
            <w:tcBorders>
              <w:bottom w:val="single" w:sz="8" w:color="FFDEAD"/>
              <w:right w:val="single" w:sz="8" w:color="auto"/>
            </w:tcBorders>
            <w:shd w:val="clear" w:color="auto" w:fill="FFDEAD"/>
          </w:tcPr>
          <w:p>
            <w:pPr>
              <w:spacing w:after="0"/>
              <w:rPr>
                <w:sz w:val="22"/>
                <w:szCs w:val="22"/>
                <w:color w:val="auto"/>
              </w:rPr>
            </w:pPr>
          </w:p>
        </w:tc>
        <w:tc>
          <w:tcPr>
            <w:tcW w:w="680" w:type="dxa"/>
            <w:vAlign w:val="bottom"/>
            <w:tcBorders>
              <w:bottom w:val="single" w:sz="8" w:color="FFDEAD"/>
            </w:tcBorders>
            <w:shd w:val="clear" w:color="auto" w:fill="FFDEAD"/>
          </w:tcPr>
          <w:p>
            <w:pPr>
              <w:spacing w:after="0"/>
              <w:rPr>
                <w:sz w:val="22"/>
                <w:szCs w:val="22"/>
                <w:color w:val="auto"/>
              </w:rPr>
            </w:pPr>
          </w:p>
        </w:tc>
        <w:tc>
          <w:tcPr>
            <w:tcW w:w="1780" w:type="dxa"/>
            <w:vAlign w:val="bottom"/>
            <w:tcBorders>
              <w:bottom w:val="single" w:sz="8" w:color="FFDEAD"/>
              <w:right w:val="single" w:sz="8" w:color="auto"/>
            </w:tcBorders>
            <w:shd w:val="clear" w:color="auto" w:fill="FFDEAD"/>
          </w:tcPr>
          <w:p>
            <w:pPr>
              <w:spacing w:after="0"/>
              <w:rPr>
                <w:sz w:val="22"/>
                <w:szCs w:val="22"/>
                <w:color w:val="auto"/>
              </w:rPr>
            </w:pPr>
          </w:p>
        </w:tc>
        <w:tc>
          <w:tcPr>
            <w:tcW w:w="20" w:type="dxa"/>
            <w:vAlign w:val="bottom"/>
          </w:tcPr>
          <w:p>
            <w:pPr>
              <w:spacing w:after="0"/>
              <w:rPr>
                <w:sz w:val="22"/>
                <w:szCs w:val="22"/>
                <w:color w:val="auto"/>
              </w:rPr>
            </w:pPr>
          </w:p>
        </w:tc>
      </w:tr>
      <w:tr>
        <w:trPr>
          <w:trHeight w:val="213"/>
        </w:trPr>
        <w:tc>
          <w:tcPr>
            <w:tcW w:w="3400" w:type="dxa"/>
            <w:vAlign w:val="bottom"/>
            <w:tcBorders>
              <w:top w:val="single" w:sz="8" w:color="auto"/>
              <w:left w:val="single" w:sz="8" w:color="auto"/>
            </w:tcBorders>
            <w:gridSpan w:val="6"/>
            <w:shd w:val="clear" w:color="auto" w:fill="FFDEAD"/>
          </w:tcPr>
          <w:p>
            <w:pPr>
              <w:ind w:left="40"/>
              <w:spacing w:after="0"/>
              <w:rPr>
                <w:sz w:val="20"/>
                <w:szCs w:val="20"/>
                <w:color w:val="auto"/>
              </w:rPr>
            </w:pPr>
            <w:r>
              <w:rPr>
                <w:rFonts w:ascii="Arial" w:cs="Arial" w:eastAsia="Arial" w:hAnsi="Arial"/>
                <w:sz w:val="18"/>
                <w:szCs w:val="18"/>
                <w:color w:val="FF0000"/>
                <w:strike w:val="1"/>
                <w:w w:val="97"/>
              </w:rPr>
              <w:t>The Aggregate Non-Loan Party Investment</w:t>
            </w:r>
          </w:p>
        </w:tc>
        <w:tc>
          <w:tcPr>
            <w:tcW w:w="420" w:type="dxa"/>
            <w:vAlign w:val="bottom"/>
            <w:tcBorders>
              <w:top w:val="single" w:sz="8" w:color="auto"/>
              <w:right w:val="single" w:sz="8" w:color="auto"/>
            </w:tcBorders>
            <w:shd w:val="clear" w:color="auto" w:fill="FFDEAD"/>
          </w:tcPr>
          <w:p>
            <w:pPr>
              <w:spacing w:after="0"/>
              <w:rPr>
                <w:sz w:val="18"/>
                <w:szCs w:val="18"/>
                <w:color w:val="auto"/>
              </w:rPr>
            </w:pPr>
          </w:p>
        </w:tc>
        <w:tc>
          <w:tcPr>
            <w:tcW w:w="2460" w:type="dxa"/>
            <w:vAlign w:val="bottom"/>
            <w:tcBorders>
              <w:top w:val="single" w:sz="8" w:color="auto"/>
              <w:right w:val="single" w:sz="8" w:color="auto"/>
            </w:tcBorders>
            <w:shd w:val="clear" w:color="auto" w:fill="FFDEAD"/>
          </w:tcPr>
          <w:p>
            <w:pPr>
              <w:ind w:left="20"/>
              <w:spacing w:after="0"/>
              <w:rPr>
                <w:sz w:val="20"/>
                <w:szCs w:val="20"/>
                <w:color w:val="auto"/>
              </w:rPr>
            </w:pPr>
            <w:r>
              <w:rPr>
                <w:rFonts w:ascii="Arial" w:cs="Arial" w:eastAsia="Arial" w:hAnsi="Arial"/>
                <w:sz w:val="18"/>
                <w:szCs w:val="18"/>
                <w:color w:val="FF0000"/>
                <w:strike w:val="1"/>
              </w:rPr>
              <w:t>Not in excess of 20% of the</w:t>
            </w:r>
          </w:p>
        </w:tc>
        <w:tc>
          <w:tcPr>
            <w:tcW w:w="2440" w:type="dxa"/>
            <w:vAlign w:val="bottom"/>
            <w:tcBorders>
              <w:top w:val="single" w:sz="8" w:color="auto"/>
              <w:right w:val="single" w:sz="8" w:color="auto"/>
            </w:tcBorders>
            <w:shd w:val="clear" w:color="auto" w:fill="FFDEAD"/>
          </w:tcPr>
          <w:p>
            <w:pPr>
              <w:ind w:left="20"/>
              <w:spacing w:after="0"/>
              <w:rPr>
                <w:sz w:val="20"/>
                <w:szCs w:val="20"/>
                <w:color w:val="auto"/>
              </w:rPr>
            </w:pPr>
            <w:r>
              <w:rPr>
                <w:rFonts w:ascii="Arial" w:cs="Arial" w:eastAsia="Arial" w:hAnsi="Arial"/>
                <w:sz w:val="18"/>
                <w:szCs w:val="18"/>
                <w:color w:val="FF0000"/>
                <w:strike w:val="1"/>
              </w:rPr>
              <w:t>________% of Total Asset</w:t>
            </w:r>
          </w:p>
        </w:tc>
        <w:tc>
          <w:tcPr>
            <w:tcW w:w="2460" w:type="dxa"/>
            <w:vAlign w:val="bottom"/>
            <w:tcBorders>
              <w:top w:val="single" w:sz="8" w:color="auto"/>
              <w:right w:val="single" w:sz="8" w:color="auto"/>
            </w:tcBorders>
            <w:gridSpan w:val="2"/>
            <w:shd w:val="clear" w:color="auto" w:fill="FFDEAD"/>
          </w:tcPr>
          <w:p>
            <w:pPr>
              <w:ind w:left="20"/>
              <w:spacing w:after="0"/>
              <w:rPr>
                <w:sz w:val="20"/>
                <w:szCs w:val="20"/>
                <w:color w:val="auto"/>
              </w:rPr>
            </w:pPr>
            <w:r>
              <w:rPr>
                <w:rFonts w:ascii="Arial" w:cs="Arial" w:eastAsia="Arial" w:hAnsi="Arial"/>
                <w:sz w:val="18"/>
                <w:szCs w:val="18"/>
                <w:color w:val="FF0000"/>
                <w:strike w:val="1"/>
              </w:rPr>
              <w:t>$____________</w:t>
            </w:r>
          </w:p>
        </w:tc>
        <w:tc>
          <w:tcPr>
            <w:tcW w:w="20" w:type="dxa"/>
            <w:vAlign w:val="bottom"/>
          </w:tcPr>
          <w:p>
            <w:pPr>
              <w:spacing w:after="0"/>
              <w:rPr>
                <w:sz w:val="18"/>
                <w:szCs w:val="18"/>
                <w:color w:val="auto"/>
              </w:rPr>
            </w:pPr>
          </w:p>
        </w:tc>
      </w:tr>
      <w:tr>
        <w:trPr>
          <w:trHeight w:val="212"/>
        </w:trPr>
        <w:tc>
          <w:tcPr>
            <w:tcW w:w="640" w:type="dxa"/>
            <w:vAlign w:val="bottom"/>
            <w:tcBorders>
              <w:left w:val="single" w:sz="8" w:color="auto"/>
            </w:tcBorders>
            <w:gridSpan w:val="2"/>
            <w:shd w:val="clear" w:color="auto" w:fill="FFDEAD"/>
          </w:tcPr>
          <w:p>
            <w:pPr>
              <w:ind w:left="40"/>
              <w:spacing w:after="0"/>
              <w:rPr>
                <w:sz w:val="20"/>
                <w:szCs w:val="20"/>
                <w:color w:val="auto"/>
              </w:rPr>
            </w:pPr>
            <w:r>
              <w:rPr>
                <w:rFonts w:ascii="Arial" w:cs="Arial" w:eastAsia="Arial" w:hAnsi="Arial"/>
                <w:sz w:val="18"/>
                <w:szCs w:val="18"/>
                <w:color w:val="FF0000"/>
                <w:strike w:val="1"/>
                <w:w w:val="93"/>
              </w:rPr>
              <w:t>Amount</w:t>
            </w:r>
          </w:p>
        </w:tc>
        <w:tc>
          <w:tcPr>
            <w:tcW w:w="120" w:type="dxa"/>
            <w:vAlign w:val="bottom"/>
            <w:gridSpan w:val="2"/>
            <w:shd w:val="clear" w:color="auto" w:fill="FFDEAD"/>
          </w:tcPr>
          <w:p>
            <w:pPr>
              <w:jc w:val="right"/>
              <w:spacing w:after="0"/>
              <w:rPr>
                <w:sz w:val="20"/>
                <w:szCs w:val="20"/>
                <w:color w:val="auto"/>
              </w:rPr>
            </w:pPr>
            <w:r>
              <w:rPr>
                <w:rFonts w:ascii="Arial" w:cs="Arial" w:eastAsia="Arial" w:hAnsi="Arial"/>
                <w:sz w:val="12"/>
                <w:szCs w:val="12"/>
                <w:color w:val="FF0000"/>
                <w:strike w:val="1"/>
                <w:w w:val="74"/>
              </w:rPr>
              <w:t>88</w:t>
            </w:r>
          </w:p>
        </w:tc>
        <w:tc>
          <w:tcPr>
            <w:tcW w:w="2640" w:type="dxa"/>
            <w:vAlign w:val="bottom"/>
            <w:gridSpan w:val="2"/>
            <w:shd w:val="clear" w:color="auto" w:fill="FFDEAD"/>
          </w:tcPr>
          <w:p>
            <w:pPr>
              <w:ind w:left="40"/>
              <w:spacing w:after="0"/>
              <w:rPr>
                <w:sz w:val="20"/>
                <w:szCs w:val="20"/>
                <w:color w:val="auto"/>
              </w:rPr>
            </w:pPr>
            <w:r>
              <w:rPr>
                <w:rFonts w:ascii="Arial" w:cs="Arial" w:eastAsia="Arial" w:hAnsi="Arial"/>
                <w:sz w:val="18"/>
                <w:szCs w:val="18"/>
                <w:color w:val="FF0000"/>
              </w:rPr>
              <w:t>Not applicable after a Permitted</w:t>
            </w:r>
          </w:p>
        </w:tc>
        <w:tc>
          <w:tcPr>
            <w:tcW w:w="420" w:type="dxa"/>
            <w:vAlign w:val="bottom"/>
            <w:tcBorders>
              <w:right w:val="single" w:sz="8" w:color="auto"/>
            </w:tcBorders>
            <w:shd w:val="clear" w:color="auto" w:fill="FFDEAD"/>
          </w:tcPr>
          <w:p>
            <w:pPr>
              <w:spacing w:after="0"/>
              <w:rPr>
                <w:sz w:val="18"/>
                <w:szCs w:val="18"/>
                <w:color w:val="auto"/>
              </w:rPr>
            </w:pPr>
          </w:p>
        </w:tc>
        <w:tc>
          <w:tcPr>
            <w:tcW w:w="2460" w:type="dxa"/>
            <w:vAlign w:val="bottom"/>
            <w:tcBorders>
              <w:right w:val="single" w:sz="8" w:color="auto"/>
            </w:tcBorders>
            <w:shd w:val="clear" w:color="auto" w:fill="FFDEAD"/>
          </w:tcPr>
          <w:p>
            <w:pPr>
              <w:ind w:left="20"/>
              <w:spacing w:after="0"/>
              <w:rPr>
                <w:sz w:val="20"/>
                <w:szCs w:val="20"/>
                <w:color w:val="auto"/>
              </w:rPr>
            </w:pPr>
            <w:r>
              <w:rPr>
                <w:rFonts w:ascii="Arial" w:cs="Arial" w:eastAsia="Arial" w:hAnsi="Arial"/>
                <w:sz w:val="18"/>
                <w:szCs w:val="18"/>
                <w:color w:val="FF0000"/>
                <w:strike w:val="1"/>
              </w:rPr>
              <w:t>Total Asset Value [7.03(b)(iv)]</w:t>
            </w:r>
          </w:p>
        </w:tc>
        <w:tc>
          <w:tcPr>
            <w:tcW w:w="2440" w:type="dxa"/>
            <w:vAlign w:val="bottom"/>
            <w:tcBorders>
              <w:right w:val="single" w:sz="8" w:color="auto"/>
            </w:tcBorders>
            <w:shd w:val="clear" w:color="auto" w:fill="FFDEAD"/>
          </w:tcPr>
          <w:p>
            <w:pPr>
              <w:ind w:left="20"/>
              <w:spacing w:after="0"/>
              <w:rPr>
                <w:sz w:val="20"/>
                <w:szCs w:val="20"/>
                <w:color w:val="auto"/>
              </w:rPr>
            </w:pPr>
            <w:r>
              <w:rPr>
                <w:rFonts w:ascii="Arial" w:cs="Arial" w:eastAsia="Arial" w:hAnsi="Arial"/>
                <w:sz w:val="18"/>
                <w:szCs w:val="18"/>
                <w:color w:val="FF0000"/>
                <w:strike w:val="1"/>
              </w:rPr>
              <w:t>Value</w:t>
            </w:r>
          </w:p>
        </w:tc>
        <w:tc>
          <w:tcPr>
            <w:tcW w:w="680" w:type="dxa"/>
            <w:vAlign w:val="bottom"/>
            <w:shd w:val="clear" w:color="auto" w:fill="FFDEAD"/>
          </w:tcPr>
          <w:p>
            <w:pPr>
              <w:spacing w:after="0"/>
              <w:rPr>
                <w:sz w:val="18"/>
                <w:szCs w:val="18"/>
                <w:color w:val="auto"/>
              </w:rPr>
            </w:pPr>
          </w:p>
        </w:tc>
        <w:tc>
          <w:tcPr>
            <w:tcW w:w="1780" w:type="dxa"/>
            <w:vAlign w:val="bottom"/>
            <w:tcBorders>
              <w:right w:val="single" w:sz="8" w:color="auto"/>
            </w:tcBorders>
            <w:shd w:val="clear" w:color="auto" w:fill="FFDEAD"/>
          </w:tcPr>
          <w:p>
            <w:pPr>
              <w:spacing w:after="0"/>
              <w:rPr>
                <w:sz w:val="18"/>
                <w:szCs w:val="18"/>
                <w:color w:val="auto"/>
              </w:rPr>
            </w:pPr>
          </w:p>
        </w:tc>
        <w:tc>
          <w:tcPr>
            <w:tcW w:w="20" w:type="dxa"/>
            <w:vAlign w:val="bottom"/>
          </w:tcPr>
          <w:p>
            <w:pPr>
              <w:spacing w:after="0"/>
              <w:rPr>
                <w:sz w:val="18"/>
                <w:szCs w:val="18"/>
                <w:color w:val="auto"/>
              </w:rPr>
            </w:pPr>
          </w:p>
        </w:tc>
      </w:tr>
      <w:tr>
        <w:trPr>
          <w:trHeight w:val="259"/>
        </w:trPr>
        <w:tc>
          <w:tcPr>
            <w:tcW w:w="2640" w:type="dxa"/>
            <w:vAlign w:val="bottom"/>
            <w:tcBorders>
              <w:left w:val="single" w:sz="8" w:color="auto"/>
              <w:bottom w:val="single" w:sz="8" w:color="FFDEAD"/>
            </w:tcBorders>
            <w:gridSpan w:val="5"/>
            <w:shd w:val="clear" w:color="auto" w:fill="FFDEAD"/>
          </w:tcPr>
          <w:p>
            <w:pPr>
              <w:ind w:left="40"/>
              <w:spacing w:after="0"/>
              <w:rPr>
                <w:sz w:val="20"/>
                <w:szCs w:val="20"/>
                <w:color w:val="auto"/>
              </w:rPr>
            </w:pPr>
            <w:r>
              <w:rPr>
                <w:rFonts w:ascii="Arial" w:cs="Arial" w:eastAsia="Arial" w:hAnsi="Arial"/>
                <w:sz w:val="18"/>
                <w:szCs w:val="18"/>
                <w:color w:val="FF0000"/>
                <w:strike w:val="1"/>
              </w:rPr>
              <w:t>Subsidiary Guarantor Release</w:t>
            </w:r>
          </w:p>
        </w:tc>
        <w:tc>
          <w:tcPr>
            <w:tcW w:w="760" w:type="dxa"/>
            <w:vAlign w:val="bottom"/>
            <w:tcBorders>
              <w:bottom w:val="single" w:sz="8" w:color="FFDEAD"/>
            </w:tcBorders>
            <w:shd w:val="clear" w:color="auto" w:fill="FFDEAD"/>
          </w:tcPr>
          <w:p>
            <w:pPr>
              <w:spacing w:after="0"/>
              <w:rPr>
                <w:sz w:val="22"/>
                <w:szCs w:val="22"/>
                <w:color w:val="auto"/>
              </w:rPr>
            </w:pPr>
          </w:p>
        </w:tc>
        <w:tc>
          <w:tcPr>
            <w:tcW w:w="420" w:type="dxa"/>
            <w:vAlign w:val="bottom"/>
            <w:tcBorders>
              <w:bottom w:val="single" w:sz="8" w:color="FFDEAD"/>
              <w:right w:val="single" w:sz="8" w:color="auto"/>
            </w:tcBorders>
            <w:shd w:val="clear" w:color="auto" w:fill="FFDEAD"/>
          </w:tcPr>
          <w:p>
            <w:pPr>
              <w:spacing w:after="0"/>
              <w:rPr>
                <w:sz w:val="22"/>
                <w:szCs w:val="22"/>
                <w:color w:val="auto"/>
              </w:rPr>
            </w:pPr>
          </w:p>
        </w:tc>
        <w:tc>
          <w:tcPr>
            <w:tcW w:w="2460" w:type="dxa"/>
            <w:vAlign w:val="bottom"/>
            <w:tcBorders>
              <w:bottom w:val="single" w:sz="8" w:color="FFDEAD"/>
              <w:right w:val="single" w:sz="8" w:color="auto"/>
            </w:tcBorders>
            <w:shd w:val="clear" w:color="auto" w:fill="FFDEAD"/>
          </w:tcPr>
          <w:p>
            <w:pPr>
              <w:spacing w:after="0"/>
              <w:rPr>
                <w:sz w:val="22"/>
                <w:szCs w:val="22"/>
                <w:color w:val="auto"/>
              </w:rPr>
            </w:pPr>
          </w:p>
        </w:tc>
        <w:tc>
          <w:tcPr>
            <w:tcW w:w="2440" w:type="dxa"/>
            <w:vAlign w:val="bottom"/>
            <w:tcBorders>
              <w:bottom w:val="single" w:sz="8" w:color="FFDEAD"/>
              <w:right w:val="single" w:sz="8" w:color="auto"/>
            </w:tcBorders>
            <w:shd w:val="clear" w:color="auto" w:fill="FFDEAD"/>
          </w:tcPr>
          <w:p>
            <w:pPr>
              <w:spacing w:after="0"/>
              <w:rPr>
                <w:sz w:val="22"/>
                <w:szCs w:val="22"/>
                <w:color w:val="auto"/>
              </w:rPr>
            </w:pPr>
          </w:p>
        </w:tc>
        <w:tc>
          <w:tcPr>
            <w:tcW w:w="680" w:type="dxa"/>
            <w:vAlign w:val="bottom"/>
            <w:tcBorders>
              <w:bottom w:val="single" w:sz="8" w:color="FFDEAD"/>
            </w:tcBorders>
            <w:shd w:val="clear" w:color="auto" w:fill="FFDEAD"/>
          </w:tcPr>
          <w:p>
            <w:pPr>
              <w:spacing w:after="0"/>
              <w:rPr>
                <w:sz w:val="22"/>
                <w:szCs w:val="22"/>
                <w:color w:val="auto"/>
              </w:rPr>
            </w:pPr>
          </w:p>
        </w:tc>
        <w:tc>
          <w:tcPr>
            <w:tcW w:w="1780" w:type="dxa"/>
            <w:vAlign w:val="bottom"/>
            <w:tcBorders>
              <w:bottom w:val="single" w:sz="8" w:color="FFDEAD"/>
              <w:right w:val="single" w:sz="8" w:color="auto"/>
            </w:tcBorders>
            <w:shd w:val="clear" w:color="auto" w:fill="FFDEAD"/>
          </w:tcPr>
          <w:p>
            <w:pPr>
              <w:spacing w:after="0"/>
              <w:rPr>
                <w:sz w:val="22"/>
                <w:szCs w:val="22"/>
                <w:color w:val="auto"/>
              </w:rPr>
            </w:pPr>
          </w:p>
        </w:tc>
        <w:tc>
          <w:tcPr>
            <w:tcW w:w="20" w:type="dxa"/>
            <w:vAlign w:val="bottom"/>
          </w:tcPr>
          <w:p>
            <w:pPr>
              <w:spacing w:after="0"/>
              <w:rPr>
                <w:sz w:val="22"/>
                <w:szCs w:val="22"/>
                <w:color w:val="auto"/>
              </w:rPr>
            </w:pPr>
          </w:p>
        </w:tc>
      </w:tr>
      <w:tr>
        <w:trPr>
          <w:trHeight w:val="213"/>
        </w:trPr>
        <w:tc>
          <w:tcPr>
            <w:tcW w:w="3400" w:type="dxa"/>
            <w:vAlign w:val="bottom"/>
            <w:tcBorders>
              <w:top w:val="single" w:sz="8" w:color="auto"/>
              <w:left w:val="single" w:sz="8" w:color="auto"/>
            </w:tcBorders>
            <w:gridSpan w:val="6"/>
            <w:shd w:val="clear" w:color="auto" w:fill="FFDEAD"/>
          </w:tcPr>
          <w:p>
            <w:pPr>
              <w:ind w:left="40"/>
              <w:spacing w:after="0"/>
              <w:rPr>
                <w:sz w:val="20"/>
                <w:szCs w:val="20"/>
                <w:color w:val="auto"/>
              </w:rPr>
            </w:pPr>
            <w:r>
              <w:rPr>
                <w:rFonts w:ascii="Arial" w:cs="Arial" w:eastAsia="Arial" w:hAnsi="Arial"/>
                <w:sz w:val="18"/>
                <w:szCs w:val="18"/>
                <w:color w:val="FF0000"/>
                <w:strike w:val="1"/>
              </w:rPr>
              <w:t>Unimproved land holdings [Aggregate</w:t>
            </w:r>
          </w:p>
        </w:tc>
        <w:tc>
          <w:tcPr>
            <w:tcW w:w="420" w:type="dxa"/>
            <w:vAlign w:val="bottom"/>
            <w:tcBorders>
              <w:top w:val="single" w:sz="8" w:color="auto"/>
              <w:right w:val="single" w:sz="8" w:color="auto"/>
            </w:tcBorders>
            <w:shd w:val="clear" w:color="auto" w:fill="FFDEAD"/>
          </w:tcPr>
          <w:p>
            <w:pPr>
              <w:spacing w:after="0"/>
              <w:rPr>
                <w:sz w:val="18"/>
                <w:szCs w:val="18"/>
                <w:color w:val="auto"/>
              </w:rPr>
            </w:pPr>
          </w:p>
        </w:tc>
        <w:tc>
          <w:tcPr>
            <w:tcW w:w="2460" w:type="dxa"/>
            <w:vAlign w:val="bottom"/>
            <w:tcBorders>
              <w:top w:val="single" w:sz="8" w:color="auto"/>
              <w:right w:val="single" w:sz="8" w:color="auto"/>
            </w:tcBorders>
            <w:shd w:val="clear" w:color="auto" w:fill="FFDEAD"/>
          </w:tcPr>
          <w:p>
            <w:pPr>
              <w:ind w:left="20"/>
              <w:spacing w:after="0"/>
              <w:rPr>
                <w:sz w:val="20"/>
                <w:szCs w:val="20"/>
                <w:color w:val="auto"/>
              </w:rPr>
            </w:pPr>
            <w:r>
              <w:rPr>
                <w:rFonts w:ascii="Arial" w:cs="Arial" w:eastAsia="Arial" w:hAnsi="Arial"/>
                <w:sz w:val="18"/>
                <w:szCs w:val="18"/>
                <w:color w:val="FF0000"/>
                <w:strike w:val="1"/>
                <w:w w:val="94"/>
              </w:rPr>
              <w:t>Not in excess of 5% of the Total</w:t>
            </w:r>
          </w:p>
        </w:tc>
        <w:tc>
          <w:tcPr>
            <w:tcW w:w="2440" w:type="dxa"/>
            <w:vAlign w:val="bottom"/>
            <w:tcBorders>
              <w:top w:val="single" w:sz="8" w:color="auto"/>
              <w:right w:val="single" w:sz="8" w:color="auto"/>
            </w:tcBorders>
            <w:shd w:val="clear" w:color="auto" w:fill="FFDEAD"/>
          </w:tcPr>
          <w:p>
            <w:pPr>
              <w:ind w:left="20"/>
              <w:spacing w:after="0"/>
              <w:rPr>
                <w:sz w:val="20"/>
                <w:szCs w:val="20"/>
                <w:color w:val="auto"/>
              </w:rPr>
            </w:pPr>
            <w:r>
              <w:rPr>
                <w:rFonts w:ascii="Arial" w:cs="Arial" w:eastAsia="Arial" w:hAnsi="Arial"/>
                <w:sz w:val="18"/>
                <w:szCs w:val="18"/>
                <w:color w:val="FF0000"/>
                <w:strike w:val="1"/>
              </w:rPr>
              <w:t>________% of Total Asset</w:t>
            </w:r>
          </w:p>
        </w:tc>
        <w:tc>
          <w:tcPr>
            <w:tcW w:w="2460" w:type="dxa"/>
            <w:vAlign w:val="bottom"/>
            <w:tcBorders>
              <w:top w:val="single" w:sz="8" w:color="auto"/>
              <w:right w:val="single" w:sz="8" w:color="auto"/>
            </w:tcBorders>
            <w:gridSpan w:val="2"/>
            <w:shd w:val="clear" w:color="auto" w:fill="FFDEAD"/>
          </w:tcPr>
          <w:p>
            <w:pPr>
              <w:ind w:left="20"/>
              <w:spacing w:after="0"/>
              <w:rPr>
                <w:sz w:val="20"/>
                <w:szCs w:val="20"/>
                <w:color w:val="auto"/>
              </w:rPr>
            </w:pPr>
            <w:r>
              <w:rPr>
                <w:rFonts w:ascii="Arial" w:cs="Arial" w:eastAsia="Arial" w:hAnsi="Arial"/>
                <w:sz w:val="18"/>
                <w:szCs w:val="18"/>
                <w:color w:val="FF0000"/>
                <w:strike w:val="1"/>
              </w:rPr>
              <w:t>$____________</w:t>
            </w:r>
          </w:p>
        </w:tc>
        <w:tc>
          <w:tcPr>
            <w:tcW w:w="20" w:type="dxa"/>
            <w:vAlign w:val="bottom"/>
          </w:tcPr>
          <w:p>
            <w:pPr>
              <w:spacing w:after="0"/>
              <w:rPr>
                <w:sz w:val="18"/>
                <w:szCs w:val="18"/>
                <w:color w:val="auto"/>
              </w:rPr>
            </w:pPr>
          </w:p>
        </w:tc>
      </w:tr>
      <w:tr>
        <w:trPr>
          <w:trHeight w:val="212"/>
        </w:trPr>
        <w:tc>
          <w:tcPr>
            <w:tcW w:w="3820" w:type="dxa"/>
            <w:vAlign w:val="bottom"/>
            <w:tcBorders>
              <w:left w:val="single" w:sz="8" w:color="auto"/>
              <w:right w:val="single" w:sz="8" w:color="auto"/>
            </w:tcBorders>
            <w:gridSpan w:val="7"/>
            <w:shd w:val="clear" w:color="auto" w:fill="FFDEAD"/>
          </w:tcPr>
          <w:p>
            <w:pPr>
              <w:ind w:left="40"/>
              <w:spacing w:after="0"/>
              <w:rPr>
                <w:sz w:val="20"/>
                <w:szCs w:val="20"/>
                <w:color w:val="auto"/>
              </w:rPr>
            </w:pPr>
            <w:r>
              <w:rPr>
                <w:rFonts w:ascii="Arial" w:cs="Arial" w:eastAsia="Arial" w:hAnsi="Arial"/>
                <w:sz w:val="18"/>
                <w:szCs w:val="18"/>
                <w:color w:val="FF0000"/>
                <w:strike w:val="1"/>
                <w:w w:val="97"/>
              </w:rPr>
              <w:t>Unimproved Land Holdings Investment Amount]</w:t>
            </w:r>
          </w:p>
        </w:tc>
        <w:tc>
          <w:tcPr>
            <w:tcW w:w="2460" w:type="dxa"/>
            <w:vAlign w:val="bottom"/>
            <w:tcBorders>
              <w:right w:val="single" w:sz="8" w:color="auto"/>
            </w:tcBorders>
            <w:shd w:val="clear" w:color="auto" w:fill="FFDEAD"/>
          </w:tcPr>
          <w:p>
            <w:pPr>
              <w:ind w:left="20"/>
              <w:spacing w:after="0"/>
              <w:rPr>
                <w:sz w:val="20"/>
                <w:szCs w:val="20"/>
                <w:color w:val="auto"/>
              </w:rPr>
            </w:pPr>
            <w:r>
              <w:rPr>
                <w:rFonts w:ascii="Arial" w:cs="Arial" w:eastAsia="Arial" w:hAnsi="Arial"/>
                <w:sz w:val="18"/>
                <w:szCs w:val="18"/>
                <w:color w:val="FF0000"/>
                <w:strike w:val="1"/>
              </w:rPr>
              <w:t>Asset Value</w:t>
            </w:r>
          </w:p>
        </w:tc>
        <w:tc>
          <w:tcPr>
            <w:tcW w:w="2440" w:type="dxa"/>
            <w:vAlign w:val="bottom"/>
            <w:tcBorders>
              <w:right w:val="single" w:sz="8" w:color="auto"/>
            </w:tcBorders>
            <w:shd w:val="clear" w:color="auto" w:fill="FFDEAD"/>
          </w:tcPr>
          <w:p>
            <w:pPr>
              <w:ind w:left="20"/>
              <w:spacing w:after="0"/>
              <w:rPr>
                <w:sz w:val="20"/>
                <w:szCs w:val="20"/>
                <w:color w:val="auto"/>
              </w:rPr>
            </w:pPr>
            <w:r>
              <w:rPr>
                <w:rFonts w:ascii="Arial" w:cs="Arial" w:eastAsia="Arial" w:hAnsi="Arial"/>
                <w:sz w:val="18"/>
                <w:szCs w:val="18"/>
                <w:color w:val="FF0000"/>
                <w:strike w:val="1"/>
              </w:rPr>
              <w:t>Value</w:t>
            </w:r>
          </w:p>
        </w:tc>
        <w:tc>
          <w:tcPr>
            <w:tcW w:w="680" w:type="dxa"/>
            <w:vAlign w:val="bottom"/>
            <w:shd w:val="clear" w:color="auto" w:fill="FFDEAD"/>
          </w:tcPr>
          <w:p>
            <w:pPr>
              <w:spacing w:after="0"/>
              <w:rPr>
                <w:sz w:val="18"/>
                <w:szCs w:val="18"/>
                <w:color w:val="auto"/>
              </w:rPr>
            </w:pPr>
          </w:p>
        </w:tc>
        <w:tc>
          <w:tcPr>
            <w:tcW w:w="1780" w:type="dxa"/>
            <w:vAlign w:val="bottom"/>
            <w:tcBorders>
              <w:right w:val="single" w:sz="8" w:color="auto"/>
            </w:tcBorders>
            <w:shd w:val="clear" w:color="auto" w:fill="FFDEAD"/>
          </w:tcPr>
          <w:p>
            <w:pPr>
              <w:spacing w:after="0"/>
              <w:rPr>
                <w:sz w:val="18"/>
                <w:szCs w:val="18"/>
                <w:color w:val="auto"/>
              </w:rPr>
            </w:pPr>
          </w:p>
        </w:tc>
        <w:tc>
          <w:tcPr>
            <w:tcW w:w="20" w:type="dxa"/>
            <w:vAlign w:val="bottom"/>
          </w:tcPr>
          <w:p>
            <w:pPr>
              <w:spacing w:after="0"/>
              <w:rPr>
                <w:sz w:val="18"/>
                <w:szCs w:val="18"/>
                <w:color w:val="auto"/>
              </w:rPr>
            </w:pPr>
          </w:p>
        </w:tc>
      </w:tr>
      <w:tr>
        <w:trPr>
          <w:trHeight w:val="259"/>
        </w:trPr>
        <w:tc>
          <w:tcPr>
            <w:tcW w:w="380" w:type="dxa"/>
            <w:vAlign w:val="bottom"/>
            <w:tcBorders>
              <w:left w:val="single" w:sz="8" w:color="auto"/>
              <w:bottom w:val="single" w:sz="8" w:color="FFDEAD"/>
            </w:tcBorders>
            <w:shd w:val="clear" w:color="auto" w:fill="FFDEAD"/>
          </w:tcPr>
          <w:p>
            <w:pPr>
              <w:spacing w:after="0"/>
              <w:rPr>
                <w:sz w:val="22"/>
                <w:szCs w:val="22"/>
                <w:color w:val="auto"/>
              </w:rPr>
            </w:pPr>
          </w:p>
        </w:tc>
        <w:tc>
          <w:tcPr>
            <w:tcW w:w="260" w:type="dxa"/>
            <w:vAlign w:val="bottom"/>
            <w:tcBorders>
              <w:bottom w:val="single" w:sz="8" w:color="FFDEAD"/>
            </w:tcBorders>
            <w:shd w:val="clear" w:color="auto" w:fill="FFDEAD"/>
          </w:tcPr>
          <w:p>
            <w:pPr>
              <w:spacing w:after="0"/>
              <w:rPr>
                <w:sz w:val="22"/>
                <w:szCs w:val="22"/>
                <w:color w:val="auto"/>
              </w:rPr>
            </w:pPr>
          </w:p>
        </w:tc>
        <w:tc>
          <w:tcPr>
            <w:tcW w:w="60" w:type="dxa"/>
            <w:vAlign w:val="bottom"/>
            <w:tcBorders>
              <w:bottom w:val="single" w:sz="8" w:color="FFDEAD"/>
            </w:tcBorders>
            <w:shd w:val="clear" w:color="auto" w:fill="FFDEAD"/>
          </w:tcPr>
          <w:p>
            <w:pPr>
              <w:spacing w:after="0"/>
              <w:rPr>
                <w:sz w:val="22"/>
                <w:szCs w:val="22"/>
                <w:color w:val="auto"/>
              </w:rPr>
            </w:pPr>
          </w:p>
        </w:tc>
        <w:tc>
          <w:tcPr>
            <w:tcW w:w="60" w:type="dxa"/>
            <w:vAlign w:val="bottom"/>
            <w:tcBorders>
              <w:bottom w:val="single" w:sz="8" w:color="FFDEAD"/>
            </w:tcBorders>
            <w:shd w:val="clear" w:color="auto" w:fill="FFDEAD"/>
          </w:tcPr>
          <w:p>
            <w:pPr>
              <w:spacing w:after="0"/>
              <w:rPr>
                <w:sz w:val="22"/>
                <w:szCs w:val="22"/>
                <w:color w:val="auto"/>
              </w:rPr>
            </w:pPr>
          </w:p>
        </w:tc>
        <w:tc>
          <w:tcPr>
            <w:tcW w:w="1880" w:type="dxa"/>
            <w:vAlign w:val="bottom"/>
            <w:tcBorders>
              <w:bottom w:val="single" w:sz="8" w:color="FFDEAD"/>
            </w:tcBorders>
            <w:shd w:val="clear" w:color="auto" w:fill="FFDEAD"/>
          </w:tcPr>
          <w:p>
            <w:pPr>
              <w:spacing w:after="0"/>
              <w:rPr>
                <w:sz w:val="22"/>
                <w:szCs w:val="22"/>
                <w:color w:val="auto"/>
              </w:rPr>
            </w:pPr>
          </w:p>
        </w:tc>
        <w:tc>
          <w:tcPr>
            <w:tcW w:w="760" w:type="dxa"/>
            <w:vAlign w:val="bottom"/>
            <w:tcBorders>
              <w:bottom w:val="single" w:sz="8" w:color="FFDEAD"/>
            </w:tcBorders>
            <w:shd w:val="clear" w:color="auto" w:fill="FFDEAD"/>
          </w:tcPr>
          <w:p>
            <w:pPr>
              <w:spacing w:after="0"/>
              <w:rPr>
                <w:sz w:val="22"/>
                <w:szCs w:val="22"/>
                <w:color w:val="auto"/>
              </w:rPr>
            </w:pPr>
          </w:p>
        </w:tc>
        <w:tc>
          <w:tcPr>
            <w:tcW w:w="420" w:type="dxa"/>
            <w:vAlign w:val="bottom"/>
            <w:tcBorders>
              <w:bottom w:val="single" w:sz="8" w:color="FFDEAD"/>
              <w:right w:val="single" w:sz="8" w:color="auto"/>
            </w:tcBorders>
            <w:shd w:val="clear" w:color="auto" w:fill="FFDEAD"/>
          </w:tcPr>
          <w:p>
            <w:pPr>
              <w:spacing w:after="0"/>
              <w:rPr>
                <w:sz w:val="22"/>
                <w:szCs w:val="22"/>
                <w:color w:val="auto"/>
              </w:rPr>
            </w:pPr>
          </w:p>
        </w:tc>
        <w:tc>
          <w:tcPr>
            <w:tcW w:w="2460" w:type="dxa"/>
            <w:vAlign w:val="bottom"/>
            <w:tcBorders>
              <w:bottom w:val="single" w:sz="8" w:color="FFDEAD"/>
              <w:right w:val="single" w:sz="8" w:color="auto"/>
            </w:tcBorders>
            <w:shd w:val="clear" w:color="auto" w:fill="FFDEAD"/>
          </w:tcPr>
          <w:p>
            <w:pPr>
              <w:ind w:left="20"/>
              <w:spacing w:after="0"/>
              <w:rPr>
                <w:sz w:val="20"/>
                <w:szCs w:val="20"/>
                <w:color w:val="auto"/>
              </w:rPr>
            </w:pPr>
            <w:r>
              <w:rPr>
                <w:rFonts w:ascii="Arial" w:cs="Arial" w:eastAsia="Arial" w:hAnsi="Arial"/>
                <w:sz w:val="18"/>
                <w:szCs w:val="18"/>
                <w:color w:val="FF0000"/>
                <w:strike w:val="1"/>
              </w:rPr>
              <w:t>[7.03(c)(i)]</w:t>
            </w:r>
          </w:p>
        </w:tc>
        <w:tc>
          <w:tcPr>
            <w:tcW w:w="2440" w:type="dxa"/>
            <w:vAlign w:val="bottom"/>
            <w:tcBorders>
              <w:bottom w:val="single" w:sz="8" w:color="FFDEAD"/>
              <w:right w:val="single" w:sz="8" w:color="auto"/>
            </w:tcBorders>
            <w:shd w:val="clear" w:color="auto" w:fill="FFDEAD"/>
          </w:tcPr>
          <w:p>
            <w:pPr>
              <w:spacing w:after="0"/>
              <w:rPr>
                <w:sz w:val="22"/>
                <w:szCs w:val="22"/>
                <w:color w:val="auto"/>
              </w:rPr>
            </w:pPr>
          </w:p>
        </w:tc>
        <w:tc>
          <w:tcPr>
            <w:tcW w:w="680" w:type="dxa"/>
            <w:vAlign w:val="bottom"/>
            <w:tcBorders>
              <w:bottom w:val="single" w:sz="8" w:color="FFDEAD"/>
            </w:tcBorders>
            <w:shd w:val="clear" w:color="auto" w:fill="FFDEAD"/>
          </w:tcPr>
          <w:p>
            <w:pPr>
              <w:spacing w:after="0"/>
              <w:rPr>
                <w:sz w:val="22"/>
                <w:szCs w:val="22"/>
                <w:color w:val="auto"/>
              </w:rPr>
            </w:pPr>
          </w:p>
        </w:tc>
        <w:tc>
          <w:tcPr>
            <w:tcW w:w="1780" w:type="dxa"/>
            <w:vAlign w:val="bottom"/>
            <w:tcBorders>
              <w:bottom w:val="single" w:sz="8" w:color="FFDEAD"/>
              <w:right w:val="single" w:sz="8" w:color="auto"/>
            </w:tcBorders>
            <w:shd w:val="clear" w:color="auto" w:fill="FFDEAD"/>
          </w:tcPr>
          <w:p>
            <w:pPr>
              <w:spacing w:after="0"/>
              <w:rPr>
                <w:sz w:val="22"/>
                <w:szCs w:val="22"/>
                <w:color w:val="auto"/>
              </w:rPr>
            </w:pPr>
          </w:p>
        </w:tc>
        <w:tc>
          <w:tcPr>
            <w:tcW w:w="20" w:type="dxa"/>
            <w:vAlign w:val="bottom"/>
          </w:tcPr>
          <w:p>
            <w:pPr>
              <w:spacing w:after="0"/>
              <w:rPr>
                <w:sz w:val="22"/>
                <w:szCs w:val="22"/>
                <w:color w:val="auto"/>
              </w:rPr>
            </w:pPr>
          </w:p>
        </w:tc>
      </w:tr>
      <w:tr>
        <w:trPr>
          <w:trHeight w:val="213"/>
        </w:trPr>
        <w:tc>
          <w:tcPr>
            <w:tcW w:w="3820" w:type="dxa"/>
            <w:vAlign w:val="bottom"/>
            <w:tcBorders>
              <w:top w:val="single" w:sz="8" w:color="auto"/>
              <w:left w:val="single" w:sz="8" w:color="auto"/>
              <w:right w:val="single" w:sz="8" w:color="auto"/>
            </w:tcBorders>
            <w:gridSpan w:val="7"/>
            <w:shd w:val="clear" w:color="auto" w:fill="FFDEAD"/>
          </w:tcPr>
          <w:p>
            <w:pPr>
              <w:ind w:left="40"/>
              <w:spacing w:after="0"/>
              <w:rPr>
                <w:sz w:val="20"/>
                <w:szCs w:val="20"/>
                <w:color w:val="auto"/>
              </w:rPr>
            </w:pPr>
            <w:r>
              <w:rPr>
                <w:rFonts w:ascii="Arial" w:cs="Arial" w:eastAsia="Arial" w:hAnsi="Arial"/>
                <w:sz w:val="18"/>
                <w:szCs w:val="18"/>
                <w:color w:val="FF0000"/>
                <w:strike w:val="1"/>
                <w:w w:val="95"/>
              </w:rPr>
              <w:t>Commercial mortgage loans and commercial real</w:t>
            </w:r>
          </w:p>
        </w:tc>
        <w:tc>
          <w:tcPr>
            <w:tcW w:w="2460" w:type="dxa"/>
            <w:vAlign w:val="bottom"/>
            <w:tcBorders>
              <w:top w:val="single" w:sz="8" w:color="auto"/>
              <w:right w:val="single" w:sz="8" w:color="auto"/>
            </w:tcBorders>
            <w:shd w:val="clear" w:color="auto" w:fill="FFDEAD"/>
          </w:tcPr>
          <w:p>
            <w:pPr>
              <w:ind w:left="20"/>
              <w:spacing w:after="0"/>
              <w:rPr>
                <w:sz w:val="20"/>
                <w:szCs w:val="20"/>
                <w:color w:val="auto"/>
              </w:rPr>
            </w:pPr>
            <w:r>
              <w:rPr>
                <w:rFonts w:ascii="Arial" w:cs="Arial" w:eastAsia="Arial" w:hAnsi="Arial"/>
                <w:sz w:val="18"/>
                <w:szCs w:val="18"/>
                <w:color w:val="FF0000"/>
                <w:strike w:val="1"/>
              </w:rPr>
              <w:t>Not in excess of 10% of the</w:t>
            </w:r>
          </w:p>
        </w:tc>
        <w:tc>
          <w:tcPr>
            <w:tcW w:w="2440" w:type="dxa"/>
            <w:vAlign w:val="bottom"/>
            <w:tcBorders>
              <w:top w:val="single" w:sz="8" w:color="auto"/>
              <w:right w:val="single" w:sz="8" w:color="auto"/>
            </w:tcBorders>
            <w:shd w:val="clear" w:color="auto" w:fill="FFDEAD"/>
          </w:tcPr>
          <w:p>
            <w:pPr>
              <w:ind w:left="20"/>
              <w:spacing w:after="0"/>
              <w:rPr>
                <w:sz w:val="20"/>
                <w:szCs w:val="20"/>
                <w:color w:val="auto"/>
              </w:rPr>
            </w:pPr>
            <w:r>
              <w:rPr>
                <w:rFonts w:ascii="Arial" w:cs="Arial" w:eastAsia="Arial" w:hAnsi="Arial"/>
                <w:sz w:val="18"/>
                <w:szCs w:val="18"/>
                <w:color w:val="FF0000"/>
                <w:strike w:val="1"/>
              </w:rPr>
              <w:t>________% of Total Asset</w:t>
            </w:r>
          </w:p>
        </w:tc>
        <w:tc>
          <w:tcPr>
            <w:tcW w:w="2460" w:type="dxa"/>
            <w:vAlign w:val="bottom"/>
            <w:tcBorders>
              <w:top w:val="single" w:sz="8" w:color="auto"/>
              <w:right w:val="single" w:sz="8" w:color="auto"/>
            </w:tcBorders>
            <w:gridSpan w:val="2"/>
            <w:shd w:val="clear" w:color="auto" w:fill="FFDEAD"/>
          </w:tcPr>
          <w:p>
            <w:pPr>
              <w:ind w:left="20"/>
              <w:spacing w:after="0"/>
              <w:rPr>
                <w:sz w:val="20"/>
                <w:szCs w:val="20"/>
                <w:color w:val="auto"/>
              </w:rPr>
            </w:pPr>
            <w:r>
              <w:rPr>
                <w:rFonts w:ascii="Arial" w:cs="Arial" w:eastAsia="Arial" w:hAnsi="Arial"/>
                <w:sz w:val="18"/>
                <w:szCs w:val="18"/>
                <w:color w:val="FF0000"/>
                <w:strike w:val="1"/>
              </w:rPr>
              <w:t>$____________</w:t>
            </w:r>
          </w:p>
        </w:tc>
        <w:tc>
          <w:tcPr>
            <w:tcW w:w="20" w:type="dxa"/>
            <w:vAlign w:val="bottom"/>
          </w:tcPr>
          <w:p>
            <w:pPr>
              <w:spacing w:after="0"/>
              <w:rPr>
                <w:sz w:val="18"/>
                <w:szCs w:val="18"/>
                <w:color w:val="auto"/>
              </w:rPr>
            </w:pPr>
          </w:p>
        </w:tc>
      </w:tr>
      <w:tr>
        <w:trPr>
          <w:trHeight w:val="212"/>
        </w:trPr>
        <w:tc>
          <w:tcPr>
            <w:tcW w:w="2640" w:type="dxa"/>
            <w:vAlign w:val="bottom"/>
            <w:tcBorders>
              <w:left w:val="single" w:sz="8" w:color="auto"/>
            </w:tcBorders>
            <w:gridSpan w:val="5"/>
            <w:shd w:val="clear" w:color="auto" w:fill="FFDEAD"/>
          </w:tcPr>
          <w:p>
            <w:pPr>
              <w:ind w:left="40"/>
              <w:spacing w:after="0"/>
              <w:rPr>
                <w:sz w:val="20"/>
                <w:szCs w:val="20"/>
                <w:color w:val="auto"/>
              </w:rPr>
            </w:pPr>
            <w:r>
              <w:rPr>
                <w:rFonts w:ascii="Arial" w:cs="Arial" w:eastAsia="Arial" w:hAnsi="Arial"/>
                <w:sz w:val="18"/>
                <w:szCs w:val="18"/>
                <w:color w:val="FF0000"/>
                <w:strike w:val="1"/>
              </w:rPr>
              <w:t>estate-related mezzanine loan</w:t>
            </w:r>
          </w:p>
        </w:tc>
        <w:tc>
          <w:tcPr>
            <w:tcW w:w="760" w:type="dxa"/>
            <w:vAlign w:val="bottom"/>
            <w:shd w:val="clear" w:color="auto" w:fill="FFDEAD"/>
          </w:tcPr>
          <w:p>
            <w:pPr>
              <w:spacing w:after="0"/>
              <w:rPr>
                <w:sz w:val="18"/>
                <w:szCs w:val="18"/>
                <w:color w:val="auto"/>
              </w:rPr>
            </w:pPr>
          </w:p>
        </w:tc>
        <w:tc>
          <w:tcPr>
            <w:tcW w:w="420" w:type="dxa"/>
            <w:vAlign w:val="bottom"/>
            <w:tcBorders>
              <w:right w:val="single" w:sz="8" w:color="auto"/>
            </w:tcBorders>
            <w:shd w:val="clear" w:color="auto" w:fill="FFDEAD"/>
          </w:tcPr>
          <w:p>
            <w:pPr>
              <w:spacing w:after="0"/>
              <w:rPr>
                <w:sz w:val="18"/>
                <w:szCs w:val="18"/>
                <w:color w:val="auto"/>
              </w:rPr>
            </w:pPr>
          </w:p>
        </w:tc>
        <w:tc>
          <w:tcPr>
            <w:tcW w:w="2460" w:type="dxa"/>
            <w:vAlign w:val="bottom"/>
            <w:tcBorders>
              <w:right w:val="single" w:sz="8" w:color="auto"/>
            </w:tcBorders>
            <w:shd w:val="clear" w:color="auto" w:fill="FFDEAD"/>
          </w:tcPr>
          <w:p>
            <w:pPr>
              <w:ind w:left="20"/>
              <w:spacing w:after="0"/>
              <w:rPr>
                <w:sz w:val="20"/>
                <w:szCs w:val="20"/>
                <w:color w:val="auto"/>
              </w:rPr>
            </w:pPr>
            <w:r>
              <w:rPr>
                <w:rFonts w:ascii="Arial" w:cs="Arial" w:eastAsia="Arial" w:hAnsi="Arial"/>
                <w:sz w:val="18"/>
                <w:szCs w:val="18"/>
                <w:color w:val="FF0000"/>
                <w:strike w:val="1"/>
              </w:rPr>
              <w:t>Total Asset Value</w:t>
            </w:r>
          </w:p>
        </w:tc>
        <w:tc>
          <w:tcPr>
            <w:tcW w:w="2440" w:type="dxa"/>
            <w:vAlign w:val="bottom"/>
            <w:tcBorders>
              <w:right w:val="single" w:sz="8" w:color="auto"/>
            </w:tcBorders>
            <w:shd w:val="clear" w:color="auto" w:fill="FFDEAD"/>
          </w:tcPr>
          <w:p>
            <w:pPr>
              <w:ind w:left="20"/>
              <w:spacing w:after="0"/>
              <w:rPr>
                <w:sz w:val="20"/>
                <w:szCs w:val="20"/>
                <w:color w:val="auto"/>
              </w:rPr>
            </w:pPr>
            <w:r>
              <w:rPr>
                <w:rFonts w:ascii="Arial" w:cs="Arial" w:eastAsia="Arial" w:hAnsi="Arial"/>
                <w:sz w:val="18"/>
                <w:szCs w:val="18"/>
                <w:color w:val="FF0000"/>
                <w:strike w:val="1"/>
              </w:rPr>
              <w:t>Value</w:t>
            </w:r>
          </w:p>
        </w:tc>
        <w:tc>
          <w:tcPr>
            <w:tcW w:w="680" w:type="dxa"/>
            <w:vAlign w:val="bottom"/>
            <w:shd w:val="clear" w:color="auto" w:fill="FFDEAD"/>
          </w:tcPr>
          <w:p>
            <w:pPr>
              <w:spacing w:after="0"/>
              <w:rPr>
                <w:sz w:val="18"/>
                <w:szCs w:val="18"/>
                <w:color w:val="auto"/>
              </w:rPr>
            </w:pPr>
          </w:p>
        </w:tc>
        <w:tc>
          <w:tcPr>
            <w:tcW w:w="1780" w:type="dxa"/>
            <w:vAlign w:val="bottom"/>
            <w:tcBorders>
              <w:right w:val="single" w:sz="8" w:color="auto"/>
            </w:tcBorders>
            <w:shd w:val="clear" w:color="auto" w:fill="FFDEAD"/>
          </w:tcPr>
          <w:p>
            <w:pPr>
              <w:spacing w:after="0"/>
              <w:rPr>
                <w:sz w:val="18"/>
                <w:szCs w:val="18"/>
                <w:color w:val="auto"/>
              </w:rPr>
            </w:pPr>
          </w:p>
        </w:tc>
        <w:tc>
          <w:tcPr>
            <w:tcW w:w="20" w:type="dxa"/>
            <w:vAlign w:val="bottom"/>
          </w:tcPr>
          <w:p>
            <w:pPr>
              <w:spacing w:after="0"/>
              <w:rPr>
                <w:sz w:val="18"/>
                <w:szCs w:val="18"/>
                <w:color w:val="auto"/>
              </w:rPr>
            </w:pPr>
          </w:p>
        </w:tc>
      </w:tr>
      <w:tr>
        <w:trPr>
          <w:trHeight w:val="259"/>
        </w:trPr>
        <w:tc>
          <w:tcPr>
            <w:tcW w:w="3820" w:type="dxa"/>
            <w:vAlign w:val="bottom"/>
            <w:tcBorders>
              <w:left w:val="single" w:sz="8" w:color="auto"/>
              <w:bottom w:val="single" w:sz="8" w:color="FFDEAD"/>
              <w:right w:val="single" w:sz="8" w:color="auto"/>
            </w:tcBorders>
            <w:gridSpan w:val="7"/>
            <w:shd w:val="clear" w:color="auto" w:fill="FFDEAD"/>
          </w:tcPr>
          <w:p>
            <w:pPr>
              <w:ind w:left="40"/>
              <w:spacing w:after="0"/>
              <w:rPr>
                <w:sz w:val="20"/>
                <w:szCs w:val="20"/>
                <w:color w:val="auto"/>
              </w:rPr>
            </w:pPr>
            <w:r>
              <w:rPr>
                <w:rFonts w:ascii="Arial" w:cs="Arial" w:eastAsia="Arial" w:hAnsi="Arial"/>
                <w:sz w:val="18"/>
                <w:szCs w:val="18"/>
                <w:color w:val="FF0000"/>
                <w:strike w:val="1"/>
                <w:w w:val="94"/>
              </w:rPr>
              <w:t>[Aggregate Real Estate Loan Investment Amount]</w:t>
            </w:r>
          </w:p>
        </w:tc>
        <w:tc>
          <w:tcPr>
            <w:tcW w:w="2460" w:type="dxa"/>
            <w:vAlign w:val="bottom"/>
            <w:tcBorders>
              <w:bottom w:val="single" w:sz="8" w:color="FFDEAD"/>
              <w:right w:val="single" w:sz="8" w:color="auto"/>
            </w:tcBorders>
            <w:shd w:val="clear" w:color="auto" w:fill="FFDEAD"/>
          </w:tcPr>
          <w:p>
            <w:pPr>
              <w:ind w:left="20"/>
              <w:spacing w:after="0"/>
              <w:rPr>
                <w:sz w:val="20"/>
                <w:szCs w:val="20"/>
                <w:color w:val="auto"/>
              </w:rPr>
            </w:pPr>
            <w:r>
              <w:rPr>
                <w:rFonts w:ascii="Arial" w:cs="Arial" w:eastAsia="Arial" w:hAnsi="Arial"/>
                <w:sz w:val="18"/>
                <w:szCs w:val="18"/>
                <w:color w:val="FF0000"/>
                <w:strike w:val="1"/>
              </w:rPr>
              <w:t>[7.03(d)(i)]</w:t>
            </w:r>
          </w:p>
        </w:tc>
        <w:tc>
          <w:tcPr>
            <w:tcW w:w="2440" w:type="dxa"/>
            <w:vAlign w:val="bottom"/>
            <w:tcBorders>
              <w:bottom w:val="single" w:sz="8" w:color="FFDEAD"/>
              <w:right w:val="single" w:sz="8" w:color="auto"/>
            </w:tcBorders>
            <w:shd w:val="clear" w:color="auto" w:fill="FFDEAD"/>
          </w:tcPr>
          <w:p>
            <w:pPr>
              <w:spacing w:after="0"/>
              <w:rPr>
                <w:sz w:val="22"/>
                <w:szCs w:val="22"/>
                <w:color w:val="auto"/>
              </w:rPr>
            </w:pPr>
          </w:p>
        </w:tc>
        <w:tc>
          <w:tcPr>
            <w:tcW w:w="680" w:type="dxa"/>
            <w:vAlign w:val="bottom"/>
            <w:tcBorders>
              <w:bottom w:val="single" w:sz="8" w:color="FFDEAD"/>
            </w:tcBorders>
            <w:shd w:val="clear" w:color="auto" w:fill="FFDEAD"/>
          </w:tcPr>
          <w:p>
            <w:pPr>
              <w:spacing w:after="0"/>
              <w:rPr>
                <w:sz w:val="22"/>
                <w:szCs w:val="22"/>
                <w:color w:val="auto"/>
              </w:rPr>
            </w:pPr>
          </w:p>
        </w:tc>
        <w:tc>
          <w:tcPr>
            <w:tcW w:w="1780" w:type="dxa"/>
            <w:vAlign w:val="bottom"/>
            <w:tcBorders>
              <w:bottom w:val="single" w:sz="8" w:color="FFDEAD"/>
              <w:right w:val="single" w:sz="8" w:color="auto"/>
            </w:tcBorders>
            <w:shd w:val="clear" w:color="auto" w:fill="FFDEAD"/>
          </w:tcPr>
          <w:p>
            <w:pPr>
              <w:spacing w:after="0"/>
              <w:rPr>
                <w:sz w:val="22"/>
                <w:szCs w:val="22"/>
                <w:color w:val="auto"/>
              </w:rPr>
            </w:pPr>
          </w:p>
        </w:tc>
        <w:tc>
          <w:tcPr>
            <w:tcW w:w="20" w:type="dxa"/>
            <w:vAlign w:val="bottom"/>
          </w:tcPr>
          <w:p>
            <w:pPr>
              <w:spacing w:after="0"/>
              <w:rPr>
                <w:sz w:val="22"/>
                <w:szCs w:val="22"/>
                <w:color w:val="auto"/>
              </w:rPr>
            </w:pPr>
          </w:p>
        </w:tc>
      </w:tr>
      <w:tr>
        <w:trPr>
          <w:trHeight w:val="213"/>
        </w:trPr>
        <w:tc>
          <w:tcPr>
            <w:tcW w:w="3400" w:type="dxa"/>
            <w:vAlign w:val="bottom"/>
            <w:tcBorders>
              <w:top w:val="single" w:sz="8" w:color="auto"/>
              <w:left w:val="single" w:sz="8" w:color="auto"/>
            </w:tcBorders>
            <w:gridSpan w:val="6"/>
            <w:shd w:val="clear" w:color="auto" w:fill="FFDEAD"/>
          </w:tcPr>
          <w:p>
            <w:pPr>
              <w:ind w:left="40"/>
              <w:spacing w:after="0"/>
              <w:rPr>
                <w:sz w:val="20"/>
                <w:szCs w:val="20"/>
                <w:color w:val="auto"/>
              </w:rPr>
            </w:pPr>
            <w:r>
              <w:rPr>
                <w:rFonts w:ascii="Arial" w:cs="Arial" w:eastAsia="Arial" w:hAnsi="Arial"/>
                <w:sz w:val="18"/>
                <w:szCs w:val="18"/>
                <w:color w:val="FF0000"/>
                <w:strike w:val="1"/>
                <w:w w:val="96"/>
              </w:rPr>
              <w:t>Investments in respect of costs to construct</w:t>
            </w:r>
          </w:p>
        </w:tc>
        <w:tc>
          <w:tcPr>
            <w:tcW w:w="420" w:type="dxa"/>
            <w:vAlign w:val="bottom"/>
            <w:tcBorders>
              <w:top w:val="single" w:sz="8" w:color="auto"/>
              <w:right w:val="single" w:sz="8" w:color="auto"/>
            </w:tcBorders>
            <w:shd w:val="clear" w:color="auto" w:fill="FFDEAD"/>
          </w:tcPr>
          <w:p>
            <w:pPr>
              <w:spacing w:after="0"/>
              <w:rPr>
                <w:sz w:val="18"/>
                <w:szCs w:val="18"/>
                <w:color w:val="auto"/>
              </w:rPr>
            </w:pPr>
          </w:p>
        </w:tc>
        <w:tc>
          <w:tcPr>
            <w:tcW w:w="2460" w:type="dxa"/>
            <w:vAlign w:val="bottom"/>
            <w:tcBorders>
              <w:top w:val="single" w:sz="8" w:color="auto"/>
              <w:right w:val="single" w:sz="8" w:color="auto"/>
            </w:tcBorders>
            <w:shd w:val="clear" w:color="auto" w:fill="FFDEAD"/>
          </w:tcPr>
          <w:p>
            <w:pPr>
              <w:ind w:left="20"/>
              <w:spacing w:after="0"/>
              <w:rPr>
                <w:sz w:val="20"/>
                <w:szCs w:val="20"/>
                <w:color w:val="auto"/>
              </w:rPr>
            </w:pPr>
            <w:r>
              <w:rPr>
                <w:rFonts w:ascii="Arial" w:cs="Arial" w:eastAsia="Arial" w:hAnsi="Arial"/>
                <w:sz w:val="18"/>
                <w:szCs w:val="18"/>
                <w:color w:val="FF0000"/>
                <w:strike w:val="1"/>
              </w:rPr>
              <w:t>Not in excess of 25% of the</w:t>
            </w:r>
          </w:p>
        </w:tc>
        <w:tc>
          <w:tcPr>
            <w:tcW w:w="2440" w:type="dxa"/>
            <w:vAlign w:val="bottom"/>
            <w:tcBorders>
              <w:top w:val="single" w:sz="8" w:color="auto"/>
              <w:right w:val="single" w:sz="8" w:color="auto"/>
            </w:tcBorders>
            <w:shd w:val="clear" w:color="auto" w:fill="FFDEAD"/>
          </w:tcPr>
          <w:p>
            <w:pPr>
              <w:ind w:left="20"/>
              <w:spacing w:after="0"/>
              <w:rPr>
                <w:sz w:val="20"/>
                <w:szCs w:val="20"/>
                <w:color w:val="auto"/>
              </w:rPr>
            </w:pPr>
            <w:r>
              <w:rPr>
                <w:rFonts w:ascii="Arial" w:cs="Arial" w:eastAsia="Arial" w:hAnsi="Arial"/>
                <w:sz w:val="18"/>
                <w:szCs w:val="18"/>
                <w:color w:val="FF0000"/>
                <w:strike w:val="1"/>
              </w:rPr>
              <w:t>________% of Total Asset</w:t>
            </w:r>
          </w:p>
        </w:tc>
        <w:tc>
          <w:tcPr>
            <w:tcW w:w="2460" w:type="dxa"/>
            <w:vAlign w:val="bottom"/>
            <w:tcBorders>
              <w:top w:val="single" w:sz="8" w:color="auto"/>
              <w:right w:val="single" w:sz="8" w:color="auto"/>
            </w:tcBorders>
            <w:gridSpan w:val="2"/>
            <w:shd w:val="clear" w:color="auto" w:fill="FFDEAD"/>
          </w:tcPr>
          <w:p>
            <w:pPr>
              <w:ind w:left="20"/>
              <w:spacing w:after="0"/>
              <w:rPr>
                <w:sz w:val="20"/>
                <w:szCs w:val="20"/>
                <w:color w:val="auto"/>
              </w:rPr>
            </w:pPr>
            <w:r>
              <w:rPr>
                <w:rFonts w:ascii="Arial" w:cs="Arial" w:eastAsia="Arial" w:hAnsi="Arial"/>
                <w:sz w:val="18"/>
                <w:szCs w:val="18"/>
                <w:color w:val="FF0000"/>
                <w:strike w:val="1"/>
              </w:rPr>
              <w:t>$____________</w:t>
            </w:r>
          </w:p>
        </w:tc>
        <w:tc>
          <w:tcPr>
            <w:tcW w:w="20" w:type="dxa"/>
            <w:vAlign w:val="bottom"/>
          </w:tcPr>
          <w:p>
            <w:pPr>
              <w:spacing w:after="0"/>
              <w:rPr>
                <w:sz w:val="18"/>
                <w:szCs w:val="18"/>
                <w:color w:val="auto"/>
              </w:rPr>
            </w:pPr>
          </w:p>
        </w:tc>
      </w:tr>
      <w:tr>
        <w:trPr>
          <w:trHeight w:val="212"/>
        </w:trPr>
        <w:tc>
          <w:tcPr>
            <w:tcW w:w="3400" w:type="dxa"/>
            <w:vAlign w:val="bottom"/>
            <w:tcBorders>
              <w:left w:val="single" w:sz="8" w:color="auto"/>
            </w:tcBorders>
            <w:gridSpan w:val="6"/>
            <w:shd w:val="clear" w:color="auto" w:fill="FFDEAD"/>
          </w:tcPr>
          <w:p>
            <w:pPr>
              <w:ind w:left="40"/>
              <w:spacing w:after="0"/>
              <w:rPr>
                <w:sz w:val="20"/>
                <w:szCs w:val="20"/>
                <w:color w:val="auto"/>
              </w:rPr>
            </w:pPr>
            <w:r>
              <w:rPr>
                <w:rFonts w:ascii="Arial" w:cs="Arial" w:eastAsia="Arial" w:hAnsi="Arial"/>
                <w:sz w:val="18"/>
                <w:szCs w:val="18"/>
                <w:color w:val="FF0000"/>
                <w:strike w:val="1"/>
              </w:rPr>
              <w:t>Portfolio Properties under development</w:t>
            </w:r>
          </w:p>
        </w:tc>
        <w:tc>
          <w:tcPr>
            <w:tcW w:w="420" w:type="dxa"/>
            <w:vAlign w:val="bottom"/>
            <w:tcBorders>
              <w:right w:val="single" w:sz="8" w:color="auto"/>
            </w:tcBorders>
            <w:shd w:val="clear" w:color="auto" w:fill="FFDEAD"/>
          </w:tcPr>
          <w:p>
            <w:pPr>
              <w:spacing w:after="0"/>
              <w:rPr>
                <w:sz w:val="18"/>
                <w:szCs w:val="18"/>
                <w:color w:val="auto"/>
              </w:rPr>
            </w:pPr>
          </w:p>
        </w:tc>
        <w:tc>
          <w:tcPr>
            <w:tcW w:w="2460" w:type="dxa"/>
            <w:vAlign w:val="bottom"/>
            <w:tcBorders>
              <w:right w:val="single" w:sz="8" w:color="auto"/>
            </w:tcBorders>
            <w:shd w:val="clear" w:color="auto" w:fill="FFDEAD"/>
          </w:tcPr>
          <w:p>
            <w:pPr>
              <w:ind w:left="20"/>
              <w:spacing w:after="0"/>
              <w:rPr>
                <w:sz w:val="20"/>
                <w:szCs w:val="20"/>
                <w:color w:val="auto"/>
              </w:rPr>
            </w:pPr>
            <w:r>
              <w:rPr>
                <w:rFonts w:ascii="Arial" w:cs="Arial" w:eastAsia="Arial" w:hAnsi="Arial"/>
                <w:sz w:val="18"/>
                <w:szCs w:val="18"/>
                <w:color w:val="FF0000"/>
                <w:strike w:val="1"/>
              </w:rPr>
              <w:t>Total Asset Value</w:t>
            </w:r>
          </w:p>
        </w:tc>
        <w:tc>
          <w:tcPr>
            <w:tcW w:w="2440" w:type="dxa"/>
            <w:vAlign w:val="bottom"/>
            <w:tcBorders>
              <w:right w:val="single" w:sz="8" w:color="auto"/>
            </w:tcBorders>
            <w:shd w:val="clear" w:color="auto" w:fill="FFDEAD"/>
          </w:tcPr>
          <w:p>
            <w:pPr>
              <w:ind w:left="20"/>
              <w:spacing w:after="0"/>
              <w:rPr>
                <w:sz w:val="20"/>
                <w:szCs w:val="20"/>
                <w:color w:val="auto"/>
              </w:rPr>
            </w:pPr>
            <w:r>
              <w:rPr>
                <w:rFonts w:ascii="Arial" w:cs="Arial" w:eastAsia="Arial" w:hAnsi="Arial"/>
                <w:sz w:val="18"/>
                <w:szCs w:val="18"/>
                <w:color w:val="FF0000"/>
                <w:strike w:val="1"/>
              </w:rPr>
              <w:t>Value</w:t>
            </w:r>
          </w:p>
        </w:tc>
        <w:tc>
          <w:tcPr>
            <w:tcW w:w="680" w:type="dxa"/>
            <w:vAlign w:val="bottom"/>
            <w:shd w:val="clear" w:color="auto" w:fill="FFDEAD"/>
          </w:tcPr>
          <w:p>
            <w:pPr>
              <w:spacing w:after="0"/>
              <w:rPr>
                <w:sz w:val="18"/>
                <w:szCs w:val="18"/>
                <w:color w:val="auto"/>
              </w:rPr>
            </w:pPr>
          </w:p>
        </w:tc>
        <w:tc>
          <w:tcPr>
            <w:tcW w:w="1780" w:type="dxa"/>
            <w:vAlign w:val="bottom"/>
            <w:tcBorders>
              <w:right w:val="single" w:sz="8" w:color="auto"/>
            </w:tcBorders>
            <w:shd w:val="clear" w:color="auto" w:fill="FFDEAD"/>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3400" w:type="dxa"/>
            <w:vAlign w:val="bottom"/>
            <w:tcBorders>
              <w:left w:val="single" w:sz="8" w:color="auto"/>
            </w:tcBorders>
            <w:gridSpan w:val="6"/>
            <w:shd w:val="clear" w:color="auto" w:fill="FFDEAD"/>
          </w:tcPr>
          <w:p>
            <w:pPr>
              <w:ind w:left="40"/>
              <w:spacing w:after="0"/>
              <w:rPr>
                <w:sz w:val="20"/>
                <w:szCs w:val="20"/>
                <w:color w:val="auto"/>
              </w:rPr>
            </w:pPr>
            <w:r>
              <w:rPr>
                <w:rFonts w:ascii="Arial" w:cs="Arial" w:eastAsia="Arial" w:hAnsi="Arial"/>
                <w:sz w:val="18"/>
                <w:szCs w:val="18"/>
                <w:color w:val="FF0000"/>
                <w:strike w:val="1"/>
                <w:w w:val="98"/>
              </w:rPr>
              <w:t>[Aggregate Construction Costs Investment</w:t>
            </w:r>
          </w:p>
        </w:tc>
        <w:tc>
          <w:tcPr>
            <w:tcW w:w="420" w:type="dxa"/>
            <w:vAlign w:val="bottom"/>
            <w:tcBorders>
              <w:right w:val="single" w:sz="8" w:color="auto"/>
            </w:tcBorders>
            <w:shd w:val="clear" w:color="auto" w:fill="FFDEAD"/>
          </w:tcPr>
          <w:p>
            <w:pPr>
              <w:spacing w:after="0"/>
              <w:rPr>
                <w:sz w:val="18"/>
                <w:szCs w:val="18"/>
                <w:color w:val="auto"/>
              </w:rPr>
            </w:pPr>
          </w:p>
        </w:tc>
        <w:tc>
          <w:tcPr>
            <w:tcW w:w="2460" w:type="dxa"/>
            <w:vAlign w:val="bottom"/>
            <w:tcBorders>
              <w:right w:val="single" w:sz="8" w:color="auto"/>
            </w:tcBorders>
            <w:shd w:val="clear" w:color="auto" w:fill="FFDEAD"/>
          </w:tcPr>
          <w:p>
            <w:pPr>
              <w:ind w:left="20"/>
              <w:spacing w:after="0"/>
              <w:rPr>
                <w:sz w:val="20"/>
                <w:szCs w:val="20"/>
                <w:color w:val="auto"/>
              </w:rPr>
            </w:pPr>
            <w:r>
              <w:rPr>
                <w:rFonts w:ascii="Arial" w:cs="Arial" w:eastAsia="Arial" w:hAnsi="Arial"/>
                <w:sz w:val="18"/>
                <w:szCs w:val="18"/>
                <w:color w:val="FF0000"/>
                <w:strike w:val="1"/>
              </w:rPr>
              <w:t>[7.03(e)]</w:t>
            </w:r>
          </w:p>
        </w:tc>
        <w:tc>
          <w:tcPr>
            <w:tcW w:w="2440" w:type="dxa"/>
            <w:vAlign w:val="bottom"/>
            <w:tcBorders>
              <w:right w:val="single" w:sz="8" w:color="auto"/>
            </w:tcBorders>
            <w:shd w:val="clear" w:color="auto" w:fill="FFDEAD"/>
          </w:tcPr>
          <w:p>
            <w:pPr>
              <w:spacing w:after="0"/>
              <w:rPr>
                <w:sz w:val="18"/>
                <w:szCs w:val="18"/>
                <w:color w:val="auto"/>
              </w:rPr>
            </w:pPr>
          </w:p>
        </w:tc>
        <w:tc>
          <w:tcPr>
            <w:tcW w:w="680" w:type="dxa"/>
            <w:vAlign w:val="bottom"/>
            <w:shd w:val="clear" w:color="auto" w:fill="FFDEAD"/>
          </w:tcPr>
          <w:p>
            <w:pPr>
              <w:spacing w:after="0"/>
              <w:rPr>
                <w:sz w:val="18"/>
                <w:szCs w:val="18"/>
                <w:color w:val="auto"/>
              </w:rPr>
            </w:pPr>
          </w:p>
        </w:tc>
        <w:tc>
          <w:tcPr>
            <w:tcW w:w="1780" w:type="dxa"/>
            <w:vAlign w:val="bottom"/>
            <w:tcBorders>
              <w:right w:val="single" w:sz="8" w:color="auto"/>
            </w:tcBorders>
            <w:shd w:val="clear" w:color="auto" w:fill="FFDEAD"/>
          </w:tcPr>
          <w:p>
            <w:pPr>
              <w:spacing w:after="0"/>
              <w:rPr>
                <w:sz w:val="18"/>
                <w:szCs w:val="18"/>
                <w:color w:val="auto"/>
              </w:rPr>
            </w:pPr>
          </w:p>
        </w:tc>
        <w:tc>
          <w:tcPr>
            <w:tcW w:w="20" w:type="dxa"/>
            <w:vAlign w:val="bottom"/>
          </w:tcPr>
          <w:p>
            <w:pPr>
              <w:spacing w:after="0"/>
              <w:rPr>
                <w:sz w:val="18"/>
                <w:szCs w:val="18"/>
                <w:color w:val="auto"/>
              </w:rPr>
            </w:pPr>
          </w:p>
        </w:tc>
      </w:tr>
      <w:tr>
        <w:trPr>
          <w:trHeight w:val="259"/>
        </w:trPr>
        <w:tc>
          <w:tcPr>
            <w:tcW w:w="700" w:type="dxa"/>
            <w:vAlign w:val="bottom"/>
            <w:tcBorders>
              <w:left w:val="single" w:sz="8" w:color="auto"/>
              <w:bottom w:val="single" w:sz="8" w:color="FFDEAD"/>
            </w:tcBorders>
            <w:gridSpan w:val="3"/>
            <w:shd w:val="clear" w:color="auto" w:fill="FFDEAD"/>
          </w:tcPr>
          <w:p>
            <w:pPr>
              <w:ind w:left="40"/>
              <w:spacing w:after="0"/>
              <w:rPr>
                <w:sz w:val="20"/>
                <w:szCs w:val="20"/>
                <w:color w:val="auto"/>
              </w:rPr>
            </w:pPr>
            <w:r>
              <w:rPr>
                <w:rFonts w:ascii="Arial" w:cs="Arial" w:eastAsia="Arial" w:hAnsi="Arial"/>
                <w:sz w:val="18"/>
                <w:szCs w:val="18"/>
                <w:color w:val="FF0000"/>
                <w:strike w:val="1"/>
                <w:w w:val="95"/>
              </w:rPr>
              <w:t>Amount]</w:t>
            </w:r>
          </w:p>
        </w:tc>
        <w:tc>
          <w:tcPr>
            <w:tcW w:w="1940" w:type="dxa"/>
            <w:vAlign w:val="bottom"/>
            <w:tcBorders>
              <w:bottom w:val="single" w:sz="8" w:color="FFDEAD"/>
            </w:tcBorders>
            <w:gridSpan w:val="2"/>
            <w:shd w:val="clear" w:color="auto" w:fill="FFDEAD"/>
          </w:tcPr>
          <w:p>
            <w:pPr>
              <w:spacing w:after="0"/>
              <w:rPr>
                <w:sz w:val="22"/>
                <w:szCs w:val="22"/>
                <w:color w:val="auto"/>
              </w:rPr>
            </w:pPr>
          </w:p>
        </w:tc>
        <w:tc>
          <w:tcPr>
            <w:tcW w:w="760" w:type="dxa"/>
            <w:vAlign w:val="bottom"/>
            <w:tcBorders>
              <w:bottom w:val="single" w:sz="8" w:color="FFDEAD"/>
            </w:tcBorders>
            <w:shd w:val="clear" w:color="auto" w:fill="FFDEAD"/>
          </w:tcPr>
          <w:p>
            <w:pPr>
              <w:spacing w:after="0"/>
              <w:rPr>
                <w:sz w:val="22"/>
                <w:szCs w:val="22"/>
                <w:color w:val="auto"/>
              </w:rPr>
            </w:pPr>
          </w:p>
        </w:tc>
        <w:tc>
          <w:tcPr>
            <w:tcW w:w="420" w:type="dxa"/>
            <w:vAlign w:val="bottom"/>
            <w:tcBorders>
              <w:bottom w:val="single" w:sz="8" w:color="FFDEAD"/>
              <w:right w:val="single" w:sz="8" w:color="auto"/>
            </w:tcBorders>
            <w:shd w:val="clear" w:color="auto" w:fill="FFDEAD"/>
          </w:tcPr>
          <w:p>
            <w:pPr>
              <w:spacing w:after="0"/>
              <w:rPr>
                <w:sz w:val="22"/>
                <w:szCs w:val="22"/>
                <w:color w:val="auto"/>
              </w:rPr>
            </w:pPr>
          </w:p>
        </w:tc>
        <w:tc>
          <w:tcPr>
            <w:tcW w:w="2460" w:type="dxa"/>
            <w:vAlign w:val="bottom"/>
            <w:tcBorders>
              <w:bottom w:val="single" w:sz="8" w:color="FFDEAD"/>
              <w:right w:val="single" w:sz="8" w:color="auto"/>
            </w:tcBorders>
            <w:shd w:val="clear" w:color="auto" w:fill="FFDEAD"/>
          </w:tcPr>
          <w:p>
            <w:pPr>
              <w:spacing w:after="0"/>
              <w:rPr>
                <w:sz w:val="22"/>
                <w:szCs w:val="22"/>
                <w:color w:val="auto"/>
              </w:rPr>
            </w:pPr>
          </w:p>
        </w:tc>
        <w:tc>
          <w:tcPr>
            <w:tcW w:w="2440" w:type="dxa"/>
            <w:vAlign w:val="bottom"/>
            <w:tcBorders>
              <w:bottom w:val="single" w:sz="8" w:color="FFDEAD"/>
              <w:right w:val="single" w:sz="8" w:color="auto"/>
            </w:tcBorders>
            <w:shd w:val="clear" w:color="auto" w:fill="FFDEAD"/>
          </w:tcPr>
          <w:p>
            <w:pPr>
              <w:spacing w:after="0"/>
              <w:rPr>
                <w:sz w:val="22"/>
                <w:szCs w:val="22"/>
                <w:color w:val="auto"/>
              </w:rPr>
            </w:pPr>
          </w:p>
        </w:tc>
        <w:tc>
          <w:tcPr>
            <w:tcW w:w="680" w:type="dxa"/>
            <w:vAlign w:val="bottom"/>
            <w:tcBorders>
              <w:bottom w:val="single" w:sz="8" w:color="FFDEAD"/>
            </w:tcBorders>
            <w:shd w:val="clear" w:color="auto" w:fill="FFDEAD"/>
          </w:tcPr>
          <w:p>
            <w:pPr>
              <w:spacing w:after="0"/>
              <w:rPr>
                <w:sz w:val="22"/>
                <w:szCs w:val="22"/>
                <w:color w:val="auto"/>
              </w:rPr>
            </w:pPr>
          </w:p>
        </w:tc>
        <w:tc>
          <w:tcPr>
            <w:tcW w:w="1780" w:type="dxa"/>
            <w:vAlign w:val="bottom"/>
            <w:tcBorders>
              <w:bottom w:val="single" w:sz="8" w:color="FFDEAD"/>
              <w:right w:val="single" w:sz="8" w:color="auto"/>
            </w:tcBorders>
            <w:shd w:val="clear" w:color="auto" w:fill="FFDEAD"/>
          </w:tcPr>
          <w:p>
            <w:pPr>
              <w:spacing w:after="0"/>
              <w:rPr>
                <w:sz w:val="22"/>
                <w:szCs w:val="22"/>
                <w:color w:val="auto"/>
              </w:rPr>
            </w:pPr>
          </w:p>
        </w:tc>
        <w:tc>
          <w:tcPr>
            <w:tcW w:w="20" w:type="dxa"/>
            <w:vAlign w:val="bottom"/>
          </w:tcPr>
          <w:p>
            <w:pPr>
              <w:spacing w:after="0"/>
              <w:rPr>
                <w:sz w:val="22"/>
                <w:szCs w:val="22"/>
                <w:color w:val="auto"/>
              </w:rPr>
            </w:pPr>
          </w:p>
        </w:tc>
      </w:tr>
      <w:tr>
        <w:trPr>
          <w:trHeight w:val="213"/>
        </w:trPr>
        <w:tc>
          <w:tcPr>
            <w:tcW w:w="3400" w:type="dxa"/>
            <w:vAlign w:val="bottom"/>
            <w:tcBorders>
              <w:top w:val="single" w:sz="8" w:color="auto"/>
              <w:left w:val="single" w:sz="8" w:color="auto"/>
            </w:tcBorders>
            <w:gridSpan w:val="6"/>
            <w:shd w:val="clear" w:color="auto" w:fill="FFDEAD"/>
          </w:tcPr>
          <w:p>
            <w:pPr>
              <w:ind w:left="40"/>
              <w:spacing w:after="0"/>
              <w:rPr>
                <w:sz w:val="20"/>
                <w:szCs w:val="20"/>
                <w:color w:val="auto"/>
              </w:rPr>
            </w:pPr>
            <w:r>
              <w:rPr>
                <w:rFonts w:ascii="Arial" w:cs="Arial" w:eastAsia="Arial" w:hAnsi="Arial"/>
                <w:sz w:val="18"/>
                <w:szCs w:val="18"/>
                <w:color w:val="FF0000"/>
                <w:strike w:val="1"/>
                <w:w w:val="91"/>
              </w:rPr>
              <w:t>The sum of the Aggregate Construction Costs</w:t>
            </w:r>
          </w:p>
        </w:tc>
        <w:tc>
          <w:tcPr>
            <w:tcW w:w="420" w:type="dxa"/>
            <w:vAlign w:val="bottom"/>
            <w:tcBorders>
              <w:top w:val="single" w:sz="8" w:color="auto"/>
              <w:right w:val="single" w:sz="8" w:color="auto"/>
            </w:tcBorders>
            <w:shd w:val="clear" w:color="auto" w:fill="FFDEAD"/>
          </w:tcPr>
          <w:p>
            <w:pPr>
              <w:spacing w:after="0"/>
              <w:rPr>
                <w:sz w:val="18"/>
                <w:szCs w:val="18"/>
                <w:color w:val="auto"/>
              </w:rPr>
            </w:pPr>
          </w:p>
        </w:tc>
        <w:tc>
          <w:tcPr>
            <w:tcW w:w="2460" w:type="dxa"/>
            <w:vAlign w:val="bottom"/>
            <w:tcBorders>
              <w:top w:val="single" w:sz="8" w:color="auto"/>
              <w:right w:val="single" w:sz="8" w:color="auto"/>
            </w:tcBorders>
            <w:shd w:val="clear" w:color="auto" w:fill="FFDEAD"/>
          </w:tcPr>
          <w:p>
            <w:pPr>
              <w:ind w:left="20"/>
              <w:spacing w:after="0"/>
              <w:rPr>
                <w:sz w:val="20"/>
                <w:szCs w:val="20"/>
                <w:color w:val="auto"/>
              </w:rPr>
            </w:pPr>
            <w:r>
              <w:rPr>
                <w:rFonts w:ascii="Arial" w:cs="Arial" w:eastAsia="Arial" w:hAnsi="Arial"/>
                <w:sz w:val="18"/>
                <w:szCs w:val="18"/>
                <w:color w:val="FF0000"/>
                <w:strike w:val="1"/>
              </w:rPr>
              <w:t>Not in excess of 25% of the</w:t>
            </w:r>
          </w:p>
        </w:tc>
        <w:tc>
          <w:tcPr>
            <w:tcW w:w="2440" w:type="dxa"/>
            <w:vAlign w:val="bottom"/>
            <w:tcBorders>
              <w:top w:val="single" w:sz="8" w:color="auto"/>
              <w:right w:val="single" w:sz="8" w:color="auto"/>
            </w:tcBorders>
            <w:shd w:val="clear" w:color="auto" w:fill="FFDEAD"/>
          </w:tcPr>
          <w:p>
            <w:pPr>
              <w:ind w:left="20"/>
              <w:spacing w:after="0"/>
              <w:rPr>
                <w:sz w:val="20"/>
                <w:szCs w:val="20"/>
                <w:color w:val="auto"/>
              </w:rPr>
            </w:pPr>
            <w:r>
              <w:rPr>
                <w:rFonts w:ascii="Arial" w:cs="Arial" w:eastAsia="Arial" w:hAnsi="Arial"/>
                <w:sz w:val="18"/>
                <w:szCs w:val="18"/>
                <w:color w:val="FF0000"/>
                <w:strike w:val="1"/>
              </w:rPr>
              <w:t>________% of Total Asset</w:t>
            </w:r>
          </w:p>
        </w:tc>
        <w:tc>
          <w:tcPr>
            <w:tcW w:w="2460" w:type="dxa"/>
            <w:vAlign w:val="bottom"/>
            <w:tcBorders>
              <w:top w:val="single" w:sz="8" w:color="auto"/>
              <w:right w:val="single" w:sz="8" w:color="auto"/>
            </w:tcBorders>
            <w:gridSpan w:val="2"/>
            <w:shd w:val="clear" w:color="auto" w:fill="FFDEAD"/>
          </w:tcPr>
          <w:p>
            <w:pPr>
              <w:ind w:left="20"/>
              <w:spacing w:after="0"/>
              <w:rPr>
                <w:sz w:val="20"/>
                <w:szCs w:val="20"/>
                <w:color w:val="auto"/>
              </w:rPr>
            </w:pPr>
            <w:r>
              <w:rPr>
                <w:rFonts w:ascii="Arial" w:cs="Arial" w:eastAsia="Arial" w:hAnsi="Arial"/>
                <w:sz w:val="18"/>
                <w:szCs w:val="18"/>
                <w:color w:val="FF0000"/>
                <w:strike w:val="1"/>
              </w:rPr>
              <w:t>$____________</w:t>
            </w:r>
          </w:p>
        </w:tc>
        <w:tc>
          <w:tcPr>
            <w:tcW w:w="20" w:type="dxa"/>
            <w:vAlign w:val="bottom"/>
          </w:tcPr>
          <w:p>
            <w:pPr>
              <w:spacing w:after="0"/>
              <w:rPr>
                <w:sz w:val="18"/>
                <w:szCs w:val="18"/>
                <w:color w:val="auto"/>
              </w:rPr>
            </w:pPr>
          </w:p>
        </w:tc>
      </w:tr>
      <w:tr>
        <w:trPr>
          <w:trHeight w:val="212"/>
        </w:trPr>
        <w:tc>
          <w:tcPr>
            <w:tcW w:w="3820" w:type="dxa"/>
            <w:vAlign w:val="bottom"/>
            <w:tcBorders>
              <w:left w:val="single" w:sz="8" w:color="auto"/>
              <w:right w:val="single" w:sz="8" w:color="auto"/>
            </w:tcBorders>
            <w:gridSpan w:val="7"/>
            <w:shd w:val="clear" w:color="auto" w:fill="FFDEAD"/>
          </w:tcPr>
          <w:p>
            <w:pPr>
              <w:ind w:left="40"/>
              <w:spacing w:after="0"/>
              <w:rPr>
                <w:sz w:val="20"/>
                <w:szCs w:val="20"/>
                <w:color w:val="auto"/>
              </w:rPr>
            </w:pPr>
            <w:r>
              <w:rPr>
                <w:rFonts w:ascii="Arial" w:cs="Arial" w:eastAsia="Arial" w:hAnsi="Arial"/>
                <w:sz w:val="18"/>
                <w:szCs w:val="18"/>
                <w:color w:val="FF0000"/>
                <w:strike w:val="1"/>
                <w:w w:val="99"/>
              </w:rPr>
              <w:t>Investment Amount, the Aggregate Real Estate</w:t>
            </w:r>
          </w:p>
        </w:tc>
        <w:tc>
          <w:tcPr>
            <w:tcW w:w="2460" w:type="dxa"/>
            <w:vAlign w:val="bottom"/>
            <w:tcBorders>
              <w:right w:val="single" w:sz="8" w:color="auto"/>
            </w:tcBorders>
            <w:shd w:val="clear" w:color="auto" w:fill="FFDEAD"/>
          </w:tcPr>
          <w:p>
            <w:pPr>
              <w:ind w:left="20"/>
              <w:spacing w:after="0"/>
              <w:rPr>
                <w:sz w:val="20"/>
                <w:szCs w:val="20"/>
                <w:color w:val="auto"/>
              </w:rPr>
            </w:pPr>
            <w:r>
              <w:rPr>
                <w:rFonts w:ascii="Arial" w:cs="Arial" w:eastAsia="Arial" w:hAnsi="Arial"/>
                <w:sz w:val="18"/>
                <w:szCs w:val="18"/>
                <w:color w:val="FF0000"/>
                <w:strike w:val="1"/>
              </w:rPr>
              <w:t>Total Asset Value</w:t>
            </w:r>
          </w:p>
        </w:tc>
        <w:tc>
          <w:tcPr>
            <w:tcW w:w="2440" w:type="dxa"/>
            <w:vAlign w:val="bottom"/>
            <w:tcBorders>
              <w:right w:val="single" w:sz="8" w:color="auto"/>
            </w:tcBorders>
            <w:shd w:val="clear" w:color="auto" w:fill="FFDEAD"/>
          </w:tcPr>
          <w:p>
            <w:pPr>
              <w:ind w:left="20"/>
              <w:spacing w:after="0"/>
              <w:rPr>
                <w:sz w:val="20"/>
                <w:szCs w:val="20"/>
                <w:color w:val="auto"/>
              </w:rPr>
            </w:pPr>
            <w:r>
              <w:rPr>
                <w:rFonts w:ascii="Arial" w:cs="Arial" w:eastAsia="Arial" w:hAnsi="Arial"/>
                <w:sz w:val="18"/>
                <w:szCs w:val="18"/>
                <w:color w:val="FF0000"/>
                <w:strike w:val="1"/>
              </w:rPr>
              <w:t>Value</w:t>
            </w:r>
          </w:p>
        </w:tc>
        <w:tc>
          <w:tcPr>
            <w:tcW w:w="680" w:type="dxa"/>
            <w:vAlign w:val="bottom"/>
            <w:shd w:val="clear" w:color="auto" w:fill="FFDEAD"/>
          </w:tcPr>
          <w:p>
            <w:pPr>
              <w:spacing w:after="0"/>
              <w:rPr>
                <w:sz w:val="18"/>
                <w:szCs w:val="18"/>
                <w:color w:val="auto"/>
              </w:rPr>
            </w:pPr>
          </w:p>
        </w:tc>
        <w:tc>
          <w:tcPr>
            <w:tcW w:w="1780" w:type="dxa"/>
            <w:vAlign w:val="bottom"/>
            <w:tcBorders>
              <w:right w:val="single" w:sz="8" w:color="auto"/>
            </w:tcBorders>
            <w:shd w:val="clear" w:color="auto" w:fill="FFDEAD"/>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3400" w:type="dxa"/>
            <w:vAlign w:val="bottom"/>
            <w:tcBorders>
              <w:left w:val="single" w:sz="8" w:color="auto"/>
            </w:tcBorders>
            <w:gridSpan w:val="6"/>
            <w:shd w:val="clear" w:color="auto" w:fill="FFDEAD"/>
          </w:tcPr>
          <w:p>
            <w:pPr>
              <w:ind w:left="40"/>
              <w:spacing w:after="0"/>
              <w:rPr>
                <w:sz w:val="20"/>
                <w:szCs w:val="20"/>
                <w:color w:val="auto"/>
              </w:rPr>
            </w:pPr>
            <w:r>
              <w:rPr>
                <w:rFonts w:ascii="Arial" w:cs="Arial" w:eastAsia="Arial" w:hAnsi="Arial"/>
                <w:sz w:val="18"/>
                <w:szCs w:val="18"/>
                <w:color w:val="FF0000"/>
                <w:strike w:val="1"/>
              </w:rPr>
              <w:t>Loan Investment Amount, the Aggregate</w:t>
            </w:r>
          </w:p>
        </w:tc>
        <w:tc>
          <w:tcPr>
            <w:tcW w:w="420" w:type="dxa"/>
            <w:vAlign w:val="bottom"/>
            <w:tcBorders>
              <w:right w:val="single" w:sz="8" w:color="auto"/>
            </w:tcBorders>
            <w:shd w:val="clear" w:color="auto" w:fill="FFDEAD"/>
          </w:tcPr>
          <w:p>
            <w:pPr>
              <w:spacing w:after="0"/>
              <w:rPr>
                <w:sz w:val="18"/>
                <w:szCs w:val="18"/>
                <w:color w:val="auto"/>
              </w:rPr>
            </w:pPr>
          </w:p>
        </w:tc>
        <w:tc>
          <w:tcPr>
            <w:tcW w:w="2460" w:type="dxa"/>
            <w:vAlign w:val="bottom"/>
            <w:tcBorders>
              <w:right w:val="single" w:sz="8" w:color="auto"/>
            </w:tcBorders>
            <w:shd w:val="clear" w:color="auto" w:fill="FFDEAD"/>
          </w:tcPr>
          <w:p>
            <w:pPr>
              <w:ind w:left="20"/>
              <w:spacing w:after="0"/>
              <w:rPr>
                <w:sz w:val="20"/>
                <w:szCs w:val="20"/>
                <w:color w:val="auto"/>
              </w:rPr>
            </w:pPr>
            <w:r>
              <w:rPr>
                <w:rFonts w:ascii="Arial" w:cs="Arial" w:eastAsia="Arial" w:hAnsi="Arial"/>
                <w:sz w:val="18"/>
                <w:szCs w:val="18"/>
                <w:color w:val="FF0000"/>
                <w:strike w:val="1"/>
              </w:rPr>
              <w:t>[7.03]</w:t>
            </w:r>
          </w:p>
        </w:tc>
        <w:tc>
          <w:tcPr>
            <w:tcW w:w="2440" w:type="dxa"/>
            <w:vAlign w:val="bottom"/>
            <w:tcBorders>
              <w:right w:val="single" w:sz="8" w:color="auto"/>
            </w:tcBorders>
            <w:shd w:val="clear" w:color="auto" w:fill="FFDEAD"/>
          </w:tcPr>
          <w:p>
            <w:pPr>
              <w:spacing w:after="0"/>
              <w:rPr>
                <w:sz w:val="18"/>
                <w:szCs w:val="18"/>
                <w:color w:val="auto"/>
              </w:rPr>
            </w:pPr>
          </w:p>
        </w:tc>
        <w:tc>
          <w:tcPr>
            <w:tcW w:w="680" w:type="dxa"/>
            <w:vAlign w:val="bottom"/>
            <w:shd w:val="clear" w:color="auto" w:fill="FFDEAD"/>
          </w:tcPr>
          <w:p>
            <w:pPr>
              <w:spacing w:after="0"/>
              <w:rPr>
                <w:sz w:val="18"/>
                <w:szCs w:val="18"/>
                <w:color w:val="auto"/>
              </w:rPr>
            </w:pPr>
          </w:p>
        </w:tc>
        <w:tc>
          <w:tcPr>
            <w:tcW w:w="1780" w:type="dxa"/>
            <w:vAlign w:val="bottom"/>
            <w:tcBorders>
              <w:right w:val="single" w:sz="8" w:color="auto"/>
            </w:tcBorders>
            <w:shd w:val="clear" w:color="auto" w:fill="FFDEAD"/>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3820" w:type="dxa"/>
            <w:vAlign w:val="bottom"/>
            <w:tcBorders>
              <w:left w:val="single" w:sz="8" w:color="auto"/>
              <w:right w:val="single" w:sz="8" w:color="auto"/>
            </w:tcBorders>
            <w:gridSpan w:val="7"/>
            <w:shd w:val="clear" w:color="auto" w:fill="FFDEAD"/>
          </w:tcPr>
          <w:p>
            <w:pPr>
              <w:ind w:left="40"/>
              <w:spacing w:after="0"/>
              <w:rPr>
                <w:sz w:val="20"/>
                <w:szCs w:val="20"/>
                <w:color w:val="auto"/>
              </w:rPr>
            </w:pPr>
            <w:r>
              <w:rPr>
                <w:rFonts w:ascii="Arial" w:cs="Arial" w:eastAsia="Arial" w:hAnsi="Arial"/>
                <w:sz w:val="18"/>
                <w:szCs w:val="18"/>
                <w:color w:val="FF0000"/>
                <w:strike w:val="1"/>
                <w:w w:val="97"/>
              </w:rPr>
              <w:t>Unimproved Land Holdings Investment Amount,</w:t>
            </w:r>
          </w:p>
        </w:tc>
        <w:tc>
          <w:tcPr>
            <w:tcW w:w="2460" w:type="dxa"/>
            <w:vAlign w:val="bottom"/>
            <w:tcBorders>
              <w:right w:val="single" w:sz="8" w:color="auto"/>
            </w:tcBorders>
            <w:shd w:val="clear" w:color="auto" w:fill="FFDEAD"/>
          </w:tcPr>
          <w:p>
            <w:pPr>
              <w:spacing w:after="0"/>
              <w:rPr>
                <w:sz w:val="18"/>
                <w:szCs w:val="18"/>
                <w:color w:val="auto"/>
              </w:rPr>
            </w:pPr>
          </w:p>
        </w:tc>
        <w:tc>
          <w:tcPr>
            <w:tcW w:w="2440" w:type="dxa"/>
            <w:vAlign w:val="bottom"/>
            <w:tcBorders>
              <w:right w:val="single" w:sz="8" w:color="auto"/>
            </w:tcBorders>
            <w:shd w:val="clear" w:color="auto" w:fill="FFDEAD"/>
          </w:tcPr>
          <w:p>
            <w:pPr>
              <w:spacing w:after="0"/>
              <w:rPr>
                <w:sz w:val="18"/>
                <w:szCs w:val="18"/>
                <w:color w:val="auto"/>
              </w:rPr>
            </w:pPr>
          </w:p>
        </w:tc>
        <w:tc>
          <w:tcPr>
            <w:tcW w:w="680" w:type="dxa"/>
            <w:vAlign w:val="bottom"/>
            <w:shd w:val="clear" w:color="auto" w:fill="FFDEAD"/>
          </w:tcPr>
          <w:p>
            <w:pPr>
              <w:spacing w:after="0"/>
              <w:rPr>
                <w:sz w:val="18"/>
                <w:szCs w:val="18"/>
                <w:color w:val="auto"/>
              </w:rPr>
            </w:pPr>
          </w:p>
        </w:tc>
        <w:tc>
          <w:tcPr>
            <w:tcW w:w="1780" w:type="dxa"/>
            <w:vAlign w:val="bottom"/>
            <w:tcBorders>
              <w:right w:val="single" w:sz="8" w:color="auto"/>
            </w:tcBorders>
            <w:shd w:val="clear" w:color="auto" w:fill="FFDEAD"/>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3400" w:type="dxa"/>
            <w:vAlign w:val="bottom"/>
            <w:tcBorders>
              <w:left w:val="single" w:sz="8" w:color="auto"/>
            </w:tcBorders>
            <w:gridSpan w:val="6"/>
            <w:shd w:val="clear" w:color="auto" w:fill="FFDEAD"/>
          </w:tcPr>
          <w:p>
            <w:pPr>
              <w:ind w:left="40"/>
              <w:spacing w:after="0"/>
              <w:rPr>
                <w:sz w:val="20"/>
                <w:szCs w:val="20"/>
                <w:color w:val="auto"/>
              </w:rPr>
            </w:pPr>
            <w:r>
              <w:rPr>
                <w:rFonts w:ascii="Arial" w:cs="Arial" w:eastAsia="Arial" w:hAnsi="Arial"/>
                <w:sz w:val="18"/>
                <w:szCs w:val="18"/>
                <w:color w:val="FF0000"/>
                <w:strike w:val="1"/>
              </w:rPr>
              <w:t>the Aggregate Unconsolidated Affiliate</w:t>
            </w:r>
          </w:p>
        </w:tc>
        <w:tc>
          <w:tcPr>
            <w:tcW w:w="420" w:type="dxa"/>
            <w:vAlign w:val="bottom"/>
            <w:tcBorders>
              <w:right w:val="single" w:sz="8" w:color="auto"/>
            </w:tcBorders>
            <w:shd w:val="clear" w:color="auto" w:fill="FFDEAD"/>
          </w:tcPr>
          <w:p>
            <w:pPr>
              <w:spacing w:after="0"/>
              <w:rPr>
                <w:sz w:val="18"/>
                <w:szCs w:val="18"/>
                <w:color w:val="auto"/>
              </w:rPr>
            </w:pPr>
          </w:p>
        </w:tc>
        <w:tc>
          <w:tcPr>
            <w:tcW w:w="2460" w:type="dxa"/>
            <w:vAlign w:val="bottom"/>
            <w:tcBorders>
              <w:right w:val="single" w:sz="8" w:color="auto"/>
            </w:tcBorders>
            <w:shd w:val="clear" w:color="auto" w:fill="FFDEAD"/>
          </w:tcPr>
          <w:p>
            <w:pPr>
              <w:spacing w:after="0"/>
              <w:rPr>
                <w:sz w:val="18"/>
                <w:szCs w:val="18"/>
                <w:color w:val="auto"/>
              </w:rPr>
            </w:pPr>
          </w:p>
        </w:tc>
        <w:tc>
          <w:tcPr>
            <w:tcW w:w="2440" w:type="dxa"/>
            <w:vAlign w:val="bottom"/>
            <w:tcBorders>
              <w:right w:val="single" w:sz="8" w:color="auto"/>
            </w:tcBorders>
            <w:shd w:val="clear" w:color="auto" w:fill="FFDEAD"/>
          </w:tcPr>
          <w:p>
            <w:pPr>
              <w:spacing w:after="0"/>
              <w:rPr>
                <w:sz w:val="18"/>
                <w:szCs w:val="18"/>
                <w:color w:val="auto"/>
              </w:rPr>
            </w:pPr>
          </w:p>
        </w:tc>
        <w:tc>
          <w:tcPr>
            <w:tcW w:w="680" w:type="dxa"/>
            <w:vAlign w:val="bottom"/>
            <w:shd w:val="clear" w:color="auto" w:fill="FFDEAD"/>
          </w:tcPr>
          <w:p>
            <w:pPr>
              <w:spacing w:after="0"/>
              <w:rPr>
                <w:sz w:val="18"/>
                <w:szCs w:val="18"/>
                <w:color w:val="auto"/>
              </w:rPr>
            </w:pPr>
          </w:p>
        </w:tc>
        <w:tc>
          <w:tcPr>
            <w:tcW w:w="1780" w:type="dxa"/>
            <w:vAlign w:val="bottom"/>
            <w:tcBorders>
              <w:right w:val="single" w:sz="8" w:color="auto"/>
            </w:tcBorders>
            <w:shd w:val="clear" w:color="auto" w:fill="FFDEAD"/>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3820" w:type="dxa"/>
            <w:vAlign w:val="bottom"/>
            <w:tcBorders>
              <w:left w:val="single" w:sz="8" w:color="auto"/>
              <w:right w:val="single" w:sz="8" w:color="auto"/>
            </w:tcBorders>
            <w:gridSpan w:val="7"/>
            <w:shd w:val="clear" w:color="auto" w:fill="FFDEAD"/>
          </w:tcPr>
          <w:p>
            <w:pPr>
              <w:ind w:left="40"/>
              <w:spacing w:after="0"/>
              <w:rPr>
                <w:sz w:val="20"/>
                <w:szCs w:val="20"/>
                <w:color w:val="auto"/>
              </w:rPr>
            </w:pPr>
            <w:r>
              <w:rPr>
                <w:rFonts w:ascii="Arial" w:cs="Arial" w:eastAsia="Arial" w:hAnsi="Arial"/>
                <w:sz w:val="18"/>
                <w:szCs w:val="18"/>
                <w:color w:val="FF0000"/>
                <w:strike w:val="1"/>
                <w:w w:val="95"/>
              </w:rPr>
              <w:t>Investment Amount and the Aggregate Non-Loan</w:t>
            </w:r>
          </w:p>
        </w:tc>
        <w:tc>
          <w:tcPr>
            <w:tcW w:w="2460" w:type="dxa"/>
            <w:vAlign w:val="bottom"/>
            <w:tcBorders>
              <w:right w:val="single" w:sz="8" w:color="auto"/>
            </w:tcBorders>
            <w:shd w:val="clear" w:color="auto" w:fill="FFDEAD"/>
          </w:tcPr>
          <w:p>
            <w:pPr>
              <w:spacing w:after="0"/>
              <w:rPr>
                <w:sz w:val="18"/>
                <w:szCs w:val="18"/>
                <w:color w:val="auto"/>
              </w:rPr>
            </w:pPr>
          </w:p>
        </w:tc>
        <w:tc>
          <w:tcPr>
            <w:tcW w:w="2440" w:type="dxa"/>
            <w:vAlign w:val="bottom"/>
            <w:tcBorders>
              <w:right w:val="single" w:sz="8" w:color="auto"/>
            </w:tcBorders>
            <w:shd w:val="clear" w:color="auto" w:fill="FFDEAD"/>
          </w:tcPr>
          <w:p>
            <w:pPr>
              <w:spacing w:after="0"/>
              <w:rPr>
                <w:sz w:val="18"/>
                <w:szCs w:val="18"/>
                <w:color w:val="auto"/>
              </w:rPr>
            </w:pPr>
          </w:p>
        </w:tc>
        <w:tc>
          <w:tcPr>
            <w:tcW w:w="680" w:type="dxa"/>
            <w:vAlign w:val="bottom"/>
            <w:shd w:val="clear" w:color="auto" w:fill="FFDEAD"/>
          </w:tcPr>
          <w:p>
            <w:pPr>
              <w:spacing w:after="0"/>
              <w:rPr>
                <w:sz w:val="18"/>
                <w:szCs w:val="18"/>
                <w:color w:val="auto"/>
              </w:rPr>
            </w:pPr>
          </w:p>
        </w:tc>
        <w:tc>
          <w:tcPr>
            <w:tcW w:w="1780" w:type="dxa"/>
            <w:vAlign w:val="bottom"/>
            <w:tcBorders>
              <w:right w:val="single" w:sz="8" w:color="auto"/>
            </w:tcBorders>
            <w:shd w:val="clear" w:color="auto" w:fill="FFDEAD"/>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3400" w:type="dxa"/>
            <w:vAlign w:val="bottom"/>
            <w:tcBorders>
              <w:left w:val="single" w:sz="8" w:color="auto"/>
            </w:tcBorders>
            <w:gridSpan w:val="6"/>
            <w:shd w:val="clear" w:color="auto" w:fill="FFDEAD"/>
          </w:tcPr>
          <w:p>
            <w:pPr>
              <w:ind w:left="40"/>
              <w:spacing w:after="0"/>
              <w:rPr>
                <w:sz w:val="20"/>
                <w:szCs w:val="20"/>
                <w:color w:val="auto"/>
              </w:rPr>
            </w:pPr>
            <w:r>
              <w:rPr>
                <w:rFonts w:ascii="Arial" w:cs="Arial" w:eastAsia="Arial" w:hAnsi="Arial"/>
                <w:sz w:val="18"/>
                <w:szCs w:val="18"/>
                <w:color w:val="FF0000"/>
                <w:strike w:val="1"/>
                <w:w w:val="96"/>
              </w:rPr>
              <w:t>Party Investment Amount99 If at any time a</w:t>
            </w:r>
          </w:p>
        </w:tc>
        <w:tc>
          <w:tcPr>
            <w:tcW w:w="420" w:type="dxa"/>
            <w:vAlign w:val="bottom"/>
            <w:tcBorders>
              <w:right w:val="single" w:sz="8" w:color="auto"/>
            </w:tcBorders>
            <w:shd w:val="clear" w:color="auto" w:fill="FFDEAD"/>
          </w:tcPr>
          <w:p>
            <w:pPr>
              <w:spacing w:after="0"/>
              <w:rPr>
                <w:sz w:val="18"/>
                <w:szCs w:val="18"/>
                <w:color w:val="auto"/>
              </w:rPr>
            </w:pPr>
          </w:p>
        </w:tc>
        <w:tc>
          <w:tcPr>
            <w:tcW w:w="2460" w:type="dxa"/>
            <w:vAlign w:val="bottom"/>
            <w:tcBorders>
              <w:right w:val="single" w:sz="8" w:color="auto"/>
            </w:tcBorders>
            <w:shd w:val="clear" w:color="auto" w:fill="FFDEAD"/>
          </w:tcPr>
          <w:p>
            <w:pPr>
              <w:spacing w:after="0"/>
              <w:rPr>
                <w:sz w:val="18"/>
                <w:szCs w:val="18"/>
                <w:color w:val="auto"/>
              </w:rPr>
            </w:pPr>
          </w:p>
        </w:tc>
        <w:tc>
          <w:tcPr>
            <w:tcW w:w="2440" w:type="dxa"/>
            <w:vAlign w:val="bottom"/>
            <w:tcBorders>
              <w:right w:val="single" w:sz="8" w:color="auto"/>
            </w:tcBorders>
            <w:shd w:val="clear" w:color="auto" w:fill="FFDEAD"/>
          </w:tcPr>
          <w:p>
            <w:pPr>
              <w:spacing w:after="0"/>
              <w:rPr>
                <w:sz w:val="18"/>
                <w:szCs w:val="18"/>
                <w:color w:val="auto"/>
              </w:rPr>
            </w:pPr>
          </w:p>
        </w:tc>
        <w:tc>
          <w:tcPr>
            <w:tcW w:w="680" w:type="dxa"/>
            <w:vAlign w:val="bottom"/>
            <w:shd w:val="clear" w:color="auto" w:fill="FFDEAD"/>
          </w:tcPr>
          <w:p>
            <w:pPr>
              <w:spacing w:after="0"/>
              <w:rPr>
                <w:sz w:val="18"/>
                <w:szCs w:val="18"/>
                <w:color w:val="auto"/>
              </w:rPr>
            </w:pPr>
          </w:p>
        </w:tc>
        <w:tc>
          <w:tcPr>
            <w:tcW w:w="1780" w:type="dxa"/>
            <w:vAlign w:val="bottom"/>
            <w:tcBorders>
              <w:right w:val="single" w:sz="8" w:color="auto"/>
            </w:tcBorders>
            <w:shd w:val="clear" w:color="auto" w:fill="FFDEAD"/>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3400" w:type="dxa"/>
            <w:vAlign w:val="bottom"/>
            <w:tcBorders>
              <w:left w:val="single" w:sz="8" w:color="auto"/>
            </w:tcBorders>
            <w:gridSpan w:val="6"/>
            <w:shd w:val="clear" w:color="auto" w:fill="FFDEAD"/>
          </w:tcPr>
          <w:p>
            <w:pPr>
              <w:ind w:left="40"/>
              <w:spacing w:after="0"/>
              <w:rPr>
                <w:sz w:val="20"/>
                <w:szCs w:val="20"/>
                <w:color w:val="auto"/>
              </w:rPr>
            </w:pPr>
            <w:r>
              <w:rPr>
                <w:rFonts w:ascii="Arial" w:cs="Arial" w:eastAsia="Arial" w:hAnsi="Arial"/>
                <w:sz w:val="18"/>
                <w:szCs w:val="18"/>
                <w:color w:val="FF0000"/>
                <w:strike w:val="1"/>
                <w:w w:val="97"/>
              </w:rPr>
              <w:t>Permitted Subsidiary Guarantor Release is</w:t>
            </w:r>
          </w:p>
        </w:tc>
        <w:tc>
          <w:tcPr>
            <w:tcW w:w="420" w:type="dxa"/>
            <w:vAlign w:val="bottom"/>
            <w:tcBorders>
              <w:right w:val="single" w:sz="8" w:color="auto"/>
            </w:tcBorders>
            <w:shd w:val="clear" w:color="auto" w:fill="FFDEAD"/>
          </w:tcPr>
          <w:p>
            <w:pPr>
              <w:spacing w:after="0"/>
              <w:rPr>
                <w:sz w:val="18"/>
                <w:szCs w:val="18"/>
                <w:color w:val="auto"/>
              </w:rPr>
            </w:pPr>
          </w:p>
        </w:tc>
        <w:tc>
          <w:tcPr>
            <w:tcW w:w="2460" w:type="dxa"/>
            <w:vAlign w:val="bottom"/>
            <w:tcBorders>
              <w:right w:val="single" w:sz="8" w:color="auto"/>
            </w:tcBorders>
            <w:shd w:val="clear" w:color="auto" w:fill="FFDEAD"/>
          </w:tcPr>
          <w:p>
            <w:pPr>
              <w:spacing w:after="0"/>
              <w:rPr>
                <w:sz w:val="18"/>
                <w:szCs w:val="18"/>
                <w:color w:val="auto"/>
              </w:rPr>
            </w:pPr>
          </w:p>
        </w:tc>
        <w:tc>
          <w:tcPr>
            <w:tcW w:w="2440" w:type="dxa"/>
            <w:vAlign w:val="bottom"/>
            <w:tcBorders>
              <w:right w:val="single" w:sz="8" w:color="auto"/>
            </w:tcBorders>
            <w:shd w:val="clear" w:color="auto" w:fill="FFDEAD"/>
          </w:tcPr>
          <w:p>
            <w:pPr>
              <w:spacing w:after="0"/>
              <w:rPr>
                <w:sz w:val="18"/>
                <w:szCs w:val="18"/>
                <w:color w:val="auto"/>
              </w:rPr>
            </w:pPr>
          </w:p>
        </w:tc>
        <w:tc>
          <w:tcPr>
            <w:tcW w:w="680" w:type="dxa"/>
            <w:vAlign w:val="bottom"/>
            <w:shd w:val="clear" w:color="auto" w:fill="FFDEAD"/>
          </w:tcPr>
          <w:p>
            <w:pPr>
              <w:spacing w:after="0"/>
              <w:rPr>
                <w:sz w:val="18"/>
                <w:szCs w:val="18"/>
                <w:color w:val="auto"/>
              </w:rPr>
            </w:pPr>
          </w:p>
        </w:tc>
        <w:tc>
          <w:tcPr>
            <w:tcW w:w="1780" w:type="dxa"/>
            <w:vAlign w:val="bottom"/>
            <w:tcBorders>
              <w:right w:val="single" w:sz="8" w:color="auto"/>
            </w:tcBorders>
            <w:shd w:val="clear" w:color="auto" w:fill="FFDEAD"/>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3400" w:type="dxa"/>
            <w:vAlign w:val="bottom"/>
            <w:tcBorders>
              <w:left w:val="single" w:sz="8" w:color="auto"/>
            </w:tcBorders>
            <w:gridSpan w:val="6"/>
            <w:shd w:val="clear" w:color="auto" w:fill="FFDEAD"/>
          </w:tcPr>
          <w:p>
            <w:pPr>
              <w:ind w:left="40"/>
              <w:spacing w:after="0"/>
              <w:rPr>
                <w:sz w:val="20"/>
                <w:szCs w:val="20"/>
                <w:color w:val="auto"/>
              </w:rPr>
            </w:pPr>
            <w:r>
              <w:rPr>
                <w:rFonts w:ascii="Arial" w:cs="Arial" w:eastAsia="Arial" w:hAnsi="Arial"/>
                <w:sz w:val="18"/>
                <w:szCs w:val="18"/>
                <w:color w:val="FF0000"/>
                <w:strike w:val="1"/>
                <w:w w:val="90"/>
              </w:rPr>
              <w:t>consummated, the Aggregate Non-Loan Party</w:t>
            </w:r>
          </w:p>
        </w:tc>
        <w:tc>
          <w:tcPr>
            <w:tcW w:w="420" w:type="dxa"/>
            <w:vAlign w:val="bottom"/>
            <w:tcBorders>
              <w:right w:val="single" w:sz="8" w:color="auto"/>
            </w:tcBorders>
            <w:shd w:val="clear" w:color="auto" w:fill="FFDEAD"/>
          </w:tcPr>
          <w:p>
            <w:pPr>
              <w:spacing w:after="0"/>
              <w:rPr>
                <w:sz w:val="18"/>
                <w:szCs w:val="18"/>
                <w:color w:val="auto"/>
              </w:rPr>
            </w:pPr>
          </w:p>
        </w:tc>
        <w:tc>
          <w:tcPr>
            <w:tcW w:w="2460" w:type="dxa"/>
            <w:vAlign w:val="bottom"/>
            <w:tcBorders>
              <w:right w:val="single" w:sz="8" w:color="auto"/>
            </w:tcBorders>
            <w:shd w:val="clear" w:color="auto" w:fill="FFDEAD"/>
          </w:tcPr>
          <w:p>
            <w:pPr>
              <w:spacing w:after="0"/>
              <w:rPr>
                <w:sz w:val="18"/>
                <w:szCs w:val="18"/>
                <w:color w:val="auto"/>
              </w:rPr>
            </w:pPr>
          </w:p>
        </w:tc>
        <w:tc>
          <w:tcPr>
            <w:tcW w:w="2440" w:type="dxa"/>
            <w:vAlign w:val="bottom"/>
            <w:tcBorders>
              <w:right w:val="single" w:sz="8" w:color="auto"/>
            </w:tcBorders>
            <w:shd w:val="clear" w:color="auto" w:fill="FFDEAD"/>
          </w:tcPr>
          <w:p>
            <w:pPr>
              <w:spacing w:after="0"/>
              <w:rPr>
                <w:sz w:val="18"/>
                <w:szCs w:val="18"/>
                <w:color w:val="auto"/>
              </w:rPr>
            </w:pPr>
          </w:p>
        </w:tc>
        <w:tc>
          <w:tcPr>
            <w:tcW w:w="680" w:type="dxa"/>
            <w:vAlign w:val="bottom"/>
            <w:shd w:val="clear" w:color="auto" w:fill="FFDEAD"/>
          </w:tcPr>
          <w:p>
            <w:pPr>
              <w:spacing w:after="0"/>
              <w:rPr>
                <w:sz w:val="18"/>
                <w:szCs w:val="18"/>
                <w:color w:val="auto"/>
              </w:rPr>
            </w:pPr>
          </w:p>
        </w:tc>
        <w:tc>
          <w:tcPr>
            <w:tcW w:w="1780" w:type="dxa"/>
            <w:vAlign w:val="bottom"/>
            <w:tcBorders>
              <w:right w:val="single" w:sz="8" w:color="auto"/>
            </w:tcBorders>
            <w:shd w:val="clear" w:color="auto" w:fill="FFDEAD"/>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3400" w:type="dxa"/>
            <w:vAlign w:val="bottom"/>
            <w:tcBorders>
              <w:left w:val="single" w:sz="8" w:color="auto"/>
            </w:tcBorders>
            <w:gridSpan w:val="6"/>
            <w:shd w:val="clear" w:color="auto" w:fill="FFDEAD"/>
          </w:tcPr>
          <w:p>
            <w:pPr>
              <w:ind w:left="40"/>
              <w:spacing w:after="0"/>
              <w:rPr>
                <w:sz w:val="20"/>
                <w:szCs w:val="20"/>
                <w:color w:val="auto"/>
              </w:rPr>
            </w:pPr>
            <w:r>
              <w:rPr>
                <w:rFonts w:ascii="Arial" w:cs="Arial" w:eastAsia="Arial" w:hAnsi="Arial"/>
                <w:sz w:val="18"/>
                <w:szCs w:val="18"/>
                <w:color w:val="FF0000"/>
                <w:strike w:val="1"/>
                <w:w w:val="92"/>
              </w:rPr>
              <w:t>Investment Amount shall equal $0 at all times</w:t>
            </w:r>
          </w:p>
        </w:tc>
        <w:tc>
          <w:tcPr>
            <w:tcW w:w="420" w:type="dxa"/>
            <w:vAlign w:val="bottom"/>
            <w:tcBorders>
              <w:right w:val="single" w:sz="8" w:color="auto"/>
            </w:tcBorders>
            <w:shd w:val="clear" w:color="auto" w:fill="FFDEAD"/>
          </w:tcPr>
          <w:p>
            <w:pPr>
              <w:spacing w:after="0"/>
              <w:rPr>
                <w:sz w:val="18"/>
                <w:szCs w:val="18"/>
                <w:color w:val="auto"/>
              </w:rPr>
            </w:pPr>
          </w:p>
        </w:tc>
        <w:tc>
          <w:tcPr>
            <w:tcW w:w="2460" w:type="dxa"/>
            <w:vAlign w:val="bottom"/>
            <w:tcBorders>
              <w:right w:val="single" w:sz="8" w:color="auto"/>
            </w:tcBorders>
            <w:shd w:val="clear" w:color="auto" w:fill="FFDEAD"/>
          </w:tcPr>
          <w:p>
            <w:pPr>
              <w:spacing w:after="0"/>
              <w:rPr>
                <w:sz w:val="18"/>
                <w:szCs w:val="18"/>
                <w:color w:val="auto"/>
              </w:rPr>
            </w:pPr>
          </w:p>
        </w:tc>
        <w:tc>
          <w:tcPr>
            <w:tcW w:w="2440" w:type="dxa"/>
            <w:vAlign w:val="bottom"/>
            <w:tcBorders>
              <w:right w:val="single" w:sz="8" w:color="auto"/>
            </w:tcBorders>
            <w:shd w:val="clear" w:color="auto" w:fill="FFDEAD"/>
          </w:tcPr>
          <w:p>
            <w:pPr>
              <w:spacing w:after="0"/>
              <w:rPr>
                <w:sz w:val="18"/>
                <w:szCs w:val="18"/>
                <w:color w:val="auto"/>
              </w:rPr>
            </w:pPr>
          </w:p>
        </w:tc>
        <w:tc>
          <w:tcPr>
            <w:tcW w:w="680" w:type="dxa"/>
            <w:vAlign w:val="bottom"/>
            <w:shd w:val="clear" w:color="auto" w:fill="FFDEAD"/>
          </w:tcPr>
          <w:p>
            <w:pPr>
              <w:spacing w:after="0"/>
              <w:rPr>
                <w:sz w:val="18"/>
                <w:szCs w:val="18"/>
                <w:color w:val="auto"/>
              </w:rPr>
            </w:pPr>
          </w:p>
        </w:tc>
        <w:tc>
          <w:tcPr>
            <w:tcW w:w="1780" w:type="dxa"/>
            <w:vAlign w:val="bottom"/>
            <w:tcBorders>
              <w:right w:val="single" w:sz="8" w:color="auto"/>
            </w:tcBorders>
            <w:shd w:val="clear" w:color="auto" w:fill="FFDEAD"/>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3820" w:type="dxa"/>
            <w:vAlign w:val="bottom"/>
            <w:tcBorders>
              <w:left w:val="single" w:sz="8" w:color="auto"/>
              <w:right w:val="single" w:sz="8" w:color="auto"/>
            </w:tcBorders>
            <w:gridSpan w:val="7"/>
            <w:shd w:val="clear" w:color="auto" w:fill="FFDEAD"/>
          </w:tcPr>
          <w:p>
            <w:pPr>
              <w:ind w:left="40"/>
              <w:spacing w:after="0"/>
              <w:rPr>
                <w:sz w:val="20"/>
                <w:szCs w:val="20"/>
                <w:color w:val="auto"/>
              </w:rPr>
            </w:pPr>
            <w:r>
              <w:rPr>
                <w:rFonts w:ascii="Arial" w:cs="Arial" w:eastAsia="Arial" w:hAnsi="Arial"/>
                <w:sz w:val="18"/>
                <w:szCs w:val="18"/>
                <w:color w:val="FF0000"/>
                <w:strike w:val="1"/>
              </w:rPr>
              <w:t>following the consummation of such Permitted</w:t>
            </w:r>
          </w:p>
        </w:tc>
        <w:tc>
          <w:tcPr>
            <w:tcW w:w="2460" w:type="dxa"/>
            <w:vAlign w:val="bottom"/>
            <w:tcBorders>
              <w:right w:val="single" w:sz="8" w:color="auto"/>
            </w:tcBorders>
            <w:shd w:val="clear" w:color="auto" w:fill="FFDEAD"/>
          </w:tcPr>
          <w:p>
            <w:pPr>
              <w:spacing w:after="0"/>
              <w:rPr>
                <w:sz w:val="18"/>
                <w:szCs w:val="18"/>
                <w:color w:val="auto"/>
              </w:rPr>
            </w:pPr>
          </w:p>
        </w:tc>
        <w:tc>
          <w:tcPr>
            <w:tcW w:w="2440" w:type="dxa"/>
            <w:vAlign w:val="bottom"/>
            <w:tcBorders>
              <w:right w:val="single" w:sz="8" w:color="auto"/>
            </w:tcBorders>
            <w:shd w:val="clear" w:color="auto" w:fill="FFDEAD"/>
          </w:tcPr>
          <w:p>
            <w:pPr>
              <w:spacing w:after="0"/>
              <w:rPr>
                <w:sz w:val="18"/>
                <w:szCs w:val="18"/>
                <w:color w:val="auto"/>
              </w:rPr>
            </w:pPr>
          </w:p>
        </w:tc>
        <w:tc>
          <w:tcPr>
            <w:tcW w:w="680" w:type="dxa"/>
            <w:vAlign w:val="bottom"/>
            <w:shd w:val="clear" w:color="auto" w:fill="FFDEAD"/>
          </w:tcPr>
          <w:p>
            <w:pPr>
              <w:spacing w:after="0"/>
              <w:rPr>
                <w:sz w:val="18"/>
                <w:szCs w:val="18"/>
                <w:color w:val="auto"/>
              </w:rPr>
            </w:pPr>
          </w:p>
        </w:tc>
        <w:tc>
          <w:tcPr>
            <w:tcW w:w="1780" w:type="dxa"/>
            <w:vAlign w:val="bottom"/>
            <w:tcBorders>
              <w:right w:val="single" w:sz="8" w:color="auto"/>
            </w:tcBorders>
            <w:shd w:val="clear" w:color="auto" w:fill="FFDEAD"/>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640" w:type="dxa"/>
            <w:vAlign w:val="bottom"/>
            <w:tcBorders>
              <w:left w:val="single" w:sz="8" w:color="auto"/>
              <w:bottom w:val="single" w:sz="8" w:color="FFDEAD"/>
            </w:tcBorders>
            <w:gridSpan w:val="5"/>
            <w:shd w:val="clear" w:color="auto" w:fill="FFDEAD"/>
          </w:tcPr>
          <w:p>
            <w:pPr>
              <w:ind w:left="40"/>
              <w:spacing w:after="0"/>
              <w:rPr>
                <w:sz w:val="20"/>
                <w:szCs w:val="20"/>
                <w:color w:val="auto"/>
              </w:rPr>
            </w:pPr>
            <w:r>
              <w:rPr>
                <w:rFonts w:ascii="Arial" w:cs="Arial" w:eastAsia="Arial" w:hAnsi="Arial"/>
                <w:sz w:val="18"/>
                <w:szCs w:val="18"/>
                <w:color w:val="FF0000"/>
                <w:strike w:val="1"/>
              </w:rPr>
              <w:t>Subsidiary Guarantor Release.</w:t>
            </w:r>
          </w:p>
        </w:tc>
        <w:tc>
          <w:tcPr>
            <w:tcW w:w="1180" w:type="dxa"/>
            <w:vAlign w:val="bottom"/>
            <w:tcBorders>
              <w:bottom w:val="single" w:sz="8" w:color="FFDEAD"/>
              <w:right w:val="single" w:sz="8" w:color="auto"/>
            </w:tcBorders>
            <w:gridSpan w:val="2"/>
            <w:shd w:val="clear" w:color="auto" w:fill="FFDEAD"/>
          </w:tcPr>
          <w:p>
            <w:pPr>
              <w:spacing w:after="0"/>
              <w:rPr>
                <w:sz w:val="20"/>
                <w:szCs w:val="20"/>
                <w:color w:val="auto"/>
              </w:rPr>
            </w:pPr>
          </w:p>
        </w:tc>
        <w:tc>
          <w:tcPr>
            <w:tcW w:w="2460" w:type="dxa"/>
            <w:vAlign w:val="bottom"/>
            <w:tcBorders>
              <w:bottom w:val="single" w:sz="8" w:color="FFDEAD"/>
              <w:right w:val="single" w:sz="8" w:color="auto"/>
            </w:tcBorders>
            <w:shd w:val="clear" w:color="auto" w:fill="FFDEAD"/>
          </w:tcPr>
          <w:p>
            <w:pPr>
              <w:spacing w:after="0"/>
              <w:rPr>
                <w:sz w:val="20"/>
                <w:szCs w:val="20"/>
                <w:color w:val="auto"/>
              </w:rPr>
            </w:pPr>
          </w:p>
        </w:tc>
        <w:tc>
          <w:tcPr>
            <w:tcW w:w="2440" w:type="dxa"/>
            <w:vAlign w:val="bottom"/>
            <w:tcBorders>
              <w:bottom w:val="single" w:sz="8" w:color="FFDEAD"/>
              <w:right w:val="single" w:sz="8" w:color="auto"/>
            </w:tcBorders>
            <w:shd w:val="clear" w:color="auto" w:fill="FFDEAD"/>
          </w:tcPr>
          <w:p>
            <w:pPr>
              <w:spacing w:after="0"/>
              <w:rPr>
                <w:sz w:val="20"/>
                <w:szCs w:val="20"/>
                <w:color w:val="auto"/>
              </w:rPr>
            </w:pPr>
          </w:p>
        </w:tc>
        <w:tc>
          <w:tcPr>
            <w:tcW w:w="680" w:type="dxa"/>
            <w:vAlign w:val="bottom"/>
            <w:tcBorders>
              <w:bottom w:val="single" w:sz="8" w:color="FFDEAD"/>
            </w:tcBorders>
            <w:shd w:val="clear" w:color="auto" w:fill="FFDEAD"/>
          </w:tcPr>
          <w:p>
            <w:pPr>
              <w:spacing w:after="0"/>
              <w:rPr>
                <w:sz w:val="20"/>
                <w:szCs w:val="20"/>
                <w:color w:val="auto"/>
              </w:rPr>
            </w:pPr>
          </w:p>
        </w:tc>
        <w:tc>
          <w:tcPr>
            <w:tcW w:w="1780" w:type="dxa"/>
            <w:vAlign w:val="bottom"/>
            <w:tcBorders>
              <w:bottom w:val="single" w:sz="8" w:color="FFDEAD"/>
              <w:right w:val="single" w:sz="8" w:color="auto"/>
            </w:tcBorders>
            <w:shd w:val="clear" w:color="auto" w:fill="FFDEAD"/>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3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460" w:type="dxa"/>
            <w:vAlign w:val="bottom"/>
            <w:tcBorders>
              <w:right w:val="single" w:sz="8" w:color="auto"/>
            </w:tcBorders>
            <w:shd w:val="clear" w:color="auto" w:fill="000000"/>
          </w:tcPr>
          <w:p>
            <w:pPr>
              <w:spacing w:after="0" w:line="20" w:lineRule="exact"/>
              <w:rPr>
                <w:sz w:val="1"/>
                <w:szCs w:val="1"/>
                <w:color w:val="auto"/>
              </w:rPr>
            </w:pPr>
          </w:p>
        </w:tc>
        <w:tc>
          <w:tcPr>
            <w:tcW w:w="244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7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190500</wp:posOffset>
            </wp:positionV>
            <wp:extent cx="7082155"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082155" cy="762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-3346450</wp:posOffset>
            </wp:positionV>
            <wp:extent cx="151384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513840" cy="7620"/>
                    </a:xfrm>
                    <a:prstGeom prst="rect">
                      <a:avLst/>
                    </a:prstGeom>
                    <a:noFill/>
                  </pic:spPr>
                </pic:pic>
              </a:graphicData>
            </a:graphic>
          </wp:anchor>
        </w:drawing>
      </w:r>
    </w:p>
    <w:p>
      <w:pPr>
        <w:spacing w:after="0" w:line="301" w:lineRule="exact"/>
        <w:rPr>
          <w:sz w:val="20"/>
          <w:szCs w:val="20"/>
          <w:color w:val="auto"/>
        </w:rPr>
      </w:pPr>
    </w:p>
    <w:p>
      <w:pPr>
        <w:ind w:left="700" w:hanging="678"/>
        <w:spacing w:after="0"/>
        <w:tabs>
          <w:tab w:leader="none" w:pos="700" w:val="left"/>
        </w:tabs>
        <w:numPr>
          <w:ilvl w:val="0"/>
          <w:numId w:val="454"/>
        </w:numPr>
        <w:rPr>
          <w:rFonts w:ascii="Arial" w:cs="Arial" w:eastAsia="Arial" w:hAnsi="Arial"/>
          <w:sz w:val="13"/>
          <w:szCs w:val="13"/>
          <w:color w:val="FF0000"/>
          <w:strike w:val="1"/>
        </w:rPr>
      </w:pPr>
      <w:r>
        <w:rPr>
          <w:rFonts w:ascii="Arial" w:cs="Arial" w:eastAsia="Arial" w:hAnsi="Arial"/>
          <w:sz w:val="13"/>
          <w:szCs w:val="13"/>
          <w:color w:val="FC0718"/>
          <w:strike w:val="1"/>
        </w:rPr>
        <w:t>Not applicable after a Permitted Subsidiary Guarantor Release</w:t>
      </w:r>
    </w:p>
    <w:p>
      <w:pPr>
        <w:spacing w:after="0" w:line="38" w:lineRule="exact"/>
        <w:rPr>
          <w:sz w:val="20"/>
          <w:szCs w:val="20"/>
          <w:color w:val="auto"/>
        </w:rPr>
      </w:pPr>
    </w:p>
    <w:p>
      <w:pPr>
        <w:ind w:left="700" w:right="440" w:hanging="678"/>
        <w:spacing w:after="0" w:line="251" w:lineRule="auto"/>
        <w:tabs>
          <w:tab w:leader="none" w:pos="700" w:val="left"/>
        </w:tabs>
        <w:numPr>
          <w:ilvl w:val="0"/>
          <w:numId w:val="455"/>
        </w:numPr>
        <w:rPr>
          <w:rFonts w:ascii="Arial" w:cs="Arial" w:eastAsia="Arial" w:hAnsi="Arial"/>
          <w:sz w:val="13"/>
          <w:szCs w:val="13"/>
          <w:color w:val="FF0000"/>
          <w:strike w:val="1"/>
        </w:rPr>
      </w:pPr>
      <w:r>
        <w:rPr>
          <w:rFonts w:ascii="Arial" w:cs="Arial" w:eastAsia="Arial" w:hAnsi="Arial"/>
          <w:sz w:val="13"/>
          <w:szCs w:val="13"/>
          <w:color w:val="FC0718"/>
          <w:strike w:val="1"/>
        </w:rPr>
        <w:t>If at any time a Permitted Subsidiary Guarantor Release is consummated, the Aggregate Non-Loan Party Investment Amount shall equal $0 at all times following the consummation of such Permitted Subsidiary Guarantor Release.</w:t>
      </w:r>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D-9</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Form of Compliance Certificate</w:t>
      </w:r>
    </w:p>
    <w:p>
      <w:pPr>
        <w:sectPr>
          <w:pgSz w:w="11900" w:h="16838" w:orient="portrait"/>
          <w:cols w:equalWidth="0" w:num="1">
            <w:col w:w="11200"/>
          </w:cols>
          <w:pgMar w:left="380" w:top="932" w:right="319" w:bottom="1440" w:gutter="0" w:footer="0" w:header="0"/>
        </w:sectPr>
      </w:pPr>
    </w:p>
    <w:bookmarkStart w:id="380" w:name="page381"/>
    <w:bookmarkEnd w:id="380"/>
    <w:p>
      <w:pPr>
        <w:ind w:left="5340"/>
        <w:spacing w:after="0"/>
        <w:rPr>
          <w:sz w:val="20"/>
          <w:szCs w:val="20"/>
          <w:color w:val="auto"/>
        </w:rPr>
      </w:pPr>
      <w:r>
        <w:rPr>
          <w:rFonts w:ascii="Arial" w:cs="Arial" w:eastAsia="Arial" w:hAnsi="Arial"/>
          <w:sz w:val="20"/>
          <w:szCs w:val="20"/>
          <w:b w:val="1"/>
          <w:bCs w:val="1"/>
          <w:color w:val="auto"/>
        </w:rPr>
        <w:t>Annex I</w:t>
      </w:r>
    </w:p>
    <w:p>
      <w:pPr>
        <w:spacing w:after="0" w:line="207" w:lineRule="exact"/>
        <w:rPr>
          <w:sz w:val="20"/>
          <w:szCs w:val="20"/>
          <w:color w:val="auto"/>
        </w:rPr>
      </w:pPr>
    </w:p>
    <w:p>
      <w:pPr>
        <w:ind w:left="2540"/>
        <w:spacing w:after="0"/>
        <w:rPr>
          <w:sz w:val="20"/>
          <w:szCs w:val="20"/>
          <w:color w:val="auto"/>
        </w:rPr>
      </w:pPr>
      <w:r>
        <w:rPr>
          <w:rFonts w:ascii="Arial" w:cs="Arial" w:eastAsia="Arial" w:hAnsi="Arial"/>
          <w:sz w:val="20"/>
          <w:szCs w:val="20"/>
          <w:b w:val="1"/>
          <w:bCs w:val="1"/>
          <w:color w:val="auto"/>
        </w:rPr>
        <w:t>Calculation of the sum of the Portfolio Property Net Operating Income of</w:t>
      </w:r>
    </w:p>
    <w:p>
      <w:pPr>
        <w:spacing w:after="0" w:line="29" w:lineRule="exact"/>
        <w:rPr>
          <w:sz w:val="20"/>
          <w:szCs w:val="20"/>
          <w:color w:val="auto"/>
        </w:rPr>
      </w:pPr>
    </w:p>
    <w:p>
      <w:pPr>
        <w:jc w:val="center"/>
        <w:spacing w:after="0" w:line="293" w:lineRule="auto"/>
        <w:rPr>
          <w:sz w:val="20"/>
          <w:szCs w:val="20"/>
          <w:color w:val="auto"/>
        </w:rPr>
      </w:pPr>
      <w:r>
        <w:rPr>
          <w:rFonts w:ascii="Arial" w:cs="Arial" w:eastAsia="Arial" w:hAnsi="Arial"/>
          <w:sz w:val="18"/>
          <w:szCs w:val="18"/>
          <w:b w:val="1"/>
          <w:bCs w:val="1"/>
          <w:color w:val="auto"/>
        </w:rPr>
        <w:t>each Portfolio Property (excluding each Disposed Portfolio Property, each Newly-Acquired Portfolio Property</w:t>
      </w:r>
      <w:r>
        <w:rPr>
          <w:rFonts w:ascii="Arial" w:cs="Arial" w:eastAsia="Arial" w:hAnsi="Arial"/>
          <w:sz w:val="18"/>
          <w:szCs w:val="18"/>
          <w:b w:val="1"/>
          <w:bCs w:val="1"/>
          <w:u w:val="single" w:color="auto"/>
          <w:color w:val="0000FF"/>
          <w:highlight w:val="lightGray"/>
        </w:rPr>
        <w:t>, each Qualified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0000FF"/>
          <w:highlight w:val="lightGray"/>
        </w:rPr>
        <w:t>Development Property</w:t>
      </w:r>
      <w:r>
        <w:rPr>
          <w:rFonts w:ascii="Arial" w:cs="Arial" w:eastAsia="Arial" w:hAnsi="Arial"/>
          <w:sz w:val="18"/>
          <w:szCs w:val="18"/>
          <w:b w:val="1"/>
          <w:bCs w:val="1"/>
          <w:color w:val="0000FF"/>
          <w:highlight w:val="lightGray"/>
        </w:rPr>
        <w:t xml:space="preserve"> </w:t>
      </w:r>
      <w:r>
        <w:rPr>
          <w:rFonts w:ascii="Arial" w:cs="Arial" w:eastAsia="Arial" w:hAnsi="Arial"/>
          <w:sz w:val="18"/>
          <w:szCs w:val="18"/>
          <w:b w:val="1"/>
          <w:bCs w:val="1"/>
          <w:color w:val="000000"/>
        </w:rPr>
        <w:t>and each Non-Stabilized Portfolio Property) owned or ground leased pursuant to an Eligible Ground Lease by</w:t>
      </w:r>
      <w:r>
        <w:rPr>
          <w:rFonts w:ascii="Arial" w:cs="Arial" w:eastAsia="Arial" w:hAnsi="Arial"/>
          <w:sz w:val="18"/>
          <w:szCs w:val="18"/>
          <w:b w:val="1"/>
          <w:bCs w:val="1"/>
          <w:color w:val="0000FF"/>
          <w:highlight w:val="lightGray"/>
        </w:rPr>
        <w:t xml:space="preserve"> </w:t>
      </w:r>
      <w:r>
        <w:rPr>
          <w:rFonts w:ascii="Arial" w:cs="Arial" w:eastAsia="Arial" w:hAnsi="Arial"/>
          <w:sz w:val="18"/>
          <w:szCs w:val="18"/>
          <w:b w:val="1"/>
          <w:bCs w:val="1"/>
          <w:color w:val="000000"/>
        </w:rPr>
        <w:t xml:space="preserve">the Consolidated Group for Subject Period </w:t>
      </w:r>
      <w:r>
        <w:rPr>
          <w:rFonts w:ascii="Arial" w:cs="Arial" w:eastAsia="Arial" w:hAnsi="Arial"/>
          <w:sz w:val="18"/>
          <w:szCs w:val="18"/>
          <w:b w:val="1"/>
          <w:bCs w:val="1"/>
          <w:i w:val="1"/>
          <w:iCs w:val="1"/>
          <w:color w:val="000000"/>
        </w:rPr>
        <w:t>divided by</w:t>
      </w:r>
      <w:r>
        <w:rPr>
          <w:rFonts w:ascii="Arial" w:cs="Arial" w:eastAsia="Arial" w:hAnsi="Arial"/>
          <w:sz w:val="18"/>
          <w:szCs w:val="18"/>
          <w:b w:val="1"/>
          <w:bCs w:val="1"/>
          <w:color w:val="000000"/>
        </w:rPr>
        <w:t xml:space="preserve"> the Applicable Capitalization Rate for each such Portfolio Property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Calculation Attached Hereto]</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Compliance Certificate</w:t>
      </w:r>
    </w:p>
    <w:p>
      <w:pPr>
        <w:sectPr>
          <w:pgSz w:w="11900" w:h="16838" w:orient="portrait"/>
          <w:cols w:equalWidth="0" w:num="1">
            <w:col w:w="11360"/>
          </w:cols>
          <w:pgMar w:left="280" w:top="788" w:right="259" w:bottom="1440" w:gutter="0" w:footer="0" w:header="0"/>
        </w:sectPr>
      </w:pPr>
    </w:p>
    <w:bookmarkStart w:id="381" w:name="page382"/>
    <w:bookmarkEnd w:id="381"/>
    <w:p>
      <w:pPr>
        <w:ind w:left="4340"/>
        <w:spacing w:after="0"/>
        <w:rPr>
          <w:sz w:val="20"/>
          <w:szCs w:val="20"/>
          <w:color w:val="auto"/>
        </w:rPr>
      </w:pPr>
      <w:r>
        <w:rPr>
          <w:rFonts w:ascii="Arial" w:cs="Arial" w:eastAsia="Arial" w:hAnsi="Arial"/>
          <w:sz w:val="20"/>
          <w:szCs w:val="20"/>
          <w:b w:val="1"/>
          <w:bCs w:val="1"/>
          <w:color w:val="auto"/>
        </w:rPr>
        <w:t>Annex II</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 of Unencumbered Property NOI of each Unencumbered Eligible Property for the fiscal quarter ending on</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Statement Date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Calculation Attached Hereto]</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Compliance Certificate</w:t>
      </w:r>
    </w:p>
    <w:p>
      <w:pPr>
        <w:sectPr>
          <w:pgSz w:w="11900" w:h="16838" w:orient="portrait"/>
          <w:cols w:equalWidth="0" w:num="1">
            <w:col w:w="9440"/>
          </w:cols>
          <w:pgMar w:left="1240" w:top="1026" w:right="1219" w:bottom="1440" w:gutter="0" w:footer="0" w:header="0"/>
        </w:sectPr>
      </w:pPr>
    </w:p>
    <w:bookmarkStart w:id="382" w:name="page383"/>
    <w:bookmarkEnd w:id="382"/>
    <w:p>
      <w:pPr>
        <w:jc w:val="center"/>
        <w:ind w:right="20"/>
        <w:spacing w:after="0"/>
        <w:rPr>
          <w:sz w:val="20"/>
          <w:szCs w:val="20"/>
          <w:color w:val="auto"/>
        </w:rPr>
      </w:pPr>
      <w:r>
        <w:rPr>
          <w:rFonts w:ascii="Arial" w:cs="Arial" w:eastAsia="Arial" w:hAnsi="Arial"/>
          <w:sz w:val="20"/>
          <w:szCs w:val="20"/>
          <w:b w:val="1"/>
          <w:bCs w:val="1"/>
          <w:color w:val="auto"/>
        </w:rPr>
        <w:t>Annex III</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Unencumbered Eligible Properties</w:t>
      </w: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155"/>
        </w:trPr>
        <w:tc>
          <w:tcPr>
            <w:tcW w:w="7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Property</w:t>
            </w:r>
          </w:p>
        </w:tc>
        <w:tc>
          <w:tcPr>
            <w:tcW w:w="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Property</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Qualified</w:t>
            </w:r>
          </w:p>
        </w:tc>
        <w:tc>
          <w:tcPr>
            <w:tcW w:w="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Owned</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Owner/Ground</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Applicable</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Occupancy</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Annual</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Unencumbered</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Acquisition</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Undepreciated</w:t>
            </w:r>
          </w:p>
        </w:tc>
      </w:tr>
      <w:tr>
        <w:trPr>
          <w:trHeight w:val="137"/>
        </w:trPr>
        <w:tc>
          <w:tcPr>
            <w:tcW w:w="700" w:type="dxa"/>
            <w:vAlign w:val="bottom"/>
            <w:tcBorders>
              <w:left w:val="single" w:sz="8" w:color="auto"/>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2"/>
              </w:rPr>
              <w:t>Type</w:t>
            </w:r>
          </w:p>
        </w:tc>
        <w:tc>
          <w:tcPr>
            <w:tcW w:w="9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3"/>
              </w:rPr>
              <w:t>Development</w:t>
            </w:r>
          </w:p>
        </w:tc>
        <w:tc>
          <w:tcPr>
            <w:tcW w:w="5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rPr>
              <w:t>or</w:t>
            </w:r>
          </w:p>
        </w:tc>
        <w:tc>
          <w:tcPr>
            <w:tcW w:w="10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1"/>
              </w:rPr>
              <w:t>Lessee</w:t>
            </w:r>
          </w:p>
        </w:tc>
        <w:tc>
          <w:tcPr>
            <w:tcW w:w="104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6"/>
              </w:rPr>
              <w:t>Capitalization</w:t>
            </w:r>
          </w:p>
        </w:tc>
        <w:tc>
          <w:tcPr>
            <w:tcW w:w="8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9"/>
              </w:rPr>
              <w:t>Rate</w:t>
            </w:r>
          </w:p>
        </w:tc>
        <w:tc>
          <w:tcPr>
            <w:tcW w:w="9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6"/>
              </w:rPr>
              <w:t>Capital</w:t>
            </w:r>
          </w:p>
        </w:tc>
        <w:tc>
          <w:tcPr>
            <w:tcW w:w="10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9"/>
              </w:rPr>
              <w:t>Property NOI</w:t>
            </w:r>
            <w:r>
              <w:rPr>
                <w:rFonts w:ascii="Arial" w:cs="Arial" w:eastAsia="Arial" w:hAnsi="Arial"/>
                <w:sz w:val="8"/>
                <w:szCs w:val="8"/>
                <w:b w:val="1"/>
                <w:bCs w:val="1"/>
                <w:color w:val="auto"/>
                <w:w w:val="99"/>
              </w:rPr>
              <w:t>1</w:t>
            </w:r>
          </w:p>
        </w:tc>
        <w:tc>
          <w:tcPr>
            <w:tcW w:w="14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9"/>
              </w:rPr>
              <w:t>Cost</w:t>
            </w:r>
          </w:p>
        </w:tc>
        <w:tc>
          <w:tcPr>
            <w:tcW w:w="22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3"/>
              </w:rPr>
              <w:t>Book Value</w:t>
            </w:r>
          </w:p>
        </w:tc>
      </w:tr>
      <w:tr>
        <w:trPr>
          <w:trHeight w:val="137"/>
        </w:trPr>
        <w:tc>
          <w:tcPr>
            <w:tcW w:w="700" w:type="dxa"/>
            <w:vAlign w:val="bottom"/>
            <w:tcBorders>
              <w:left w:val="single" w:sz="8" w:color="auto"/>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6"/>
              </w:rPr>
              <w:t>[i.e., Hotel,</w:t>
            </w:r>
          </w:p>
        </w:tc>
        <w:tc>
          <w:tcPr>
            <w:tcW w:w="9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6"/>
              </w:rPr>
              <w:t>Property or</w:t>
            </w:r>
          </w:p>
        </w:tc>
        <w:tc>
          <w:tcPr>
            <w:tcW w:w="5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7"/>
              </w:rPr>
              <w:t>Ground</w:t>
            </w:r>
          </w:p>
        </w:tc>
        <w:tc>
          <w:tcPr>
            <w:tcW w:w="10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7"/>
              </w:rPr>
              <w:t>(Controlled Joint</w:t>
            </w:r>
          </w:p>
        </w:tc>
        <w:tc>
          <w:tcPr>
            <w:tcW w:w="104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2"/>
              </w:rPr>
              <w:t>Rate</w:t>
            </w: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3"/>
              </w:rPr>
              <w:t>Expenditure</w:t>
            </w:r>
          </w:p>
        </w:tc>
        <w:tc>
          <w:tcPr>
            <w:tcW w:w="102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7"/>
              </w:rPr>
              <w:t>(only for</w:t>
            </w:r>
          </w:p>
        </w:tc>
        <w:tc>
          <w:tcPr>
            <w:tcW w:w="22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7"/>
              </w:rPr>
              <w:t>(only for</w:t>
            </w:r>
          </w:p>
        </w:tc>
      </w:tr>
      <w:tr>
        <w:trPr>
          <w:trHeight w:val="137"/>
        </w:trPr>
        <w:tc>
          <w:tcPr>
            <w:tcW w:w="700" w:type="dxa"/>
            <w:vAlign w:val="bottom"/>
            <w:tcBorders>
              <w:left w:val="single" w:sz="8" w:color="auto"/>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5"/>
              </w:rPr>
              <w:t>Office,</w:t>
            </w:r>
          </w:p>
        </w:tc>
        <w:tc>
          <w:tcPr>
            <w:tcW w:w="9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2"/>
              </w:rPr>
              <w:t>Non-Stabilized</w:t>
            </w:r>
          </w:p>
        </w:tc>
        <w:tc>
          <w:tcPr>
            <w:tcW w:w="5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9"/>
              </w:rPr>
              <w:t>Leased</w:t>
            </w:r>
          </w:p>
        </w:tc>
        <w:tc>
          <w:tcPr>
            <w:tcW w:w="10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2"/>
              </w:rPr>
              <w:t>Venture or</w:t>
            </w:r>
          </w:p>
        </w:tc>
        <w:tc>
          <w:tcPr>
            <w:tcW w:w="10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5"/>
              </w:rPr>
              <w:t>Adjustment</w:t>
            </w:r>
          </w:p>
        </w:tc>
        <w:tc>
          <w:tcPr>
            <w:tcW w:w="102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8"/>
              </w:rPr>
              <w:t>Newly-Acquired Portfolio</w:t>
            </w:r>
          </w:p>
        </w:tc>
        <w:tc>
          <w:tcPr>
            <w:tcW w:w="22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5"/>
              </w:rPr>
              <w:t>Qualified Development</w:t>
            </w:r>
          </w:p>
        </w:tc>
      </w:tr>
      <w:tr>
        <w:trPr>
          <w:trHeight w:val="137"/>
        </w:trPr>
        <w:tc>
          <w:tcPr>
            <w:tcW w:w="700" w:type="dxa"/>
            <w:vAlign w:val="bottom"/>
            <w:tcBorders>
              <w:left w:val="single" w:sz="8" w:color="auto"/>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7"/>
              </w:rPr>
              <w:t>Retail]</w:t>
            </w:r>
          </w:p>
        </w:tc>
        <w:tc>
          <w:tcPr>
            <w:tcW w:w="9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3"/>
              </w:rPr>
              <w:t>Portfolio</w:t>
            </w:r>
          </w:p>
        </w:tc>
        <w:tc>
          <w:tcPr>
            <w:tcW w:w="5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rPr>
              <w:t>[O/GL]</w:t>
            </w:r>
          </w:p>
        </w:tc>
        <w:tc>
          <w:tcPr>
            <w:tcW w:w="10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7"/>
              </w:rPr>
              <w:t>Wholly Owned</w:t>
            </w:r>
          </w:p>
        </w:tc>
        <w:tc>
          <w:tcPr>
            <w:tcW w:w="10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1"/>
              </w:rPr>
              <w:t>Properties that are</w:t>
            </w:r>
          </w:p>
        </w:tc>
        <w:tc>
          <w:tcPr>
            <w:tcW w:w="22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3"/>
              </w:rPr>
              <w:t>Properties and Non-Stabilized Portfolio</w:t>
            </w:r>
          </w:p>
        </w:tc>
      </w:tr>
      <w:tr>
        <w:trPr>
          <w:trHeight w:val="141"/>
        </w:trPr>
        <w:tc>
          <w:tcPr>
            <w:tcW w:w="70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91"/>
              </w:rPr>
              <w:t>Property?</w:t>
            </w:r>
          </w:p>
        </w:tc>
        <w:tc>
          <w:tcPr>
            <w:tcW w:w="5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color w:val="auto"/>
                <w:w w:val="92"/>
              </w:rPr>
              <w:t>Subsidiary)</w:t>
            </w: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color w:val="auto"/>
                <w:w w:val="93"/>
              </w:rPr>
              <w:t>Unencumbered Eligible</w:t>
            </w:r>
          </w:p>
        </w:tc>
        <w:tc>
          <w:tcPr>
            <w:tcW w:w="22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color w:val="auto"/>
                <w:w w:val="91"/>
              </w:rPr>
              <w:t>Properties that are Unencumbered</w:t>
            </w:r>
          </w:p>
        </w:tc>
      </w:tr>
      <w:tr>
        <w:trPr>
          <w:trHeight w:val="174"/>
        </w:trPr>
        <w:tc>
          <w:tcPr>
            <w:tcW w:w="70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[Y/N]</w:t>
            </w:r>
          </w:p>
        </w:tc>
        <w:tc>
          <w:tcPr>
            <w:tcW w:w="58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[CJV/WO Sub]</w:t>
            </w:r>
          </w:p>
        </w:tc>
        <w:tc>
          <w:tcPr>
            <w:tcW w:w="104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Properties)</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Eligible Properties)</w:t>
            </w:r>
          </w:p>
        </w:tc>
      </w:tr>
      <w:tr>
        <w:trPr>
          <w:trHeight w:val="297"/>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2"/>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2"/>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2"/>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bl>
    <w:p>
      <w:pPr>
        <w:spacing w:after="0" w:line="387" w:lineRule="exact"/>
        <w:rPr>
          <w:sz w:val="20"/>
          <w:szCs w:val="20"/>
          <w:color w:val="auto"/>
        </w:rPr>
      </w:pPr>
    </w:p>
    <w:p>
      <w:pPr>
        <w:spacing w:after="0"/>
        <w:tabs>
          <w:tab w:leader="none" w:pos="8180" w:val="left"/>
        </w:tabs>
        <w:rPr>
          <w:sz w:val="20"/>
          <w:szCs w:val="20"/>
          <w:color w:val="auto"/>
        </w:rPr>
      </w:pPr>
      <w:r>
        <w:rPr>
          <w:rFonts w:ascii="Arial" w:cs="Arial" w:eastAsia="Arial" w:hAnsi="Arial"/>
          <w:sz w:val="20"/>
          <w:szCs w:val="20"/>
          <w:b w:val="1"/>
          <w:bCs w:val="1"/>
          <w:color w:val="auto"/>
        </w:rPr>
        <w:t>Occupancy Rate for all Unencumbered Eligible Properties (excluding Hotel Properties):</w:t>
      </w:r>
      <w:r>
        <w:rPr>
          <w:sz w:val="20"/>
          <w:szCs w:val="20"/>
          <w:color w:val="auto"/>
        </w:rPr>
        <w:tab/>
      </w:r>
      <w:r>
        <w:rPr>
          <w:rFonts w:ascii="Arial" w:cs="Arial" w:eastAsia="Arial" w:hAnsi="Arial"/>
          <w:sz w:val="19"/>
          <w:szCs w:val="19"/>
          <w:b w:val="1"/>
          <w:bCs w:val="1"/>
          <w:color w:val="auto"/>
        </w:rPr>
        <w:t>__%</w:t>
      </w:r>
    </w:p>
    <w:p>
      <w:pPr>
        <w:spacing w:after="0" w:line="30" w:lineRule="exact"/>
        <w:rPr>
          <w:sz w:val="20"/>
          <w:szCs w:val="20"/>
          <w:color w:val="auto"/>
        </w:rPr>
      </w:pPr>
    </w:p>
    <w:p>
      <w:pPr>
        <w:spacing w:after="0"/>
        <w:tabs>
          <w:tab w:leader="none" w:pos="9440" w:val="left"/>
        </w:tabs>
        <w:rPr>
          <w:sz w:val="20"/>
          <w:szCs w:val="20"/>
          <w:color w:val="auto"/>
        </w:rPr>
      </w:pPr>
      <w:r>
        <w:rPr>
          <w:rFonts w:ascii="Arial" w:cs="Arial" w:eastAsia="Arial" w:hAnsi="Arial"/>
          <w:sz w:val="19"/>
          <w:szCs w:val="19"/>
          <w:b w:val="1"/>
          <w:bCs w:val="1"/>
          <w:color w:val="auto"/>
        </w:rPr>
        <w:t>Minimum Permitted Occupancy Rate for all Unencumbered Eligible Properties (excluding Hotel Properties):</w:t>
        <w:tab/>
        <w:t>80%</w:t>
      </w:r>
    </w:p>
    <w:p>
      <w:pPr>
        <w:spacing w:after="0" w:line="200" w:lineRule="exact"/>
        <w:rPr>
          <w:sz w:val="20"/>
          <w:szCs w:val="20"/>
          <w:color w:val="auto"/>
        </w:rPr>
      </w:pPr>
    </w:p>
    <w:p>
      <w:pPr>
        <w:spacing w:after="0" w:line="221" w:lineRule="exact"/>
        <w:rPr>
          <w:sz w:val="20"/>
          <w:szCs w:val="20"/>
          <w:color w:val="auto"/>
        </w:rPr>
      </w:pPr>
    </w:p>
    <w:p>
      <w:pPr>
        <w:spacing w:after="0"/>
        <w:tabs>
          <w:tab w:leader="none" w:pos="3680" w:val="left"/>
        </w:tabs>
        <w:rPr>
          <w:sz w:val="20"/>
          <w:szCs w:val="20"/>
          <w:color w:val="auto"/>
        </w:rPr>
      </w:pPr>
      <w:r>
        <w:rPr>
          <w:rFonts w:ascii="Arial" w:cs="Arial" w:eastAsia="Arial" w:hAnsi="Arial"/>
          <w:sz w:val="20"/>
          <w:szCs w:val="20"/>
          <w:b w:val="1"/>
          <w:bCs w:val="1"/>
          <w:color w:val="auto"/>
        </w:rPr>
        <w:t xml:space="preserve">Aggregate Unencumbered </w:t>
      </w:r>
      <w:r>
        <w:rPr>
          <w:rFonts w:ascii="Arial" w:cs="Arial" w:eastAsia="Arial" w:hAnsi="Arial"/>
          <w:sz w:val="20"/>
          <w:szCs w:val="20"/>
          <w:b w:val="1"/>
          <w:bCs w:val="1"/>
          <w:u w:val="single" w:color="auto"/>
          <w:color w:val="0000FF"/>
          <w:highlight w:val="lightGray"/>
        </w:rPr>
        <w:t>Property</w:t>
      </w:r>
      <w:r>
        <w:rPr>
          <w:rFonts w:ascii="Arial" w:cs="Arial" w:eastAsia="Arial" w:hAnsi="Arial"/>
          <w:sz w:val="20"/>
          <w:szCs w:val="20"/>
          <w:b w:val="1"/>
          <w:bCs w:val="1"/>
          <w:color w:val="auto"/>
        </w:rPr>
        <w:t xml:space="preserve"> NOI:</w:t>
      </w:r>
      <w:r>
        <w:rPr>
          <w:sz w:val="20"/>
          <w:szCs w:val="20"/>
          <w:color w:val="auto"/>
        </w:rPr>
        <w:tab/>
      </w:r>
      <w:r>
        <w:rPr>
          <w:rFonts w:ascii="Arial" w:cs="Arial" w:eastAsia="Arial" w:hAnsi="Arial"/>
          <w:sz w:val="17"/>
          <w:szCs w:val="17"/>
          <w:b w:val="1"/>
          <w:bCs w:val="1"/>
          <w:color w:val="auto"/>
        </w:rPr>
        <w:t>$___________</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Aggregate Acquisition Costs for all Newly-Acquired Portfolio Properties that are Unencumbered Eligible Properties:</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$___________</w:t>
      </w:r>
      <w:r>
        <w:rPr>
          <w:rFonts w:ascii="Arial" w:cs="Arial" w:eastAsia="Arial" w:hAnsi="Arial"/>
          <w:sz w:val="26"/>
          <w:szCs w:val="26"/>
          <w:b w:val="1"/>
          <w:bCs w:val="1"/>
          <w:color w:val="EE2724"/>
          <w:strike w:val="1"/>
          <w:vertAlign w:val="superscript"/>
        </w:rPr>
        <w:t>14</w:t>
      </w:r>
      <w:r>
        <w:rPr>
          <w:rFonts w:ascii="Arial" w:cs="Arial" w:eastAsia="Arial" w:hAnsi="Arial"/>
          <w:sz w:val="26"/>
          <w:szCs w:val="26"/>
          <w:b w:val="1"/>
          <w:bCs w:val="1"/>
          <w:color w:val="0000FF"/>
          <w:vertAlign w:val="superscript"/>
        </w:rPr>
        <w:t>2</w:t>
      </w:r>
    </w:p>
    <w:p>
      <w:pPr>
        <w:spacing w:after="0" w:line="130" w:lineRule="exact"/>
        <w:rPr>
          <w:sz w:val="20"/>
          <w:szCs w:val="20"/>
          <w:color w:val="auto"/>
        </w:rPr>
      </w:pPr>
    </w:p>
    <w:p>
      <w:pPr>
        <w:ind w:right="660"/>
        <w:spacing w:after="0" w:line="279" w:lineRule="auto"/>
        <w:rPr>
          <w:sz w:val="20"/>
          <w:szCs w:val="20"/>
          <w:color w:val="auto"/>
        </w:rPr>
      </w:pPr>
      <w:r>
        <w:rPr>
          <w:rFonts w:ascii="Arial" w:cs="Arial" w:eastAsia="Arial" w:hAnsi="Arial"/>
          <w:sz w:val="20"/>
          <w:szCs w:val="20"/>
          <w:b w:val="1"/>
          <w:bCs w:val="1"/>
          <w:color w:val="auto"/>
        </w:rPr>
        <w:t xml:space="preserve">Aggregate Undepreciated Book Value of all Qualified Development Properties </w:t>
      </w:r>
      <w:r>
        <w:rPr>
          <w:rFonts w:ascii="Arial" w:cs="Arial" w:eastAsia="Arial" w:hAnsi="Arial"/>
          <w:sz w:val="20"/>
          <w:szCs w:val="20"/>
          <w:b w:val="1"/>
          <w:bCs w:val="1"/>
          <w:u w:val="single" w:color="auto"/>
          <w:color w:val="0000FF"/>
          <w:highlight w:val="lightGray"/>
        </w:rPr>
        <w:t>and Non-Stabilized Portfolio Properties</w:t>
      </w:r>
      <w:r>
        <w:rPr>
          <w:rFonts w:ascii="Arial" w:cs="Arial" w:eastAsia="Arial" w:hAnsi="Arial"/>
          <w:sz w:val="20"/>
          <w:szCs w:val="20"/>
          <w:b w:val="1"/>
          <w:bCs w:val="1"/>
          <w:color w:val="auto"/>
        </w:rPr>
        <w:t xml:space="preserve"> that are Unencumbered Eligible </w:t>
      </w:r>
      <w:r>
        <w:rPr>
          <w:rFonts w:ascii="Arial" w:cs="Arial" w:eastAsia="Arial" w:hAnsi="Arial"/>
          <w:sz w:val="20"/>
          <w:szCs w:val="20"/>
          <w:b w:val="1"/>
          <w:bCs w:val="1"/>
          <w:color w:val="EE2724"/>
          <w:strike w:val="1"/>
        </w:rPr>
        <w:t>Properties or Non-Stabilized Portfolio</w:t>
      </w:r>
      <w:r>
        <w:rPr>
          <w:rFonts w:ascii="Arial" w:cs="Arial" w:eastAsia="Arial" w:hAnsi="Arial"/>
          <w:sz w:val="20"/>
          <w:szCs w:val="20"/>
          <w:b w:val="1"/>
          <w:bCs w:val="1"/>
          <w:color w:val="auto"/>
        </w:rPr>
        <w:t xml:space="preserve"> Properties: $___________</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_____________________</w:t>
      </w:r>
    </w:p>
    <w:p>
      <w:pPr>
        <w:spacing w:after="0" w:line="14" w:lineRule="exact"/>
        <w:rPr>
          <w:sz w:val="20"/>
          <w:szCs w:val="20"/>
          <w:color w:val="auto"/>
        </w:rPr>
      </w:pPr>
    </w:p>
    <w:p>
      <w:pPr>
        <w:ind w:left="300" w:right="440" w:hanging="300"/>
        <w:spacing w:after="0" w:line="217" w:lineRule="auto"/>
        <w:tabs>
          <w:tab w:leader="none" w:pos="117" w:val="left"/>
        </w:tabs>
        <w:numPr>
          <w:ilvl w:val="0"/>
          <w:numId w:val="456"/>
        </w:numPr>
        <w:rPr>
          <w:rFonts w:ascii="Arial" w:cs="Arial" w:eastAsia="Arial" w:hAnsi="Arial"/>
          <w:sz w:val="27"/>
          <w:szCs w:val="27"/>
          <w:b w:val="1"/>
          <w:bCs w:val="1"/>
          <w:u w:val="single" w:color="auto"/>
          <w:color w:val="0000FF"/>
          <w:vertAlign w:val="superscript"/>
        </w:rPr>
      </w:pPr>
      <w:r>
        <w:rPr>
          <w:rFonts w:ascii="Arial" w:cs="Arial" w:eastAsia="Arial" w:hAnsi="Arial"/>
          <w:sz w:val="20"/>
          <w:szCs w:val="20"/>
          <w:b w:val="1"/>
          <w:bCs w:val="1"/>
          <w:u w:val="single" w:color="auto"/>
          <w:color w:val="0000FF"/>
          <w:highlight w:val="lightGray"/>
        </w:rPr>
        <w:t>Include only Loan Party Pro Rata Share of Unencumbered Property NOI for properties owned, or ground leased under Eligible Ground Leases, by Controlled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39370" cy="1428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9370" cy="142875"/>
                    </a:xfrm>
                    <a:prstGeom prst="rect">
                      <a:avLst/>
                    </a:prstGeom>
                    <a:noFill/>
                  </pic:spPr>
                </pic:pic>
              </a:graphicData>
            </a:graphic>
          </wp:anchor>
        </w:drawing>
      </w:r>
    </w:p>
    <w:p>
      <w:pPr>
        <w:spacing w:after="0" w:line="124" w:lineRule="exact"/>
        <w:rPr>
          <w:sz w:val="20"/>
          <w:szCs w:val="20"/>
          <w:color w:val="auto"/>
        </w:rPr>
      </w:pPr>
    </w:p>
    <w:p>
      <w:pPr>
        <w:ind w:left="300" w:hanging="300"/>
        <w:spacing w:after="0"/>
        <w:tabs>
          <w:tab w:leader="none" w:pos="300" w:val="left"/>
        </w:tabs>
        <w:numPr>
          <w:ilvl w:val="0"/>
          <w:numId w:val="457"/>
        </w:numPr>
        <w:rPr>
          <w:rFonts w:ascii="Arial" w:cs="Arial" w:eastAsia="Arial" w:hAnsi="Arial"/>
          <w:sz w:val="23"/>
          <w:szCs w:val="23"/>
          <w:color w:val="FF0000"/>
          <w:strike w:val="1"/>
          <w:vertAlign w:val="superscript"/>
        </w:rPr>
      </w:pPr>
      <w:r>
        <w:rPr>
          <w:rFonts w:ascii="Arial" w:cs="Arial" w:eastAsia="Arial" w:hAnsi="Arial"/>
          <w:sz w:val="18"/>
          <w:szCs w:val="18"/>
          <w:color w:val="FF0000"/>
          <w:strike w:val="1"/>
        </w:rPr>
        <w:t>Include only Loan Party Pro Rata Share of acquisition costs for properties acquired by Controlled Joint Ventures</w:t>
      </w:r>
    </w:p>
    <w:p>
      <w:pPr>
        <w:spacing w:after="0" w:line="144" w:lineRule="exact"/>
        <w:rPr>
          <w:sz w:val="20"/>
          <w:szCs w:val="20"/>
          <w:color w:val="auto"/>
        </w:rPr>
      </w:pPr>
    </w:p>
    <w:p>
      <w:pPr>
        <w:ind w:left="100" w:hanging="100"/>
        <w:spacing w:after="0"/>
        <w:tabs>
          <w:tab w:leader="none" w:pos="100" w:val="left"/>
        </w:tabs>
        <w:numPr>
          <w:ilvl w:val="0"/>
          <w:numId w:val="458"/>
        </w:numPr>
        <w:rPr>
          <w:rFonts w:ascii="Arial" w:cs="Arial" w:eastAsia="Arial" w:hAnsi="Arial"/>
          <w:sz w:val="26"/>
          <w:szCs w:val="26"/>
          <w:b w:val="1"/>
          <w:bCs w:val="1"/>
          <w:u w:val="single" w:color="auto"/>
          <w:color w:val="0000FF"/>
          <w:vertAlign w:val="superscript"/>
        </w:rPr>
      </w:pPr>
      <w:r>
        <w:rPr>
          <w:rFonts w:ascii="Arial" w:cs="Arial" w:eastAsia="Arial" w:hAnsi="Arial"/>
          <w:sz w:val="19"/>
          <w:szCs w:val="19"/>
          <w:b w:val="1"/>
          <w:bCs w:val="1"/>
          <w:u w:val="single" w:color="auto"/>
          <w:color w:val="0000FF"/>
          <w:highlight w:val="lightGray"/>
        </w:rPr>
        <w:t>Include only Loan Party Pro Rata Share of acquisition costs for properties acquired by Controlled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63500" cy="1428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3500" cy="142875"/>
                    </a:xfrm>
                    <a:prstGeom prst="rect">
                      <a:avLst/>
                    </a:prstGeom>
                    <a:noFill/>
                  </pic:spPr>
                </pic:pic>
              </a:graphicData>
            </a:graphic>
          </wp:anchor>
        </w:drawing>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D-12</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Form of Compliance Certificate</w:t>
      </w:r>
    </w:p>
    <w:p>
      <w:pPr>
        <w:sectPr>
          <w:pgSz w:w="11900" w:h="16838" w:orient="portrait"/>
          <w:cols w:equalWidth="0" w:num="1">
            <w:col w:w="11440"/>
          </w:cols>
          <w:pgMar w:left="240" w:top="789" w:right="219" w:bottom="1440" w:gutter="0" w:footer="0" w:header="0"/>
        </w:sectPr>
      </w:pPr>
    </w:p>
    <w:bookmarkStart w:id="383" w:name="page384"/>
    <w:bookmarkEnd w:id="383"/>
    <w:p>
      <w:pPr>
        <w:jc w:val="right"/>
        <w:spacing w:after="0"/>
        <w:rPr>
          <w:sz w:val="20"/>
          <w:szCs w:val="20"/>
          <w:color w:val="auto"/>
        </w:rPr>
      </w:pPr>
      <w:r>
        <w:rPr>
          <w:rFonts w:ascii="Arial" w:cs="Arial" w:eastAsia="Arial" w:hAnsi="Arial"/>
          <w:sz w:val="20"/>
          <w:szCs w:val="20"/>
          <w:b w:val="1"/>
          <w:bCs w:val="1"/>
          <w:i w:val="1"/>
          <w:iCs w:val="1"/>
          <w:color w:val="auto"/>
        </w:rPr>
        <w:t>EXHIBIT E-1</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w:t>
      </w: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This Assignment and Assumption (this “</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is dated as of the Effective Date set forth below and is entered into by and between [the][each]</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Assignor identified in item 1 below ([the][each, an] “</w:t>
      </w:r>
      <w:r>
        <w:rPr>
          <w:rFonts w:ascii="Arial" w:cs="Arial" w:eastAsia="Arial" w:hAnsi="Arial"/>
          <w:sz w:val="17"/>
          <w:szCs w:val="17"/>
          <w:u w:val="single" w:color="auto"/>
          <w:color w:val="auto"/>
        </w:rPr>
        <w:t>Assignor</w:t>
      </w:r>
      <w:r>
        <w:rPr>
          <w:rFonts w:ascii="Arial" w:cs="Arial" w:eastAsia="Arial" w:hAnsi="Arial"/>
          <w:sz w:val="17"/>
          <w:szCs w:val="17"/>
          <w:color w:val="auto"/>
        </w:rPr>
        <w:t>”) and [the][each]</w:t>
      </w:r>
      <w:r>
        <w:rPr>
          <w:rFonts w:ascii="Arial" w:cs="Arial" w:eastAsia="Arial" w:hAnsi="Arial"/>
          <w:sz w:val="21"/>
          <w:szCs w:val="21"/>
          <w:color w:val="auto"/>
          <w:vertAlign w:val="superscript"/>
        </w:rPr>
        <w:t>2</w:t>
      </w:r>
      <w:r>
        <w:rPr>
          <w:rFonts w:ascii="Arial" w:cs="Arial" w:eastAsia="Arial" w:hAnsi="Arial"/>
          <w:sz w:val="17"/>
          <w:szCs w:val="17"/>
          <w:color w:val="auto"/>
        </w:rPr>
        <w:t xml:space="preserve"> Assignee identified in item 2 below ([the][each, an] “</w:t>
      </w:r>
      <w:r>
        <w:rPr>
          <w:rFonts w:ascii="Arial" w:cs="Arial" w:eastAsia="Arial" w:hAnsi="Arial"/>
          <w:sz w:val="17"/>
          <w:szCs w:val="17"/>
          <w:u w:val="single" w:color="auto"/>
          <w:color w:val="auto"/>
        </w:rPr>
        <w:t>Assignee</w:t>
      </w:r>
      <w:r>
        <w:rPr>
          <w:rFonts w:ascii="Arial" w:cs="Arial" w:eastAsia="Arial" w:hAnsi="Arial"/>
          <w:sz w:val="17"/>
          <w:szCs w:val="17"/>
          <w:color w:val="auto"/>
        </w:rPr>
        <w:t>”). [It is understood and agreed that the rights and obligations of [the Assignors][the Assignees] hereunder are several and not joint.]</w:t>
      </w:r>
      <w:r>
        <w:rPr>
          <w:rFonts w:ascii="Arial" w:cs="Arial" w:eastAsia="Arial" w:hAnsi="Arial"/>
          <w:sz w:val="21"/>
          <w:szCs w:val="21"/>
          <w:color w:val="auto"/>
          <w:vertAlign w:val="superscript"/>
        </w:rPr>
        <w:t>4</w:t>
      </w:r>
      <w:r>
        <w:rPr>
          <w:rFonts w:ascii="Arial" w:cs="Arial" w:eastAsia="Arial" w:hAnsi="Arial"/>
          <w:sz w:val="17"/>
          <w:szCs w:val="17"/>
          <w:color w:val="auto"/>
        </w:rPr>
        <w:t xml:space="preserve"> Capitalized terms used but not defined herein shall have the meanings given to them in the Term Loan Agreement identified below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 [the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7"/>
          <w:szCs w:val="17"/>
          <w:u w:val="single" w:color="auto"/>
          <w:color w:val="auto"/>
        </w:rPr>
        <w:t>Assigned Interest</w:t>
      </w:r>
      <w:r>
        <w:rPr>
          <w:rFonts w:ascii="Arial" w:cs="Arial" w:eastAsia="Arial" w:hAnsi="Arial"/>
          <w:sz w:val="17"/>
          <w:szCs w:val="17"/>
          <w:color w:val="auto"/>
        </w:rPr>
        <w:t>”). Each such sale and assignment is without recourse to [the][any] Assignor and, except as expressly provided in this Assignment and Assumption, without representation or warranty by [the][any] Assignor.</w:t>
      </w:r>
    </w:p>
    <w:p>
      <w:pPr>
        <w:spacing w:after="0" w:line="362" w:lineRule="exact"/>
        <w:rPr>
          <w:sz w:val="20"/>
          <w:szCs w:val="20"/>
          <w:color w:val="auto"/>
        </w:rPr>
      </w:pPr>
    </w:p>
    <w:p>
      <w:pPr>
        <w:ind w:left="300" w:hanging="300"/>
        <w:spacing w:after="0"/>
        <w:tabs>
          <w:tab w:leader="none" w:pos="300" w:val="left"/>
        </w:tabs>
        <w:numPr>
          <w:ilvl w:val="0"/>
          <w:numId w:val="459"/>
        </w:numPr>
        <w:rPr>
          <w:rFonts w:ascii="Arial" w:cs="Arial" w:eastAsia="Arial" w:hAnsi="Arial"/>
          <w:sz w:val="18"/>
          <w:szCs w:val="18"/>
          <w:color w:val="auto"/>
        </w:rPr>
      </w:pPr>
      <w:r>
        <w:rPr>
          <w:rFonts w:ascii="Arial" w:cs="Arial" w:eastAsia="Arial" w:hAnsi="Arial"/>
          <w:sz w:val="18"/>
          <w:szCs w:val="18"/>
          <w:u w:val="single" w:color="auto"/>
          <w:color w:val="auto"/>
        </w:rPr>
        <w:t>Assignor[s]</w:t>
      </w:r>
      <w:r>
        <w:rPr>
          <w:rFonts w:ascii="Arial" w:cs="Arial" w:eastAsia="Arial" w:hAnsi="Arial"/>
          <w:sz w:val="18"/>
          <w:szCs w:val="18"/>
          <w:color w:val="auto"/>
        </w:rPr>
        <w:t>:  ______________________________</w:t>
      </w:r>
    </w:p>
    <w:p>
      <w:pPr>
        <w:spacing w:after="0" w:line="205" w:lineRule="exact"/>
        <w:rPr>
          <w:rFonts w:ascii="Arial" w:cs="Arial" w:eastAsia="Arial" w:hAnsi="Arial"/>
          <w:sz w:val="18"/>
          <w:szCs w:val="18"/>
          <w:color w:val="auto"/>
        </w:rPr>
      </w:pPr>
    </w:p>
    <w:p>
      <w:pPr>
        <w:ind w:left="1800"/>
        <w:spacing w:after="0"/>
        <w:rPr>
          <w:rFonts w:ascii="Arial" w:cs="Arial" w:eastAsia="Arial" w:hAnsi="Arial"/>
          <w:sz w:val="18"/>
          <w:szCs w:val="18"/>
          <w:color w:val="auto"/>
        </w:rPr>
      </w:pPr>
      <w:r>
        <w:rPr>
          <w:rFonts w:ascii="Arial" w:cs="Arial" w:eastAsia="Arial" w:hAnsi="Arial"/>
          <w:sz w:val="18"/>
          <w:szCs w:val="18"/>
          <w:color w:val="auto"/>
        </w:rPr>
        <w:t>______________________________</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[Assignor [is][is not] a Defaulting Lender</w:t>
      </w:r>
    </w:p>
    <w:p>
      <w:pPr>
        <w:spacing w:after="0" w:line="218" w:lineRule="exact"/>
        <w:rPr>
          <w:sz w:val="20"/>
          <w:szCs w:val="20"/>
          <w:color w:val="auto"/>
        </w:rPr>
      </w:pPr>
    </w:p>
    <w:p>
      <w:pPr>
        <w:ind w:left="600" w:hanging="600"/>
        <w:spacing w:after="0"/>
        <w:tabs>
          <w:tab w:leader="none" w:pos="600" w:val="left"/>
        </w:tabs>
        <w:numPr>
          <w:ilvl w:val="0"/>
          <w:numId w:val="460"/>
        </w:numPr>
        <w:rPr>
          <w:rFonts w:ascii="Arial" w:cs="Arial" w:eastAsia="Arial" w:hAnsi="Arial"/>
          <w:sz w:val="18"/>
          <w:szCs w:val="18"/>
          <w:color w:val="auto"/>
        </w:rPr>
      </w:pPr>
      <w:r>
        <w:rPr>
          <w:rFonts w:ascii="Arial" w:cs="Arial" w:eastAsia="Arial" w:hAnsi="Arial"/>
          <w:sz w:val="18"/>
          <w:szCs w:val="18"/>
          <w:u w:val="single" w:color="auto"/>
          <w:color w:val="auto"/>
        </w:rPr>
        <w:t>Assignee[s]</w:t>
      </w:r>
      <w:r>
        <w:rPr>
          <w:rFonts w:ascii="Arial" w:cs="Arial" w:eastAsia="Arial" w:hAnsi="Arial"/>
          <w:sz w:val="18"/>
          <w:szCs w:val="18"/>
          <w:color w:val="auto"/>
        </w:rPr>
        <w:t>:  ______________________________</w:t>
      </w:r>
    </w:p>
    <w:p>
      <w:pPr>
        <w:spacing w:after="0" w:line="20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______________________________</w:t>
      </w:r>
    </w:p>
    <w:p>
      <w:pPr>
        <w:spacing w:after="0" w:line="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[for each Assignee, indicate [Affiliate][Approved Fund]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p>
    <w:p>
      <w:pPr>
        <w:spacing w:after="0" w:line="189" w:lineRule="exact"/>
        <w:rPr>
          <w:sz w:val="20"/>
          <w:szCs w:val="20"/>
          <w:color w:val="auto"/>
        </w:rPr>
      </w:pPr>
    </w:p>
    <w:p>
      <w:pPr>
        <w:spacing w:after="0"/>
        <w:tabs>
          <w:tab w:leader="none" w:pos="280" w:val="left"/>
          <w:tab w:leader="none" w:pos="12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u w:val="single" w:color="auto"/>
          <w:color w:val="auto"/>
        </w:rPr>
        <w:t>Borrower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American Assets Trust, L.P., a Maryland limited partnership</w:t>
      </w:r>
    </w:p>
    <w:p>
      <w:pPr>
        <w:spacing w:after="0" w:line="221"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w:t>
      </w:r>
    </w:p>
    <w:p>
      <w:pPr>
        <w:spacing w:after="0" w:line="88" w:lineRule="exact"/>
        <w:rPr>
          <w:sz w:val="20"/>
          <w:szCs w:val="20"/>
          <w:color w:val="auto"/>
        </w:rPr>
      </w:pPr>
    </w:p>
    <w:p>
      <w:pPr>
        <w:ind w:left="300" w:hanging="300"/>
        <w:spacing w:after="0" w:line="221" w:lineRule="auto"/>
        <w:tabs>
          <w:tab w:leader="none" w:pos="88" w:val="left"/>
        </w:tabs>
        <w:numPr>
          <w:ilvl w:val="0"/>
          <w:numId w:val="461"/>
        </w:numPr>
        <w:rPr>
          <w:rFonts w:ascii="Arial" w:cs="Arial" w:eastAsia="Arial" w:hAnsi="Arial"/>
          <w:sz w:val="23"/>
          <w:szCs w:val="23"/>
          <w:color w:val="auto"/>
          <w:vertAlign w:val="superscript"/>
        </w:rPr>
      </w:pPr>
      <w:r>
        <w:rPr>
          <w:rFonts w:ascii="Arial" w:cs="Arial" w:eastAsia="Arial" w:hAnsi="Arial"/>
          <w:sz w:val="17"/>
          <w:szCs w:val="17"/>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101" w:lineRule="exact"/>
        <w:rPr>
          <w:sz w:val="20"/>
          <w:szCs w:val="20"/>
          <w:color w:val="auto"/>
        </w:rPr>
      </w:pPr>
    </w:p>
    <w:p>
      <w:pPr>
        <w:ind w:left="300" w:hanging="300"/>
        <w:spacing w:after="0" w:line="221" w:lineRule="auto"/>
        <w:tabs>
          <w:tab w:leader="none" w:pos="104" w:val="left"/>
        </w:tabs>
        <w:numPr>
          <w:ilvl w:val="0"/>
          <w:numId w:val="462"/>
        </w:numPr>
        <w:rPr>
          <w:rFonts w:ascii="Arial" w:cs="Arial" w:eastAsia="Arial" w:hAnsi="Arial"/>
          <w:sz w:val="23"/>
          <w:szCs w:val="23"/>
          <w:color w:val="auto"/>
          <w:vertAlign w:val="superscript"/>
        </w:rPr>
      </w:pPr>
      <w:r>
        <w:rPr>
          <w:rFonts w:ascii="Arial" w:cs="Arial" w:eastAsia="Arial" w:hAnsi="Arial"/>
          <w:sz w:val="17"/>
          <w:szCs w:val="17"/>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spacing w:after="0" w:line="49" w:lineRule="exact"/>
        <w:rPr>
          <w:sz w:val="20"/>
          <w:szCs w:val="20"/>
          <w:color w:val="auto"/>
        </w:rPr>
      </w:pPr>
    </w:p>
    <w:p>
      <w:pPr>
        <w:ind w:left="100" w:hanging="100"/>
        <w:spacing w:after="0"/>
        <w:tabs>
          <w:tab w:leader="none" w:pos="100" w:val="left"/>
        </w:tabs>
        <w:numPr>
          <w:ilvl w:val="0"/>
          <w:numId w:val="463"/>
        </w:numPr>
        <w:rPr>
          <w:rFonts w:ascii="Arial" w:cs="Arial" w:eastAsia="Arial" w:hAnsi="Arial"/>
          <w:sz w:val="23"/>
          <w:szCs w:val="23"/>
          <w:color w:val="auto"/>
          <w:vertAlign w:val="superscript"/>
        </w:rPr>
      </w:pPr>
      <w:r>
        <w:rPr>
          <w:rFonts w:ascii="Arial" w:cs="Arial" w:eastAsia="Arial" w:hAnsi="Arial"/>
          <w:sz w:val="17"/>
          <w:szCs w:val="17"/>
          <w:color w:val="auto"/>
        </w:rPr>
        <w:t>Select as appropriate.</w:t>
      </w:r>
    </w:p>
    <w:p>
      <w:pPr>
        <w:spacing w:after="0" w:line="48" w:lineRule="exact"/>
        <w:rPr>
          <w:sz w:val="20"/>
          <w:szCs w:val="20"/>
          <w:color w:val="auto"/>
        </w:rPr>
      </w:pPr>
    </w:p>
    <w:p>
      <w:pPr>
        <w:ind w:left="100" w:hanging="100"/>
        <w:spacing w:after="0"/>
        <w:tabs>
          <w:tab w:leader="none" w:pos="100" w:val="left"/>
        </w:tabs>
        <w:numPr>
          <w:ilvl w:val="0"/>
          <w:numId w:val="464"/>
        </w:numPr>
        <w:rPr>
          <w:rFonts w:ascii="Arial" w:cs="Arial" w:eastAsia="Arial" w:hAnsi="Arial"/>
          <w:sz w:val="23"/>
          <w:szCs w:val="23"/>
          <w:color w:val="auto"/>
          <w:vertAlign w:val="superscript"/>
        </w:rPr>
      </w:pPr>
      <w:r>
        <w:rPr>
          <w:rFonts w:ascii="Arial" w:cs="Arial" w:eastAsia="Arial" w:hAnsi="Arial"/>
          <w:sz w:val="17"/>
          <w:szCs w:val="17"/>
          <w:color w:val="auto"/>
        </w:rPr>
        <w:t>Include bracketed language if there are either multiple Assignors or multiple Assignees.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E-1-13</w:t>
      </w:r>
    </w:p>
    <w:p>
      <w:pPr>
        <w:sectPr>
          <w:pgSz w:w="11900" w:h="16838" w:orient="portrait"/>
          <w:cols w:equalWidth="0" w:num="1">
            <w:col w:w="11420"/>
          </w:cols>
          <w:pgMar w:left="240" w:top="795" w:right="239" w:bottom="1440" w:gutter="0" w:footer="0" w:header="0"/>
        </w:sectPr>
      </w:pPr>
    </w:p>
    <w:bookmarkStart w:id="384" w:name="page385"/>
    <w:bookmarkEnd w:id="384"/>
    <w:p>
      <w:pPr>
        <w:ind w:left="600" w:hanging="600"/>
        <w:spacing w:after="0"/>
        <w:tabs>
          <w:tab w:leader="none" w:pos="600" w:val="left"/>
        </w:tabs>
        <w:numPr>
          <w:ilvl w:val="0"/>
          <w:numId w:val="465"/>
        </w:numPr>
        <w:rPr>
          <w:rFonts w:ascii="Arial" w:cs="Arial" w:eastAsia="Arial" w:hAnsi="Arial"/>
          <w:sz w:val="18"/>
          <w:szCs w:val="18"/>
          <w:color w:val="auto"/>
        </w:rPr>
      </w:pPr>
      <w:r>
        <w:rPr>
          <w:rFonts w:ascii="Arial" w:cs="Arial" w:eastAsia="Arial" w:hAnsi="Arial"/>
          <w:sz w:val="18"/>
          <w:szCs w:val="18"/>
          <w:u w:val="single" w:color="auto"/>
          <w:color w:val="auto"/>
        </w:rPr>
        <w:t>Administrative Agent</w:t>
      </w:r>
      <w:r>
        <w:rPr>
          <w:rFonts w:ascii="Arial" w:cs="Arial" w:eastAsia="Arial" w:hAnsi="Arial"/>
          <w:sz w:val="18"/>
          <w:szCs w:val="18"/>
          <w:color w:val="auto"/>
        </w:rPr>
        <w:t>: U.S. Bank National Association, as the administrative agent under the Credit Agreement</w:t>
      </w:r>
    </w:p>
    <w:p>
      <w:pPr>
        <w:spacing w:after="0" w:line="205" w:lineRule="exact"/>
        <w:rPr>
          <w:rFonts w:ascii="Arial" w:cs="Arial" w:eastAsia="Arial" w:hAnsi="Arial"/>
          <w:sz w:val="18"/>
          <w:szCs w:val="18"/>
          <w:color w:val="auto"/>
        </w:rPr>
      </w:pPr>
    </w:p>
    <w:p>
      <w:pPr>
        <w:ind w:left="600" w:right="20" w:hanging="600"/>
        <w:spacing w:after="0" w:line="276" w:lineRule="auto"/>
        <w:tabs>
          <w:tab w:leader="none" w:pos="600" w:val="left"/>
        </w:tabs>
        <w:numPr>
          <w:ilvl w:val="0"/>
          <w:numId w:val="465"/>
        </w:numPr>
        <w:rPr>
          <w:rFonts w:ascii="Arial" w:cs="Arial" w:eastAsia="Arial" w:hAnsi="Arial"/>
          <w:sz w:val="18"/>
          <w:szCs w:val="18"/>
          <w:color w:val="auto"/>
        </w:rPr>
      </w:pPr>
      <w:r>
        <w:rPr>
          <w:rFonts w:ascii="Arial" w:cs="Arial" w:eastAsia="Arial" w:hAnsi="Arial"/>
          <w:sz w:val="18"/>
          <w:szCs w:val="18"/>
          <w:u w:val="single" w:color="auto"/>
          <w:color w:val="auto"/>
        </w:rPr>
        <w:t>Credit Agreement</w:t>
      </w:r>
      <w:r>
        <w:rPr>
          <w:rFonts w:ascii="Arial" w:cs="Arial" w:eastAsia="Arial" w:hAnsi="Arial"/>
          <w:sz w:val="18"/>
          <w:szCs w:val="18"/>
          <w:color w:val="auto"/>
        </w:rPr>
        <w:t>: Term Loan Agreement, dated as of March 1, 2016, among American Assets Trust, Inc., the Borrower, the Lenders from time to time party thereto, and U.S. Bank National Association, as Administrative Agent</w:t>
      </w:r>
    </w:p>
    <w:p>
      <w:pPr>
        <w:spacing w:after="0" w:line="148" w:lineRule="exact"/>
        <w:rPr>
          <w:rFonts w:ascii="Arial" w:cs="Arial" w:eastAsia="Arial" w:hAnsi="Arial"/>
          <w:sz w:val="18"/>
          <w:szCs w:val="18"/>
          <w:color w:val="auto"/>
        </w:rPr>
      </w:pPr>
    </w:p>
    <w:p>
      <w:pPr>
        <w:ind w:left="300" w:hanging="300"/>
        <w:spacing w:after="0"/>
        <w:tabs>
          <w:tab w:leader="none" w:pos="300" w:val="left"/>
        </w:tabs>
        <w:numPr>
          <w:ilvl w:val="0"/>
          <w:numId w:val="465"/>
        </w:numPr>
        <w:rPr>
          <w:rFonts w:ascii="Arial" w:cs="Arial" w:eastAsia="Arial" w:hAnsi="Arial"/>
          <w:sz w:val="18"/>
          <w:szCs w:val="18"/>
          <w:color w:val="auto"/>
        </w:rPr>
      </w:pPr>
      <w:r>
        <w:rPr>
          <w:rFonts w:ascii="Arial" w:cs="Arial" w:eastAsia="Arial" w:hAnsi="Arial"/>
          <w:sz w:val="18"/>
          <w:szCs w:val="18"/>
          <w:u w:val="single" w:color="auto"/>
          <w:color w:val="auto"/>
        </w:rPr>
        <w:t>Assigned Interest[s]</w:t>
      </w:r>
      <w:r>
        <w:rPr>
          <w:rFonts w:ascii="Arial" w:cs="Arial" w:eastAsia="Arial" w:hAnsi="Arial"/>
          <w:sz w:val="18"/>
          <w:szCs w:val="18"/>
          <w:color w:val="auto"/>
        </w:rPr>
        <w:t>:</w:t>
      </w:r>
    </w:p>
    <w:p>
      <w:pPr>
        <w:spacing w:after="0" w:line="327" w:lineRule="exact"/>
        <w:rPr>
          <w:sz w:val="20"/>
          <w:szCs w:val="20"/>
          <w:color w:val="auto"/>
        </w:rPr>
      </w:pPr>
    </w:p>
    <w:tbl>
      <w:tblPr>
        <w:tblLayout w:type="fixed"/>
        <w:tblInd w:w="10" w:type="dxa"/>
        <w:tblCellMar>
          <w:top w:w="0" w:type="dxa"/>
          <w:left w:w="0" w:type="dxa"/>
          <w:bottom w:w="0" w:type="dxa"/>
          <w:right w:w="0" w:type="dxa"/>
        </w:tblCellMar>
      </w:tblPr>
      <w:tr>
        <w:trPr>
          <w:trHeight w:val="346"/>
        </w:trPr>
        <w:tc>
          <w:tcPr>
            <w:tcW w:w="420" w:type="dxa"/>
            <w:vAlign w:val="bottom"/>
            <w:tcBorders>
              <w:top w:val="single" w:sz="8" w:color="auto"/>
              <w:left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60" w:type="dxa"/>
            <w:vAlign w:val="bottom"/>
            <w:tcBorders>
              <w:top w:val="single" w:sz="8" w:color="auto"/>
              <w:right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00" w:type="dxa"/>
            <w:vAlign w:val="bottom"/>
            <w:tcBorders>
              <w:top w:val="single" w:sz="8" w:color="auto"/>
              <w:right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40" w:type="dxa"/>
            <w:vAlign w:val="bottom"/>
            <w:tcBorders>
              <w:top w:val="single" w:sz="8" w:color="auto"/>
              <w:right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0" w:type="dxa"/>
            <w:vAlign w:val="bottom"/>
            <w:tcBorders>
              <w:top w:val="single" w:sz="8" w:color="auto"/>
              <w:right w:val="single" w:sz="8" w:color="auto"/>
            </w:tcBorders>
            <w:gridSpan w:val="2"/>
          </w:tcPr>
          <w:p>
            <w:pPr>
              <w:jc w:val="center"/>
              <w:ind w:right="560"/>
              <w:spacing w:after="0"/>
              <w:rPr>
                <w:sz w:val="20"/>
                <w:szCs w:val="20"/>
                <w:color w:val="auto"/>
              </w:rPr>
            </w:pPr>
            <w:r>
              <w:rPr>
                <w:rFonts w:ascii="Arial" w:cs="Arial" w:eastAsia="Arial" w:hAnsi="Arial"/>
                <w:sz w:val="13"/>
                <w:szCs w:val="13"/>
                <w:color w:val="auto"/>
                <w:w w:val="93"/>
              </w:rPr>
              <w:t>Aggregate</w:t>
            </w:r>
          </w:p>
        </w:tc>
        <w:tc>
          <w:tcPr>
            <w:tcW w:w="6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2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tcBorders>
              <w:right w:val="single" w:sz="8" w:color="auto"/>
            </w:tcBorders>
            <w:gridSpan w:val="2"/>
          </w:tcPr>
          <w:p>
            <w:pPr>
              <w:jc w:val="center"/>
              <w:ind w:right="540"/>
              <w:spacing w:after="0" w:line="138" w:lineRule="exact"/>
              <w:rPr>
                <w:sz w:val="20"/>
                <w:szCs w:val="20"/>
                <w:color w:val="auto"/>
              </w:rPr>
            </w:pPr>
            <w:r>
              <w:rPr>
                <w:rFonts w:ascii="Arial" w:cs="Arial" w:eastAsia="Arial" w:hAnsi="Arial"/>
                <w:sz w:val="13"/>
                <w:szCs w:val="13"/>
                <w:color w:val="auto"/>
                <w:w w:val="97"/>
              </w:rPr>
              <w:t>Amount of</w:t>
            </w:r>
          </w:p>
        </w:tc>
        <w:tc>
          <w:tcPr>
            <w:tcW w:w="1720" w:type="dxa"/>
            <w:vAlign w:val="bottom"/>
            <w:tcBorders>
              <w:right w:val="single" w:sz="8" w:color="auto"/>
            </w:tcBorders>
            <w:gridSpan w:val="3"/>
          </w:tcPr>
          <w:p>
            <w:pPr>
              <w:jc w:val="center"/>
              <w:ind w:right="20"/>
              <w:spacing w:after="0" w:line="138" w:lineRule="exact"/>
              <w:rPr>
                <w:sz w:val="20"/>
                <w:szCs w:val="20"/>
                <w:color w:val="auto"/>
              </w:rPr>
            </w:pPr>
            <w:r>
              <w:rPr>
                <w:rFonts w:ascii="Arial" w:cs="Arial" w:eastAsia="Arial" w:hAnsi="Arial"/>
                <w:sz w:val="13"/>
                <w:szCs w:val="13"/>
                <w:color w:val="auto"/>
                <w:w w:val="97"/>
              </w:rPr>
              <w:t>Amount of</w:t>
            </w:r>
          </w:p>
        </w:tc>
        <w:tc>
          <w:tcPr>
            <w:tcW w:w="140" w:type="dxa"/>
            <w:vAlign w:val="bottom"/>
          </w:tcPr>
          <w:p>
            <w:pPr>
              <w:spacing w:after="0"/>
              <w:rPr>
                <w:sz w:val="11"/>
                <w:szCs w:val="11"/>
                <w:color w:val="auto"/>
              </w:rPr>
            </w:pPr>
          </w:p>
        </w:tc>
        <w:tc>
          <w:tcPr>
            <w:tcW w:w="1580" w:type="dxa"/>
            <w:vAlign w:val="bottom"/>
            <w:tcBorders>
              <w:right w:val="single" w:sz="8" w:color="auto"/>
            </w:tcBorders>
            <w:gridSpan w:val="2"/>
          </w:tcPr>
          <w:p>
            <w:pPr>
              <w:jc w:val="center"/>
              <w:ind w:right="160"/>
              <w:spacing w:after="0" w:line="138" w:lineRule="exact"/>
              <w:rPr>
                <w:sz w:val="20"/>
                <w:szCs w:val="20"/>
                <w:color w:val="auto"/>
              </w:rPr>
            </w:pPr>
            <w:r>
              <w:rPr>
                <w:rFonts w:ascii="Arial" w:cs="Arial" w:eastAsia="Arial" w:hAnsi="Arial"/>
                <w:sz w:val="13"/>
                <w:szCs w:val="13"/>
                <w:color w:val="auto"/>
                <w:w w:val="87"/>
              </w:rPr>
              <w:t>Percentage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2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w w:val="89"/>
              </w:rPr>
              <w:t>Assignee[s]</w:t>
            </w:r>
          </w:p>
        </w:tc>
        <w:tc>
          <w:tcPr>
            <w:tcW w:w="500" w:type="dxa"/>
            <w:vAlign w:val="bottom"/>
            <w:tcBorders>
              <w:right w:val="single" w:sz="8" w:color="auto"/>
            </w:tcBorders>
            <w:vMerge w:val="restart"/>
          </w:tcPr>
          <w:p>
            <w:pPr>
              <w:jc w:val="right"/>
              <w:ind w:right="434"/>
              <w:spacing w:after="0"/>
              <w:rPr>
                <w:sz w:val="20"/>
                <w:szCs w:val="20"/>
                <w:color w:val="auto"/>
              </w:rPr>
            </w:pPr>
            <w:r>
              <w:rPr>
                <w:rFonts w:ascii="Arial" w:cs="Arial" w:eastAsia="Arial" w:hAnsi="Arial"/>
                <w:sz w:val="5"/>
                <w:szCs w:val="5"/>
                <w:u w:val="single" w:color="auto"/>
                <w:color w:val="auto"/>
                <w:w w:val="70"/>
              </w:rPr>
              <w:t>6</w:t>
            </w: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940" w:type="dxa"/>
            <w:vAlign w:val="bottom"/>
            <w:tcBorders>
              <w:right w:val="single" w:sz="8" w:color="auto"/>
            </w:tcBorders>
            <w:gridSpan w:val="3"/>
          </w:tcPr>
          <w:p>
            <w:pPr>
              <w:jc w:val="center"/>
              <w:ind w:right="20"/>
              <w:spacing w:after="0" w:line="138" w:lineRule="exact"/>
              <w:rPr>
                <w:sz w:val="20"/>
                <w:szCs w:val="20"/>
                <w:color w:val="auto"/>
              </w:rPr>
            </w:pPr>
            <w:r>
              <w:rPr>
                <w:rFonts w:ascii="Arial" w:cs="Arial" w:eastAsia="Arial" w:hAnsi="Arial"/>
                <w:sz w:val="13"/>
                <w:szCs w:val="13"/>
                <w:color w:val="auto"/>
                <w:w w:val="92"/>
              </w:rPr>
              <w:t>Commitment/Term Loans</w:t>
            </w:r>
          </w:p>
        </w:tc>
        <w:tc>
          <w:tcPr>
            <w:tcW w:w="1720" w:type="dxa"/>
            <w:vAlign w:val="bottom"/>
            <w:tcBorders>
              <w:right w:val="single" w:sz="8" w:color="auto"/>
            </w:tcBorders>
            <w:gridSpan w:val="3"/>
          </w:tcPr>
          <w:p>
            <w:pPr>
              <w:jc w:val="center"/>
              <w:ind w:right="20"/>
              <w:spacing w:after="0" w:line="138" w:lineRule="exact"/>
              <w:rPr>
                <w:sz w:val="20"/>
                <w:szCs w:val="20"/>
                <w:color w:val="auto"/>
              </w:rPr>
            </w:pPr>
            <w:r>
              <w:rPr>
                <w:rFonts w:ascii="Arial" w:cs="Arial" w:eastAsia="Arial" w:hAnsi="Arial"/>
                <w:sz w:val="13"/>
                <w:szCs w:val="13"/>
                <w:color w:val="auto"/>
                <w:w w:val="94"/>
              </w:rPr>
              <w:t>Commitment/Term Loans</w:t>
            </w:r>
          </w:p>
        </w:tc>
        <w:tc>
          <w:tcPr>
            <w:tcW w:w="140" w:type="dxa"/>
            <w:vAlign w:val="bottom"/>
          </w:tcPr>
          <w:p>
            <w:pPr>
              <w:spacing w:after="0"/>
              <w:rPr>
                <w:sz w:val="11"/>
                <w:szCs w:val="11"/>
                <w:color w:val="auto"/>
              </w:rPr>
            </w:pPr>
          </w:p>
        </w:tc>
        <w:tc>
          <w:tcPr>
            <w:tcW w:w="1580" w:type="dxa"/>
            <w:vAlign w:val="bottom"/>
            <w:tcBorders>
              <w:right w:val="single" w:sz="8" w:color="auto"/>
            </w:tcBorders>
            <w:gridSpan w:val="2"/>
          </w:tcPr>
          <w:p>
            <w:pPr>
              <w:jc w:val="center"/>
              <w:ind w:right="180"/>
              <w:spacing w:after="0" w:line="138" w:lineRule="exact"/>
              <w:rPr>
                <w:sz w:val="20"/>
                <w:szCs w:val="20"/>
                <w:color w:val="auto"/>
              </w:rPr>
            </w:pPr>
            <w:r>
              <w:rPr>
                <w:rFonts w:ascii="Arial" w:cs="Arial" w:eastAsia="Arial" w:hAnsi="Arial"/>
                <w:sz w:val="13"/>
                <w:szCs w:val="13"/>
                <w:color w:val="auto"/>
                <w:w w:val="94"/>
              </w:rPr>
              <w:t>Assigned of</w:t>
            </w:r>
          </w:p>
        </w:tc>
        <w:tc>
          <w:tcPr>
            <w:tcW w:w="320" w:type="dxa"/>
            <w:vAlign w:val="bottom"/>
          </w:tcPr>
          <w:p>
            <w:pPr>
              <w:spacing w:after="0"/>
              <w:rPr>
                <w:sz w:val="11"/>
                <w:szCs w:val="11"/>
                <w:color w:val="auto"/>
              </w:rPr>
            </w:pPr>
          </w:p>
        </w:tc>
        <w:tc>
          <w:tcPr>
            <w:tcW w:w="800" w:type="dxa"/>
            <w:vAlign w:val="bottom"/>
            <w:tcBorders>
              <w:right w:val="single" w:sz="8" w:color="auto"/>
            </w:tcBorders>
            <w:gridSpan w:val="2"/>
          </w:tcPr>
          <w:p>
            <w:pPr>
              <w:jc w:val="center"/>
              <w:ind w:right="340"/>
              <w:spacing w:after="0" w:line="138" w:lineRule="exact"/>
              <w:rPr>
                <w:sz w:val="20"/>
                <w:szCs w:val="20"/>
                <w:color w:val="auto"/>
              </w:rPr>
            </w:pPr>
            <w:r>
              <w:rPr>
                <w:rFonts w:ascii="Arial" w:cs="Arial" w:eastAsia="Arial" w:hAnsi="Arial"/>
                <w:sz w:val="13"/>
                <w:szCs w:val="13"/>
                <w:color w:val="auto"/>
                <w:w w:val="95"/>
              </w:rPr>
              <w:t>CUSIP</w:t>
            </w:r>
          </w:p>
        </w:tc>
        <w:tc>
          <w:tcPr>
            <w:tcW w:w="0" w:type="dxa"/>
            <w:vAlign w:val="bottom"/>
          </w:tcPr>
          <w:p>
            <w:pPr>
              <w:spacing w:after="0"/>
              <w:rPr>
                <w:sz w:val="1"/>
                <w:szCs w:val="1"/>
                <w:color w:val="auto"/>
              </w:rPr>
            </w:pPr>
          </w:p>
        </w:tc>
      </w:tr>
      <w:tr>
        <w:trPr>
          <w:trHeight w:val="121"/>
        </w:trPr>
        <w:tc>
          <w:tcPr>
            <w:tcW w:w="420" w:type="dxa"/>
            <w:vAlign w:val="bottom"/>
            <w:tcBorders>
              <w:left w:val="single" w:sz="8" w:color="auto"/>
            </w:tcBorders>
          </w:tcPr>
          <w:p>
            <w:pPr>
              <w:spacing w:after="0"/>
              <w:rPr>
                <w:sz w:val="10"/>
                <w:szCs w:val="10"/>
                <w:color w:val="auto"/>
              </w:rPr>
            </w:pPr>
          </w:p>
        </w:tc>
        <w:tc>
          <w:tcPr>
            <w:tcW w:w="1080" w:type="dxa"/>
            <w:vAlign w:val="bottom"/>
            <w:tcBorders>
              <w:right w:val="single" w:sz="8" w:color="auto"/>
            </w:tcBorders>
            <w:gridSpan w:val="2"/>
          </w:tcPr>
          <w:p>
            <w:pPr>
              <w:spacing w:after="0" w:line="109" w:lineRule="exact"/>
              <w:rPr>
                <w:sz w:val="20"/>
                <w:szCs w:val="20"/>
                <w:color w:val="auto"/>
              </w:rPr>
            </w:pPr>
            <w:r>
              <w:rPr>
                <w:rFonts w:ascii="Arial" w:cs="Arial" w:eastAsia="Arial" w:hAnsi="Arial"/>
                <w:sz w:val="12"/>
                <w:szCs w:val="12"/>
                <w:color w:val="auto"/>
              </w:rPr>
              <w:t>Assignor[s]</w:t>
            </w:r>
            <w:r>
              <w:rPr>
                <w:rFonts w:ascii="Arial" w:cs="Arial" w:eastAsia="Arial" w:hAnsi="Arial"/>
                <w:sz w:val="7"/>
                <w:szCs w:val="7"/>
                <w:u w:val="single" w:color="auto"/>
                <w:color w:val="auto"/>
              </w:rPr>
              <w:t>5</w:t>
            </w:r>
          </w:p>
        </w:tc>
        <w:tc>
          <w:tcPr>
            <w:tcW w:w="380" w:type="dxa"/>
            <w:vAlign w:val="bottom"/>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1940" w:type="dxa"/>
            <w:vAlign w:val="bottom"/>
            <w:tcBorders>
              <w:right w:val="single" w:sz="8" w:color="auto"/>
            </w:tcBorders>
            <w:gridSpan w:val="3"/>
          </w:tcPr>
          <w:p>
            <w:pPr>
              <w:ind w:left="460"/>
              <w:spacing w:after="0" w:line="109" w:lineRule="exact"/>
              <w:rPr>
                <w:sz w:val="20"/>
                <w:szCs w:val="20"/>
                <w:color w:val="auto"/>
              </w:rPr>
            </w:pPr>
            <w:r>
              <w:rPr>
                <w:rFonts w:ascii="Arial" w:cs="Arial" w:eastAsia="Arial" w:hAnsi="Arial"/>
                <w:sz w:val="12"/>
                <w:szCs w:val="12"/>
                <w:color w:val="auto"/>
              </w:rPr>
              <w:t>Facility Assigned</w:t>
            </w:r>
            <w:r>
              <w:rPr>
                <w:rFonts w:ascii="Arial" w:cs="Arial" w:eastAsia="Arial" w:hAnsi="Arial"/>
                <w:sz w:val="7"/>
                <w:szCs w:val="7"/>
                <w:u w:val="single" w:color="auto"/>
                <w:color w:val="auto"/>
              </w:rPr>
              <w:t>7</w:t>
            </w:r>
          </w:p>
        </w:tc>
        <w:tc>
          <w:tcPr>
            <w:tcW w:w="540" w:type="dxa"/>
            <w:vAlign w:val="bottom"/>
          </w:tcPr>
          <w:p>
            <w:pPr>
              <w:spacing w:after="0"/>
              <w:rPr>
                <w:sz w:val="10"/>
                <w:szCs w:val="10"/>
                <w:color w:val="auto"/>
              </w:rPr>
            </w:pPr>
          </w:p>
        </w:tc>
        <w:tc>
          <w:tcPr>
            <w:tcW w:w="1400" w:type="dxa"/>
            <w:vAlign w:val="bottom"/>
            <w:tcBorders>
              <w:right w:val="single" w:sz="8" w:color="auto"/>
            </w:tcBorders>
            <w:gridSpan w:val="2"/>
          </w:tcPr>
          <w:p>
            <w:pPr>
              <w:jc w:val="center"/>
              <w:ind w:right="560"/>
              <w:spacing w:after="0" w:line="109" w:lineRule="exact"/>
              <w:rPr>
                <w:sz w:val="20"/>
                <w:szCs w:val="20"/>
                <w:color w:val="auto"/>
              </w:rPr>
            </w:pPr>
            <w:r>
              <w:rPr>
                <w:rFonts w:ascii="Arial" w:cs="Arial" w:eastAsia="Arial" w:hAnsi="Arial"/>
                <w:sz w:val="12"/>
                <w:szCs w:val="12"/>
                <w:color w:val="auto"/>
              </w:rPr>
              <w:t>for all Lenders</w:t>
            </w:r>
            <w:r>
              <w:rPr>
                <w:rFonts w:ascii="Arial" w:cs="Arial" w:eastAsia="Arial" w:hAnsi="Arial"/>
                <w:sz w:val="7"/>
                <w:szCs w:val="7"/>
                <w:u w:val="single" w:color="auto"/>
                <w:color w:val="auto"/>
              </w:rPr>
              <w:t>8</w:t>
            </w:r>
          </w:p>
        </w:tc>
        <w:tc>
          <w:tcPr>
            <w:tcW w:w="1720" w:type="dxa"/>
            <w:vAlign w:val="bottom"/>
            <w:tcBorders>
              <w:right w:val="single" w:sz="8" w:color="auto"/>
            </w:tcBorders>
            <w:gridSpan w:val="3"/>
          </w:tcPr>
          <w:p>
            <w:pPr>
              <w:jc w:val="center"/>
              <w:ind w:right="20"/>
              <w:spacing w:after="0" w:line="109" w:lineRule="exact"/>
              <w:rPr>
                <w:sz w:val="20"/>
                <w:szCs w:val="20"/>
                <w:color w:val="auto"/>
              </w:rPr>
            </w:pPr>
            <w:r>
              <w:rPr>
                <w:rFonts w:ascii="Arial" w:cs="Arial" w:eastAsia="Arial" w:hAnsi="Arial"/>
                <w:sz w:val="12"/>
                <w:szCs w:val="12"/>
                <w:color w:val="auto"/>
              </w:rPr>
              <w:t>Assigned</w:t>
            </w:r>
          </w:p>
        </w:tc>
        <w:tc>
          <w:tcPr>
            <w:tcW w:w="1720" w:type="dxa"/>
            <w:vAlign w:val="bottom"/>
            <w:tcBorders>
              <w:right w:val="single" w:sz="8" w:color="auto"/>
            </w:tcBorders>
            <w:gridSpan w:val="3"/>
          </w:tcPr>
          <w:p>
            <w:pPr>
              <w:jc w:val="center"/>
              <w:ind w:right="20"/>
              <w:spacing w:after="0" w:line="109" w:lineRule="exact"/>
              <w:rPr>
                <w:sz w:val="20"/>
                <w:szCs w:val="20"/>
                <w:color w:val="auto"/>
              </w:rPr>
            </w:pPr>
            <w:r>
              <w:rPr>
                <w:rFonts w:ascii="Arial" w:cs="Arial" w:eastAsia="Arial" w:hAnsi="Arial"/>
                <w:sz w:val="12"/>
                <w:szCs w:val="12"/>
                <w:color w:val="auto"/>
              </w:rPr>
              <w:t>Commitment/Term Loans</w:t>
            </w:r>
            <w:r>
              <w:rPr>
                <w:rFonts w:ascii="Arial" w:cs="Arial" w:eastAsia="Arial" w:hAnsi="Arial"/>
                <w:sz w:val="7"/>
                <w:szCs w:val="7"/>
                <w:color w:val="auto"/>
              </w:rPr>
              <w:t>9</w:t>
            </w:r>
          </w:p>
        </w:tc>
        <w:tc>
          <w:tcPr>
            <w:tcW w:w="1120" w:type="dxa"/>
            <w:vAlign w:val="bottom"/>
            <w:tcBorders>
              <w:right w:val="single" w:sz="8" w:color="auto"/>
            </w:tcBorders>
            <w:gridSpan w:val="3"/>
          </w:tcPr>
          <w:p>
            <w:pPr>
              <w:jc w:val="center"/>
              <w:ind w:right="40"/>
              <w:spacing w:after="0" w:line="109" w:lineRule="exact"/>
              <w:rPr>
                <w:sz w:val="20"/>
                <w:szCs w:val="20"/>
                <w:color w:val="auto"/>
              </w:rPr>
            </w:pPr>
            <w:r>
              <w:rPr>
                <w:rFonts w:ascii="Arial" w:cs="Arial" w:eastAsia="Arial" w:hAnsi="Arial"/>
                <w:sz w:val="12"/>
                <w:szCs w:val="12"/>
                <w:color w:val="auto"/>
              </w:rPr>
              <w:t>Number</w:t>
            </w:r>
          </w:p>
        </w:tc>
        <w:tc>
          <w:tcPr>
            <w:tcW w:w="0" w:type="dxa"/>
            <w:vAlign w:val="bottom"/>
          </w:tcPr>
          <w:p>
            <w:pPr>
              <w:spacing w:after="0"/>
              <w:rPr>
                <w:sz w:val="1"/>
                <w:szCs w:val="1"/>
                <w:color w:val="auto"/>
              </w:rPr>
            </w:pPr>
          </w:p>
        </w:tc>
      </w:tr>
      <w:tr>
        <w:trPr>
          <w:trHeight w:val="20"/>
        </w:trPr>
        <w:tc>
          <w:tcPr>
            <w:tcW w:w="420" w:type="dxa"/>
            <w:vAlign w:val="bottom"/>
            <w:tcBorders>
              <w:lef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0" w:type="dxa"/>
            <w:vAlign w:val="bottom"/>
            <w:tcBorders>
              <w:left w:val="single" w:sz="8" w:color="auto"/>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20" w:type="dxa"/>
            <w:vAlign w:val="bottom"/>
            <w:tcBorders>
              <w:left w:val="single" w:sz="8" w:color="auto"/>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3"/>
                <w:szCs w:val="13"/>
                <w:color w:val="auto"/>
                <w:w w:val="91"/>
              </w:rPr>
              <w:t>$________________</w:t>
            </w:r>
          </w:p>
        </w:tc>
        <w:tc>
          <w:tcPr>
            <w:tcW w:w="172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3"/>
                <w:szCs w:val="13"/>
                <w:color w:val="auto"/>
                <w:w w:val="91"/>
              </w:rPr>
              <w:t>$_________</w:t>
            </w:r>
          </w:p>
        </w:tc>
        <w:tc>
          <w:tcPr>
            <w:tcW w:w="1500" w:type="dxa"/>
            <w:vAlign w:val="bottom"/>
            <w:tcBorders>
              <w:bottom w:val="single" w:sz="8" w:color="auto"/>
            </w:tcBorders>
            <w:gridSpan w:val="2"/>
          </w:tcPr>
          <w:p>
            <w:pPr>
              <w:jc w:val="center"/>
              <w:ind w:left="115"/>
              <w:spacing w:after="0"/>
              <w:rPr>
                <w:sz w:val="20"/>
                <w:szCs w:val="20"/>
                <w:color w:val="auto"/>
              </w:rPr>
            </w:pPr>
            <w:r>
              <w:rPr>
                <w:rFonts w:ascii="Arial" w:cs="Arial" w:eastAsia="Arial" w:hAnsi="Arial"/>
                <w:sz w:val="13"/>
                <w:szCs w:val="13"/>
                <w:color w:val="auto"/>
                <w:w w:val="93"/>
              </w:rPr>
              <w:t>____________%</w:t>
            </w:r>
          </w:p>
        </w:tc>
        <w:tc>
          <w:tcPr>
            <w:tcW w:w="22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50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194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3"/>
                <w:szCs w:val="13"/>
                <w:color w:val="auto"/>
                <w:w w:val="91"/>
              </w:rPr>
              <w:t>$________________</w:t>
            </w:r>
          </w:p>
        </w:tc>
        <w:tc>
          <w:tcPr>
            <w:tcW w:w="172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3"/>
                <w:szCs w:val="13"/>
                <w:color w:val="auto"/>
                <w:w w:val="91"/>
              </w:rPr>
              <w:t>$_________</w:t>
            </w:r>
          </w:p>
        </w:tc>
        <w:tc>
          <w:tcPr>
            <w:tcW w:w="1500" w:type="dxa"/>
            <w:vAlign w:val="bottom"/>
            <w:tcBorders>
              <w:bottom w:val="single" w:sz="8" w:color="auto"/>
            </w:tcBorders>
            <w:gridSpan w:val="2"/>
          </w:tcPr>
          <w:p>
            <w:pPr>
              <w:jc w:val="center"/>
              <w:ind w:left="115"/>
              <w:spacing w:after="0"/>
              <w:rPr>
                <w:sz w:val="20"/>
                <w:szCs w:val="20"/>
                <w:color w:val="auto"/>
              </w:rPr>
            </w:pPr>
            <w:r>
              <w:rPr>
                <w:rFonts w:ascii="Arial" w:cs="Arial" w:eastAsia="Arial" w:hAnsi="Arial"/>
                <w:sz w:val="13"/>
                <w:szCs w:val="13"/>
                <w:color w:val="auto"/>
                <w:w w:val="93"/>
              </w:rPr>
              <w:t>____________%</w:t>
            </w:r>
          </w:p>
        </w:tc>
        <w:tc>
          <w:tcPr>
            <w:tcW w:w="22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50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194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3"/>
                <w:szCs w:val="13"/>
                <w:color w:val="auto"/>
                <w:w w:val="91"/>
              </w:rPr>
              <w:t>$________________</w:t>
            </w:r>
          </w:p>
        </w:tc>
        <w:tc>
          <w:tcPr>
            <w:tcW w:w="172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3"/>
                <w:szCs w:val="13"/>
                <w:color w:val="auto"/>
                <w:w w:val="91"/>
              </w:rPr>
              <w:t>$_________</w:t>
            </w:r>
          </w:p>
        </w:tc>
        <w:tc>
          <w:tcPr>
            <w:tcW w:w="1500" w:type="dxa"/>
            <w:vAlign w:val="bottom"/>
            <w:tcBorders>
              <w:bottom w:val="single" w:sz="8" w:color="auto"/>
            </w:tcBorders>
            <w:gridSpan w:val="2"/>
          </w:tcPr>
          <w:p>
            <w:pPr>
              <w:jc w:val="center"/>
              <w:ind w:left="115"/>
              <w:spacing w:after="0"/>
              <w:rPr>
                <w:sz w:val="20"/>
                <w:szCs w:val="20"/>
                <w:color w:val="auto"/>
              </w:rPr>
            </w:pPr>
            <w:r>
              <w:rPr>
                <w:rFonts w:ascii="Arial" w:cs="Arial" w:eastAsia="Arial" w:hAnsi="Arial"/>
                <w:sz w:val="13"/>
                <w:szCs w:val="13"/>
                <w:color w:val="auto"/>
                <w:w w:val="93"/>
              </w:rPr>
              <w:t>____________%</w:t>
            </w:r>
          </w:p>
        </w:tc>
        <w:tc>
          <w:tcPr>
            <w:tcW w:w="22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u w:val="single" w:color="auto"/>
          <w:color w:val="auto"/>
        </w:rPr>
        <w:t>Trade Date</w:t>
      </w:r>
      <w:r>
        <w:rPr>
          <w:rFonts w:ascii="Arial" w:cs="Arial" w:eastAsia="Arial" w:hAnsi="Arial"/>
          <w:sz w:val="16"/>
          <w:szCs w:val="16"/>
          <w:color w:val="auto"/>
        </w:rPr>
        <w:t>:__________________]</w:t>
      </w:r>
      <w:r>
        <w:rPr>
          <w:rFonts w:ascii="Arial" w:cs="Arial" w:eastAsia="Arial" w:hAnsi="Arial"/>
          <w:sz w:val="20"/>
          <w:szCs w:val="20"/>
          <w:color w:val="auto"/>
          <w:vertAlign w:val="superscript"/>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w:t>
      </w:r>
    </w:p>
    <w:p>
      <w:pPr>
        <w:spacing w:after="0" w:line="24" w:lineRule="exact"/>
        <w:rPr>
          <w:sz w:val="20"/>
          <w:szCs w:val="20"/>
          <w:color w:val="auto"/>
        </w:rPr>
      </w:pPr>
    </w:p>
    <w:p>
      <w:pPr>
        <w:ind w:left="100" w:hanging="100"/>
        <w:spacing w:after="0"/>
        <w:tabs>
          <w:tab w:leader="none" w:pos="100" w:val="left"/>
        </w:tabs>
        <w:numPr>
          <w:ilvl w:val="0"/>
          <w:numId w:val="466"/>
        </w:numPr>
        <w:rPr>
          <w:rFonts w:ascii="Arial" w:cs="Arial" w:eastAsia="Arial" w:hAnsi="Arial"/>
          <w:sz w:val="23"/>
          <w:szCs w:val="23"/>
          <w:color w:val="auto"/>
          <w:vertAlign w:val="superscript"/>
        </w:rPr>
      </w:pPr>
      <w:r>
        <w:rPr>
          <w:rFonts w:ascii="Arial" w:cs="Arial" w:eastAsia="Arial" w:hAnsi="Arial"/>
          <w:sz w:val="17"/>
          <w:szCs w:val="17"/>
          <w:color w:val="auto"/>
        </w:rPr>
        <w:t>List each Assignor, as appropriate.</w:t>
      </w:r>
    </w:p>
    <w:p>
      <w:pPr>
        <w:spacing w:after="0" w:line="48" w:lineRule="exact"/>
        <w:rPr>
          <w:sz w:val="20"/>
          <w:szCs w:val="20"/>
          <w:color w:val="auto"/>
        </w:rPr>
      </w:pPr>
    </w:p>
    <w:p>
      <w:pPr>
        <w:ind w:left="100" w:hanging="100"/>
        <w:spacing w:after="0"/>
        <w:tabs>
          <w:tab w:leader="none" w:pos="100" w:val="left"/>
        </w:tabs>
        <w:numPr>
          <w:ilvl w:val="0"/>
          <w:numId w:val="467"/>
        </w:numPr>
        <w:rPr>
          <w:rFonts w:ascii="Arial" w:cs="Arial" w:eastAsia="Arial" w:hAnsi="Arial"/>
          <w:sz w:val="23"/>
          <w:szCs w:val="23"/>
          <w:color w:val="auto"/>
          <w:vertAlign w:val="superscript"/>
        </w:rPr>
      </w:pPr>
      <w:r>
        <w:rPr>
          <w:rFonts w:ascii="Arial" w:cs="Arial" w:eastAsia="Arial" w:hAnsi="Arial"/>
          <w:sz w:val="17"/>
          <w:szCs w:val="17"/>
          <w:color w:val="auto"/>
        </w:rPr>
        <w:t>List each Assignee and, if available, its market entity identifier, as appropriate.</w:t>
      </w:r>
    </w:p>
    <w:p>
      <w:pPr>
        <w:spacing w:after="0" w:line="47" w:lineRule="exact"/>
        <w:rPr>
          <w:sz w:val="20"/>
          <w:szCs w:val="20"/>
          <w:color w:val="auto"/>
        </w:rPr>
      </w:pPr>
    </w:p>
    <w:p>
      <w:pPr>
        <w:ind w:left="100" w:hanging="100"/>
        <w:spacing w:after="0"/>
        <w:tabs>
          <w:tab w:leader="none" w:pos="100" w:val="left"/>
        </w:tabs>
        <w:numPr>
          <w:ilvl w:val="0"/>
          <w:numId w:val="468"/>
        </w:numPr>
        <w:rPr>
          <w:rFonts w:ascii="Arial" w:cs="Arial" w:eastAsia="Arial" w:hAnsi="Arial"/>
          <w:sz w:val="22"/>
          <w:szCs w:val="22"/>
          <w:color w:val="auto"/>
          <w:vertAlign w:val="superscript"/>
        </w:rPr>
      </w:pPr>
      <w:r>
        <w:rPr>
          <w:rFonts w:ascii="Arial" w:cs="Arial" w:eastAsia="Arial" w:hAnsi="Arial"/>
          <w:sz w:val="16"/>
          <w:szCs w:val="16"/>
          <w:color w:val="auto"/>
        </w:rPr>
        <w:t>Fill in the appropriate terminology for the types of facility under the Credit Agreement that are being assigned under this Assignment (e.g. Commitment).</w:t>
      </w:r>
    </w:p>
    <w:p>
      <w:pPr>
        <w:spacing w:after="0" w:line="90" w:lineRule="exact"/>
        <w:rPr>
          <w:sz w:val="20"/>
          <w:szCs w:val="20"/>
          <w:color w:val="auto"/>
        </w:rPr>
      </w:pPr>
    </w:p>
    <w:p>
      <w:pPr>
        <w:ind w:left="300" w:right="80" w:hanging="300"/>
        <w:spacing w:after="0" w:line="213" w:lineRule="auto"/>
        <w:tabs>
          <w:tab w:leader="none" w:pos="88" w:val="left"/>
        </w:tabs>
        <w:numPr>
          <w:ilvl w:val="0"/>
          <w:numId w:val="469"/>
        </w:numPr>
        <w:rPr>
          <w:rFonts w:ascii="Arial" w:cs="Arial" w:eastAsia="Arial" w:hAnsi="Arial"/>
          <w:sz w:val="23"/>
          <w:szCs w:val="23"/>
          <w:color w:val="auto"/>
          <w:vertAlign w:val="superscript"/>
        </w:rPr>
      </w:pPr>
      <w:r>
        <w:rPr>
          <w:rFonts w:ascii="Arial" w:cs="Arial" w:eastAsia="Arial" w:hAnsi="Arial"/>
          <w:sz w:val="17"/>
          <w:szCs w:val="17"/>
          <w:color w:val="auto"/>
        </w:rPr>
        <w:t>Amounts in this column and in the column immediately to the right to be adjusted by the counterparties to take into account any payments or prepayments made between the Trade Date and the Effective Date.</w:t>
      </w:r>
    </w:p>
    <w:p>
      <w:pPr>
        <w:spacing w:after="0" w:line="49" w:lineRule="exact"/>
        <w:rPr>
          <w:sz w:val="20"/>
          <w:szCs w:val="20"/>
          <w:color w:val="auto"/>
        </w:rPr>
      </w:pPr>
    </w:p>
    <w:p>
      <w:pPr>
        <w:ind w:left="100" w:hanging="100"/>
        <w:spacing w:after="0"/>
        <w:tabs>
          <w:tab w:leader="none" w:pos="100" w:val="left"/>
        </w:tabs>
        <w:numPr>
          <w:ilvl w:val="0"/>
          <w:numId w:val="470"/>
        </w:numPr>
        <w:rPr>
          <w:rFonts w:ascii="Arial" w:cs="Arial" w:eastAsia="Arial" w:hAnsi="Arial"/>
          <w:sz w:val="23"/>
          <w:szCs w:val="23"/>
          <w:color w:val="auto"/>
          <w:vertAlign w:val="superscript"/>
        </w:rPr>
      </w:pPr>
      <w:r>
        <w:rPr>
          <w:rFonts w:ascii="Arial" w:cs="Arial" w:eastAsia="Arial" w:hAnsi="Arial"/>
          <w:sz w:val="17"/>
          <w:szCs w:val="17"/>
          <w:color w:val="auto"/>
        </w:rPr>
        <w:t>Set forth, to at least 9 decimals, as a percentage of the Commitment/Term Loans of all Lenders thereunder.</w:t>
      </w:r>
    </w:p>
    <w:p>
      <w:pPr>
        <w:spacing w:after="0" w:line="71" w:lineRule="exact"/>
        <w:rPr>
          <w:sz w:val="20"/>
          <w:szCs w:val="20"/>
          <w:color w:val="auto"/>
        </w:rPr>
      </w:pPr>
    </w:p>
    <w:p>
      <w:pPr>
        <w:ind w:left="160" w:hanging="160"/>
        <w:spacing w:after="0"/>
        <w:tabs>
          <w:tab w:leader="none" w:pos="160" w:val="left"/>
        </w:tabs>
        <w:numPr>
          <w:ilvl w:val="0"/>
          <w:numId w:val="471"/>
        </w:numPr>
        <w:rPr>
          <w:rFonts w:ascii="Arial" w:cs="Arial" w:eastAsia="Arial" w:hAnsi="Arial"/>
          <w:sz w:val="21"/>
          <w:szCs w:val="21"/>
          <w:color w:val="auto"/>
          <w:vertAlign w:val="superscript"/>
        </w:rPr>
      </w:pPr>
      <w:r>
        <w:rPr>
          <w:rFonts w:ascii="Arial" w:cs="Arial" w:eastAsia="Arial" w:hAnsi="Arial"/>
          <w:sz w:val="15"/>
          <w:szCs w:val="15"/>
          <w:color w:val="auto"/>
        </w:rPr>
        <w:t>To be completed if the Assignor and the Assignee intend that the minimum assignment amount is to be determined as of the Trade Date.</w:t>
      </w: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E-1-14</w:t>
      </w:r>
    </w:p>
    <w:p>
      <w:pPr>
        <w:sectPr>
          <w:pgSz w:w="11900" w:h="16838" w:orient="portrait"/>
          <w:cols w:equalWidth="0" w:num="1">
            <w:col w:w="11440"/>
          </w:cols>
          <w:pgMar w:left="240" w:top="1197" w:right="219" w:bottom="1440" w:gutter="0" w:footer="0" w:header="0"/>
        </w:sectPr>
      </w:pPr>
    </w:p>
    <w:bookmarkStart w:id="385" w:name="page386"/>
    <w:bookmarkEnd w:id="385"/>
    <w:p>
      <w:pPr>
        <w:spacing w:after="0"/>
        <w:rPr>
          <w:sz w:val="20"/>
          <w:szCs w:val="20"/>
          <w:color w:val="auto"/>
        </w:rPr>
      </w:pPr>
      <w:r>
        <w:rPr>
          <w:rFonts w:ascii="Arial" w:cs="Arial" w:eastAsia="Arial" w:hAnsi="Arial"/>
          <w:sz w:val="17"/>
          <w:szCs w:val="17"/>
          <w:color w:val="auto"/>
        </w:rPr>
        <w:t>Effective Date: __________________, 20__ [TO BE INSERTED BY ADMINISTRATIVE AGENT AND WHICH SHALL BE THE EFFECTIVE DATE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OF RECORDATION OF TRANSFER IN THE REGISTER THEREFOR.]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169" w:lineRule="exact"/>
        <w:rPr>
          <w:sz w:val="20"/>
          <w:szCs w:val="20"/>
          <w:color w:val="auto"/>
        </w:rPr>
      </w:pPr>
    </w:p>
    <w:p>
      <w:pPr>
        <w:ind w:left="4200"/>
        <w:spacing w:after="0"/>
        <w:rPr>
          <w:sz w:val="20"/>
          <w:szCs w:val="20"/>
          <w:color w:val="auto"/>
        </w:rPr>
      </w:pPr>
      <w:r>
        <w:rPr>
          <w:rFonts w:ascii="Arial" w:cs="Arial" w:eastAsia="Arial" w:hAnsi="Arial"/>
          <w:sz w:val="18"/>
          <w:szCs w:val="18"/>
          <w:u w:val="single" w:color="auto"/>
          <w:color w:val="auto"/>
        </w:rPr>
        <w:t>ASSIGNOR[S]</w:t>
      </w:r>
      <w:r>
        <w:rPr>
          <w:rFonts w:ascii="Arial" w:cs="Arial" w:eastAsia="Arial" w:hAnsi="Arial"/>
          <w:sz w:val="23"/>
          <w:szCs w:val="23"/>
          <w:color w:val="auto"/>
          <w:vertAlign w:val="superscript"/>
        </w:rPr>
        <w:t>11</w:t>
      </w:r>
    </w:p>
    <w:p>
      <w:pPr>
        <w:ind w:left="4200"/>
        <w:spacing w:after="0"/>
        <w:rPr>
          <w:sz w:val="20"/>
          <w:szCs w:val="20"/>
          <w:color w:val="auto"/>
        </w:rPr>
      </w:pPr>
      <w:r>
        <w:rPr>
          <w:rFonts w:ascii="Arial" w:cs="Arial" w:eastAsia="Arial" w:hAnsi="Arial"/>
          <w:sz w:val="18"/>
          <w:szCs w:val="18"/>
          <w:color w:val="auto"/>
        </w:rPr>
        <w:t>[NAME OF ASSIGNOR]</w:t>
      </w:r>
    </w:p>
    <w:p>
      <w:pPr>
        <w:spacing w:after="0" w:line="18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By: _____________________________</w:t>
      </w:r>
    </w:p>
    <w:p>
      <w:pPr>
        <w:spacing w:after="0" w:line="2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Title:</w:t>
      </w:r>
    </w:p>
    <w:p>
      <w:pPr>
        <w:spacing w:after="0" w:line="153" w:lineRule="exact"/>
        <w:rPr>
          <w:sz w:val="20"/>
          <w:szCs w:val="20"/>
          <w:color w:val="auto"/>
        </w:rPr>
      </w:pPr>
    </w:p>
    <w:p>
      <w:pPr>
        <w:ind w:left="4200"/>
        <w:spacing w:after="0"/>
        <w:rPr>
          <w:sz w:val="20"/>
          <w:szCs w:val="20"/>
          <w:color w:val="auto"/>
        </w:rPr>
      </w:pPr>
      <w:r>
        <w:rPr>
          <w:rFonts w:ascii="Arial" w:cs="Arial" w:eastAsia="Arial" w:hAnsi="Arial"/>
          <w:sz w:val="18"/>
          <w:szCs w:val="18"/>
          <w:u w:val="single" w:color="auto"/>
          <w:color w:val="auto"/>
        </w:rPr>
        <w:t>ASSIGNEE[S]</w:t>
      </w:r>
      <w:r>
        <w:rPr>
          <w:rFonts w:ascii="Arial" w:cs="Arial" w:eastAsia="Arial" w:hAnsi="Arial"/>
          <w:sz w:val="23"/>
          <w:szCs w:val="23"/>
          <w:color w:val="auto"/>
          <w:vertAlign w:val="superscript"/>
        </w:rPr>
        <w:t>12</w:t>
      </w:r>
    </w:p>
    <w:p>
      <w:pPr>
        <w:ind w:left="4200"/>
        <w:spacing w:after="0"/>
        <w:rPr>
          <w:sz w:val="20"/>
          <w:szCs w:val="20"/>
          <w:color w:val="auto"/>
        </w:rPr>
      </w:pPr>
      <w:r>
        <w:rPr>
          <w:rFonts w:ascii="Arial" w:cs="Arial" w:eastAsia="Arial" w:hAnsi="Arial"/>
          <w:sz w:val="18"/>
          <w:szCs w:val="18"/>
          <w:color w:val="auto"/>
        </w:rPr>
        <w:t>[NAME OF ASSIGNEE]</w:t>
      </w:r>
    </w:p>
    <w:p>
      <w:pPr>
        <w:spacing w:after="0" w:line="18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By: _____________________________</w:t>
      </w:r>
    </w:p>
    <w:p>
      <w:pPr>
        <w:spacing w:after="0" w:line="2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Title: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w:t>
      </w:r>
      <w:r>
        <w:rPr>
          <w:rFonts w:ascii="Arial" w:cs="Arial" w:eastAsia="Arial" w:hAnsi="Arial"/>
          <w:sz w:val="23"/>
          <w:szCs w:val="23"/>
          <w:color w:val="auto"/>
          <w:vertAlign w:val="superscript"/>
        </w:rPr>
        <w:t>13</w:t>
      </w:r>
      <w:r>
        <w:rPr>
          <w:rFonts w:ascii="Arial" w:cs="Arial" w:eastAsia="Arial" w:hAnsi="Arial"/>
          <w:sz w:val="18"/>
          <w:szCs w:val="18"/>
          <w:color w:val="auto"/>
        </w:rPr>
        <w:t xml:space="preserve"> </w:t>
      </w:r>
      <w:r>
        <w:rPr>
          <w:rFonts w:ascii="Arial" w:cs="Arial" w:eastAsia="Arial" w:hAnsi="Arial"/>
          <w:sz w:val="19"/>
          <w:szCs w:val="19"/>
          <w:color w:val="auto"/>
        </w:rPr>
        <w:t>Accepted: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23"/>
          <w:szCs w:val="23"/>
          <w:color w:val="auto"/>
          <w:vertAlign w:val="superscript"/>
        </w:rPr>
        <w:t>14</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AMERICAN ASSETS TRUST, L.P.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FF"/>
          <w:highlight w:val="lightGray"/>
        </w:rPr>
        <w:t>By: AMERICAN ASSETS TRUST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FF"/>
          <w:highlight w:val="lightGray"/>
        </w:rPr>
        <w:t>its General Partner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w:t>
      </w:r>
    </w:p>
    <w:p>
      <w:pPr>
        <w:spacing w:after="0" w:line="59" w:lineRule="exact"/>
        <w:rPr>
          <w:sz w:val="20"/>
          <w:szCs w:val="20"/>
          <w:color w:val="auto"/>
        </w:rPr>
      </w:pPr>
    </w:p>
    <w:p>
      <w:pPr>
        <w:ind w:left="160" w:hanging="160"/>
        <w:spacing w:after="0"/>
        <w:tabs>
          <w:tab w:leader="none" w:pos="160" w:val="left"/>
        </w:tabs>
        <w:numPr>
          <w:ilvl w:val="0"/>
          <w:numId w:val="472"/>
        </w:numPr>
        <w:rPr>
          <w:rFonts w:ascii="Arial" w:cs="Arial" w:eastAsia="Arial" w:hAnsi="Arial"/>
          <w:sz w:val="21"/>
          <w:szCs w:val="21"/>
          <w:color w:val="auto"/>
          <w:vertAlign w:val="superscript"/>
        </w:rPr>
      </w:pPr>
      <w:r>
        <w:rPr>
          <w:rFonts w:ascii="Arial" w:cs="Arial" w:eastAsia="Arial" w:hAnsi="Arial"/>
          <w:sz w:val="15"/>
          <w:szCs w:val="15"/>
          <w:color w:val="auto"/>
        </w:rPr>
        <w:t>Add additional signature blocks as needed. Include both Fund/Pension Plan and manager making the trade (if applicable).</w:t>
      </w:r>
    </w:p>
    <w:p>
      <w:pPr>
        <w:spacing w:after="0" w:line="77" w:lineRule="exact"/>
        <w:rPr>
          <w:rFonts w:ascii="Arial" w:cs="Arial" w:eastAsia="Arial" w:hAnsi="Arial"/>
          <w:sz w:val="21"/>
          <w:szCs w:val="21"/>
          <w:color w:val="auto"/>
          <w:vertAlign w:val="superscript"/>
        </w:rPr>
      </w:pPr>
    </w:p>
    <w:p>
      <w:pPr>
        <w:ind w:left="160" w:hanging="160"/>
        <w:spacing w:after="0" w:line="233" w:lineRule="auto"/>
        <w:tabs>
          <w:tab w:leader="none" w:pos="160" w:val="left"/>
        </w:tabs>
        <w:numPr>
          <w:ilvl w:val="0"/>
          <w:numId w:val="472"/>
        </w:numPr>
        <w:rPr>
          <w:rFonts w:ascii="Arial" w:cs="Arial" w:eastAsia="Arial" w:hAnsi="Arial"/>
          <w:sz w:val="21"/>
          <w:szCs w:val="21"/>
          <w:color w:val="auto"/>
          <w:vertAlign w:val="superscript"/>
        </w:rPr>
      </w:pPr>
      <w:r>
        <w:rPr>
          <w:rFonts w:ascii="Arial" w:cs="Arial" w:eastAsia="Arial" w:hAnsi="Arial"/>
          <w:sz w:val="15"/>
          <w:szCs w:val="15"/>
          <w:color w:val="auto"/>
        </w:rPr>
        <w:t>Add additional signature blocks as needed. Include both Fund/Pension Plan and manager making the trade (if applicable).</w:t>
      </w:r>
    </w:p>
    <w:p>
      <w:pPr>
        <w:spacing w:after="0" w:line="77" w:lineRule="exact"/>
        <w:rPr>
          <w:rFonts w:ascii="Arial" w:cs="Arial" w:eastAsia="Arial" w:hAnsi="Arial"/>
          <w:sz w:val="21"/>
          <w:szCs w:val="21"/>
          <w:color w:val="auto"/>
          <w:vertAlign w:val="superscript"/>
        </w:rPr>
      </w:pPr>
    </w:p>
    <w:p>
      <w:pPr>
        <w:ind w:left="160" w:hanging="160"/>
        <w:spacing w:after="0" w:line="233" w:lineRule="auto"/>
        <w:tabs>
          <w:tab w:leader="none" w:pos="160" w:val="left"/>
        </w:tabs>
        <w:numPr>
          <w:ilvl w:val="0"/>
          <w:numId w:val="472"/>
        </w:numPr>
        <w:rPr>
          <w:rFonts w:ascii="Arial" w:cs="Arial" w:eastAsia="Arial" w:hAnsi="Arial"/>
          <w:sz w:val="21"/>
          <w:szCs w:val="21"/>
          <w:color w:val="auto"/>
          <w:vertAlign w:val="superscript"/>
        </w:rPr>
      </w:pPr>
      <w:r>
        <w:rPr>
          <w:rFonts w:ascii="Arial" w:cs="Arial" w:eastAsia="Arial" w:hAnsi="Arial"/>
          <w:sz w:val="15"/>
          <w:szCs w:val="15"/>
          <w:color w:val="auto"/>
        </w:rPr>
        <w:t>To be added only if the consent of the Administrative Agent is required by the terms of the Credit Agreement.</w:t>
      </w:r>
    </w:p>
    <w:p>
      <w:pPr>
        <w:spacing w:after="0" w:line="77" w:lineRule="exact"/>
        <w:rPr>
          <w:rFonts w:ascii="Arial" w:cs="Arial" w:eastAsia="Arial" w:hAnsi="Arial"/>
          <w:sz w:val="21"/>
          <w:szCs w:val="21"/>
          <w:color w:val="auto"/>
          <w:vertAlign w:val="superscript"/>
        </w:rPr>
      </w:pPr>
    </w:p>
    <w:p>
      <w:pPr>
        <w:ind w:left="160" w:hanging="160"/>
        <w:spacing w:after="0" w:line="233" w:lineRule="auto"/>
        <w:tabs>
          <w:tab w:leader="none" w:pos="160" w:val="left"/>
        </w:tabs>
        <w:numPr>
          <w:ilvl w:val="0"/>
          <w:numId w:val="472"/>
        </w:numPr>
        <w:rPr>
          <w:rFonts w:ascii="Arial" w:cs="Arial" w:eastAsia="Arial" w:hAnsi="Arial"/>
          <w:sz w:val="21"/>
          <w:szCs w:val="21"/>
          <w:color w:val="auto"/>
          <w:vertAlign w:val="superscript"/>
        </w:rPr>
      </w:pPr>
      <w:r>
        <w:rPr>
          <w:rFonts w:ascii="Arial" w:cs="Arial" w:eastAsia="Arial" w:hAnsi="Arial"/>
          <w:sz w:val="15"/>
          <w:szCs w:val="15"/>
          <w:color w:val="auto"/>
        </w:rPr>
        <w:t>To be added only if the consent of the Borrower is required by the terms of the Credit Agreement.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E-1-15</w:t>
      </w:r>
    </w:p>
    <w:p>
      <w:pPr>
        <w:sectPr>
          <w:pgSz w:w="11900" w:h="16838" w:orient="portrait"/>
          <w:cols w:equalWidth="0" w:num="1">
            <w:col w:w="11420"/>
          </w:cols>
          <w:pgMar w:left="240" w:top="785" w:right="239" w:bottom="1440" w:gutter="0" w:footer="0" w:header="0"/>
        </w:sectPr>
      </w:pPr>
    </w:p>
    <w:bookmarkStart w:id="386" w:name="page387"/>
    <w:bookmarkEnd w:id="386"/>
    <w:p>
      <w:pPr>
        <w:ind w:left="7120"/>
        <w:spacing w:after="0"/>
        <w:rPr>
          <w:sz w:val="20"/>
          <w:szCs w:val="20"/>
          <w:color w:val="auto"/>
        </w:rPr>
      </w:pPr>
      <w:r>
        <w:rPr>
          <w:rFonts w:ascii="Arial" w:cs="Arial" w:eastAsia="Arial" w:hAnsi="Arial"/>
          <w:sz w:val="19"/>
          <w:szCs w:val="19"/>
          <w:b w:val="1"/>
          <w:bCs w:val="1"/>
          <w:i w:val="1"/>
          <w:iCs w:val="1"/>
          <w:color w:val="auto"/>
        </w:rPr>
        <w:t>ANNEX 1 TO ASSIGNMENT AND ASSUMPTION</w:t>
      </w:r>
    </w:p>
    <w:p>
      <w:pPr>
        <w:spacing w:after="0" w:line="219"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STANDARD TERMS AND CONDITIONS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ASSIGNMENT AND ASSUMPTION</w:t>
      </w:r>
    </w:p>
    <w:p>
      <w:pPr>
        <w:spacing w:after="0" w:line="181" w:lineRule="exact"/>
        <w:rPr>
          <w:sz w:val="20"/>
          <w:szCs w:val="20"/>
          <w:color w:val="auto"/>
        </w:rPr>
      </w:pPr>
    </w:p>
    <w:p>
      <w:pPr>
        <w:ind w:left="1200"/>
        <w:spacing w:after="0"/>
        <w:tabs>
          <w:tab w:leader="none" w:pos="14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Representations and Warranties.</w:t>
      </w:r>
    </w:p>
    <w:p>
      <w:pPr>
        <w:spacing w:after="0" w:line="205" w:lineRule="exact"/>
        <w:rPr>
          <w:sz w:val="20"/>
          <w:szCs w:val="20"/>
          <w:color w:val="auto"/>
        </w:rPr>
      </w:pPr>
    </w:p>
    <w:p>
      <w:pPr>
        <w:jc w:val="both"/>
        <w:ind w:firstLine="1199"/>
        <w:spacing w:after="0" w:line="283"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[The][Each]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and Assumption and to consummate the transactions contemplated hereby and</w:t>
      </w:r>
    </w:p>
    <w:p>
      <w:pPr>
        <w:spacing w:after="0" w:line="2" w:lineRule="exact"/>
        <w:rPr>
          <w:sz w:val="20"/>
          <w:szCs w:val="20"/>
          <w:color w:val="auto"/>
        </w:rPr>
      </w:pPr>
    </w:p>
    <w:p>
      <w:pPr>
        <w:jc w:val="both"/>
        <w:spacing w:after="0" w:line="287" w:lineRule="auto"/>
        <w:tabs>
          <w:tab w:leader="none" w:pos="339" w:val="left"/>
        </w:tabs>
        <w:numPr>
          <w:ilvl w:val="0"/>
          <w:numId w:val="473"/>
        </w:numPr>
        <w:rPr>
          <w:rFonts w:ascii="Arial" w:cs="Arial" w:eastAsia="Arial" w:hAnsi="Arial"/>
          <w:sz w:val="16"/>
          <w:szCs w:val="16"/>
          <w:color w:val="auto"/>
        </w:rPr>
      </w:pPr>
      <w:r>
        <w:rPr>
          <w:rFonts w:ascii="Arial" w:cs="Arial" w:eastAsia="Arial" w:hAnsi="Arial"/>
          <w:sz w:val="16"/>
          <w:szCs w:val="16"/>
          <w:color w:val="auto"/>
        </w:rPr>
        <w:t xml:space="preserve">it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w:t>
      </w:r>
      <w:r>
        <w:rPr>
          <w:rFonts w:ascii="Arial" w:cs="Arial" w:eastAsia="Arial" w:hAnsi="Arial"/>
          <w:sz w:val="16"/>
          <w:szCs w:val="16"/>
          <w:color w:val="FF0000"/>
          <w:strike w:val="1"/>
        </w:rPr>
        <w:t>any</w:t>
      </w:r>
      <w:r>
        <w:rPr>
          <w:rFonts w:ascii="Arial" w:cs="Arial" w:eastAsia="Arial" w:hAnsi="Arial"/>
          <w:sz w:val="16"/>
          <w:szCs w:val="16"/>
          <w:b w:val="1"/>
          <w:bCs w:val="1"/>
          <w:u w:val="single" w:color="auto"/>
          <w:color w:val="0000FF"/>
        </w:rPr>
        <w:t>the</w:t>
      </w:r>
      <w:r>
        <w:rPr>
          <w:rFonts w:ascii="Arial" w:cs="Arial" w:eastAsia="Arial" w:hAnsi="Arial"/>
          <w:sz w:val="16"/>
          <w:szCs w:val="16"/>
          <w:color w:val="auto"/>
        </w:rPr>
        <w:t xml:space="preserve"> Borrower, </w:t>
      </w:r>
      <w:r>
        <w:rPr>
          <w:rFonts w:ascii="Arial" w:cs="Arial" w:eastAsia="Arial" w:hAnsi="Arial"/>
          <w:sz w:val="16"/>
          <w:szCs w:val="16"/>
          <w:color w:val="FF0000"/>
          <w:strike w:val="1"/>
        </w:rPr>
        <w:t>any of its</w:t>
      </w:r>
      <w:r>
        <w:rPr>
          <w:rFonts w:ascii="Arial" w:cs="Arial" w:eastAsia="Arial" w:hAnsi="Arial"/>
          <w:sz w:val="16"/>
          <w:szCs w:val="16"/>
          <w:b w:val="1"/>
          <w:bCs w:val="1"/>
          <w:u w:val="single" w:color="auto"/>
          <w:color w:val="0000FF"/>
          <w:highlight w:val="lightGray"/>
        </w:rPr>
        <w:t>the REIT, any of their respective</w:t>
      </w:r>
      <w:r>
        <w:rPr>
          <w:rFonts w:ascii="Arial" w:cs="Arial" w:eastAsia="Arial" w:hAnsi="Arial"/>
          <w:sz w:val="16"/>
          <w:szCs w:val="16"/>
          <w:color w:val="auto"/>
        </w:rPr>
        <w:t xml:space="preserve"> Subsidiaries or Affiliates or any other Person obligated in respect of any Loan Document or (iv) the performance or observance by </w:t>
      </w:r>
      <w:r>
        <w:rPr>
          <w:rFonts w:ascii="Arial" w:cs="Arial" w:eastAsia="Arial" w:hAnsi="Arial"/>
          <w:sz w:val="16"/>
          <w:szCs w:val="16"/>
          <w:color w:val="FF0000"/>
          <w:strike w:val="1"/>
        </w:rPr>
        <w:t>any</w:t>
      </w:r>
      <w:r>
        <w:rPr>
          <w:rFonts w:ascii="Arial" w:cs="Arial" w:eastAsia="Arial" w:hAnsi="Arial"/>
          <w:sz w:val="16"/>
          <w:szCs w:val="16"/>
          <w:b w:val="1"/>
          <w:bCs w:val="1"/>
          <w:u w:val="single" w:color="auto"/>
          <w:color w:val="0000FF"/>
          <w:highlight w:val="lightGray"/>
        </w:rPr>
        <w:t>the</w:t>
      </w:r>
      <w:r>
        <w:rPr>
          <w:rFonts w:ascii="Arial" w:cs="Arial" w:eastAsia="Arial" w:hAnsi="Arial"/>
          <w:sz w:val="16"/>
          <w:szCs w:val="16"/>
          <w:color w:val="auto"/>
        </w:rPr>
        <w:t xml:space="preserve"> Borrower, </w:t>
      </w:r>
      <w:r>
        <w:rPr>
          <w:rFonts w:ascii="Arial" w:cs="Arial" w:eastAsia="Arial" w:hAnsi="Arial"/>
          <w:sz w:val="16"/>
          <w:szCs w:val="16"/>
          <w:color w:val="FF0000"/>
          <w:strike w:val="1"/>
        </w:rPr>
        <w:t>any of its</w:t>
      </w:r>
      <w:r>
        <w:rPr>
          <w:rFonts w:ascii="Arial" w:cs="Arial" w:eastAsia="Arial" w:hAnsi="Arial"/>
          <w:sz w:val="16"/>
          <w:szCs w:val="16"/>
          <w:b w:val="1"/>
          <w:bCs w:val="1"/>
          <w:u w:val="single" w:color="auto"/>
          <w:color w:val="0000FF"/>
          <w:highlight w:val="lightGray"/>
        </w:rPr>
        <w:t>the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highlight w:val="lightGray"/>
        </w:rPr>
        <w:t>REIT, any of their respective</w:t>
      </w:r>
      <w:r>
        <w:rPr>
          <w:rFonts w:ascii="Arial" w:cs="Arial" w:eastAsia="Arial" w:hAnsi="Arial"/>
          <w:sz w:val="16"/>
          <w:szCs w:val="16"/>
          <w:b w:val="1"/>
          <w:bCs w:val="1"/>
          <w:color w:val="0000FF"/>
          <w:highlight w:val="lightGray"/>
        </w:rPr>
        <w:t xml:space="preserve"> </w:t>
      </w:r>
      <w:r>
        <w:rPr>
          <w:rFonts w:ascii="Arial" w:cs="Arial" w:eastAsia="Arial" w:hAnsi="Arial"/>
          <w:sz w:val="16"/>
          <w:szCs w:val="16"/>
          <w:color w:val="000000"/>
        </w:rPr>
        <w:t>Subsidiaries or Affiliates or any other Person of any of their respective obligations under any Loan Document.</w:t>
      </w:r>
    </w:p>
    <w:p>
      <w:pPr>
        <w:spacing w:after="0" w:line="145" w:lineRule="exact"/>
        <w:rPr>
          <w:sz w:val="20"/>
          <w:szCs w:val="20"/>
          <w:color w:val="auto"/>
        </w:rPr>
      </w:pPr>
    </w:p>
    <w:p>
      <w:pPr>
        <w:jc w:val="both"/>
        <w:ind w:firstLine="1199"/>
        <w:spacing w:after="0" w:line="281"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w:t>
      </w:r>
      <w:r>
        <w:rPr>
          <w:rFonts w:ascii="Arial" w:cs="Arial" w:eastAsia="Arial" w:hAnsi="Arial"/>
          <w:sz w:val="16"/>
          <w:szCs w:val="16"/>
          <w:u w:val="single" w:color="auto"/>
          <w:color w:val="auto"/>
        </w:rPr>
        <w:t>Section 10.06(b)(iii)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of the Credit Agreement (subject to such consents, if any, as may be required under </w:t>
      </w:r>
      <w:r>
        <w:rPr>
          <w:rFonts w:ascii="Arial" w:cs="Arial" w:eastAsia="Arial" w:hAnsi="Arial"/>
          <w:sz w:val="16"/>
          <w:szCs w:val="16"/>
          <w:u w:val="single" w:color="auto"/>
          <w:color w:val="auto"/>
        </w:rPr>
        <w:t>Section 10.06(b)(iii)</w:t>
      </w:r>
      <w:r>
        <w:rPr>
          <w:rFonts w:ascii="Arial" w:cs="Arial" w:eastAsia="Arial" w:hAnsi="Arial"/>
          <w:sz w:val="16"/>
          <w:szCs w:val="16"/>
          <w:color w:val="auto"/>
        </w:rPr>
        <w:t xml:space="preserve"> 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attached hereto is any documentation required to be delivered by it pursuant to the terms of the Credit Agreement, duly completed and executed by [the][such] Assignee; and (b) agrees that (i) it will, independently and without reliance upon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50" w:lineRule="exact"/>
        <w:rPr>
          <w:sz w:val="20"/>
          <w:szCs w:val="20"/>
          <w:color w:val="auto"/>
        </w:rPr>
      </w:pPr>
    </w:p>
    <w:p>
      <w:pPr>
        <w:jc w:val="both"/>
        <w:ind w:firstLine="1199"/>
        <w:spacing w:after="0" w:line="283" w:lineRule="auto"/>
        <w:tabs>
          <w:tab w:leader="none" w:pos="1565" w:val="left"/>
        </w:tabs>
        <w:numPr>
          <w:ilvl w:val="0"/>
          <w:numId w:val="474"/>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w:t>
      </w:r>
    </w:p>
    <w:p>
      <w:pPr>
        <w:spacing w:after="0" w:line="145" w:lineRule="exact"/>
        <w:rPr>
          <w:rFonts w:ascii="Arial" w:cs="Arial" w:eastAsia="Arial" w:hAnsi="Arial"/>
          <w:sz w:val="17"/>
          <w:szCs w:val="17"/>
          <w:color w:val="auto"/>
        </w:rPr>
      </w:pPr>
    </w:p>
    <w:p>
      <w:pPr>
        <w:jc w:val="both"/>
        <w:ind w:firstLine="1199"/>
        <w:spacing w:after="0" w:line="253" w:lineRule="auto"/>
        <w:tabs>
          <w:tab w:leader="none" w:pos="1540" w:val="left"/>
        </w:tabs>
        <w:numPr>
          <w:ilvl w:val="0"/>
          <w:numId w:val="474"/>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E-1-16</w:t>
      </w:r>
    </w:p>
    <w:p>
      <w:pPr>
        <w:sectPr>
          <w:pgSz w:w="11900" w:h="16838" w:orient="portrait"/>
          <w:cols w:equalWidth="0" w:num="1">
            <w:col w:w="11420"/>
          </w:cols>
          <w:pgMar w:left="240" w:top="794" w:right="239" w:bottom="1440" w:gutter="0" w:footer="0" w:header="0"/>
        </w:sectPr>
      </w:pPr>
    </w:p>
    <w:bookmarkStart w:id="387" w:name="page388"/>
    <w:bookmarkEnd w:id="387"/>
    <w:p>
      <w:pPr>
        <w:jc w:val="right"/>
        <w:spacing w:after="0"/>
        <w:rPr>
          <w:sz w:val="20"/>
          <w:szCs w:val="20"/>
          <w:color w:val="auto"/>
        </w:rPr>
      </w:pPr>
      <w:r>
        <w:rPr>
          <w:rFonts w:ascii="Arial" w:cs="Arial" w:eastAsia="Arial" w:hAnsi="Arial"/>
          <w:sz w:val="20"/>
          <w:szCs w:val="20"/>
          <w:b w:val="1"/>
          <w:bCs w:val="1"/>
          <w:i w:val="1"/>
          <w:iCs w:val="1"/>
          <w:color w:val="auto"/>
        </w:rPr>
        <w:t>EXHIBIT E-2</w:t>
      </w:r>
    </w:p>
    <w:p>
      <w:pPr>
        <w:spacing w:after="0" w:line="101" w:lineRule="exact"/>
        <w:rPr>
          <w:sz w:val="20"/>
          <w:szCs w:val="20"/>
          <w:color w:val="auto"/>
        </w:rPr>
      </w:pPr>
    </w:p>
    <w:p>
      <w:pPr>
        <w:ind w:left="2740"/>
        <w:spacing w:after="0"/>
        <w:rPr>
          <w:sz w:val="20"/>
          <w:szCs w:val="20"/>
          <w:color w:val="auto"/>
        </w:rPr>
      </w:pPr>
      <w:r>
        <w:rPr>
          <w:rFonts w:ascii="Arial" w:cs="Arial" w:eastAsia="Arial" w:hAnsi="Arial"/>
          <w:sz w:val="20"/>
          <w:szCs w:val="20"/>
          <w:b w:val="1"/>
          <w:bCs w:val="1"/>
          <w:color w:val="auto"/>
        </w:rPr>
        <w:t>ADMINISTRATIVE QUESTIONNAIRE</w:t>
      </w:r>
    </w:p>
    <w:p>
      <w:pPr>
        <w:spacing w:after="0" w:line="200" w:lineRule="exact"/>
        <w:rPr>
          <w:sz w:val="20"/>
          <w:szCs w:val="20"/>
          <w:color w:val="auto"/>
        </w:rPr>
      </w:pPr>
    </w:p>
    <w:p>
      <w:pPr>
        <w:spacing w:after="0" w:line="213"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332"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E-2-1</w:t>
      </w:r>
    </w:p>
    <w:p>
      <w:pPr>
        <w:sectPr>
          <w:pgSz w:w="11900" w:h="16838" w:orient="portrait"/>
          <w:cols w:equalWidth="0" w:num="1">
            <w:col w:w="10220"/>
          </w:cols>
          <w:pgMar w:left="1440" w:top="795" w:right="239" w:bottom="1440" w:gutter="0" w:footer="0" w:header="0"/>
        </w:sectPr>
      </w:pPr>
    </w:p>
    <w:bookmarkStart w:id="388" w:name="page389"/>
    <w:bookmarkEnd w:id="388"/>
    <w:p>
      <w:pPr>
        <w:jc w:val="right"/>
        <w:spacing w:after="0"/>
        <w:rPr>
          <w:sz w:val="20"/>
          <w:szCs w:val="20"/>
          <w:color w:val="auto"/>
        </w:rPr>
      </w:pPr>
      <w:r>
        <w:rPr>
          <w:rFonts w:ascii="Arial" w:cs="Arial" w:eastAsia="Arial" w:hAnsi="Arial"/>
          <w:sz w:val="20"/>
          <w:szCs w:val="20"/>
          <w:b w:val="1"/>
          <w:bCs w:val="1"/>
          <w:i w:val="1"/>
          <w:iCs w:val="1"/>
          <w:color w:val="auto"/>
        </w:rPr>
        <w:t>EXHIBIT F</w:t>
      </w:r>
    </w:p>
    <w:p>
      <w:pPr>
        <w:spacing w:after="0" w:line="101" w:lineRule="exact"/>
        <w:rPr>
          <w:sz w:val="20"/>
          <w:szCs w:val="20"/>
          <w:color w:val="auto"/>
        </w:rPr>
      </w:pPr>
    </w:p>
    <w:p>
      <w:pPr>
        <w:ind w:left="3260"/>
        <w:spacing w:after="0"/>
        <w:rPr>
          <w:sz w:val="20"/>
          <w:szCs w:val="20"/>
          <w:color w:val="auto"/>
        </w:rPr>
      </w:pPr>
      <w:r>
        <w:rPr>
          <w:rFonts w:ascii="Arial" w:cs="Arial" w:eastAsia="Arial" w:hAnsi="Arial"/>
          <w:sz w:val="20"/>
          <w:szCs w:val="20"/>
          <w:b w:val="1"/>
          <w:bCs w:val="1"/>
          <w:color w:val="auto"/>
        </w:rPr>
        <w:t>GUARANTY AGREEMENT</w:t>
      </w:r>
    </w:p>
    <w:p>
      <w:pPr>
        <w:spacing w:after="0" w:line="200" w:lineRule="exact"/>
        <w:rPr>
          <w:sz w:val="20"/>
          <w:szCs w:val="20"/>
          <w:color w:val="auto"/>
        </w:rPr>
      </w:pPr>
    </w:p>
    <w:p>
      <w:pPr>
        <w:spacing w:after="0" w:line="213"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332"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F-1</w:t>
      </w:r>
    </w:p>
    <w:p>
      <w:pPr>
        <w:sectPr>
          <w:pgSz w:w="11900" w:h="16838" w:orient="portrait"/>
          <w:cols w:equalWidth="0" w:num="1">
            <w:col w:w="10220"/>
          </w:cols>
          <w:pgMar w:left="1440" w:top="794" w:right="239" w:bottom="1440" w:gutter="0" w:footer="0" w:header="0"/>
        </w:sectPr>
      </w:pPr>
    </w:p>
    <w:bookmarkStart w:id="389" w:name="page390"/>
    <w:bookmarkEnd w:id="389"/>
    <w:p>
      <w:pPr>
        <w:jc w:val="right"/>
        <w:spacing w:after="0"/>
        <w:rPr>
          <w:sz w:val="20"/>
          <w:szCs w:val="20"/>
          <w:color w:val="auto"/>
        </w:rPr>
      </w:pPr>
      <w:r>
        <w:rPr>
          <w:rFonts w:ascii="Arial" w:cs="Arial" w:eastAsia="Arial" w:hAnsi="Arial"/>
          <w:sz w:val="20"/>
          <w:szCs w:val="20"/>
          <w:b w:val="1"/>
          <w:bCs w:val="1"/>
          <w:i w:val="1"/>
          <w:iCs w:val="1"/>
          <w:color w:val="auto"/>
        </w:rPr>
        <w:t>EXHIBIT 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SOLVENCY CERTIFICATE</w:t>
      </w:r>
    </w:p>
    <w:p>
      <w:pPr>
        <w:spacing w:after="0" w:line="197" w:lineRule="exact"/>
        <w:rPr>
          <w:sz w:val="20"/>
          <w:szCs w:val="20"/>
          <w:color w:val="auto"/>
        </w:rPr>
      </w:pPr>
    </w:p>
    <w:p>
      <w:pPr>
        <w:ind w:firstLine="1199"/>
        <w:spacing w:after="0" w:line="276" w:lineRule="auto"/>
        <w:rPr>
          <w:sz w:val="20"/>
          <w:szCs w:val="20"/>
          <w:color w:val="auto"/>
        </w:rPr>
      </w:pPr>
      <w:r>
        <w:rPr>
          <w:rFonts w:ascii="Arial" w:cs="Arial" w:eastAsia="Arial" w:hAnsi="Arial"/>
          <w:sz w:val="18"/>
          <w:szCs w:val="18"/>
          <w:color w:val="auto"/>
        </w:rPr>
        <w:t>I, the undersigned, chief financial officer of AMERICAN ASSETS TRUST, INC., a Maryland corporation (the “</w:t>
      </w:r>
      <w:r>
        <w:rPr>
          <w:rFonts w:ascii="Arial" w:cs="Arial" w:eastAsia="Arial" w:hAnsi="Arial"/>
          <w:sz w:val="18"/>
          <w:szCs w:val="18"/>
          <w:u w:val="single" w:color="auto"/>
          <w:color w:val="auto"/>
        </w:rPr>
        <w:t>REIT</w:t>
      </w:r>
      <w:r>
        <w:rPr>
          <w:rFonts w:ascii="Arial" w:cs="Arial" w:eastAsia="Arial" w:hAnsi="Arial"/>
          <w:sz w:val="18"/>
          <w:szCs w:val="18"/>
          <w:color w:val="auto"/>
        </w:rPr>
        <w:t>”), DO HEREBY CERTIFY on behalf of the Loan Parties, in my capacity as a Responsible Officer of the REIT (and not in any individual capacity), that:</w:t>
      </w:r>
    </w:p>
    <w:p>
      <w:pPr>
        <w:spacing w:after="0" w:line="148" w:lineRule="exact"/>
        <w:rPr>
          <w:sz w:val="20"/>
          <w:szCs w:val="20"/>
          <w:color w:val="auto"/>
        </w:rPr>
      </w:pPr>
    </w:p>
    <w:p>
      <w:pPr>
        <w:jc w:val="both"/>
        <w:ind w:firstLine="1199"/>
        <w:spacing w:after="0" w:line="256" w:lineRule="auto"/>
        <w:tabs>
          <w:tab w:leader="none" w:pos="1515" w:val="left"/>
        </w:tabs>
        <w:numPr>
          <w:ilvl w:val="0"/>
          <w:numId w:val="475"/>
        </w:numPr>
        <w:rPr>
          <w:rFonts w:ascii="Arial" w:cs="Arial" w:eastAsia="Arial" w:hAnsi="Arial"/>
          <w:sz w:val="18"/>
          <w:szCs w:val="18"/>
          <w:color w:val="auto"/>
        </w:rPr>
      </w:pPr>
      <w:r>
        <w:rPr>
          <w:rFonts w:ascii="Arial" w:cs="Arial" w:eastAsia="Arial" w:hAnsi="Arial"/>
          <w:sz w:val="18"/>
          <w:szCs w:val="18"/>
          <w:color w:val="auto"/>
        </w:rPr>
        <w:t xml:space="preserve">This certificate is furnished pursuant to </w:t>
      </w:r>
      <w:r>
        <w:rPr>
          <w:rFonts w:ascii="Arial" w:cs="Arial" w:eastAsia="Arial" w:hAnsi="Arial"/>
          <w:sz w:val="18"/>
          <w:szCs w:val="18"/>
          <w:u w:val="single" w:color="auto"/>
          <w:color w:val="auto"/>
        </w:rPr>
        <w:t>Section 4.01(a)(x)</w:t>
      </w:r>
      <w:r>
        <w:rPr>
          <w:rFonts w:ascii="Arial" w:cs="Arial" w:eastAsia="Arial" w:hAnsi="Arial"/>
          <w:sz w:val="18"/>
          <w:szCs w:val="18"/>
          <w:color w:val="auto"/>
        </w:rPr>
        <w:t xml:space="preserve"> of the Term Loan Agreement, (as in effect on the date of this certificate; the capitalized terms defined therein being used herein as therein defined) dated as of March 1, 2016 among the REIT, American Assets Trust, L.P., a Maryland limited partnership (the “</w:t>
      </w:r>
      <w:r>
        <w:rPr>
          <w:rFonts w:ascii="Arial" w:cs="Arial" w:eastAsia="Arial" w:hAnsi="Arial"/>
          <w:sz w:val="18"/>
          <w:szCs w:val="18"/>
          <w:u w:val="single" w:color="auto"/>
          <w:color w:val="auto"/>
        </w:rPr>
        <w:t>Borrower</w:t>
      </w:r>
      <w:r>
        <w:rPr>
          <w:rFonts w:ascii="Arial" w:cs="Arial" w:eastAsia="Arial" w:hAnsi="Arial"/>
          <w:sz w:val="18"/>
          <w:szCs w:val="18"/>
          <w:color w:val="auto"/>
        </w:rPr>
        <w:t>”), U.S. Bank National Association, as Administrative Agent and the Lenders party thereto (as from time to time in effect,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jc w:val="both"/>
        <w:ind w:firstLine="1199"/>
        <w:spacing w:after="0" w:line="261" w:lineRule="auto"/>
        <w:tabs>
          <w:tab w:leader="none" w:pos="1553" w:val="left"/>
        </w:tabs>
        <w:numPr>
          <w:ilvl w:val="0"/>
          <w:numId w:val="475"/>
        </w:numPr>
        <w:rPr>
          <w:rFonts w:ascii="Arial" w:cs="Arial" w:eastAsia="Arial" w:hAnsi="Arial"/>
          <w:sz w:val="18"/>
          <w:szCs w:val="18"/>
          <w:color w:val="auto"/>
        </w:rPr>
      </w:pPr>
      <w:r>
        <w:rPr>
          <w:rFonts w:ascii="Arial" w:cs="Arial" w:eastAsia="Arial" w:hAnsi="Arial"/>
          <w:sz w:val="18"/>
          <w:szCs w:val="18"/>
          <w:color w:val="auto"/>
        </w:rPr>
        <w:t>Immediately following the consummation of the transactions contemplated by the Credit Agreement and immediately following the making of each Term Loan, if any, on the date hereof and after giving effect to the application of the proceeds of each such Term Loan, the REIT and its Consolidated Subsidiaries, on a consolidated basis, are Solvent.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Follows]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G-1</w:t>
      </w:r>
    </w:p>
    <w:p>
      <w:pPr>
        <w:sectPr>
          <w:pgSz w:w="11900" w:h="16838" w:orient="portrait"/>
          <w:cols w:equalWidth="0" w:num="1">
            <w:col w:w="11420"/>
          </w:cols>
          <w:pgMar w:left="240" w:top="795" w:right="239" w:bottom="1440" w:gutter="0" w:footer="0" w:header="0"/>
        </w:sectPr>
      </w:pPr>
    </w:p>
    <w:bookmarkStart w:id="390" w:name="page391"/>
    <w:bookmarkEnd w:id="390"/>
    <w:p>
      <w:pPr>
        <w:spacing w:after="0"/>
        <w:rPr>
          <w:sz w:val="20"/>
          <w:szCs w:val="20"/>
          <w:color w:val="auto"/>
        </w:rPr>
      </w:pPr>
      <w:r>
        <w:rPr>
          <w:rFonts w:ascii="Arial" w:cs="Arial" w:eastAsia="Arial" w:hAnsi="Arial"/>
          <w:sz w:val="20"/>
          <w:szCs w:val="20"/>
          <w:color w:val="auto"/>
        </w:rPr>
        <w:t>IN WITNESS WHEREOF, I have hereunto set my hand this ___ day of ___________, 2016.</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AMERICAN ASSETS TRUST, INC.</w:t>
      </w:r>
    </w:p>
    <w:p>
      <w:pPr>
        <w:spacing w:after="0" w:line="351"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24765</wp:posOffset>
            </wp:positionV>
            <wp:extent cx="184023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840230" cy="7620"/>
                    </a:xfrm>
                    <a:prstGeom prst="rect">
                      <a:avLst/>
                    </a:prstGeom>
                    <a:noFill/>
                  </pic:spPr>
                </pic:pic>
              </a:graphicData>
            </a:graphic>
          </wp:anchor>
        </w:drawing>
      </w:r>
    </w:p>
    <w:p>
      <w:pPr>
        <w:spacing w:after="0" w:line="25"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Name:</w:t>
      </w:r>
    </w:p>
    <w:p>
      <w:pPr>
        <w:spacing w:after="0" w:line="45" w:lineRule="exact"/>
        <w:rPr>
          <w:sz w:val="20"/>
          <w:szCs w:val="20"/>
          <w:color w:val="auto"/>
        </w:rPr>
      </w:pPr>
    </w:p>
    <w:p>
      <w:pPr>
        <w:ind w:left="6660"/>
        <w:spacing w:after="0"/>
        <w:tabs>
          <w:tab w:leader="none" w:pos="7340" w:val="left"/>
        </w:tabs>
        <w:rPr>
          <w:sz w:val="20"/>
          <w:szCs w:val="20"/>
          <w:color w:val="auto"/>
        </w:rPr>
      </w:pPr>
      <w:r>
        <w:rPr>
          <w:rFonts w:ascii="Arial" w:cs="Arial" w:eastAsia="Arial" w:hAnsi="Arial"/>
          <w:sz w:val="20"/>
          <w:szCs w:val="20"/>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G-2</w:t>
      </w:r>
    </w:p>
    <w:p>
      <w:pPr>
        <w:sectPr>
          <w:pgSz w:w="11900" w:h="16838" w:orient="portrait"/>
          <w:cols w:equalWidth="0" w:num="1">
            <w:col w:w="9780"/>
          </w:cols>
          <w:pgMar w:left="1440" w:top="795" w:right="679" w:bottom="1440" w:gutter="0" w:footer="0" w:header="0"/>
        </w:sectPr>
      </w:pPr>
    </w:p>
    <w:bookmarkStart w:id="391" w:name="page392"/>
    <w:bookmarkEnd w:id="391"/>
    <w:p>
      <w:pPr>
        <w:jc w:val="right"/>
        <w:spacing w:after="0"/>
        <w:rPr>
          <w:sz w:val="20"/>
          <w:szCs w:val="20"/>
          <w:color w:val="auto"/>
        </w:rPr>
      </w:pPr>
      <w:r>
        <w:rPr>
          <w:rFonts w:ascii="Arial" w:cs="Arial" w:eastAsia="Arial" w:hAnsi="Arial"/>
          <w:sz w:val="20"/>
          <w:szCs w:val="20"/>
          <w:b w:val="1"/>
          <w:bCs w:val="1"/>
          <w:i w:val="1"/>
          <w:iCs w:val="1"/>
          <w:color w:val="auto"/>
        </w:rPr>
        <w:t>EXHIBIT H-1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 COMPLIANCE CERTIFICATE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Not Partnerships For U.S. Federal Income Tax Purposes)</w:t>
      </w:r>
    </w:p>
    <w:p>
      <w:pPr>
        <w:spacing w:after="0" w:line="191" w:lineRule="exact"/>
        <w:rPr>
          <w:sz w:val="20"/>
          <w:szCs w:val="20"/>
          <w:color w:val="auto"/>
        </w:rPr>
      </w:pPr>
    </w:p>
    <w:p>
      <w:pPr>
        <w:jc w:val="both"/>
        <w:ind w:firstLine="1199"/>
        <w:spacing w:after="0" w:line="293" w:lineRule="auto"/>
        <w:rPr>
          <w:sz w:val="20"/>
          <w:szCs w:val="20"/>
          <w:color w:val="auto"/>
        </w:rPr>
      </w:pPr>
      <w:r>
        <w:rPr>
          <w:rFonts w:ascii="Arial" w:cs="Arial" w:eastAsia="Arial" w:hAnsi="Arial"/>
          <w:sz w:val="18"/>
          <w:szCs w:val="18"/>
          <w:color w:val="auto"/>
        </w:rPr>
        <w:t>Reference is made to the Term Loan Agreement dated as of March 1, 2016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AMERICAN ASSETS TRUST, INC., a Maryland corporation, AMERICAN ASSETS TRUST, L.P., a Maryland limited partnership (the “</w:t>
      </w:r>
      <w:r>
        <w:rPr>
          <w:rFonts w:ascii="Arial" w:cs="Arial" w:eastAsia="Arial" w:hAnsi="Arial"/>
          <w:sz w:val="18"/>
          <w:szCs w:val="18"/>
          <w:u w:val="single" w:color="auto"/>
          <w:color w:val="auto"/>
        </w:rPr>
        <w:t>Borrower</w:t>
      </w:r>
      <w:r>
        <w:rPr>
          <w:rFonts w:ascii="Arial" w:cs="Arial" w:eastAsia="Arial" w:hAnsi="Arial"/>
          <w:sz w:val="18"/>
          <w:szCs w:val="18"/>
          <w:color w:val="auto"/>
        </w:rPr>
        <w:t>”), U.S. BANK NATIONAL ASSOCIATION, as Administrative Agent, and the Lenders party thereto. Capitalized terms used herein but not otherwise defined shall have the meaning given to such term in the Agreement.</w:t>
      </w:r>
    </w:p>
    <w:p>
      <w:pPr>
        <w:spacing w:after="0" w:line="138" w:lineRule="exact"/>
        <w:rPr>
          <w:sz w:val="20"/>
          <w:szCs w:val="20"/>
          <w:color w:val="auto"/>
        </w:rPr>
      </w:pPr>
    </w:p>
    <w:p>
      <w:pPr>
        <w:jc w:val="both"/>
        <w:ind w:firstLine="1199"/>
        <w:spacing w:after="0" w:line="253" w:lineRule="auto"/>
        <w:rPr>
          <w:sz w:val="20"/>
          <w:szCs w:val="20"/>
          <w:color w:val="auto"/>
        </w:rPr>
      </w:pPr>
      <w:r>
        <w:rPr>
          <w:rFonts w:ascii="Arial" w:cs="Arial" w:eastAsia="Arial" w:hAnsi="Arial"/>
          <w:sz w:val="20"/>
          <w:szCs w:val="20"/>
          <w:color w:val="auto"/>
        </w:rPr>
        <w:t xml:space="preserve">Pursuant to the provisions of </w:t>
      </w:r>
      <w:r>
        <w:rPr>
          <w:rFonts w:ascii="Arial" w:cs="Arial" w:eastAsia="Arial" w:hAnsi="Arial"/>
          <w:sz w:val="20"/>
          <w:szCs w:val="20"/>
          <w:u w:val="single" w:color="auto"/>
          <w:color w:val="auto"/>
        </w:rPr>
        <w:t>Section 3.01(e)</w:t>
      </w:r>
      <w:r>
        <w:rPr>
          <w:rFonts w:ascii="Arial" w:cs="Arial" w:eastAsia="Arial" w:hAnsi="Arial"/>
          <w:sz w:val="20"/>
          <w:szCs w:val="20"/>
          <w:color w:val="auto"/>
        </w:rPr>
        <w:t xml:space="preserve"> of the Credit Agreement, the undersigned hereby certifies that (i) it is the sole record and beneficial owner of the Term Loan(s) (as well as any Term Note(s) evidencing such Term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74" w:lineRule="exact"/>
        <w:rPr>
          <w:sz w:val="20"/>
          <w:szCs w:val="20"/>
          <w:color w:val="auto"/>
        </w:rPr>
      </w:pPr>
    </w:p>
    <w:p>
      <w:pPr>
        <w:jc w:val="both"/>
        <w:ind w:firstLine="1199"/>
        <w:spacing w:after="0" w:line="252" w:lineRule="auto"/>
        <w:rPr>
          <w:sz w:val="20"/>
          <w:szCs w:val="20"/>
          <w:color w:val="auto"/>
        </w:rPr>
      </w:pPr>
      <w:r>
        <w:rPr>
          <w:rFonts w:ascii="Arial" w:cs="Arial" w:eastAsia="Arial" w:hAnsi="Arial"/>
          <w:sz w:val="20"/>
          <w:szCs w:val="20"/>
          <w:color w:val="auto"/>
        </w:rPr>
        <w:t>The undersigned has furnished the Administrative Agent and the Borrower with a certificate of its non-U.S. Person status on IRS Form W-8BEN or IRS Form W-8BEN-E</w:t>
      </w:r>
      <w:r>
        <w:rPr>
          <w:rFonts w:ascii="Arial" w:cs="Arial" w:eastAsia="Arial" w:hAnsi="Arial"/>
          <w:sz w:val="20"/>
          <w:szCs w:val="20"/>
          <w:b w:val="1"/>
          <w:bCs w:val="1"/>
          <w:u w:val="single" w:color="auto"/>
          <w:color w:val="0000FF"/>
          <w:highlight w:val="lightGray"/>
        </w:rPr>
        <w:t>, as applicable</w:t>
      </w:r>
      <w:r>
        <w:rPr>
          <w:rFonts w:ascii="Arial" w:cs="Arial" w:eastAsia="Arial" w:hAnsi="Arial"/>
          <w:sz w:val="20"/>
          <w:szCs w:val="20"/>
          <w:color w:val="auto"/>
        </w:rPr>
        <w:t>.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in writing with a properly completed and currently effective certificate in either the calendar year in which each payment is to be made to the undersigned, or in either of the two calendar years preceding such payments.</w:t>
      </w:r>
    </w:p>
    <w:p>
      <w:pPr>
        <w:spacing w:after="0" w:line="312"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 OF LENDER]</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 _______________________</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Name: ________________________</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Title: ________________________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U.S. Tax Compliance Certificate</w:t>
      </w:r>
    </w:p>
    <w:p>
      <w:pPr>
        <w:sectPr>
          <w:pgSz w:w="11900" w:h="16838" w:orient="portrait"/>
          <w:cols w:equalWidth="0" w:num="1">
            <w:col w:w="11420"/>
          </w:cols>
          <w:pgMar w:left="240" w:top="794" w:right="239" w:bottom="1440" w:gutter="0" w:footer="0" w:header="0"/>
        </w:sectPr>
      </w:pPr>
    </w:p>
    <w:bookmarkStart w:id="392" w:name="page393"/>
    <w:bookmarkEnd w:id="392"/>
    <w:p>
      <w:pPr>
        <w:jc w:val="right"/>
        <w:spacing w:after="0"/>
        <w:rPr>
          <w:sz w:val="20"/>
          <w:szCs w:val="20"/>
          <w:color w:val="auto"/>
        </w:rPr>
      </w:pPr>
      <w:r>
        <w:rPr>
          <w:rFonts w:ascii="Arial" w:cs="Arial" w:eastAsia="Arial" w:hAnsi="Arial"/>
          <w:sz w:val="20"/>
          <w:szCs w:val="20"/>
          <w:b w:val="1"/>
          <w:bCs w:val="1"/>
          <w:i w:val="1"/>
          <w:iCs w:val="1"/>
          <w:color w:val="auto"/>
        </w:rPr>
        <w:t>EXHIBIT H-2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 COMPLIANCE CERTIFICATE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Participants That Are Not Partnerships For U.S. Federal Income Tax Purposes)</w:t>
      </w:r>
    </w:p>
    <w:p>
      <w:pPr>
        <w:spacing w:after="0" w:line="191" w:lineRule="exact"/>
        <w:rPr>
          <w:sz w:val="20"/>
          <w:szCs w:val="20"/>
          <w:color w:val="auto"/>
        </w:rPr>
      </w:pPr>
    </w:p>
    <w:p>
      <w:pPr>
        <w:jc w:val="both"/>
        <w:ind w:firstLine="1199"/>
        <w:spacing w:after="0" w:line="293" w:lineRule="auto"/>
        <w:rPr>
          <w:sz w:val="20"/>
          <w:szCs w:val="20"/>
          <w:color w:val="auto"/>
        </w:rPr>
      </w:pPr>
      <w:r>
        <w:rPr>
          <w:rFonts w:ascii="Arial" w:cs="Arial" w:eastAsia="Arial" w:hAnsi="Arial"/>
          <w:sz w:val="18"/>
          <w:szCs w:val="18"/>
          <w:color w:val="auto"/>
        </w:rPr>
        <w:t>Reference is made to the Term Loan Agreement dated as of March 1, 2016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AMERICAN ASSETS TRUST, INC., a Maryland corporation, AMERICAN ASSETS TRUST, L.P., a Maryland limited partnership (the “</w:t>
      </w:r>
      <w:r>
        <w:rPr>
          <w:rFonts w:ascii="Arial" w:cs="Arial" w:eastAsia="Arial" w:hAnsi="Arial"/>
          <w:sz w:val="18"/>
          <w:szCs w:val="18"/>
          <w:u w:val="single" w:color="auto"/>
          <w:color w:val="auto"/>
        </w:rPr>
        <w:t>Borrower</w:t>
      </w:r>
      <w:r>
        <w:rPr>
          <w:rFonts w:ascii="Arial" w:cs="Arial" w:eastAsia="Arial" w:hAnsi="Arial"/>
          <w:sz w:val="18"/>
          <w:szCs w:val="18"/>
          <w:color w:val="auto"/>
        </w:rPr>
        <w:t>”), U.S. BANK NATIONAL ASSOCIATION, as Administrative Agent, and the Lenders party thereto. Capitalized terms used herein but not otherwise defined shall have the meaning given to such term in the Agreement.</w:t>
      </w:r>
    </w:p>
    <w:p>
      <w:pPr>
        <w:spacing w:after="0" w:line="138" w:lineRule="exact"/>
        <w:rPr>
          <w:sz w:val="20"/>
          <w:szCs w:val="20"/>
          <w:color w:val="auto"/>
        </w:rPr>
      </w:pPr>
    </w:p>
    <w:p>
      <w:pPr>
        <w:jc w:val="both"/>
        <w:ind w:firstLine="1199"/>
        <w:spacing w:after="0" w:line="253" w:lineRule="auto"/>
        <w:rPr>
          <w:sz w:val="20"/>
          <w:szCs w:val="20"/>
          <w:color w:val="auto"/>
        </w:rPr>
      </w:pPr>
      <w:r>
        <w:rPr>
          <w:rFonts w:ascii="Arial" w:cs="Arial" w:eastAsia="Arial" w:hAnsi="Arial"/>
          <w:sz w:val="20"/>
          <w:szCs w:val="20"/>
          <w:color w:val="auto"/>
        </w:rPr>
        <w:t xml:space="preserve">Pursuant to the provisions of </w:t>
      </w:r>
      <w:r>
        <w:rPr>
          <w:rFonts w:ascii="Arial" w:cs="Arial" w:eastAsia="Arial" w:hAnsi="Arial"/>
          <w:sz w:val="20"/>
          <w:szCs w:val="20"/>
          <w:u w:val="single" w:color="auto"/>
          <w:color w:val="auto"/>
        </w:rPr>
        <w:t>Section 3.01(e)</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10.06(d)</w:t>
      </w:r>
      <w:r>
        <w:rPr>
          <w:rFonts w:ascii="Arial" w:cs="Arial" w:eastAsia="Arial" w:hAnsi="Arial"/>
          <w:sz w:val="20"/>
          <w:szCs w:val="20"/>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a Borrower as described in Section 881(c)(3)(C) of the Code.</w:t>
      </w:r>
    </w:p>
    <w:p>
      <w:pPr>
        <w:spacing w:after="0" w:line="174" w:lineRule="exact"/>
        <w:rPr>
          <w:sz w:val="20"/>
          <w:szCs w:val="20"/>
          <w:color w:val="auto"/>
        </w:rPr>
      </w:pPr>
    </w:p>
    <w:p>
      <w:pPr>
        <w:jc w:val="both"/>
        <w:ind w:firstLine="1199"/>
        <w:spacing w:after="0" w:line="253" w:lineRule="auto"/>
        <w:rPr>
          <w:sz w:val="20"/>
          <w:szCs w:val="20"/>
          <w:color w:val="auto"/>
        </w:rPr>
      </w:pPr>
      <w:r>
        <w:rPr>
          <w:rFonts w:ascii="Arial" w:cs="Arial" w:eastAsia="Arial" w:hAnsi="Arial"/>
          <w:sz w:val="20"/>
          <w:szCs w:val="20"/>
          <w:color w:val="auto"/>
        </w:rPr>
        <w:t>The undersigned has furnished its participating Lender with a certificate of its non-U.S. Person status on IRS Form W-8BEN or IRS Form W-8BEN-E</w:t>
      </w:r>
      <w:r>
        <w:rPr>
          <w:rFonts w:ascii="Arial" w:cs="Arial" w:eastAsia="Arial" w:hAnsi="Arial"/>
          <w:sz w:val="20"/>
          <w:szCs w:val="20"/>
          <w:b w:val="1"/>
          <w:bCs w:val="1"/>
          <w:u w:val="single" w:color="auto"/>
          <w:color w:val="0000FF"/>
          <w:highlight w:val="lightGray"/>
        </w:rPr>
        <w:t>, as applicable</w:t>
      </w:r>
      <w:r>
        <w:rPr>
          <w:rFonts w:ascii="Arial" w:cs="Arial" w:eastAsia="Arial" w:hAnsi="Arial"/>
          <w:sz w:val="20"/>
          <w:szCs w:val="20"/>
          <w:color w:val="auto"/>
        </w:rPr>
        <w:t>.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312"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 OF PARTICIPANT]</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 _______________________</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Name: ________________________</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Title: ________________________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U.S. Tax Compliance Certificate</w:t>
      </w:r>
    </w:p>
    <w:p>
      <w:pPr>
        <w:sectPr>
          <w:pgSz w:w="11900" w:h="16838" w:orient="portrait"/>
          <w:cols w:equalWidth="0" w:num="1">
            <w:col w:w="11420"/>
          </w:cols>
          <w:pgMar w:left="240" w:top="795" w:right="239" w:bottom="1440" w:gutter="0" w:footer="0" w:header="0"/>
        </w:sectPr>
      </w:pPr>
    </w:p>
    <w:bookmarkStart w:id="393" w:name="page394"/>
    <w:bookmarkEnd w:id="393"/>
    <w:p>
      <w:pPr>
        <w:jc w:val="right"/>
        <w:spacing w:after="0"/>
        <w:rPr>
          <w:sz w:val="20"/>
          <w:szCs w:val="20"/>
          <w:color w:val="auto"/>
        </w:rPr>
      </w:pPr>
      <w:r>
        <w:rPr>
          <w:rFonts w:ascii="Arial" w:cs="Arial" w:eastAsia="Arial" w:hAnsi="Arial"/>
          <w:sz w:val="20"/>
          <w:szCs w:val="20"/>
          <w:b w:val="1"/>
          <w:bCs w:val="1"/>
          <w:i w:val="1"/>
          <w:iCs w:val="1"/>
          <w:color w:val="auto"/>
        </w:rPr>
        <w:t>EXHIBIT H-3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 COMPLIANCE CERTIFICATE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Participants That Are Partnerships For U.S. Federal Income Tax Purposes)</w:t>
      </w:r>
    </w:p>
    <w:p>
      <w:pPr>
        <w:spacing w:after="0" w:line="191" w:lineRule="exact"/>
        <w:rPr>
          <w:sz w:val="20"/>
          <w:szCs w:val="20"/>
          <w:color w:val="auto"/>
        </w:rPr>
      </w:pPr>
    </w:p>
    <w:p>
      <w:pPr>
        <w:jc w:val="both"/>
        <w:ind w:firstLine="1199"/>
        <w:spacing w:after="0" w:line="293" w:lineRule="auto"/>
        <w:rPr>
          <w:sz w:val="20"/>
          <w:szCs w:val="20"/>
          <w:color w:val="auto"/>
        </w:rPr>
      </w:pPr>
      <w:r>
        <w:rPr>
          <w:rFonts w:ascii="Arial" w:cs="Arial" w:eastAsia="Arial" w:hAnsi="Arial"/>
          <w:sz w:val="18"/>
          <w:szCs w:val="18"/>
          <w:color w:val="auto"/>
        </w:rPr>
        <w:t>Reference is made to the Term Loan Agreement dated as of March 1, 2016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AMERICAN ASSETS TRUST, INC., a Maryland corporation, AMERICAN ASSETS TRUST, L.P., a Maryland limited partnership (the “</w:t>
      </w:r>
      <w:r>
        <w:rPr>
          <w:rFonts w:ascii="Arial" w:cs="Arial" w:eastAsia="Arial" w:hAnsi="Arial"/>
          <w:sz w:val="18"/>
          <w:szCs w:val="18"/>
          <w:u w:val="single" w:color="auto"/>
          <w:color w:val="auto"/>
        </w:rPr>
        <w:t>Borrower</w:t>
      </w:r>
      <w:r>
        <w:rPr>
          <w:rFonts w:ascii="Arial" w:cs="Arial" w:eastAsia="Arial" w:hAnsi="Arial"/>
          <w:sz w:val="18"/>
          <w:szCs w:val="18"/>
          <w:color w:val="auto"/>
        </w:rPr>
        <w:t>”), U.S. BANK NATIONAL ASSOCIATION, as Administrative Agent, and the Lenders party thereto. Capitalized terms used herein but not otherwise defined shall have the meaning given to such term in the Agreement.</w:t>
      </w:r>
    </w:p>
    <w:p>
      <w:pPr>
        <w:spacing w:after="0" w:line="138" w:lineRule="exact"/>
        <w:rPr>
          <w:sz w:val="20"/>
          <w:szCs w:val="20"/>
          <w:color w:val="auto"/>
        </w:rPr>
      </w:pPr>
    </w:p>
    <w:p>
      <w:pPr>
        <w:jc w:val="both"/>
        <w:ind w:firstLine="1199"/>
        <w:spacing w:after="0" w:line="284"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10.06(d)</w:t>
      </w:r>
      <w:r>
        <w:rPr>
          <w:rFonts w:ascii="Arial" w:cs="Arial" w:eastAsia="Arial" w:hAnsi="Arial"/>
          <w:sz w:val="18"/>
          <w:szCs w:val="18"/>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a Borrower as described in Section 881(c)(3)(C) of the Code.</w:t>
      </w:r>
    </w:p>
    <w:p>
      <w:pPr>
        <w:spacing w:after="0" w:line="146" w:lineRule="exact"/>
        <w:rPr>
          <w:sz w:val="20"/>
          <w:szCs w:val="20"/>
          <w:color w:val="auto"/>
        </w:rPr>
      </w:pPr>
    </w:p>
    <w:p>
      <w:pPr>
        <w:jc w:val="both"/>
        <w:ind w:firstLine="1199"/>
        <w:spacing w:after="0" w:line="284" w:lineRule="auto"/>
        <w:rPr>
          <w:sz w:val="20"/>
          <w:szCs w:val="20"/>
          <w:color w:val="auto"/>
        </w:rPr>
      </w:pPr>
      <w:r>
        <w:rPr>
          <w:rFonts w:ascii="Arial" w:cs="Arial" w:eastAsia="Arial" w:hAnsi="Arial"/>
          <w:sz w:val="18"/>
          <w:szCs w:val="18"/>
          <w:color w:val="auto"/>
        </w:rPr>
        <w:t xml:space="preserve">The undersigned has furnished its participating Lender with IRS Form W-8IMY accompanied by one of the following forms from each of its partners/members that is claiming the portfolio interest exemption: (i) an IRS Form W-8BEN or IRS Form W-8BEN-E, as applicable or (ii) an IRS Form W-8IMY accompanied by an IRS Form W-8BEN or IRS Form W-8BEN-E, as </w:t>
      </w:r>
      <w:r>
        <w:rPr>
          <w:rFonts w:ascii="Arial" w:cs="Arial" w:eastAsia="Arial" w:hAnsi="Arial"/>
          <w:sz w:val="18"/>
          <w:szCs w:val="18"/>
          <w:color w:val="FF0000"/>
          <w:strike w:val="1"/>
        </w:rPr>
        <w:t>appliable</w:t>
      </w:r>
      <w:r>
        <w:rPr>
          <w:rFonts w:ascii="Arial" w:cs="Arial" w:eastAsia="Arial" w:hAnsi="Arial"/>
          <w:sz w:val="18"/>
          <w:szCs w:val="18"/>
          <w:b w:val="1"/>
          <w:bCs w:val="1"/>
          <w:u w:val="single" w:color="auto"/>
          <w:color w:val="0000FF"/>
          <w:highlight w:val="lightGray"/>
        </w:rPr>
        <w:t>applicable</w:t>
      </w:r>
      <w:r>
        <w:rPr>
          <w:rFonts w:ascii="Arial" w:cs="Arial" w:eastAsia="Arial" w:hAnsi="Arial"/>
          <w:sz w:val="18"/>
          <w:szCs w:val="18"/>
          <w:color w:val="auto"/>
        </w:rPr>
        <w:t xml:space="preserv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H-3-1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U.S. Tax Compliance Certificate</w:t>
      </w:r>
    </w:p>
    <w:p>
      <w:pPr>
        <w:sectPr>
          <w:pgSz w:w="11900" w:h="16838" w:orient="portrait"/>
          <w:cols w:equalWidth="0" w:num="1">
            <w:col w:w="11420"/>
          </w:cols>
          <w:pgMar w:left="240" w:top="795" w:right="239" w:bottom="1440" w:gutter="0" w:footer="0" w:header="0"/>
        </w:sectPr>
      </w:pPr>
    </w:p>
    <w:bookmarkStart w:id="394" w:name="page395"/>
    <w:bookmarkEnd w:id="394"/>
    <w:p>
      <w:pPr>
        <w:ind w:left="20"/>
        <w:spacing w:after="0"/>
        <w:rPr>
          <w:sz w:val="20"/>
          <w:szCs w:val="20"/>
          <w:color w:val="auto"/>
        </w:rPr>
      </w:pPr>
      <w:r>
        <w:rPr>
          <w:rFonts w:ascii="Arial" w:cs="Arial" w:eastAsia="Arial" w:hAnsi="Arial"/>
          <w:sz w:val="20"/>
          <w:szCs w:val="20"/>
          <w:color w:val="auto"/>
        </w:rPr>
        <w:t>[NAME OF PARTICIPANT]</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 _______________________</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Name: ________________________</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Title: ________________________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H-3-2</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U.S. Tax Compliance Certificate</w:t>
      </w:r>
    </w:p>
    <w:p>
      <w:pPr>
        <w:sectPr>
          <w:pgSz w:w="11900" w:h="16838" w:orient="portrait"/>
          <w:cols w:equalWidth="0" w:num="1">
            <w:col w:w="10219"/>
          </w:cols>
          <w:pgMar w:left="240" w:top="932" w:right="1440" w:bottom="1440" w:gutter="0" w:footer="0" w:header="0"/>
        </w:sectPr>
      </w:pPr>
    </w:p>
    <w:bookmarkStart w:id="395" w:name="page396"/>
    <w:bookmarkEnd w:id="395"/>
    <w:p>
      <w:pPr>
        <w:jc w:val="right"/>
        <w:spacing w:after="0"/>
        <w:rPr>
          <w:sz w:val="20"/>
          <w:szCs w:val="20"/>
          <w:color w:val="auto"/>
        </w:rPr>
      </w:pPr>
      <w:r>
        <w:rPr>
          <w:rFonts w:ascii="Arial" w:cs="Arial" w:eastAsia="Arial" w:hAnsi="Arial"/>
          <w:sz w:val="20"/>
          <w:szCs w:val="20"/>
          <w:b w:val="1"/>
          <w:bCs w:val="1"/>
          <w:i w:val="1"/>
          <w:iCs w:val="1"/>
          <w:color w:val="auto"/>
        </w:rPr>
        <w:t>EXHIBIT H-4</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 COMPLIANCE CERTIFICATE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Partnerships For U.S. Federal Income Tax Purposes)</w:t>
      </w:r>
    </w:p>
    <w:p>
      <w:pPr>
        <w:spacing w:after="0" w:line="191" w:lineRule="exact"/>
        <w:rPr>
          <w:sz w:val="20"/>
          <w:szCs w:val="20"/>
          <w:color w:val="auto"/>
        </w:rPr>
      </w:pPr>
    </w:p>
    <w:p>
      <w:pPr>
        <w:jc w:val="both"/>
        <w:ind w:firstLine="1199"/>
        <w:spacing w:after="0" w:line="293" w:lineRule="auto"/>
        <w:rPr>
          <w:sz w:val="20"/>
          <w:szCs w:val="20"/>
          <w:color w:val="auto"/>
        </w:rPr>
      </w:pPr>
      <w:r>
        <w:rPr>
          <w:rFonts w:ascii="Arial" w:cs="Arial" w:eastAsia="Arial" w:hAnsi="Arial"/>
          <w:sz w:val="18"/>
          <w:szCs w:val="18"/>
          <w:color w:val="auto"/>
        </w:rPr>
        <w:t>Reference is made to the Term Loan Agreement dated as of March 1, 2016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AMERICAN ASSETS TRUST, INC., a Maryland corporation, AMERICAN ASSETS TRUST, L.P., a Maryland limited partnership (the “</w:t>
      </w:r>
      <w:r>
        <w:rPr>
          <w:rFonts w:ascii="Arial" w:cs="Arial" w:eastAsia="Arial" w:hAnsi="Arial"/>
          <w:sz w:val="18"/>
          <w:szCs w:val="18"/>
          <w:u w:val="single" w:color="auto"/>
          <w:color w:val="auto"/>
        </w:rPr>
        <w:t>Borrower</w:t>
      </w:r>
      <w:r>
        <w:rPr>
          <w:rFonts w:ascii="Arial" w:cs="Arial" w:eastAsia="Arial" w:hAnsi="Arial"/>
          <w:sz w:val="18"/>
          <w:szCs w:val="18"/>
          <w:color w:val="auto"/>
        </w:rPr>
        <w:t>”), U.S. BANK NATIONAL ASSOCIATION, as Administrative Agent, and the Lenders party thereto. Capitalized terms used herein but not otherwise defined shall have the meaning given to such term in the Agreement.</w:t>
      </w:r>
    </w:p>
    <w:p>
      <w:pPr>
        <w:spacing w:after="0" w:line="138" w:lineRule="exact"/>
        <w:rPr>
          <w:sz w:val="20"/>
          <w:szCs w:val="20"/>
          <w:color w:val="auto"/>
        </w:rPr>
      </w:pPr>
    </w:p>
    <w:p>
      <w:pPr>
        <w:jc w:val="both"/>
        <w:ind w:firstLine="1199"/>
        <w:spacing w:after="0" w:line="282"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of the Credit Agreement, the undersigned hereby certifies that (i) it is the sole record owner of the Term Loan(s) (as well as any Term Note(s) evidencing such Term Loan(s)) in respect of which it is providing this certificate, (ii) its direct or indirect partners/members are the sole beneficial owners of such Term Loan(s) (as well as any Term Note(s) evidencing such Term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 Borrower within the meaning of Section 871(h)(3)(B) of the Code and (v) none of its direct or indirect partners/members is a controlled foreign corporation related to the Borrower as described in Section 881(c)(3)(C) of the Code.</w:t>
      </w:r>
    </w:p>
    <w:p>
      <w:pPr>
        <w:spacing w:after="0" w:line="153" w:lineRule="exact"/>
        <w:rPr>
          <w:sz w:val="20"/>
          <w:szCs w:val="20"/>
          <w:color w:val="auto"/>
        </w:rPr>
      </w:pPr>
    </w:p>
    <w:p>
      <w:pPr>
        <w:jc w:val="both"/>
        <w:ind w:firstLine="1199"/>
        <w:spacing w:after="0" w:line="266" w:lineRule="auto"/>
        <w:rPr>
          <w:sz w:val="20"/>
          <w:szCs w:val="20"/>
          <w:color w:val="auto"/>
        </w:rPr>
      </w:pPr>
      <w:r>
        <w:rPr>
          <w:rFonts w:ascii="Arial" w:cs="Arial" w:eastAsia="Arial" w:hAnsi="Arial"/>
          <w:sz w:val="19"/>
          <w:szCs w:val="19"/>
          <w:color w:val="auto"/>
        </w:rPr>
        <w:t xml:space="preserve">The undersigned has furnished the Administrative Agent and the Borrower with IRS Form W-8IMY accompanied by one of the following forms from each of its partners/members that is claiming the portfolio interest exemption: (i) an IRS Form W-8BEN or IRS Form W-8BEN-E, as applicable or (ii) an IRS Form W-8IMY accompanied by an IRS Form W-8BEN or IRS Form W-8BEN-E, as </w:t>
      </w:r>
      <w:r>
        <w:rPr>
          <w:rFonts w:ascii="Arial" w:cs="Arial" w:eastAsia="Arial" w:hAnsi="Arial"/>
          <w:sz w:val="19"/>
          <w:szCs w:val="19"/>
          <w:color w:val="FF0000"/>
          <w:strike w:val="1"/>
        </w:rPr>
        <w:t>appliable</w:t>
      </w:r>
      <w:r>
        <w:rPr>
          <w:rFonts w:ascii="Arial" w:cs="Arial" w:eastAsia="Arial" w:hAnsi="Arial"/>
          <w:sz w:val="19"/>
          <w:szCs w:val="19"/>
          <w:b w:val="1"/>
          <w:bCs w:val="1"/>
          <w:u w:val="single" w:color="auto"/>
          <w:color w:val="0000FF"/>
          <w:highlight w:val="lightGray"/>
        </w:rPr>
        <w:t>applicable</w:t>
      </w:r>
      <w:r>
        <w:rPr>
          <w:rFonts w:ascii="Arial" w:cs="Arial" w:eastAsia="Arial" w:hAnsi="Arial"/>
          <w:sz w:val="19"/>
          <w:szCs w:val="19"/>
          <w:color w:val="FF0000"/>
        </w:rPr>
        <w:t xml:space="preserve"> </w:t>
      </w:r>
      <w:r>
        <w:rPr>
          <w:rFonts w:ascii="Arial" w:cs="Arial" w:eastAsia="Arial" w:hAnsi="Arial"/>
          <w:sz w:val="19"/>
          <w:szCs w:val="19"/>
          <w:color w:val="000000"/>
        </w:rPr>
        <w:t>from each of such partner’s/member’s beneficial owners that is claiming the portfolio interest exemption. By executing</w:t>
      </w:r>
      <w:r>
        <w:rPr>
          <w:rFonts w:ascii="Arial" w:cs="Arial" w:eastAsia="Arial" w:hAnsi="Arial"/>
          <w:sz w:val="19"/>
          <w:szCs w:val="19"/>
          <w:color w:val="FF0000"/>
        </w:rPr>
        <w:t xml:space="preserve"> </w:t>
      </w:r>
      <w:r>
        <w:rPr>
          <w:rFonts w:ascii="Arial" w:cs="Arial" w:eastAsia="Arial" w:hAnsi="Arial"/>
          <w:sz w:val="19"/>
          <w:szCs w:val="19"/>
          <w:color w:val="000000"/>
        </w:rPr>
        <w:t>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H-4-1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U.S. Tax Compliance Certificate</w:t>
      </w:r>
    </w:p>
    <w:p>
      <w:pPr>
        <w:sectPr>
          <w:pgSz w:w="11900" w:h="16838" w:orient="portrait"/>
          <w:cols w:equalWidth="0" w:num="1">
            <w:col w:w="11420"/>
          </w:cols>
          <w:pgMar w:left="240" w:top="794" w:right="239" w:bottom="1440" w:gutter="0" w:footer="0" w:header="0"/>
        </w:sectPr>
      </w:pPr>
    </w:p>
    <w:bookmarkStart w:id="396" w:name="page397"/>
    <w:bookmarkEnd w:id="396"/>
    <w:p>
      <w:pPr>
        <w:ind w:left="20"/>
        <w:spacing w:after="0"/>
        <w:rPr>
          <w:sz w:val="20"/>
          <w:szCs w:val="20"/>
          <w:color w:val="auto"/>
        </w:rPr>
      </w:pPr>
      <w:r>
        <w:rPr>
          <w:rFonts w:ascii="Arial" w:cs="Arial" w:eastAsia="Arial" w:hAnsi="Arial"/>
          <w:sz w:val="20"/>
          <w:szCs w:val="20"/>
          <w:color w:val="auto"/>
        </w:rPr>
        <w:t>[NAME OF LENDER]</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 _______________________</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Name: ________________________</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Title: ________________________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H-4-2</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U.S. Tax Compliance Certificate</w:t>
      </w:r>
    </w:p>
    <w:p>
      <w:pPr>
        <w:sectPr>
          <w:pgSz w:w="11900" w:h="16838" w:orient="portrait"/>
          <w:cols w:equalWidth="0" w:num="1">
            <w:col w:w="10219"/>
          </w:cols>
          <w:pgMar w:left="240" w:top="932" w:right="1440" w:bottom="1440" w:gutter="0" w:footer="0" w:header="0"/>
        </w:sectPr>
      </w:pPr>
    </w:p>
    <w:bookmarkStart w:id="397" w:name="page398"/>
    <w:bookmarkEnd w:id="397"/>
    <w:p>
      <w:pPr>
        <w:jc w:val="center"/>
        <w:ind w:right="-20"/>
        <w:spacing w:after="0"/>
        <w:rPr>
          <w:sz w:val="20"/>
          <w:szCs w:val="20"/>
          <w:color w:val="auto"/>
        </w:rPr>
      </w:pPr>
      <w:r>
        <w:rPr>
          <w:rFonts w:ascii="Arial" w:cs="Arial" w:eastAsia="Arial" w:hAnsi="Arial"/>
          <w:sz w:val="20"/>
          <w:szCs w:val="20"/>
          <w:b w:val="1"/>
          <w:bCs w:val="1"/>
          <w:color w:val="auto"/>
        </w:rPr>
        <w:t>EXHIBIT A-2</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Clean Copy of Amended Term Loan Agreement</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[Attached]</w:t>
      </w:r>
    </w:p>
    <w:p>
      <w:pPr>
        <w:sectPr>
          <w:pgSz w:w="11900" w:h="16838" w:orient="portrait"/>
          <w:cols w:equalWidth="0" w:num="1">
            <w:col w:w="9019"/>
          </w:cols>
          <w:pgMar w:left="1440" w:top="789" w:right="1440" w:bottom="1440" w:gutter="0" w:footer="0" w:header="0"/>
        </w:sectPr>
      </w:pPr>
    </w:p>
    <w:bookmarkStart w:id="398" w:name="page399"/>
    <w:bookmarkEnd w:id="398"/>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139700</wp:posOffset>
            </wp:positionH>
            <wp:positionV relativeFrom="page">
              <wp:posOffset>687070</wp:posOffset>
            </wp:positionV>
            <wp:extent cx="7282180" cy="412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2180" cy="41275"/>
                    </a:xfrm>
                    <a:prstGeom prst="rect">
                      <a:avLst/>
                    </a:prstGeom>
                    <a:noFill/>
                  </pic:spPr>
                </pic:pic>
              </a:graphicData>
            </a:graphic>
          </wp:anchor>
        </w:drawing>
        <w:t>Conformed Copy:</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As amended by</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Joinder and First Amendment to Credit Agreement dated as of May 2, 2016,</w:t>
      </w:r>
    </w:p>
    <w:p>
      <w:pPr>
        <w:spacing w:after="0" w:line="7" w:lineRule="exact"/>
        <w:rPr>
          <w:sz w:val="20"/>
          <w:szCs w:val="20"/>
          <w:color w:val="auto"/>
        </w:rPr>
      </w:pPr>
    </w:p>
    <w:p>
      <w:pPr>
        <w:jc w:val="both"/>
        <w:ind w:left="4040" w:hanging="260"/>
        <w:spacing w:after="0" w:line="343" w:lineRule="auto"/>
        <w:rPr>
          <w:sz w:val="20"/>
          <w:szCs w:val="20"/>
          <w:color w:val="auto"/>
        </w:rPr>
      </w:pPr>
      <w:r>
        <w:rPr>
          <w:rFonts w:ascii="Arial" w:cs="Arial" w:eastAsia="Arial" w:hAnsi="Arial"/>
          <w:sz w:val="17"/>
          <w:szCs w:val="17"/>
          <w:b w:val="1"/>
          <w:bCs w:val="1"/>
          <w:color w:val="auto"/>
        </w:rPr>
        <w:t>Second Amendment to Term Loan Agreement dated as of May 23, 2017 and Third Amendment to Term Loan Agreement dated as of January 9, 2018</w:t>
      </w: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Published CUSIP Deal Number: 02401JAF6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Published CUSIP Facility Number: 02401JAG4</w:t>
      </w:r>
    </w:p>
    <w:p>
      <w:pPr>
        <w:spacing w:after="0" w:line="391"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TERM LOAN AGREEMENT</w:t>
      </w:r>
    </w:p>
    <w:p>
      <w:pPr>
        <w:spacing w:after="0" w:line="207"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Dated as of March 1, 2016</w:t>
      </w:r>
    </w:p>
    <w:p>
      <w:pPr>
        <w:spacing w:after="0" w:line="207"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among</w:t>
      </w:r>
    </w:p>
    <w:p>
      <w:pPr>
        <w:spacing w:after="0" w:line="207"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AMERICAN ASSETS TRUST, L.P.,</w:t>
      </w:r>
    </w:p>
    <w:p>
      <w:pPr>
        <w:spacing w:after="0" w:line="207"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as the Borrower,</w:t>
      </w:r>
    </w:p>
    <w:p>
      <w:pPr>
        <w:spacing w:after="0" w:line="207"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AMERICAN ASSETS TRUST, INC.,</w:t>
      </w:r>
    </w:p>
    <w:p>
      <w:pPr>
        <w:spacing w:after="0" w:line="207"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as a Guarantor,</w:t>
      </w:r>
    </w:p>
    <w:p>
      <w:pPr>
        <w:spacing w:after="0" w:line="207"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U.S. BANK NATIONAL ASSOCIATION</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as Administrative Agent,</w:t>
      </w:r>
    </w:p>
    <w:p>
      <w:pPr>
        <w:spacing w:after="0" w:line="191"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The Other Lenders Party Hereto,</w:t>
      </w:r>
    </w:p>
    <w:p>
      <w:pPr>
        <w:spacing w:after="0" w:line="207"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U.S. Bank National Association,</w:t>
      </w:r>
    </w:p>
    <w:p>
      <w:pPr>
        <w:spacing w:after="0" w:line="207"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PNC CAPITAL MARKETS LLC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and</w:t>
      </w:r>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WELLS FARGO SECURITIES, LLC</w:t>
      </w:r>
    </w:p>
    <w:p>
      <w:pPr>
        <w:spacing w:after="0" w:line="191"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as Joint Lead Arrangers and Joint Bookrunners,</w:t>
      </w:r>
    </w:p>
    <w:p>
      <w:pPr>
        <w:spacing w:after="0" w:line="207"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and</w:t>
      </w:r>
    </w:p>
    <w:p>
      <w:pPr>
        <w:spacing w:after="0" w:line="207"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PNC Bank, National Association,</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as 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303530</wp:posOffset>
            </wp:positionV>
            <wp:extent cx="7282180" cy="412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2180" cy="41275"/>
                    </a:xfrm>
                    <a:prstGeom prst="rect">
                      <a:avLst/>
                    </a:prstGeom>
                    <a:noFill/>
                  </pic:spPr>
                </pic:pic>
              </a:graphicData>
            </a:graphic>
          </wp:anchor>
        </w:drawing>
      </w:r>
    </w:p>
    <w:p>
      <w:pPr>
        <w:sectPr>
          <w:pgSz w:w="11900" w:h="16838" w:orient="portrait"/>
          <w:cols w:equalWidth="0" w:num="1">
            <w:col w:w="10220"/>
          </w:cols>
          <w:pgMar w:left="1440" w:top="1413" w:right="239" w:bottom="1440" w:gutter="0" w:footer="0" w:header="0"/>
        </w:sectPr>
      </w:pPr>
    </w:p>
    <w:bookmarkStart w:id="399" w:name="page400"/>
    <w:bookmarkEnd w:id="399"/>
    <w:tbl>
      <w:tblPr>
        <w:tblLayout w:type="fixed"/>
        <w:tblInd w:w="0" w:type="dxa"/>
        <w:tblCellMar>
          <w:top w:w="0" w:type="dxa"/>
          <w:left w:w="0" w:type="dxa"/>
          <w:bottom w:w="0" w:type="dxa"/>
          <w:right w:w="0" w:type="dxa"/>
        </w:tblCellMar>
      </w:tblPr>
      <w:tr>
        <w:trPr>
          <w:trHeight w:val="260"/>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340" w:type="dxa"/>
            <w:vAlign w:val="bottom"/>
          </w:tcPr>
          <w:p>
            <w:pPr>
              <w:jc w:val="center"/>
              <w:ind w:right="180"/>
              <w:spacing w:after="0"/>
              <w:rPr>
                <w:sz w:val="20"/>
                <w:szCs w:val="20"/>
                <w:color w:val="auto"/>
              </w:rPr>
            </w:pPr>
            <w:r>
              <w:rPr>
                <w:rFonts w:ascii="Arial" w:cs="Arial" w:eastAsia="Arial" w:hAnsi="Arial"/>
                <w:sz w:val="20"/>
                <w:szCs w:val="20"/>
                <w:b w:val="1"/>
                <w:bCs w:val="1"/>
                <w:color w:val="auto"/>
                <w:w w:val="99"/>
              </w:rPr>
              <w:t>TABLE OF CONTENTS</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7"/>
        </w:trPr>
        <w:tc>
          <w:tcPr>
            <w:tcW w:w="680" w:type="dxa"/>
            <w:vAlign w:val="bottom"/>
            <w:gridSpan w:val="3"/>
          </w:tcPr>
          <w:p>
            <w:pPr>
              <w:ind w:left="20"/>
              <w:spacing w:after="0"/>
              <w:rPr>
                <w:sz w:val="20"/>
                <w:szCs w:val="20"/>
                <w:color w:val="auto"/>
              </w:rPr>
            </w:pPr>
            <w:r>
              <w:rPr>
                <w:rFonts w:ascii="Arial" w:cs="Arial" w:eastAsia="Arial" w:hAnsi="Arial"/>
                <w:sz w:val="20"/>
                <w:szCs w:val="20"/>
                <w:color w:val="auto"/>
                <w:w w:val="95"/>
              </w:rPr>
              <w:t>Section</w:t>
            </w:r>
          </w:p>
        </w:tc>
        <w:tc>
          <w:tcPr>
            <w:tcW w:w="93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w w:val="76"/>
              </w:rPr>
              <w:t>Page</w:t>
            </w:r>
          </w:p>
        </w:tc>
        <w:tc>
          <w:tcPr>
            <w:tcW w:w="0" w:type="dxa"/>
            <w:vAlign w:val="bottom"/>
          </w:tcPr>
          <w:p>
            <w:pPr>
              <w:spacing w:after="0"/>
              <w:rPr>
                <w:sz w:val="1"/>
                <w:szCs w:val="1"/>
                <w:color w:val="auto"/>
              </w:rPr>
            </w:pPr>
          </w:p>
        </w:tc>
      </w:tr>
      <w:tr>
        <w:trPr>
          <w:trHeight w:val="664"/>
        </w:trPr>
        <w:tc>
          <w:tcPr>
            <w:tcW w:w="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340" w:type="dxa"/>
            <w:vAlign w:val="bottom"/>
          </w:tcPr>
          <w:p>
            <w:pPr>
              <w:jc w:val="center"/>
              <w:ind w:right="180"/>
              <w:spacing w:after="0"/>
              <w:rPr>
                <w:sz w:val="20"/>
                <w:szCs w:val="20"/>
                <w:color w:val="auto"/>
              </w:rPr>
            </w:pPr>
            <w:r>
              <w:rPr>
                <w:rFonts w:ascii="Arial" w:cs="Arial" w:eastAsia="Arial" w:hAnsi="Arial"/>
                <w:sz w:val="20"/>
                <w:szCs w:val="20"/>
                <w:color w:val="auto"/>
                <w:w w:val="98"/>
              </w:rPr>
              <w:t>ARTICLE I</w:t>
            </w:r>
          </w:p>
        </w:tc>
        <w:tc>
          <w:tcPr>
            <w:tcW w:w="3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340" w:type="dxa"/>
            <w:vAlign w:val="bottom"/>
          </w:tcPr>
          <w:p>
            <w:pPr>
              <w:jc w:val="center"/>
              <w:ind w:right="180"/>
              <w:spacing w:after="0"/>
              <w:rPr>
                <w:sz w:val="20"/>
                <w:szCs w:val="20"/>
                <w:color w:val="auto"/>
              </w:rPr>
            </w:pPr>
            <w:r>
              <w:rPr>
                <w:rFonts w:ascii="Arial" w:cs="Arial" w:eastAsia="Arial" w:hAnsi="Arial"/>
                <w:sz w:val="20"/>
                <w:szCs w:val="20"/>
                <w:color w:val="auto"/>
                <w:w w:val="97"/>
              </w:rPr>
              <w:t>DEFINITIONS AND ACCOUNTING TERMS</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0"/>
        </w:trPr>
        <w:tc>
          <w:tcPr>
            <w:tcW w:w="620" w:type="dxa"/>
            <w:vAlign w:val="bottom"/>
            <w:gridSpan w:val="2"/>
          </w:tcPr>
          <w:p>
            <w:pPr>
              <w:spacing w:after="0"/>
              <w:rPr>
                <w:sz w:val="20"/>
                <w:szCs w:val="20"/>
                <w:color w:val="auto"/>
              </w:rPr>
            </w:pPr>
            <w:r>
              <w:rPr>
                <w:rFonts w:ascii="Arial" w:cs="Arial" w:eastAsia="Arial" w:hAnsi="Arial"/>
                <w:sz w:val="20"/>
                <w:szCs w:val="20"/>
                <w:color w:val="auto"/>
              </w:rPr>
              <w:t>1.01.</w:t>
            </w:r>
          </w:p>
        </w:tc>
        <w:tc>
          <w:tcPr>
            <w:tcW w:w="60" w:type="dxa"/>
            <w:vAlign w:val="bottom"/>
          </w:tcPr>
          <w:p>
            <w:pPr>
              <w:spacing w:after="0"/>
              <w:rPr>
                <w:sz w:val="24"/>
                <w:szCs w:val="24"/>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Defined Terms</w:t>
            </w:r>
          </w:p>
        </w:tc>
        <w:tc>
          <w:tcPr>
            <w:tcW w:w="38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1.02.</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Other Interpretive Provisions</w:t>
            </w:r>
          </w:p>
        </w:tc>
        <w:tc>
          <w:tcPr>
            <w:tcW w:w="380" w:type="dxa"/>
            <w:vAlign w:val="bottom"/>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1.03.</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Accounting Terms</w:t>
            </w:r>
          </w:p>
        </w:tc>
        <w:tc>
          <w:tcPr>
            <w:tcW w:w="380" w:type="dxa"/>
            <w:vAlign w:val="bottom"/>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1.04.</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Rounding</w:t>
            </w:r>
          </w:p>
        </w:tc>
        <w:tc>
          <w:tcPr>
            <w:tcW w:w="38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1.05.</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Times of Day; Rates</w:t>
            </w:r>
          </w:p>
        </w:tc>
        <w:tc>
          <w:tcPr>
            <w:tcW w:w="38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1.06.</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[Intentionally Omitted]</w:t>
            </w:r>
          </w:p>
        </w:tc>
        <w:tc>
          <w:tcPr>
            <w:tcW w:w="38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1.07.</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GNMA Securities</w:t>
            </w:r>
          </w:p>
        </w:tc>
        <w:tc>
          <w:tcPr>
            <w:tcW w:w="38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799"/>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340" w:type="dxa"/>
            <w:vAlign w:val="bottom"/>
          </w:tcPr>
          <w:p>
            <w:pPr>
              <w:jc w:val="center"/>
              <w:ind w:right="180"/>
              <w:spacing w:after="0"/>
              <w:rPr>
                <w:sz w:val="20"/>
                <w:szCs w:val="20"/>
                <w:color w:val="auto"/>
              </w:rPr>
            </w:pPr>
            <w:r>
              <w:rPr>
                <w:rFonts w:ascii="Arial" w:cs="Arial" w:eastAsia="Arial" w:hAnsi="Arial"/>
                <w:sz w:val="20"/>
                <w:szCs w:val="20"/>
                <w:color w:val="auto"/>
              </w:rPr>
              <w:t>ARTICLE II</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340" w:type="dxa"/>
            <w:vAlign w:val="bottom"/>
          </w:tcPr>
          <w:p>
            <w:pPr>
              <w:jc w:val="center"/>
              <w:ind w:right="160"/>
              <w:spacing w:after="0"/>
              <w:rPr>
                <w:sz w:val="20"/>
                <w:szCs w:val="20"/>
                <w:color w:val="auto"/>
              </w:rPr>
            </w:pPr>
            <w:r>
              <w:rPr>
                <w:rFonts w:ascii="Arial" w:cs="Arial" w:eastAsia="Arial" w:hAnsi="Arial"/>
                <w:sz w:val="20"/>
                <w:szCs w:val="20"/>
                <w:color w:val="auto"/>
                <w:w w:val="97"/>
              </w:rPr>
              <w:t>THE COMMITMENTS AND CREDIT EXTENSIONS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4"/>
        </w:trPr>
        <w:tc>
          <w:tcPr>
            <w:tcW w:w="620" w:type="dxa"/>
            <w:vAlign w:val="bottom"/>
            <w:gridSpan w:val="2"/>
            <w:vMerge w:val="restart"/>
          </w:tcPr>
          <w:p>
            <w:pPr>
              <w:spacing w:after="0"/>
              <w:rPr>
                <w:sz w:val="20"/>
                <w:szCs w:val="20"/>
                <w:color w:val="auto"/>
              </w:rPr>
            </w:pPr>
            <w:r>
              <w:rPr>
                <w:rFonts w:ascii="Arial" w:cs="Arial" w:eastAsia="Arial" w:hAnsi="Arial"/>
                <w:sz w:val="20"/>
                <w:szCs w:val="20"/>
                <w:color w:val="auto"/>
              </w:rPr>
              <w:t>2.01.</w:t>
            </w:r>
          </w:p>
        </w:tc>
        <w:tc>
          <w:tcPr>
            <w:tcW w:w="60" w:type="dxa"/>
            <w:vAlign w:val="bottom"/>
          </w:tcPr>
          <w:p>
            <w:pPr>
              <w:spacing w:after="0"/>
              <w:rPr>
                <w:sz w:val="24"/>
                <w:szCs w:val="24"/>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The Term Loans</w:t>
            </w:r>
          </w:p>
        </w:tc>
        <w:tc>
          <w:tcPr>
            <w:tcW w:w="380" w:type="dxa"/>
            <w:vAlign w:val="bottom"/>
            <w:vMerge w:val="restart"/>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25"/>
        </w:trPr>
        <w:tc>
          <w:tcPr>
            <w:tcW w:w="6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934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2.02.</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Borrowings, Conversions and Continuations of Loans</w:t>
            </w:r>
          </w:p>
        </w:tc>
        <w:tc>
          <w:tcPr>
            <w:tcW w:w="380" w:type="dxa"/>
            <w:vAlign w:val="bottom"/>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2.03.</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[Intentionally Omitted]</w:t>
            </w:r>
          </w:p>
        </w:tc>
        <w:tc>
          <w:tcPr>
            <w:tcW w:w="380" w:type="dxa"/>
            <w:vAlign w:val="bottom"/>
          </w:tcPr>
          <w:p>
            <w:pPr>
              <w:jc w:val="right"/>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2.04.</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[Intentionally Omitted]</w:t>
            </w:r>
          </w:p>
        </w:tc>
        <w:tc>
          <w:tcPr>
            <w:tcW w:w="380" w:type="dxa"/>
            <w:vAlign w:val="bottom"/>
          </w:tcPr>
          <w:p>
            <w:pPr>
              <w:jc w:val="right"/>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2.05.</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Prepayments; Prepayment Premium</w:t>
            </w:r>
          </w:p>
        </w:tc>
        <w:tc>
          <w:tcPr>
            <w:tcW w:w="380" w:type="dxa"/>
            <w:vAlign w:val="bottom"/>
          </w:tcPr>
          <w:p>
            <w:pPr>
              <w:jc w:val="right"/>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2.06.</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Termination or Reduction of Commitments</w:t>
            </w:r>
          </w:p>
        </w:tc>
        <w:tc>
          <w:tcPr>
            <w:tcW w:w="380" w:type="dxa"/>
            <w:vAlign w:val="bottom"/>
          </w:tcPr>
          <w:p>
            <w:pPr>
              <w:jc w:val="right"/>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2.07.</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Repayment of Loans</w:t>
            </w:r>
          </w:p>
        </w:tc>
        <w:tc>
          <w:tcPr>
            <w:tcW w:w="380" w:type="dxa"/>
            <w:vAlign w:val="bottom"/>
          </w:tcPr>
          <w:p>
            <w:pPr>
              <w:jc w:val="right"/>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2.08.</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Interest</w:t>
            </w:r>
          </w:p>
        </w:tc>
        <w:tc>
          <w:tcPr>
            <w:tcW w:w="380" w:type="dxa"/>
            <w:vAlign w:val="bottom"/>
          </w:tcPr>
          <w:p>
            <w:pPr>
              <w:jc w:val="right"/>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2.09.</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Fees</w:t>
            </w:r>
          </w:p>
        </w:tc>
        <w:tc>
          <w:tcPr>
            <w:tcW w:w="380" w:type="dxa"/>
            <w:vAlign w:val="bottom"/>
          </w:tcPr>
          <w:p>
            <w:pPr>
              <w:jc w:val="right"/>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2.10.</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Computation of Interest and Fees; Retroactive Adjustments of Applicable Rate</w:t>
            </w:r>
          </w:p>
        </w:tc>
        <w:tc>
          <w:tcPr>
            <w:tcW w:w="380" w:type="dxa"/>
            <w:vAlign w:val="bottom"/>
          </w:tcPr>
          <w:p>
            <w:pPr>
              <w:jc w:val="right"/>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2.11.</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Evidence of Debt</w:t>
            </w:r>
          </w:p>
        </w:tc>
        <w:tc>
          <w:tcPr>
            <w:tcW w:w="380" w:type="dxa"/>
            <w:vAlign w:val="bottom"/>
          </w:tcPr>
          <w:p>
            <w:pPr>
              <w:jc w:val="right"/>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2.12.</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Payments Generally; Administrative Agent’s Clawback</w:t>
            </w:r>
          </w:p>
        </w:tc>
        <w:tc>
          <w:tcPr>
            <w:tcW w:w="380" w:type="dxa"/>
            <w:vAlign w:val="bottom"/>
          </w:tcPr>
          <w:p>
            <w:pPr>
              <w:jc w:val="right"/>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2.13.</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Sharing of Payments by Lenders</w:t>
            </w:r>
          </w:p>
        </w:tc>
        <w:tc>
          <w:tcPr>
            <w:tcW w:w="380" w:type="dxa"/>
            <w:vAlign w:val="bottom"/>
          </w:tcPr>
          <w:p>
            <w:pPr>
              <w:jc w:val="right"/>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2.14.</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[Intentionally Omitted]</w:t>
            </w:r>
          </w:p>
        </w:tc>
        <w:tc>
          <w:tcPr>
            <w:tcW w:w="38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2.15.</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[Intentionally Omitted]</w:t>
            </w:r>
          </w:p>
        </w:tc>
        <w:tc>
          <w:tcPr>
            <w:tcW w:w="38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2.16.</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Increase in Facility</w:t>
            </w:r>
          </w:p>
        </w:tc>
        <w:tc>
          <w:tcPr>
            <w:tcW w:w="38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2.17.</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Increase in Facility</w:t>
            </w:r>
          </w:p>
        </w:tc>
        <w:tc>
          <w:tcPr>
            <w:tcW w:w="38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2.18.</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[Intentionally Omitted]</w:t>
            </w:r>
          </w:p>
        </w:tc>
        <w:tc>
          <w:tcPr>
            <w:tcW w:w="380" w:type="dxa"/>
            <w:vAlign w:val="bottom"/>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20"/>
                <w:szCs w:val="20"/>
                <w:color w:val="auto"/>
              </w:rPr>
              <w:t>2.19.</w:t>
            </w:r>
          </w:p>
        </w:tc>
        <w:tc>
          <w:tcPr>
            <w:tcW w:w="60" w:type="dxa"/>
            <w:vAlign w:val="bottom"/>
          </w:tcPr>
          <w:p>
            <w:pPr>
              <w:spacing w:after="0"/>
              <w:rPr>
                <w:sz w:val="23"/>
                <w:szCs w:val="23"/>
                <w:color w:val="auto"/>
              </w:rPr>
            </w:pPr>
          </w:p>
        </w:tc>
        <w:tc>
          <w:tcPr>
            <w:tcW w:w="9340" w:type="dxa"/>
            <w:vAlign w:val="bottom"/>
          </w:tcPr>
          <w:p>
            <w:pPr>
              <w:ind w:left="60"/>
              <w:spacing w:after="0"/>
              <w:rPr>
                <w:sz w:val="20"/>
                <w:szCs w:val="20"/>
                <w:color w:val="auto"/>
              </w:rPr>
            </w:pPr>
            <w:r>
              <w:rPr>
                <w:rFonts w:ascii="Arial" w:cs="Arial" w:eastAsia="Arial" w:hAnsi="Arial"/>
                <w:sz w:val="20"/>
                <w:szCs w:val="20"/>
                <w:color w:val="auto"/>
              </w:rPr>
              <w:t>Defaulting Lenders</w:t>
            </w:r>
          </w:p>
        </w:tc>
        <w:tc>
          <w:tcPr>
            <w:tcW w:w="380" w:type="dxa"/>
            <w:vAlign w:val="bottom"/>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560070</wp:posOffset>
            </wp:positionV>
            <wp:extent cx="7282180" cy="412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2180" cy="41275"/>
                    </a:xfrm>
                    <a:prstGeom prst="rect">
                      <a:avLst/>
                    </a:prstGeom>
                    <a:noFill/>
                  </pic:spPr>
                </pic:pic>
              </a:graphicData>
            </a:graphic>
          </wp:anchor>
        </w:drawing>
      </w:r>
    </w:p>
    <w:p>
      <w:pPr>
        <w:spacing w:after="0" w:line="345" w:lineRule="exact"/>
        <w:rPr>
          <w:sz w:val="20"/>
          <w:szCs w:val="20"/>
          <w:color w:val="auto"/>
        </w:rPr>
      </w:pPr>
    </w:p>
    <w:p>
      <w:pPr>
        <w:jc w:val="center"/>
        <w:ind w:right="-619"/>
        <w:spacing w:after="0"/>
        <w:rPr>
          <w:sz w:val="20"/>
          <w:szCs w:val="20"/>
          <w:color w:val="auto"/>
        </w:rPr>
      </w:pPr>
      <w:r>
        <w:rPr>
          <w:rFonts w:ascii="Arial" w:cs="Arial" w:eastAsia="Arial" w:hAnsi="Arial"/>
          <w:sz w:val="20"/>
          <w:szCs w:val="20"/>
          <w:color w:val="auto"/>
        </w:rPr>
        <w:t>ARTICLE III</w:t>
      </w:r>
    </w:p>
    <w:p>
      <w:pPr>
        <w:spacing w:after="0" w:line="24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TAXES, YIELD PROTECTION AND ILLEGALITY</w:t>
      </w:r>
    </w:p>
    <w:p>
      <w:pPr>
        <w:sectPr>
          <w:pgSz w:w="11900" w:h="16838" w:orient="portrait"/>
          <w:cols w:equalWidth="0" w:num="1">
            <w:col w:w="10400"/>
          </w:cols>
          <w:pgMar w:left="740" w:top="1014" w:right="75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400"/>
          </w:cols>
          <w:pgMar w:left="740" w:top="1014" w:right="759" w:bottom="1440" w:gutter="0" w:footer="0" w:header="0"/>
          <w:type w:val="continuous"/>
        </w:sectPr>
      </w:pPr>
    </w:p>
    <w:bookmarkStart w:id="400" w:name="page401"/>
    <w:bookmarkEnd w:id="400"/>
    <w:tbl>
      <w:tblPr>
        <w:tblLayout w:type="fixed"/>
        <w:tblInd w:w="100" w:type="dxa"/>
        <w:tblCellMar>
          <w:top w:w="0" w:type="dxa"/>
          <w:left w:w="0" w:type="dxa"/>
          <w:bottom w:w="0" w:type="dxa"/>
          <w:right w:w="0" w:type="dxa"/>
        </w:tblCellMar>
      </w:tblPr>
      <w:tr>
        <w:trPr>
          <w:trHeight w:val="254"/>
        </w:trPr>
        <w:tc>
          <w:tcPr>
            <w:tcW w:w="580" w:type="dxa"/>
            <w:vAlign w:val="bottom"/>
          </w:tcPr>
          <w:p>
            <w:pPr>
              <w:jc w:val="right"/>
              <w:ind w:right="80"/>
              <w:spacing w:after="0"/>
              <w:rPr>
                <w:sz w:val="20"/>
                <w:szCs w:val="20"/>
                <w:color w:val="auto"/>
              </w:rPr>
            </w:pPr>
            <w:r>
              <w:rPr>
                <w:rFonts w:ascii="Arial" w:cs="Arial" w:eastAsia="Arial" w:hAnsi="Arial"/>
                <w:sz w:val="20"/>
                <w:szCs w:val="20"/>
                <w:color w:val="auto"/>
                <w:w w:val="85"/>
              </w:rPr>
              <w:t>3.01.</w:t>
            </w:r>
          </w:p>
        </w:tc>
        <w:tc>
          <w:tcPr>
            <w:tcW w:w="6960" w:type="dxa"/>
            <w:vAlign w:val="bottom"/>
          </w:tcPr>
          <w:p>
            <w:pPr>
              <w:ind w:left="160"/>
              <w:spacing w:after="0"/>
              <w:rPr>
                <w:sz w:val="20"/>
                <w:szCs w:val="20"/>
                <w:color w:val="auto"/>
              </w:rPr>
            </w:pPr>
            <w:r>
              <w:rPr>
                <w:rFonts w:ascii="Arial" w:cs="Arial" w:eastAsia="Arial" w:hAnsi="Arial"/>
                <w:sz w:val="20"/>
                <w:szCs w:val="20"/>
                <w:color w:val="auto"/>
              </w:rPr>
              <w:t>Taxes</w:t>
            </w:r>
          </w:p>
        </w:tc>
        <w:tc>
          <w:tcPr>
            <w:tcW w:w="280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75"/>
        </w:trPr>
        <w:tc>
          <w:tcPr>
            <w:tcW w:w="580" w:type="dxa"/>
            <w:vAlign w:val="bottom"/>
          </w:tcPr>
          <w:p>
            <w:pPr>
              <w:jc w:val="right"/>
              <w:ind w:right="80"/>
              <w:spacing w:after="0"/>
              <w:rPr>
                <w:sz w:val="20"/>
                <w:szCs w:val="20"/>
                <w:color w:val="auto"/>
              </w:rPr>
            </w:pPr>
            <w:r>
              <w:rPr>
                <w:rFonts w:ascii="Arial" w:cs="Arial" w:eastAsia="Arial" w:hAnsi="Arial"/>
                <w:sz w:val="20"/>
                <w:szCs w:val="20"/>
                <w:color w:val="auto"/>
                <w:w w:val="85"/>
              </w:rPr>
              <w:t>3.02.</w:t>
            </w:r>
          </w:p>
        </w:tc>
        <w:tc>
          <w:tcPr>
            <w:tcW w:w="6960" w:type="dxa"/>
            <w:vAlign w:val="bottom"/>
          </w:tcPr>
          <w:p>
            <w:pPr>
              <w:ind w:left="160"/>
              <w:spacing w:after="0"/>
              <w:rPr>
                <w:sz w:val="20"/>
                <w:szCs w:val="20"/>
                <w:color w:val="auto"/>
              </w:rPr>
            </w:pPr>
            <w:r>
              <w:rPr>
                <w:rFonts w:ascii="Arial" w:cs="Arial" w:eastAsia="Arial" w:hAnsi="Arial"/>
                <w:sz w:val="20"/>
                <w:szCs w:val="20"/>
                <w:color w:val="auto"/>
              </w:rPr>
              <w:t>Illegality</w:t>
            </w:r>
          </w:p>
        </w:tc>
        <w:tc>
          <w:tcPr>
            <w:tcW w:w="280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75"/>
        </w:trPr>
        <w:tc>
          <w:tcPr>
            <w:tcW w:w="580" w:type="dxa"/>
            <w:vAlign w:val="bottom"/>
          </w:tcPr>
          <w:p>
            <w:pPr>
              <w:jc w:val="right"/>
              <w:ind w:right="80"/>
              <w:spacing w:after="0"/>
              <w:rPr>
                <w:sz w:val="20"/>
                <w:szCs w:val="20"/>
                <w:color w:val="auto"/>
              </w:rPr>
            </w:pPr>
            <w:r>
              <w:rPr>
                <w:rFonts w:ascii="Arial" w:cs="Arial" w:eastAsia="Arial" w:hAnsi="Arial"/>
                <w:sz w:val="20"/>
                <w:szCs w:val="20"/>
                <w:color w:val="auto"/>
                <w:w w:val="85"/>
              </w:rPr>
              <w:t>3.03.</w:t>
            </w:r>
          </w:p>
        </w:tc>
        <w:tc>
          <w:tcPr>
            <w:tcW w:w="6960" w:type="dxa"/>
            <w:vAlign w:val="bottom"/>
          </w:tcPr>
          <w:p>
            <w:pPr>
              <w:ind w:left="160"/>
              <w:spacing w:after="0"/>
              <w:rPr>
                <w:sz w:val="20"/>
                <w:szCs w:val="20"/>
                <w:color w:val="auto"/>
              </w:rPr>
            </w:pPr>
            <w:r>
              <w:rPr>
                <w:rFonts w:ascii="Arial" w:cs="Arial" w:eastAsia="Arial" w:hAnsi="Arial"/>
                <w:sz w:val="20"/>
                <w:szCs w:val="20"/>
                <w:color w:val="auto"/>
              </w:rPr>
              <w:t>Inability to Determine Rates</w:t>
            </w:r>
          </w:p>
        </w:tc>
        <w:tc>
          <w:tcPr>
            <w:tcW w:w="280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75"/>
        </w:trPr>
        <w:tc>
          <w:tcPr>
            <w:tcW w:w="580" w:type="dxa"/>
            <w:vAlign w:val="bottom"/>
          </w:tcPr>
          <w:p>
            <w:pPr>
              <w:jc w:val="right"/>
              <w:ind w:right="80"/>
              <w:spacing w:after="0"/>
              <w:rPr>
                <w:sz w:val="20"/>
                <w:szCs w:val="20"/>
                <w:color w:val="auto"/>
              </w:rPr>
            </w:pPr>
            <w:r>
              <w:rPr>
                <w:rFonts w:ascii="Arial" w:cs="Arial" w:eastAsia="Arial" w:hAnsi="Arial"/>
                <w:sz w:val="20"/>
                <w:szCs w:val="20"/>
                <w:color w:val="auto"/>
                <w:w w:val="85"/>
              </w:rPr>
              <w:t>3.04.</w:t>
            </w:r>
          </w:p>
        </w:tc>
        <w:tc>
          <w:tcPr>
            <w:tcW w:w="6960" w:type="dxa"/>
            <w:vAlign w:val="bottom"/>
          </w:tcPr>
          <w:p>
            <w:pPr>
              <w:ind w:left="160"/>
              <w:spacing w:after="0"/>
              <w:rPr>
                <w:sz w:val="20"/>
                <w:szCs w:val="20"/>
                <w:color w:val="auto"/>
              </w:rPr>
            </w:pPr>
            <w:r>
              <w:rPr>
                <w:rFonts w:ascii="Arial" w:cs="Arial" w:eastAsia="Arial" w:hAnsi="Arial"/>
                <w:sz w:val="20"/>
                <w:szCs w:val="20"/>
                <w:color w:val="auto"/>
              </w:rPr>
              <w:t>Increased Costs; Reserves on Eurodollar Rate Loans</w:t>
            </w:r>
          </w:p>
        </w:tc>
        <w:tc>
          <w:tcPr>
            <w:tcW w:w="280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75"/>
        </w:trPr>
        <w:tc>
          <w:tcPr>
            <w:tcW w:w="580" w:type="dxa"/>
            <w:vAlign w:val="bottom"/>
          </w:tcPr>
          <w:p>
            <w:pPr>
              <w:jc w:val="right"/>
              <w:ind w:right="80"/>
              <w:spacing w:after="0"/>
              <w:rPr>
                <w:sz w:val="20"/>
                <w:szCs w:val="20"/>
                <w:color w:val="auto"/>
              </w:rPr>
            </w:pPr>
            <w:r>
              <w:rPr>
                <w:rFonts w:ascii="Arial" w:cs="Arial" w:eastAsia="Arial" w:hAnsi="Arial"/>
                <w:sz w:val="20"/>
                <w:szCs w:val="20"/>
                <w:color w:val="auto"/>
                <w:w w:val="85"/>
              </w:rPr>
              <w:t>3.05.</w:t>
            </w:r>
          </w:p>
        </w:tc>
        <w:tc>
          <w:tcPr>
            <w:tcW w:w="6960" w:type="dxa"/>
            <w:vAlign w:val="bottom"/>
          </w:tcPr>
          <w:p>
            <w:pPr>
              <w:ind w:left="160"/>
              <w:spacing w:after="0"/>
              <w:rPr>
                <w:sz w:val="20"/>
                <w:szCs w:val="20"/>
                <w:color w:val="auto"/>
              </w:rPr>
            </w:pPr>
            <w:r>
              <w:rPr>
                <w:rFonts w:ascii="Arial" w:cs="Arial" w:eastAsia="Arial" w:hAnsi="Arial"/>
                <w:sz w:val="20"/>
                <w:szCs w:val="20"/>
                <w:color w:val="auto"/>
              </w:rPr>
              <w:t>Compensation for Losses</w:t>
            </w:r>
          </w:p>
        </w:tc>
        <w:tc>
          <w:tcPr>
            <w:tcW w:w="280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75"/>
        </w:trPr>
        <w:tc>
          <w:tcPr>
            <w:tcW w:w="580" w:type="dxa"/>
            <w:vAlign w:val="bottom"/>
          </w:tcPr>
          <w:p>
            <w:pPr>
              <w:jc w:val="right"/>
              <w:ind w:right="80"/>
              <w:spacing w:after="0"/>
              <w:rPr>
                <w:sz w:val="20"/>
                <w:szCs w:val="20"/>
                <w:color w:val="auto"/>
              </w:rPr>
            </w:pPr>
            <w:r>
              <w:rPr>
                <w:rFonts w:ascii="Arial" w:cs="Arial" w:eastAsia="Arial" w:hAnsi="Arial"/>
                <w:sz w:val="20"/>
                <w:szCs w:val="20"/>
                <w:color w:val="auto"/>
                <w:w w:val="85"/>
              </w:rPr>
              <w:t>3.06.</w:t>
            </w:r>
          </w:p>
        </w:tc>
        <w:tc>
          <w:tcPr>
            <w:tcW w:w="6960" w:type="dxa"/>
            <w:vAlign w:val="bottom"/>
          </w:tcPr>
          <w:p>
            <w:pPr>
              <w:ind w:left="160"/>
              <w:spacing w:after="0"/>
              <w:rPr>
                <w:sz w:val="20"/>
                <w:szCs w:val="20"/>
                <w:color w:val="auto"/>
              </w:rPr>
            </w:pPr>
            <w:r>
              <w:rPr>
                <w:rFonts w:ascii="Arial" w:cs="Arial" w:eastAsia="Arial" w:hAnsi="Arial"/>
                <w:sz w:val="20"/>
                <w:szCs w:val="20"/>
                <w:color w:val="auto"/>
              </w:rPr>
              <w:t>Mitigation Obligations; Replacement of Lenders</w:t>
            </w:r>
          </w:p>
        </w:tc>
        <w:tc>
          <w:tcPr>
            <w:tcW w:w="280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75"/>
        </w:trPr>
        <w:tc>
          <w:tcPr>
            <w:tcW w:w="580" w:type="dxa"/>
            <w:vAlign w:val="bottom"/>
          </w:tcPr>
          <w:p>
            <w:pPr>
              <w:jc w:val="right"/>
              <w:ind w:right="80"/>
              <w:spacing w:after="0"/>
              <w:rPr>
                <w:sz w:val="20"/>
                <w:szCs w:val="20"/>
                <w:color w:val="auto"/>
              </w:rPr>
            </w:pPr>
            <w:r>
              <w:rPr>
                <w:rFonts w:ascii="Arial" w:cs="Arial" w:eastAsia="Arial" w:hAnsi="Arial"/>
                <w:sz w:val="20"/>
                <w:szCs w:val="20"/>
                <w:color w:val="auto"/>
                <w:w w:val="85"/>
              </w:rPr>
              <w:t>3.07.</w:t>
            </w:r>
          </w:p>
        </w:tc>
        <w:tc>
          <w:tcPr>
            <w:tcW w:w="6960" w:type="dxa"/>
            <w:vAlign w:val="bottom"/>
          </w:tcPr>
          <w:p>
            <w:pPr>
              <w:ind w:left="160"/>
              <w:spacing w:after="0"/>
              <w:rPr>
                <w:sz w:val="20"/>
                <w:szCs w:val="20"/>
                <w:color w:val="auto"/>
              </w:rPr>
            </w:pPr>
            <w:r>
              <w:rPr>
                <w:rFonts w:ascii="Arial" w:cs="Arial" w:eastAsia="Arial" w:hAnsi="Arial"/>
                <w:sz w:val="20"/>
                <w:szCs w:val="20"/>
                <w:color w:val="auto"/>
              </w:rPr>
              <w:t>Survival</w:t>
            </w:r>
          </w:p>
        </w:tc>
        <w:tc>
          <w:tcPr>
            <w:tcW w:w="2800" w:type="dxa"/>
            <w:vAlign w:val="bottom"/>
          </w:tcPr>
          <w:p>
            <w:pPr>
              <w:jc w:val="right"/>
              <w:spacing w:after="0"/>
              <w:rPr>
                <w:sz w:val="20"/>
                <w:szCs w:val="20"/>
                <w:color w:val="auto"/>
              </w:rPr>
            </w:pPr>
            <w:r>
              <w:rPr>
                <w:rFonts w:ascii="Arial" w:cs="Arial" w:eastAsia="Arial" w:hAnsi="Arial"/>
                <w:sz w:val="20"/>
                <w:szCs w:val="20"/>
                <w:color w:val="auto"/>
              </w:rPr>
              <w:t>63</w:t>
            </w:r>
          </w:p>
        </w:tc>
      </w:tr>
    </w:tbl>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20" w:type="dxa"/>
            <w:vAlign w:val="bottom"/>
          </w:tcPr>
          <w:p>
            <w:pPr>
              <w:spacing w:after="0"/>
              <w:rPr>
                <w:sz w:val="22"/>
                <w:szCs w:val="22"/>
                <w:color w:val="auto"/>
              </w:rPr>
            </w:pPr>
          </w:p>
        </w:tc>
        <w:tc>
          <w:tcPr>
            <w:tcW w:w="8760" w:type="dxa"/>
            <w:vAlign w:val="bottom"/>
          </w:tcPr>
          <w:p>
            <w:pPr>
              <w:ind w:left="4640"/>
              <w:spacing w:after="0"/>
              <w:rPr>
                <w:sz w:val="20"/>
                <w:szCs w:val="20"/>
                <w:color w:val="auto"/>
              </w:rPr>
            </w:pPr>
            <w:r>
              <w:rPr>
                <w:rFonts w:ascii="Arial" w:cs="Arial" w:eastAsia="Arial" w:hAnsi="Arial"/>
                <w:sz w:val="20"/>
                <w:szCs w:val="20"/>
                <w:color w:val="auto"/>
              </w:rPr>
              <w:t>ARTICLE IV</w:t>
            </w:r>
          </w:p>
        </w:tc>
        <w:tc>
          <w:tcPr>
            <w:tcW w:w="1560" w:type="dxa"/>
            <w:vAlign w:val="bottom"/>
          </w:tcPr>
          <w:p>
            <w:pPr>
              <w:spacing w:after="0"/>
              <w:rPr>
                <w:sz w:val="22"/>
                <w:szCs w:val="22"/>
                <w:color w:val="auto"/>
              </w:rPr>
            </w:pPr>
          </w:p>
        </w:tc>
      </w:tr>
      <w:tr>
        <w:trPr>
          <w:trHeight w:val="475"/>
        </w:trPr>
        <w:tc>
          <w:tcPr>
            <w:tcW w:w="420" w:type="dxa"/>
            <w:vAlign w:val="bottom"/>
          </w:tcPr>
          <w:p>
            <w:pPr>
              <w:spacing w:after="0"/>
              <w:rPr>
                <w:sz w:val="24"/>
                <w:szCs w:val="24"/>
                <w:color w:val="auto"/>
              </w:rPr>
            </w:pPr>
          </w:p>
        </w:tc>
        <w:tc>
          <w:tcPr>
            <w:tcW w:w="8760" w:type="dxa"/>
            <w:vAlign w:val="bottom"/>
          </w:tcPr>
          <w:p>
            <w:pPr>
              <w:ind w:left="2800"/>
              <w:spacing w:after="0"/>
              <w:rPr>
                <w:sz w:val="20"/>
                <w:szCs w:val="20"/>
                <w:color w:val="auto"/>
              </w:rPr>
            </w:pPr>
            <w:r>
              <w:rPr>
                <w:rFonts w:ascii="Arial" w:cs="Arial" w:eastAsia="Arial" w:hAnsi="Arial"/>
                <w:sz w:val="20"/>
                <w:szCs w:val="20"/>
                <w:color w:val="auto"/>
              </w:rPr>
              <w:t>CONDITIONS PRECEDENT TO CREDIT EXTENSIONS</w:t>
            </w:r>
          </w:p>
        </w:tc>
        <w:tc>
          <w:tcPr>
            <w:tcW w:w="1560" w:type="dxa"/>
            <w:vAlign w:val="bottom"/>
          </w:tcPr>
          <w:p>
            <w:pPr>
              <w:spacing w:after="0"/>
              <w:rPr>
                <w:sz w:val="24"/>
                <w:szCs w:val="24"/>
                <w:color w:val="auto"/>
              </w:rPr>
            </w:pPr>
          </w:p>
        </w:tc>
      </w:tr>
      <w:tr>
        <w:trPr>
          <w:trHeight w:val="600"/>
        </w:trPr>
        <w:tc>
          <w:tcPr>
            <w:tcW w:w="42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Arial" w:cs="Arial" w:eastAsia="Arial" w:hAnsi="Arial"/>
                <w:sz w:val="20"/>
                <w:szCs w:val="20"/>
                <w:color w:val="auto"/>
              </w:rPr>
              <w:t>4.01.    Conditions of Effectiveness</w:t>
            </w:r>
          </w:p>
        </w:tc>
        <w:tc>
          <w:tcPr>
            <w:tcW w:w="156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75"/>
        </w:trPr>
        <w:tc>
          <w:tcPr>
            <w:tcW w:w="420" w:type="dxa"/>
            <w:vAlign w:val="bottom"/>
          </w:tcPr>
          <w:p>
            <w:pPr>
              <w:spacing w:after="0"/>
              <w:rPr>
                <w:sz w:val="23"/>
                <w:szCs w:val="23"/>
                <w:color w:val="auto"/>
              </w:rPr>
            </w:pPr>
          </w:p>
        </w:tc>
        <w:tc>
          <w:tcPr>
            <w:tcW w:w="8760" w:type="dxa"/>
            <w:vAlign w:val="bottom"/>
          </w:tcPr>
          <w:p>
            <w:pPr>
              <w:spacing w:after="0"/>
              <w:rPr>
                <w:sz w:val="20"/>
                <w:szCs w:val="20"/>
                <w:color w:val="auto"/>
              </w:rPr>
            </w:pPr>
            <w:r>
              <w:rPr>
                <w:rFonts w:ascii="Arial" w:cs="Arial" w:eastAsia="Arial" w:hAnsi="Arial"/>
                <w:sz w:val="20"/>
                <w:szCs w:val="20"/>
                <w:color w:val="auto"/>
              </w:rPr>
              <w:t>4.02.    Conditions to All Credit Extensions</w:t>
            </w:r>
          </w:p>
        </w:tc>
        <w:tc>
          <w:tcPr>
            <w:tcW w:w="156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600"/>
        </w:trPr>
        <w:tc>
          <w:tcPr>
            <w:tcW w:w="420" w:type="dxa"/>
            <w:vAlign w:val="bottom"/>
          </w:tcPr>
          <w:p>
            <w:pPr>
              <w:spacing w:after="0"/>
              <w:rPr>
                <w:sz w:val="24"/>
                <w:szCs w:val="24"/>
                <w:color w:val="auto"/>
              </w:rPr>
            </w:pPr>
          </w:p>
        </w:tc>
        <w:tc>
          <w:tcPr>
            <w:tcW w:w="8760" w:type="dxa"/>
            <w:vAlign w:val="bottom"/>
          </w:tcPr>
          <w:p>
            <w:pPr>
              <w:ind w:left="4380"/>
              <w:spacing w:after="0"/>
              <w:rPr>
                <w:sz w:val="20"/>
                <w:szCs w:val="20"/>
                <w:color w:val="auto"/>
              </w:rPr>
            </w:pPr>
            <w:r>
              <w:rPr>
                <w:rFonts w:ascii="Arial" w:cs="Arial" w:eastAsia="Arial" w:hAnsi="Arial"/>
                <w:sz w:val="20"/>
                <w:szCs w:val="20"/>
                <w:color w:val="auto"/>
              </w:rPr>
              <w:t>ARTICLE V</w:t>
            </w:r>
          </w:p>
        </w:tc>
        <w:tc>
          <w:tcPr>
            <w:tcW w:w="1560" w:type="dxa"/>
            <w:vAlign w:val="bottom"/>
          </w:tcPr>
          <w:p>
            <w:pPr>
              <w:spacing w:after="0"/>
              <w:rPr>
                <w:sz w:val="24"/>
                <w:szCs w:val="24"/>
                <w:color w:val="auto"/>
              </w:rPr>
            </w:pPr>
          </w:p>
        </w:tc>
      </w:tr>
      <w:tr>
        <w:trPr>
          <w:trHeight w:val="475"/>
        </w:trPr>
        <w:tc>
          <w:tcPr>
            <w:tcW w:w="420" w:type="dxa"/>
            <w:vAlign w:val="bottom"/>
          </w:tcPr>
          <w:p>
            <w:pPr>
              <w:spacing w:after="0"/>
              <w:rPr>
                <w:sz w:val="24"/>
                <w:szCs w:val="24"/>
                <w:color w:val="auto"/>
              </w:rPr>
            </w:pPr>
          </w:p>
        </w:tc>
        <w:tc>
          <w:tcPr>
            <w:tcW w:w="8760" w:type="dxa"/>
            <w:vAlign w:val="bottom"/>
          </w:tcPr>
          <w:p>
            <w:pPr>
              <w:ind w:left="3080"/>
              <w:spacing w:after="0"/>
              <w:rPr>
                <w:sz w:val="20"/>
                <w:szCs w:val="20"/>
                <w:color w:val="auto"/>
              </w:rPr>
            </w:pPr>
            <w:r>
              <w:rPr>
                <w:rFonts w:ascii="Arial" w:cs="Arial" w:eastAsia="Arial" w:hAnsi="Arial"/>
                <w:sz w:val="20"/>
                <w:szCs w:val="20"/>
                <w:color w:val="auto"/>
              </w:rPr>
              <w:t>REPRESENTATIONS AND WARRANTIES</w:t>
            </w:r>
          </w:p>
        </w:tc>
        <w:tc>
          <w:tcPr>
            <w:tcW w:w="1560" w:type="dxa"/>
            <w:vAlign w:val="bottom"/>
          </w:tcPr>
          <w:p>
            <w:pPr>
              <w:spacing w:after="0"/>
              <w:rPr>
                <w:sz w:val="24"/>
                <w:szCs w:val="24"/>
                <w:color w:val="auto"/>
              </w:rPr>
            </w:pPr>
          </w:p>
        </w:tc>
      </w:tr>
      <w:tr>
        <w:trPr>
          <w:trHeight w:val="600"/>
        </w:trPr>
        <w:tc>
          <w:tcPr>
            <w:tcW w:w="420" w:type="dxa"/>
            <w:vAlign w:val="bottom"/>
          </w:tcPr>
          <w:p>
            <w:pPr>
              <w:spacing w:after="0"/>
              <w:rPr>
                <w:sz w:val="20"/>
                <w:szCs w:val="20"/>
                <w:color w:val="auto"/>
              </w:rPr>
            </w:pPr>
            <w:r>
              <w:rPr>
                <w:rFonts w:ascii="Arial" w:cs="Arial" w:eastAsia="Arial" w:hAnsi="Arial"/>
                <w:sz w:val="20"/>
                <w:szCs w:val="20"/>
                <w:color w:val="auto"/>
                <w:w w:val="89"/>
              </w:rPr>
              <w:t>5.01.</w:t>
            </w:r>
          </w:p>
        </w:tc>
        <w:tc>
          <w:tcPr>
            <w:tcW w:w="8760" w:type="dxa"/>
            <w:vAlign w:val="bottom"/>
          </w:tcPr>
          <w:p>
            <w:pPr>
              <w:ind w:left="340"/>
              <w:spacing w:after="0"/>
              <w:rPr>
                <w:sz w:val="20"/>
                <w:szCs w:val="20"/>
                <w:color w:val="auto"/>
              </w:rPr>
            </w:pPr>
            <w:r>
              <w:rPr>
                <w:rFonts w:ascii="Arial" w:cs="Arial" w:eastAsia="Arial" w:hAnsi="Arial"/>
                <w:sz w:val="20"/>
                <w:szCs w:val="20"/>
                <w:color w:val="auto"/>
              </w:rPr>
              <w:t>Existence, Qualification and Power</w:t>
            </w:r>
          </w:p>
        </w:tc>
        <w:tc>
          <w:tcPr>
            <w:tcW w:w="1560" w:type="dxa"/>
            <w:vAlign w:val="bottom"/>
          </w:tcPr>
          <w:p>
            <w:pPr>
              <w:jc w:val="right"/>
              <w:ind w:right="100"/>
              <w:spacing w:after="0"/>
              <w:rPr>
                <w:sz w:val="20"/>
                <w:szCs w:val="20"/>
                <w:color w:val="auto"/>
              </w:rPr>
            </w:pPr>
            <w:r>
              <w:rPr>
                <w:rFonts w:ascii="Arial" w:cs="Arial" w:eastAsia="Arial" w:hAnsi="Arial"/>
                <w:sz w:val="20"/>
                <w:szCs w:val="20"/>
                <w:color w:val="auto"/>
              </w:rPr>
              <w:t>66</w:t>
            </w:r>
          </w:p>
        </w:tc>
      </w:tr>
      <w:tr>
        <w:trPr>
          <w:trHeight w:val="275"/>
        </w:trPr>
        <w:tc>
          <w:tcPr>
            <w:tcW w:w="420" w:type="dxa"/>
            <w:vAlign w:val="bottom"/>
          </w:tcPr>
          <w:p>
            <w:pPr>
              <w:spacing w:after="0"/>
              <w:rPr>
                <w:sz w:val="20"/>
                <w:szCs w:val="20"/>
                <w:color w:val="auto"/>
              </w:rPr>
            </w:pPr>
            <w:r>
              <w:rPr>
                <w:rFonts w:ascii="Arial" w:cs="Arial" w:eastAsia="Arial" w:hAnsi="Arial"/>
                <w:sz w:val="20"/>
                <w:szCs w:val="20"/>
                <w:color w:val="auto"/>
                <w:w w:val="89"/>
              </w:rPr>
              <w:t>5.02.</w:t>
            </w:r>
          </w:p>
        </w:tc>
        <w:tc>
          <w:tcPr>
            <w:tcW w:w="8760" w:type="dxa"/>
            <w:vAlign w:val="bottom"/>
          </w:tcPr>
          <w:p>
            <w:pPr>
              <w:ind w:left="340"/>
              <w:spacing w:after="0"/>
              <w:rPr>
                <w:sz w:val="20"/>
                <w:szCs w:val="20"/>
                <w:color w:val="auto"/>
              </w:rPr>
            </w:pPr>
            <w:r>
              <w:rPr>
                <w:rFonts w:ascii="Arial" w:cs="Arial" w:eastAsia="Arial" w:hAnsi="Arial"/>
                <w:sz w:val="20"/>
                <w:szCs w:val="20"/>
                <w:color w:val="auto"/>
              </w:rPr>
              <w:t>Authorization; No Contravention</w:t>
            </w:r>
          </w:p>
        </w:tc>
        <w:tc>
          <w:tcPr>
            <w:tcW w:w="1560" w:type="dxa"/>
            <w:vAlign w:val="bottom"/>
          </w:tcPr>
          <w:p>
            <w:pPr>
              <w:jc w:val="right"/>
              <w:ind w:right="100"/>
              <w:spacing w:after="0"/>
              <w:rPr>
                <w:sz w:val="20"/>
                <w:szCs w:val="20"/>
                <w:color w:val="auto"/>
              </w:rPr>
            </w:pPr>
            <w:r>
              <w:rPr>
                <w:rFonts w:ascii="Arial" w:cs="Arial" w:eastAsia="Arial" w:hAnsi="Arial"/>
                <w:sz w:val="20"/>
                <w:szCs w:val="20"/>
                <w:color w:val="auto"/>
              </w:rPr>
              <w:t>66</w:t>
            </w:r>
          </w:p>
        </w:tc>
      </w:tr>
      <w:tr>
        <w:trPr>
          <w:trHeight w:val="275"/>
        </w:trPr>
        <w:tc>
          <w:tcPr>
            <w:tcW w:w="420" w:type="dxa"/>
            <w:vAlign w:val="bottom"/>
          </w:tcPr>
          <w:p>
            <w:pPr>
              <w:spacing w:after="0"/>
              <w:rPr>
                <w:sz w:val="20"/>
                <w:szCs w:val="20"/>
                <w:color w:val="auto"/>
              </w:rPr>
            </w:pPr>
            <w:r>
              <w:rPr>
                <w:rFonts w:ascii="Arial" w:cs="Arial" w:eastAsia="Arial" w:hAnsi="Arial"/>
                <w:sz w:val="20"/>
                <w:szCs w:val="20"/>
                <w:color w:val="auto"/>
                <w:w w:val="89"/>
              </w:rPr>
              <w:t>5.03.</w:t>
            </w:r>
          </w:p>
        </w:tc>
        <w:tc>
          <w:tcPr>
            <w:tcW w:w="8760" w:type="dxa"/>
            <w:vAlign w:val="bottom"/>
          </w:tcPr>
          <w:p>
            <w:pPr>
              <w:ind w:left="340"/>
              <w:spacing w:after="0"/>
              <w:rPr>
                <w:sz w:val="20"/>
                <w:szCs w:val="20"/>
                <w:color w:val="auto"/>
              </w:rPr>
            </w:pPr>
            <w:r>
              <w:rPr>
                <w:rFonts w:ascii="Arial" w:cs="Arial" w:eastAsia="Arial" w:hAnsi="Arial"/>
                <w:sz w:val="20"/>
                <w:szCs w:val="20"/>
                <w:color w:val="auto"/>
              </w:rPr>
              <w:t>Governmental Authorization; Other Consents</w:t>
            </w:r>
          </w:p>
        </w:tc>
        <w:tc>
          <w:tcPr>
            <w:tcW w:w="1560" w:type="dxa"/>
            <w:vAlign w:val="bottom"/>
          </w:tcPr>
          <w:p>
            <w:pPr>
              <w:jc w:val="right"/>
              <w:ind w:right="100"/>
              <w:spacing w:after="0"/>
              <w:rPr>
                <w:sz w:val="20"/>
                <w:szCs w:val="20"/>
                <w:color w:val="auto"/>
              </w:rPr>
            </w:pPr>
            <w:r>
              <w:rPr>
                <w:rFonts w:ascii="Arial" w:cs="Arial" w:eastAsia="Arial" w:hAnsi="Arial"/>
                <w:sz w:val="20"/>
                <w:szCs w:val="20"/>
                <w:color w:val="auto"/>
              </w:rPr>
              <w:t>66</w:t>
            </w:r>
          </w:p>
        </w:tc>
      </w:tr>
      <w:tr>
        <w:trPr>
          <w:trHeight w:val="275"/>
        </w:trPr>
        <w:tc>
          <w:tcPr>
            <w:tcW w:w="420" w:type="dxa"/>
            <w:vAlign w:val="bottom"/>
          </w:tcPr>
          <w:p>
            <w:pPr>
              <w:spacing w:after="0"/>
              <w:rPr>
                <w:sz w:val="20"/>
                <w:szCs w:val="20"/>
                <w:color w:val="auto"/>
              </w:rPr>
            </w:pPr>
            <w:r>
              <w:rPr>
                <w:rFonts w:ascii="Arial" w:cs="Arial" w:eastAsia="Arial" w:hAnsi="Arial"/>
                <w:sz w:val="20"/>
                <w:szCs w:val="20"/>
                <w:color w:val="auto"/>
                <w:w w:val="89"/>
              </w:rPr>
              <w:t>5.04.</w:t>
            </w:r>
          </w:p>
        </w:tc>
        <w:tc>
          <w:tcPr>
            <w:tcW w:w="8760" w:type="dxa"/>
            <w:vAlign w:val="bottom"/>
          </w:tcPr>
          <w:p>
            <w:pPr>
              <w:ind w:left="340"/>
              <w:spacing w:after="0"/>
              <w:rPr>
                <w:sz w:val="20"/>
                <w:szCs w:val="20"/>
                <w:color w:val="auto"/>
              </w:rPr>
            </w:pPr>
            <w:r>
              <w:rPr>
                <w:rFonts w:ascii="Arial" w:cs="Arial" w:eastAsia="Arial" w:hAnsi="Arial"/>
                <w:sz w:val="20"/>
                <w:szCs w:val="20"/>
                <w:color w:val="auto"/>
              </w:rPr>
              <w:t>Binding Effect</w:t>
            </w:r>
          </w:p>
        </w:tc>
        <w:tc>
          <w:tcPr>
            <w:tcW w:w="1560" w:type="dxa"/>
            <w:vAlign w:val="bottom"/>
          </w:tcPr>
          <w:p>
            <w:pPr>
              <w:jc w:val="right"/>
              <w:ind w:right="100"/>
              <w:spacing w:after="0"/>
              <w:rPr>
                <w:sz w:val="20"/>
                <w:szCs w:val="20"/>
                <w:color w:val="auto"/>
              </w:rPr>
            </w:pPr>
            <w:r>
              <w:rPr>
                <w:rFonts w:ascii="Arial" w:cs="Arial" w:eastAsia="Arial" w:hAnsi="Arial"/>
                <w:sz w:val="20"/>
                <w:szCs w:val="20"/>
                <w:color w:val="auto"/>
              </w:rPr>
              <w:t>67</w:t>
            </w:r>
          </w:p>
        </w:tc>
      </w:tr>
      <w:tr>
        <w:trPr>
          <w:trHeight w:val="275"/>
        </w:trPr>
        <w:tc>
          <w:tcPr>
            <w:tcW w:w="420" w:type="dxa"/>
            <w:vAlign w:val="bottom"/>
          </w:tcPr>
          <w:p>
            <w:pPr>
              <w:spacing w:after="0"/>
              <w:rPr>
                <w:sz w:val="20"/>
                <w:szCs w:val="20"/>
                <w:color w:val="auto"/>
              </w:rPr>
            </w:pPr>
            <w:r>
              <w:rPr>
                <w:rFonts w:ascii="Arial" w:cs="Arial" w:eastAsia="Arial" w:hAnsi="Arial"/>
                <w:sz w:val="20"/>
                <w:szCs w:val="20"/>
                <w:color w:val="auto"/>
                <w:w w:val="89"/>
              </w:rPr>
              <w:t>5.05.</w:t>
            </w:r>
          </w:p>
        </w:tc>
        <w:tc>
          <w:tcPr>
            <w:tcW w:w="8760" w:type="dxa"/>
            <w:vAlign w:val="bottom"/>
          </w:tcPr>
          <w:p>
            <w:pPr>
              <w:ind w:left="340"/>
              <w:spacing w:after="0"/>
              <w:rPr>
                <w:sz w:val="20"/>
                <w:szCs w:val="20"/>
                <w:color w:val="auto"/>
              </w:rPr>
            </w:pPr>
            <w:r>
              <w:rPr>
                <w:rFonts w:ascii="Arial" w:cs="Arial" w:eastAsia="Arial" w:hAnsi="Arial"/>
                <w:sz w:val="20"/>
                <w:szCs w:val="20"/>
                <w:color w:val="auto"/>
              </w:rPr>
              <w:t>Financial Statements; No Material Adverse Effect</w:t>
            </w:r>
          </w:p>
        </w:tc>
        <w:tc>
          <w:tcPr>
            <w:tcW w:w="1560" w:type="dxa"/>
            <w:vAlign w:val="bottom"/>
          </w:tcPr>
          <w:p>
            <w:pPr>
              <w:jc w:val="right"/>
              <w:ind w:right="100"/>
              <w:spacing w:after="0"/>
              <w:rPr>
                <w:sz w:val="20"/>
                <w:szCs w:val="20"/>
                <w:color w:val="auto"/>
              </w:rPr>
            </w:pPr>
            <w:r>
              <w:rPr>
                <w:rFonts w:ascii="Arial" w:cs="Arial" w:eastAsia="Arial" w:hAnsi="Arial"/>
                <w:sz w:val="20"/>
                <w:szCs w:val="20"/>
                <w:color w:val="auto"/>
              </w:rPr>
              <w:t>67</w:t>
            </w:r>
          </w:p>
        </w:tc>
      </w:tr>
      <w:tr>
        <w:trPr>
          <w:trHeight w:val="275"/>
        </w:trPr>
        <w:tc>
          <w:tcPr>
            <w:tcW w:w="420" w:type="dxa"/>
            <w:vAlign w:val="bottom"/>
          </w:tcPr>
          <w:p>
            <w:pPr>
              <w:spacing w:after="0"/>
              <w:rPr>
                <w:sz w:val="20"/>
                <w:szCs w:val="20"/>
                <w:color w:val="auto"/>
              </w:rPr>
            </w:pPr>
            <w:r>
              <w:rPr>
                <w:rFonts w:ascii="Arial" w:cs="Arial" w:eastAsia="Arial" w:hAnsi="Arial"/>
                <w:sz w:val="20"/>
                <w:szCs w:val="20"/>
                <w:color w:val="auto"/>
                <w:w w:val="89"/>
              </w:rPr>
              <w:t>5.06.</w:t>
            </w:r>
          </w:p>
        </w:tc>
        <w:tc>
          <w:tcPr>
            <w:tcW w:w="8760" w:type="dxa"/>
            <w:vAlign w:val="bottom"/>
          </w:tcPr>
          <w:p>
            <w:pPr>
              <w:ind w:left="340"/>
              <w:spacing w:after="0"/>
              <w:rPr>
                <w:sz w:val="20"/>
                <w:szCs w:val="20"/>
                <w:color w:val="auto"/>
              </w:rPr>
            </w:pPr>
            <w:r>
              <w:rPr>
                <w:rFonts w:ascii="Arial" w:cs="Arial" w:eastAsia="Arial" w:hAnsi="Arial"/>
                <w:sz w:val="20"/>
                <w:szCs w:val="20"/>
                <w:color w:val="auto"/>
              </w:rPr>
              <w:t>Litigation</w:t>
            </w:r>
          </w:p>
        </w:tc>
        <w:tc>
          <w:tcPr>
            <w:tcW w:w="1560" w:type="dxa"/>
            <w:vAlign w:val="bottom"/>
          </w:tcPr>
          <w:p>
            <w:pPr>
              <w:jc w:val="right"/>
              <w:ind w:right="100"/>
              <w:spacing w:after="0"/>
              <w:rPr>
                <w:sz w:val="20"/>
                <w:szCs w:val="20"/>
                <w:color w:val="auto"/>
              </w:rPr>
            </w:pPr>
            <w:r>
              <w:rPr>
                <w:rFonts w:ascii="Arial" w:cs="Arial" w:eastAsia="Arial" w:hAnsi="Arial"/>
                <w:sz w:val="20"/>
                <w:szCs w:val="20"/>
                <w:color w:val="auto"/>
              </w:rPr>
              <w:t>67</w:t>
            </w:r>
          </w:p>
        </w:tc>
      </w:tr>
      <w:tr>
        <w:trPr>
          <w:trHeight w:val="275"/>
        </w:trPr>
        <w:tc>
          <w:tcPr>
            <w:tcW w:w="420" w:type="dxa"/>
            <w:vAlign w:val="bottom"/>
          </w:tcPr>
          <w:p>
            <w:pPr>
              <w:spacing w:after="0"/>
              <w:rPr>
                <w:sz w:val="20"/>
                <w:szCs w:val="20"/>
                <w:color w:val="auto"/>
              </w:rPr>
            </w:pPr>
            <w:r>
              <w:rPr>
                <w:rFonts w:ascii="Arial" w:cs="Arial" w:eastAsia="Arial" w:hAnsi="Arial"/>
                <w:sz w:val="20"/>
                <w:szCs w:val="20"/>
                <w:color w:val="auto"/>
                <w:w w:val="89"/>
              </w:rPr>
              <w:t>5.07.</w:t>
            </w:r>
          </w:p>
        </w:tc>
        <w:tc>
          <w:tcPr>
            <w:tcW w:w="8760" w:type="dxa"/>
            <w:vAlign w:val="bottom"/>
          </w:tcPr>
          <w:p>
            <w:pPr>
              <w:ind w:left="340"/>
              <w:spacing w:after="0"/>
              <w:rPr>
                <w:sz w:val="20"/>
                <w:szCs w:val="20"/>
                <w:color w:val="auto"/>
              </w:rPr>
            </w:pPr>
            <w:r>
              <w:rPr>
                <w:rFonts w:ascii="Arial" w:cs="Arial" w:eastAsia="Arial" w:hAnsi="Arial"/>
                <w:sz w:val="20"/>
                <w:szCs w:val="20"/>
                <w:color w:val="auto"/>
              </w:rPr>
              <w:t>No Default</w:t>
            </w:r>
          </w:p>
        </w:tc>
        <w:tc>
          <w:tcPr>
            <w:tcW w:w="1560" w:type="dxa"/>
            <w:vAlign w:val="bottom"/>
          </w:tcPr>
          <w:p>
            <w:pPr>
              <w:jc w:val="right"/>
              <w:ind w:right="100"/>
              <w:spacing w:after="0"/>
              <w:rPr>
                <w:sz w:val="20"/>
                <w:szCs w:val="20"/>
                <w:color w:val="auto"/>
              </w:rPr>
            </w:pPr>
            <w:r>
              <w:rPr>
                <w:rFonts w:ascii="Arial" w:cs="Arial" w:eastAsia="Arial" w:hAnsi="Arial"/>
                <w:sz w:val="20"/>
                <w:szCs w:val="20"/>
                <w:color w:val="auto"/>
              </w:rPr>
              <w:t>68</w:t>
            </w:r>
          </w:p>
        </w:tc>
      </w:tr>
      <w:tr>
        <w:trPr>
          <w:trHeight w:val="275"/>
        </w:trPr>
        <w:tc>
          <w:tcPr>
            <w:tcW w:w="420" w:type="dxa"/>
            <w:vAlign w:val="bottom"/>
          </w:tcPr>
          <w:p>
            <w:pPr>
              <w:spacing w:after="0"/>
              <w:rPr>
                <w:sz w:val="20"/>
                <w:szCs w:val="20"/>
                <w:color w:val="auto"/>
              </w:rPr>
            </w:pPr>
            <w:r>
              <w:rPr>
                <w:rFonts w:ascii="Arial" w:cs="Arial" w:eastAsia="Arial" w:hAnsi="Arial"/>
                <w:sz w:val="20"/>
                <w:szCs w:val="20"/>
                <w:color w:val="auto"/>
                <w:w w:val="89"/>
              </w:rPr>
              <w:t>5.08.</w:t>
            </w:r>
          </w:p>
        </w:tc>
        <w:tc>
          <w:tcPr>
            <w:tcW w:w="8760" w:type="dxa"/>
            <w:vAlign w:val="bottom"/>
          </w:tcPr>
          <w:p>
            <w:pPr>
              <w:ind w:left="340"/>
              <w:spacing w:after="0"/>
              <w:rPr>
                <w:sz w:val="20"/>
                <w:szCs w:val="20"/>
                <w:color w:val="auto"/>
              </w:rPr>
            </w:pPr>
            <w:r>
              <w:rPr>
                <w:rFonts w:ascii="Arial" w:cs="Arial" w:eastAsia="Arial" w:hAnsi="Arial"/>
                <w:sz w:val="20"/>
                <w:szCs w:val="20"/>
                <w:color w:val="auto"/>
              </w:rPr>
              <w:t>Ownership of Property; Liens</w:t>
            </w:r>
          </w:p>
        </w:tc>
        <w:tc>
          <w:tcPr>
            <w:tcW w:w="1560" w:type="dxa"/>
            <w:vAlign w:val="bottom"/>
          </w:tcPr>
          <w:p>
            <w:pPr>
              <w:jc w:val="right"/>
              <w:ind w:right="100"/>
              <w:spacing w:after="0"/>
              <w:rPr>
                <w:sz w:val="20"/>
                <w:szCs w:val="20"/>
                <w:color w:val="auto"/>
              </w:rPr>
            </w:pPr>
            <w:r>
              <w:rPr>
                <w:rFonts w:ascii="Arial" w:cs="Arial" w:eastAsia="Arial" w:hAnsi="Arial"/>
                <w:sz w:val="20"/>
                <w:szCs w:val="20"/>
                <w:color w:val="auto"/>
              </w:rPr>
              <w:t>68</w:t>
            </w:r>
          </w:p>
        </w:tc>
      </w:tr>
      <w:tr>
        <w:trPr>
          <w:trHeight w:val="275"/>
        </w:trPr>
        <w:tc>
          <w:tcPr>
            <w:tcW w:w="420" w:type="dxa"/>
            <w:vAlign w:val="bottom"/>
          </w:tcPr>
          <w:p>
            <w:pPr>
              <w:spacing w:after="0"/>
              <w:rPr>
                <w:sz w:val="20"/>
                <w:szCs w:val="20"/>
                <w:color w:val="auto"/>
              </w:rPr>
            </w:pPr>
            <w:r>
              <w:rPr>
                <w:rFonts w:ascii="Arial" w:cs="Arial" w:eastAsia="Arial" w:hAnsi="Arial"/>
                <w:sz w:val="20"/>
                <w:szCs w:val="20"/>
                <w:color w:val="auto"/>
                <w:w w:val="89"/>
              </w:rPr>
              <w:t>5.09.</w:t>
            </w:r>
          </w:p>
        </w:tc>
        <w:tc>
          <w:tcPr>
            <w:tcW w:w="8760" w:type="dxa"/>
            <w:vAlign w:val="bottom"/>
          </w:tcPr>
          <w:p>
            <w:pPr>
              <w:ind w:left="340"/>
              <w:spacing w:after="0"/>
              <w:rPr>
                <w:sz w:val="20"/>
                <w:szCs w:val="20"/>
                <w:color w:val="auto"/>
              </w:rPr>
            </w:pPr>
            <w:r>
              <w:rPr>
                <w:rFonts w:ascii="Arial" w:cs="Arial" w:eastAsia="Arial" w:hAnsi="Arial"/>
                <w:sz w:val="20"/>
                <w:szCs w:val="20"/>
                <w:color w:val="auto"/>
              </w:rPr>
              <w:t>Environmental Compliance</w:t>
            </w:r>
          </w:p>
        </w:tc>
        <w:tc>
          <w:tcPr>
            <w:tcW w:w="1560" w:type="dxa"/>
            <w:vAlign w:val="bottom"/>
          </w:tcPr>
          <w:p>
            <w:pPr>
              <w:jc w:val="right"/>
              <w:ind w:right="100"/>
              <w:spacing w:after="0"/>
              <w:rPr>
                <w:sz w:val="20"/>
                <w:szCs w:val="20"/>
                <w:color w:val="auto"/>
              </w:rPr>
            </w:pPr>
            <w:r>
              <w:rPr>
                <w:rFonts w:ascii="Arial" w:cs="Arial" w:eastAsia="Arial" w:hAnsi="Arial"/>
                <w:sz w:val="20"/>
                <w:szCs w:val="20"/>
                <w:color w:val="auto"/>
              </w:rPr>
              <w:t>68</w:t>
            </w:r>
          </w:p>
        </w:tc>
      </w:tr>
      <w:tr>
        <w:trPr>
          <w:trHeight w:val="275"/>
        </w:trPr>
        <w:tc>
          <w:tcPr>
            <w:tcW w:w="420" w:type="dxa"/>
            <w:vAlign w:val="bottom"/>
          </w:tcPr>
          <w:p>
            <w:pPr>
              <w:spacing w:after="0"/>
              <w:rPr>
                <w:sz w:val="20"/>
                <w:szCs w:val="20"/>
                <w:color w:val="auto"/>
              </w:rPr>
            </w:pPr>
            <w:r>
              <w:rPr>
                <w:rFonts w:ascii="Arial" w:cs="Arial" w:eastAsia="Arial" w:hAnsi="Arial"/>
                <w:sz w:val="20"/>
                <w:szCs w:val="20"/>
                <w:color w:val="auto"/>
                <w:w w:val="89"/>
              </w:rPr>
              <w:t>5.10.</w:t>
            </w:r>
          </w:p>
        </w:tc>
        <w:tc>
          <w:tcPr>
            <w:tcW w:w="8760" w:type="dxa"/>
            <w:vAlign w:val="bottom"/>
          </w:tcPr>
          <w:p>
            <w:pPr>
              <w:ind w:left="340"/>
              <w:spacing w:after="0"/>
              <w:rPr>
                <w:sz w:val="20"/>
                <w:szCs w:val="20"/>
                <w:color w:val="auto"/>
              </w:rPr>
            </w:pPr>
            <w:r>
              <w:rPr>
                <w:rFonts w:ascii="Arial" w:cs="Arial" w:eastAsia="Arial" w:hAnsi="Arial"/>
                <w:sz w:val="20"/>
                <w:szCs w:val="20"/>
                <w:color w:val="auto"/>
              </w:rPr>
              <w:t>Insurance</w:t>
            </w:r>
          </w:p>
        </w:tc>
        <w:tc>
          <w:tcPr>
            <w:tcW w:w="1560" w:type="dxa"/>
            <w:vAlign w:val="bottom"/>
          </w:tcPr>
          <w:p>
            <w:pPr>
              <w:jc w:val="right"/>
              <w:ind w:right="100"/>
              <w:spacing w:after="0"/>
              <w:rPr>
                <w:sz w:val="20"/>
                <w:szCs w:val="20"/>
                <w:color w:val="auto"/>
              </w:rPr>
            </w:pPr>
            <w:r>
              <w:rPr>
                <w:rFonts w:ascii="Arial" w:cs="Arial" w:eastAsia="Arial" w:hAnsi="Arial"/>
                <w:sz w:val="20"/>
                <w:szCs w:val="20"/>
                <w:color w:val="auto"/>
              </w:rPr>
              <w:t>69</w:t>
            </w:r>
          </w:p>
        </w:tc>
      </w:tr>
      <w:tr>
        <w:trPr>
          <w:trHeight w:val="275"/>
        </w:trPr>
        <w:tc>
          <w:tcPr>
            <w:tcW w:w="420" w:type="dxa"/>
            <w:vAlign w:val="bottom"/>
          </w:tcPr>
          <w:p>
            <w:pPr>
              <w:spacing w:after="0"/>
              <w:rPr>
                <w:sz w:val="20"/>
                <w:szCs w:val="20"/>
                <w:color w:val="auto"/>
              </w:rPr>
            </w:pPr>
            <w:r>
              <w:rPr>
                <w:rFonts w:ascii="Arial" w:cs="Arial" w:eastAsia="Arial" w:hAnsi="Arial"/>
                <w:sz w:val="20"/>
                <w:szCs w:val="20"/>
                <w:color w:val="auto"/>
                <w:w w:val="89"/>
              </w:rPr>
              <w:t>5.11.</w:t>
            </w:r>
          </w:p>
        </w:tc>
        <w:tc>
          <w:tcPr>
            <w:tcW w:w="8760" w:type="dxa"/>
            <w:vAlign w:val="bottom"/>
          </w:tcPr>
          <w:p>
            <w:pPr>
              <w:ind w:left="340"/>
              <w:spacing w:after="0"/>
              <w:rPr>
                <w:sz w:val="20"/>
                <w:szCs w:val="20"/>
                <w:color w:val="auto"/>
              </w:rPr>
            </w:pPr>
            <w:r>
              <w:rPr>
                <w:rFonts w:ascii="Arial" w:cs="Arial" w:eastAsia="Arial" w:hAnsi="Arial"/>
                <w:sz w:val="20"/>
                <w:szCs w:val="20"/>
                <w:color w:val="auto"/>
              </w:rPr>
              <w:t>Taxes</w:t>
            </w:r>
          </w:p>
        </w:tc>
        <w:tc>
          <w:tcPr>
            <w:tcW w:w="1560" w:type="dxa"/>
            <w:vAlign w:val="bottom"/>
          </w:tcPr>
          <w:p>
            <w:pPr>
              <w:jc w:val="right"/>
              <w:ind w:right="100"/>
              <w:spacing w:after="0"/>
              <w:rPr>
                <w:sz w:val="20"/>
                <w:szCs w:val="20"/>
                <w:color w:val="auto"/>
              </w:rPr>
            </w:pPr>
            <w:r>
              <w:rPr>
                <w:rFonts w:ascii="Arial" w:cs="Arial" w:eastAsia="Arial" w:hAnsi="Arial"/>
                <w:sz w:val="20"/>
                <w:szCs w:val="20"/>
                <w:color w:val="auto"/>
              </w:rPr>
              <w:t>69</w:t>
            </w:r>
          </w:p>
        </w:tc>
      </w:tr>
      <w:tr>
        <w:trPr>
          <w:trHeight w:val="275"/>
        </w:trPr>
        <w:tc>
          <w:tcPr>
            <w:tcW w:w="420" w:type="dxa"/>
            <w:vAlign w:val="bottom"/>
          </w:tcPr>
          <w:p>
            <w:pPr>
              <w:spacing w:after="0"/>
              <w:rPr>
                <w:sz w:val="20"/>
                <w:szCs w:val="20"/>
                <w:color w:val="auto"/>
              </w:rPr>
            </w:pPr>
            <w:r>
              <w:rPr>
                <w:rFonts w:ascii="Arial" w:cs="Arial" w:eastAsia="Arial" w:hAnsi="Arial"/>
                <w:sz w:val="20"/>
                <w:szCs w:val="20"/>
                <w:color w:val="auto"/>
                <w:w w:val="89"/>
              </w:rPr>
              <w:t>5.12.</w:t>
            </w:r>
          </w:p>
        </w:tc>
        <w:tc>
          <w:tcPr>
            <w:tcW w:w="8760" w:type="dxa"/>
            <w:vAlign w:val="bottom"/>
          </w:tcPr>
          <w:p>
            <w:pPr>
              <w:ind w:left="340"/>
              <w:spacing w:after="0"/>
              <w:rPr>
                <w:sz w:val="20"/>
                <w:szCs w:val="20"/>
                <w:color w:val="auto"/>
              </w:rPr>
            </w:pPr>
            <w:r>
              <w:rPr>
                <w:rFonts w:ascii="Arial" w:cs="Arial" w:eastAsia="Arial" w:hAnsi="Arial"/>
                <w:sz w:val="20"/>
                <w:szCs w:val="20"/>
                <w:color w:val="auto"/>
              </w:rPr>
              <w:t>ERISA Compliance</w:t>
            </w:r>
          </w:p>
        </w:tc>
        <w:tc>
          <w:tcPr>
            <w:tcW w:w="1560" w:type="dxa"/>
            <w:vAlign w:val="bottom"/>
          </w:tcPr>
          <w:p>
            <w:pPr>
              <w:jc w:val="right"/>
              <w:ind w:right="100"/>
              <w:spacing w:after="0"/>
              <w:rPr>
                <w:sz w:val="20"/>
                <w:szCs w:val="20"/>
                <w:color w:val="auto"/>
              </w:rPr>
            </w:pPr>
            <w:r>
              <w:rPr>
                <w:rFonts w:ascii="Arial" w:cs="Arial" w:eastAsia="Arial" w:hAnsi="Arial"/>
                <w:sz w:val="20"/>
                <w:szCs w:val="20"/>
                <w:color w:val="auto"/>
              </w:rPr>
              <w:t>69</w:t>
            </w:r>
          </w:p>
        </w:tc>
      </w:tr>
      <w:tr>
        <w:trPr>
          <w:trHeight w:val="275"/>
        </w:trPr>
        <w:tc>
          <w:tcPr>
            <w:tcW w:w="420" w:type="dxa"/>
            <w:vAlign w:val="bottom"/>
          </w:tcPr>
          <w:p>
            <w:pPr>
              <w:spacing w:after="0"/>
              <w:rPr>
                <w:sz w:val="20"/>
                <w:szCs w:val="20"/>
                <w:color w:val="auto"/>
              </w:rPr>
            </w:pPr>
            <w:r>
              <w:rPr>
                <w:rFonts w:ascii="Arial" w:cs="Arial" w:eastAsia="Arial" w:hAnsi="Arial"/>
                <w:sz w:val="20"/>
                <w:szCs w:val="20"/>
                <w:color w:val="auto"/>
                <w:w w:val="89"/>
              </w:rPr>
              <w:t>5.13.</w:t>
            </w:r>
          </w:p>
        </w:tc>
        <w:tc>
          <w:tcPr>
            <w:tcW w:w="8760" w:type="dxa"/>
            <w:vAlign w:val="bottom"/>
          </w:tcPr>
          <w:p>
            <w:pPr>
              <w:ind w:left="340"/>
              <w:spacing w:after="0"/>
              <w:rPr>
                <w:sz w:val="20"/>
                <w:szCs w:val="20"/>
                <w:color w:val="auto"/>
              </w:rPr>
            </w:pPr>
            <w:r>
              <w:rPr>
                <w:rFonts w:ascii="Arial" w:cs="Arial" w:eastAsia="Arial" w:hAnsi="Arial"/>
                <w:sz w:val="20"/>
                <w:szCs w:val="20"/>
                <w:color w:val="auto"/>
              </w:rPr>
              <w:t>Subsidiaries; Equity Interests; Loan Parties</w:t>
            </w:r>
          </w:p>
        </w:tc>
        <w:tc>
          <w:tcPr>
            <w:tcW w:w="1560" w:type="dxa"/>
            <w:vAlign w:val="bottom"/>
          </w:tcPr>
          <w:p>
            <w:pPr>
              <w:jc w:val="right"/>
              <w:ind w:right="100"/>
              <w:spacing w:after="0"/>
              <w:rPr>
                <w:sz w:val="20"/>
                <w:szCs w:val="20"/>
                <w:color w:val="auto"/>
              </w:rPr>
            </w:pPr>
            <w:r>
              <w:rPr>
                <w:rFonts w:ascii="Arial" w:cs="Arial" w:eastAsia="Arial" w:hAnsi="Arial"/>
                <w:sz w:val="20"/>
                <w:szCs w:val="20"/>
                <w:color w:val="auto"/>
              </w:rPr>
              <w:t>70</w:t>
            </w:r>
          </w:p>
        </w:tc>
      </w:tr>
      <w:tr>
        <w:trPr>
          <w:trHeight w:val="275"/>
        </w:trPr>
        <w:tc>
          <w:tcPr>
            <w:tcW w:w="420" w:type="dxa"/>
            <w:vAlign w:val="bottom"/>
          </w:tcPr>
          <w:p>
            <w:pPr>
              <w:spacing w:after="0"/>
              <w:rPr>
                <w:sz w:val="20"/>
                <w:szCs w:val="20"/>
                <w:color w:val="auto"/>
              </w:rPr>
            </w:pPr>
            <w:r>
              <w:rPr>
                <w:rFonts w:ascii="Arial" w:cs="Arial" w:eastAsia="Arial" w:hAnsi="Arial"/>
                <w:sz w:val="20"/>
                <w:szCs w:val="20"/>
                <w:color w:val="auto"/>
                <w:w w:val="89"/>
              </w:rPr>
              <w:t>5.14.</w:t>
            </w:r>
          </w:p>
        </w:tc>
        <w:tc>
          <w:tcPr>
            <w:tcW w:w="8760" w:type="dxa"/>
            <w:vAlign w:val="bottom"/>
          </w:tcPr>
          <w:p>
            <w:pPr>
              <w:ind w:left="340"/>
              <w:spacing w:after="0"/>
              <w:rPr>
                <w:sz w:val="20"/>
                <w:szCs w:val="20"/>
                <w:color w:val="auto"/>
              </w:rPr>
            </w:pPr>
            <w:r>
              <w:rPr>
                <w:rFonts w:ascii="Arial" w:cs="Arial" w:eastAsia="Arial" w:hAnsi="Arial"/>
                <w:sz w:val="20"/>
                <w:szCs w:val="20"/>
                <w:color w:val="auto"/>
              </w:rPr>
              <w:t>Margin Regulations; Investment Company Act</w:t>
            </w:r>
          </w:p>
        </w:tc>
        <w:tc>
          <w:tcPr>
            <w:tcW w:w="1560" w:type="dxa"/>
            <w:vAlign w:val="bottom"/>
          </w:tcPr>
          <w:p>
            <w:pPr>
              <w:jc w:val="right"/>
              <w:ind w:right="100"/>
              <w:spacing w:after="0"/>
              <w:rPr>
                <w:sz w:val="20"/>
                <w:szCs w:val="20"/>
                <w:color w:val="auto"/>
              </w:rPr>
            </w:pPr>
            <w:r>
              <w:rPr>
                <w:rFonts w:ascii="Arial" w:cs="Arial" w:eastAsia="Arial" w:hAnsi="Arial"/>
                <w:sz w:val="20"/>
                <w:szCs w:val="20"/>
                <w:color w:val="auto"/>
              </w:rPr>
              <w:t>71</w:t>
            </w:r>
          </w:p>
        </w:tc>
      </w:tr>
      <w:tr>
        <w:trPr>
          <w:trHeight w:val="275"/>
        </w:trPr>
        <w:tc>
          <w:tcPr>
            <w:tcW w:w="420" w:type="dxa"/>
            <w:vAlign w:val="bottom"/>
          </w:tcPr>
          <w:p>
            <w:pPr>
              <w:spacing w:after="0"/>
              <w:rPr>
                <w:sz w:val="20"/>
                <w:szCs w:val="20"/>
                <w:color w:val="auto"/>
              </w:rPr>
            </w:pPr>
            <w:r>
              <w:rPr>
                <w:rFonts w:ascii="Arial" w:cs="Arial" w:eastAsia="Arial" w:hAnsi="Arial"/>
                <w:sz w:val="20"/>
                <w:szCs w:val="20"/>
                <w:color w:val="auto"/>
                <w:w w:val="89"/>
              </w:rPr>
              <w:t>5.15.</w:t>
            </w:r>
          </w:p>
        </w:tc>
        <w:tc>
          <w:tcPr>
            <w:tcW w:w="8760" w:type="dxa"/>
            <w:vAlign w:val="bottom"/>
          </w:tcPr>
          <w:p>
            <w:pPr>
              <w:ind w:left="340"/>
              <w:spacing w:after="0"/>
              <w:rPr>
                <w:sz w:val="20"/>
                <w:szCs w:val="20"/>
                <w:color w:val="auto"/>
              </w:rPr>
            </w:pPr>
            <w:r>
              <w:rPr>
                <w:rFonts w:ascii="Arial" w:cs="Arial" w:eastAsia="Arial" w:hAnsi="Arial"/>
                <w:sz w:val="20"/>
                <w:szCs w:val="20"/>
                <w:color w:val="auto"/>
              </w:rPr>
              <w:t>Disclosure</w:t>
            </w:r>
          </w:p>
        </w:tc>
        <w:tc>
          <w:tcPr>
            <w:tcW w:w="1560" w:type="dxa"/>
            <w:vAlign w:val="bottom"/>
          </w:tcPr>
          <w:p>
            <w:pPr>
              <w:jc w:val="right"/>
              <w:ind w:right="100"/>
              <w:spacing w:after="0"/>
              <w:rPr>
                <w:sz w:val="20"/>
                <w:szCs w:val="20"/>
                <w:color w:val="auto"/>
              </w:rPr>
            </w:pPr>
            <w:r>
              <w:rPr>
                <w:rFonts w:ascii="Arial" w:cs="Arial" w:eastAsia="Arial" w:hAnsi="Arial"/>
                <w:sz w:val="20"/>
                <w:szCs w:val="20"/>
                <w:color w:val="auto"/>
              </w:rPr>
              <w:t>71</w:t>
            </w:r>
          </w:p>
        </w:tc>
      </w:tr>
      <w:tr>
        <w:trPr>
          <w:trHeight w:val="275"/>
        </w:trPr>
        <w:tc>
          <w:tcPr>
            <w:tcW w:w="420" w:type="dxa"/>
            <w:vAlign w:val="bottom"/>
          </w:tcPr>
          <w:p>
            <w:pPr>
              <w:spacing w:after="0"/>
              <w:rPr>
                <w:sz w:val="20"/>
                <w:szCs w:val="20"/>
                <w:color w:val="auto"/>
              </w:rPr>
            </w:pPr>
            <w:r>
              <w:rPr>
                <w:rFonts w:ascii="Arial" w:cs="Arial" w:eastAsia="Arial" w:hAnsi="Arial"/>
                <w:sz w:val="20"/>
                <w:szCs w:val="20"/>
                <w:color w:val="auto"/>
                <w:w w:val="89"/>
              </w:rPr>
              <w:t>5.16.</w:t>
            </w:r>
          </w:p>
        </w:tc>
        <w:tc>
          <w:tcPr>
            <w:tcW w:w="8760" w:type="dxa"/>
            <w:vAlign w:val="bottom"/>
          </w:tcPr>
          <w:p>
            <w:pPr>
              <w:ind w:left="340"/>
              <w:spacing w:after="0"/>
              <w:rPr>
                <w:sz w:val="20"/>
                <w:szCs w:val="20"/>
                <w:color w:val="auto"/>
              </w:rPr>
            </w:pPr>
            <w:r>
              <w:rPr>
                <w:rFonts w:ascii="Arial" w:cs="Arial" w:eastAsia="Arial" w:hAnsi="Arial"/>
                <w:sz w:val="20"/>
                <w:szCs w:val="20"/>
                <w:color w:val="auto"/>
              </w:rPr>
              <w:t>Compliance with Laws</w:t>
            </w:r>
          </w:p>
        </w:tc>
        <w:tc>
          <w:tcPr>
            <w:tcW w:w="1560" w:type="dxa"/>
            <w:vAlign w:val="bottom"/>
          </w:tcPr>
          <w:p>
            <w:pPr>
              <w:jc w:val="right"/>
              <w:ind w:right="100"/>
              <w:spacing w:after="0"/>
              <w:rPr>
                <w:sz w:val="20"/>
                <w:szCs w:val="20"/>
                <w:color w:val="auto"/>
              </w:rPr>
            </w:pPr>
            <w:r>
              <w:rPr>
                <w:rFonts w:ascii="Arial" w:cs="Arial" w:eastAsia="Arial" w:hAnsi="Arial"/>
                <w:sz w:val="20"/>
                <w:szCs w:val="20"/>
                <w:color w:val="auto"/>
              </w:rPr>
              <w:t>71</w:t>
            </w:r>
          </w:p>
        </w:tc>
      </w:tr>
      <w:tr>
        <w:trPr>
          <w:trHeight w:val="275"/>
        </w:trPr>
        <w:tc>
          <w:tcPr>
            <w:tcW w:w="420" w:type="dxa"/>
            <w:vAlign w:val="bottom"/>
          </w:tcPr>
          <w:p>
            <w:pPr>
              <w:spacing w:after="0"/>
              <w:rPr>
                <w:sz w:val="20"/>
                <w:szCs w:val="20"/>
                <w:color w:val="auto"/>
              </w:rPr>
            </w:pPr>
            <w:r>
              <w:rPr>
                <w:rFonts w:ascii="Arial" w:cs="Arial" w:eastAsia="Arial" w:hAnsi="Arial"/>
                <w:sz w:val="20"/>
                <w:szCs w:val="20"/>
                <w:color w:val="auto"/>
                <w:w w:val="89"/>
              </w:rPr>
              <w:t>5.17.</w:t>
            </w:r>
          </w:p>
        </w:tc>
        <w:tc>
          <w:tcPr>
            <w:tcW w:w="8760" w:type="dxa"/>
            <w:vAlign w:val="bottom"/>
          </w:tcPr>
          <w:p>
            <w:pPr>
              <w:ind w:left="340"/>
              <w:spacing w:after="0"/>
              <w:rPr>
                <w:sz w:val="20"/>
                <w:szCs w:val="20"/>
                <w:color w:val="auto"/>
              </w:rPr>
            </w:pPr>
            <w:r>
              <w:rPr>
                <w:rFonts w:ascii="Arial" w:cs="Arial" w:eastAsia="Arial" w:hAnsi="Arial"/>
                <w:sz w:val="20"/>
                <w:szCs w:val="20"/>
                <w:color w:val="auto"/>
              </w:rPr>
              <w:t>Intentionally Omitted</w:t>
            </w:r>
          </w:p>
        </w:tc>
        <w:tc>
          <w:tcPr>
            <w:tcW w:w="1560" w:type="dxa"/>
            <w:vAlign w:val="bottom"/>
          </w:tcPr>
          <w:p>
            <w:pPr>
              <w:jc w:val="right"/>
              <w:ind w:right="100"/>
              <w:spacing w:after="0"/>
              <w:rPr>
                <w:sz w:val="20"/>
                <w:szCs w:val="20"/>
                <w:color w:val="auto"/>
              </w:rPr>
            </w:pPr>
            <w:r>
              <w:rPr>
                <w:rFonts w:ascii="Arial" w:cs="Arial" w:eastAsia="Arial" w:hAnsi="Arial"/>
                <w:sz w:val="20"/>
                <w:szCs w:val="20"/>
                <w:color w:val="auto"/>
              </w:rPr>
              <w:t>71</w:t>
            </w:r>
          </w:p>
        </w:tc>
      </w:tr>
      <w:tr>
        <w:trPr>
          <w:trHeight w:val="275"/>
        </w:trPr>
        <w:tc>
          <w:tcPr>
            <w:tcW w:w="420" w:type="dxa"/>
            <w:vAlign w:val="bottom"/>
          </w:tcPr>
          <w:p>
            <w:pPr>
              <w:spacing w:after="0"/>
              <w:rPr>
                <w:sz w:val="20"/>
                <w:szCs w:val="20"/>
                <w:color w:val="auto"/>
              </w:rPr>
            </w:pPr>
            <w:r>
              <w:rPr>
                <w:rFonts w:ascii="Arial" w:cs="Arial" w:eastAsia="Arial" w:hAnsi="Arial"/>
                <w:sz w:val="20"/>
                <w:szCs w:val="20"/>
                <w:color w:val="auto"/>
                <w:w w:val="89"/>
              </w:rPr>
              <w:t>5.18.</w:t>
            </w:r>
          </w:p>
        </w:tc>
        <w:tc>
          <w:tcPr>
            <w:tcW w:w="8760" w:type="dxa"/>
            <w:vAlign w:val="bottom"/>
          </w:tcPr>
          <w:p>
            <w:pPr>
              <w:ind w:left="340"/>
              <w:spacing w:after="0"/>
              <w:rPr>
                <w:sz w:val="20"/>
                <w:szCs w:val="20"/>
                <w:color w:val="auto"/>
              </w:rPr>
            </w:pPr>
            <w:r>
              <w:rPr>
                <w:rFonts w:ascii="Arial" w:cs="Arial" w:eastAsia="Arial" w:hAnsi="Arial"/>
                <w:sz w:val="20"/>
                <w:szCs w:val="20"/>
                <w:color w:val="auto"/>
              </w:rPr>
              <w:t>Intellectual Property; Licenses, Etc</w:t>
            </w:r>
          </w:p>
        </w:tc>
        <w:tc>
          <w:tcPr>
            <w:tcW w:w="1560" w:type="dxa"/>
            <w:vAlign w:val="bottom"/>
          </w:tcPr>
          <w:p>
            <w:pPr>
              <w:jc w:val="right"/>
              <w:ind w:right="100"/>
              <w:spacing w:after="0"/>
              <w:rPr>
                <w:sz w:val="20"/>
                <w:szCs w:val="20"/>
                <w:color w:val="auto"/>
              </w:rPr>
            </w:pPr>
            <w:r>
              <w:rPr>
                <w:rFonts w:ascii="Arial" w:cs="Arial" w:eastAsia="Arial" w:hAnsi="Arial"/>
                <w:sz w:val="20"/>
                <w:szCs w:val="20"/>
                <w:color w:val="auto"/>
              </w:rPr>
              <w:t>71</w:t>
            </w:r>
          </w:p>
        </w:tc>
      </w:tr>
      <w:tr>
        <w:trPr>
          <w:trHeight w:val="275"/>
        </w:trPr>
        <w:tc>
          <w:tcPr>
            <w:tcW w:w="420" w:type="dxa"/>
            <w:vAlign w:val="bottom"/>
          </w:tcPr>
          <w:p>
            <w:pPr>
              <w:spacing w:after="0"/>
              <w:rPr>
                <w:sz w:val="20"/>
                <w:szCs w:val="20"/>
                <w:color w:val="auto"/>
              </w:rPr>
            </w:pPr>
            <w:r>
              <w:rPr>
                <w:rFonts w:ascii="Arial" w:cs="Arial" w:eastAsia="Arial" w:hAnsi="Arial"/>
                <w:sz w:val="20"/>
                <w:szCs w:val="20"/>
                <w:color w:val="auto"/>
                <w:w w:val="89"/>
              </w:rPr>
              <w:t>5.19.</w:t>
            </w:r>
          </w:p>
        </w:tc>
        <w:tc>
          <w:tcPr>
            <w:tcW w:w="8760" w:type="dxa"/>
            <w:vAlign w:val="bottom"/>
          </w:tcPr>
          <w:p>
            <w:pPr>
              <w:ind w:left="340"/>
              <w:spacing w:after="0"/>
              <w:rPr>
                <w:sz w:val="20"/>
                <w:szCs w:val="20"/>
                <w:color w:val="auto"/>
              </w:rPr>
            </w:pPr>
            <w:r>
              <w:rPr>
                <w:rFonts w:ascii="Arial" w:cs="Arial" w:eastAsia="Arial" w:hAnsi="Arial"/>
                <w:sz w:val="20"/>
                <w:szCs w:val="20"/>
                <w:color w:val="auto"/>
              </w:rPr>
              <w:t>Solvency</w:t>
            </w:r>
          </w:p>
        </w:tc>
        <w:tc>
          <w:tcPr>
            <w:tcW w:w="1560" w:type="dxa"/>
            <w:vAlign w:val="bottom"/>
          </w:tcPr>
          <w:p>
            <w:pPr>
              <w:jc w:val="right"/>
              <w:ind w:right="100"/>
              <w:spacing w:after="0"/>
              <w:rPr>
                <w:sz w:val="20"/>
                <w:szCs w:val="20"/>
                <w:color w:val="auto"/>
              </w:rPr>
            </w:pPr>
            <w:r>
              <w:rPr>
                <w:rFonts w:ascii="Arial" w:cs="Arial" w:eastAsia="Arial" w:hAnsi="Arial"/>
                <w:sz w:val="20"/>
                <w:szCs w:val="20"/>
                <w:color w:val="auto"/>
              </w:rPr>
              <w:t>72</w:t>
            </w:r>
          </w:p>
        </w:tc>
      </w:tr>
      <w:tr>
        <w:trPr>
          <w:trHeight w:val="275"/>
        </w:trPr>
        <w:tc>
          <w:tcPr>
            <w:tcW w:w="420" w:type="dxa"/>
            <w:vAlign w:val="bottom"/>
          </w:tcPr>
          <w:p>
            <w:pPr>
              <w:spacing w:after="0"/>
              <w:rPr>
                <w:sz w:val="20"/>
                <w:szCs w:val="20"/>
                <w:color w:val="auto"/>
              </w:rPr>
            </w:pPr>
            <w:r>
              <w:rPr>
                <w:rFonts w:ascii="Arial" w:cs="Arial" w:eastAsia="Arial" w:hAnsi="Arial"/>
                <w:sz w:val="20"/>
                <w:szCs w:val="20"/>
                <w:color w:val="auto"/>
                <w:w w:val="89"/>
              </w:rPr>
              <w:t>5.20.</w:t>
            </w:r>
          </w:p>
        </w:tc>
        <w:tc>
          <w:tcPr>
            <w:tcW w:w="8760" w:type="dxa"/>
            <w:vAlign w:val="bottom"/>
          </w:tcPr>
          <w:p>
            <w:pPr>
              <w:ind w:left="340"/>
              <w:spacing w:after="0"/>
              <w:rPr>
                <w:sz w:val="20"/>
                <w:szCs w:val="20"/>
                <w:color w:val="auto"/>
              </w:rPr>
            </w:pPr>
            <w:r>
              <w:rPr>
                <w:rFonts w:ascii="Arial" w:cs="Arial" w:eastAsia="Arial" w:hAnsi="Arial"/>
                <w:sz w:val="20"/>
                <w:szCs w:val="20"/>
                <w:color w:val="auto"/>
              </w:rPr>
              <w:t>Casualty, Etc</w:t>
            </w:r>
          </w:p>
        </w:tc>
        <w:tc>
          <w:tcPr>
            <w:tcW w:w="1560" w:type="dxa"/>
            <w:vAlign w:val="bottom"/>
          </w:tcPr>
          <w:p>
            <w:pPr>
              <w:jc w:val="right"/>
              <w:ind w:right="100"/>
              <w:spacing w:after="0"/>
              <w:rPr>
                <w:sz w:val="20"/>
                <w:szCs w:val="20"/>
                <w:color w:val="auto"/>
              </w:rPr>
            </w:pPr>
            <w:r>
              <w:rPr>
                <w:rFonts w:ascii="Arial" w:cs="Arial" w:eastAsia="Arial" w:hAnsi="Arial"/>
                <w:sz w:val="20"/>
                <w:szCs w:val="20"/>
                <w:color w:val="auto"/>
              </w:rPr>
              <w:t>72</w:t>
            </w:r>
          </w:p>
        </w:tc>
      </w:tr>
      <w:tr>
        <w:trPr>
          <w:trHeight w:val="275"/>
        </w:trPr>
        <w:tc>
          <w:tcPr>
            <w:tcW w:w="420" w:type="dxa"/>
            <w:vAlign w:val="bottom"/>
          </w:tcPr>
          <w:p>
            <w:pPr>
              <w:spacing w:after="0"/>
              <w:rPr>
                <w:sz w:val="20"/>
                <w:szCs w:val="20"/>
                <w:color w:val="auto"/>
              </w:rPr>
            </w:pPr>
            <w:r>
              <w:rPr>
                <w:rFonts w:ascii="Arial" w:cs="Arial" w:eastAsia="Arial" w:hAnsi="Arial"/>
                <w:sz w:val="20"/>
                <w:szCs w:val="20"/>
                <w:color w:val="auto"/>
                <w:w w:val="89"/>
              </w:rPr>
              <w:t>5.21.</w:t>
            </w:r>
          </w:p>
        </w:tc>
        <w:tc>
          <w:tcPr>
            <w:tcW w:w="8760" w:type="dxa"/>
            <w:vAlign w:val="bottom"/>
          </w:tcPr>
          <w:p>
            <w:pPr>
              <w:ind w:left="340"/>
              <w:spacing w:after="0"/>
              <w:rPr>
                <w:sz w:val="20"/>
                <w:szCs w:val="20"/>
                <w:color w:val="auto"/>
              </w:rPr>
            </w:pPr>
            <w:r>
              <w:rPr>
                <w:rFonts w:ascii="Arial" w:cs="Arial" w:eastAsia="Arial" w:hAnsi="Arial"/>
                <w:sz w:val="20"/>
                <w:szCs w:val="20"/>
                <w:color w:val="auto"/>
              </w:rPr>
              <w:t>Labor Matters</w:t>
            </w:r>
          </w:p>
        </w:tc>
        <w:tc>
          <w:tcPr>
            <w:tcW w:w="1560" w:type="dxa"/>
            <w:vAlign w:val="bottom"/>
          </w:tcPr>
          <w:p>
            <w:pPr>
              <w:jc w:val="right"/>
              <w:ind w:right="100"/>
              <w:spacing w:after="0"/>
              <w:rPr>
                <w:sz w:val="20"/>
                <w:szCs w:val="20"/>
                <w:color w:val="auto"/>
              </w:rPr>
            </w:pPr>
            <w:r>
              <w:rPr>
                <w:rFonts w:ascii="Arial" w:cs="Arial" w:eastAsia="Arial" w:hAnsi="Arial"/>
                <w:sz w:val="20"/>
                <w:szCs w:val="20"/>
                <w:color w:val="auto"/>
              </w:rPr>
              <w:t>72</w:t>
            </w:r>
          </w:p>
        </w:tc>
      </w:tr>
      <w:tr>
        <w:trPr>
          <w:trHeight w:val="275"/>
        </w:trPr>
        <w:tc>
          <w:tcPr>
            <w:tcW w:w="420" w:type="dxa"/>
            <w:vAlign w:val="bottom"/>
          </w:tcPr>
          <w:p>
            <w:pPr>
              <w:spacing w:after="0"/>
              <w:rPr>
                <w:sz w:val="20"/>
                <w:szCs w:val="20"/>
                <w:color w:val="auto"/>
              </w:rPr>
            </w:pPr>
            <w:r>
              <w:rPr>
                <w:rFonts w:ascii="Arial" w:cs="Arial" w:eastAsia="Arial" w:hAnsi="Arial"/>
                <w:sz w:val="20"/>
                <w:szCs w:val="20"/>
                <w:color w:val="auto"/>
                <w:w w:val="89"/>
              </w:rPr>
              <w:t>5.22.</w:t>
            </w:r>
          </w:p>
        </w:tc>
        <w:tc>
          <w:tcPr>
            <w:tcW w:w="8760" w:type="dxa"/>
            <w:vAlign w:val="bottom"/>
          </w:tcPr>
          <w:p>
            <w:pPr>
              <w:ind w:left="340"/>
              <w:spacing w:after="0"/>
              <w:rPr>
                <w:sz w:val="20"/>
                <w:szCs w:val="20"/>
                <w:color w:val="auto"/>
              </w:rPr>
            </w:pPr>
            <w:r>
              <w:rPr>
                <w:rFonts w:ascii="Arial" w:cs="Arial" w:eastAsia="Arial" w:hAnsi="Arial"/>
                <w:sz w:val="20"/>
                <w:szCs w:val="20"/>
                <w:color w:val="auto"/>
              </w:rPr>
              <w:t>Anti-Corruption Laws; Sanctions; Anti-Terrorism Laws</w:t>
            </w:r>
          </w:p>
        </w:tc>
        <w:tc>
          <w:tcPr>
            <w:tcW w:w="1560" w:type="dxa"/>
            <w:vAlign w:val="bottom"/>
          </w:tcPr>
          <w:p>
            <w:pPr>
              <w:jc w:val="right"/>
              <w:ind w:right="100"/>
              <w:spacing w:after="0"/>
              <w:rPr>
                <w:sz w:val="20"/>
                <w:szCs w:val="20"/>
                <w:color w:val="auto"/>
              </w:rPr>
            </w:pPr>
            <w:r>
              <w:rPr>
                <w:rFonts w:ascii="Arial" w:cs="Arial" w:eastAsia="Arial" w:hAnsi="Arial"/>
                <w:sz w:val="20"/>
                <w:szCs w:val="20"/>
                <w:color w:val="auto"/>
              </w:rPr>
              <w:t>72</w:t>
            </w:r>
          </w:p>
        </w:tc>
      </w:tr>
      <w:tr>
        <w:trPr>
          <w:trHeight w:val="275"/>
        </w:trPr>
        <w:tc>
          <w:tcPr>
            <w:tcW w:w="9180" w:type="dxa"/>
            <w:vAlign w:val="bottom"/>
            <w:gridSpan w:val="2"/>
          </w:tcPr>
          <w:p>
            <w:pPr>
              <w:ind w:left="300"/>
              <w:spacing w:after="0"/>
              <w:rPr>
                <w:sz w:val="20"/>
                <w:szCs w:val="20"/>
                <w:color w:val="auto"/>
              </w:rPr>
            </w:pPr>
            <w:r>
              <w:rPr>
                <w:rFonts w:ascii="Arial" w:cs="Arial" w:eastAsia="Arial" w:hAnsi="Arial"/>
                <w:sz w:val="20"/>
                <w:szCs w:val="20"/>
                <w:color w:val="auto"/>
              </w:rPr>
              <w:t>5.23. REIT Status; Stock Exchange Listing</w:t>
            </w:r>
          </w:p>
        </w:tc>
        <w:tc>
          <w:tcPr>
            <w:tcW w:w="1560" w:type="dxa"/>
            <w:vAlign w:val="bottom"/>
          </w:tcPr>
          <w:p>
            <w:pPr>
              <w:jc w:val="right"/>
              <w:ind w:right="100"/>
              <w:spacing w:after="0"/>
              <w:rPr>
                <w:sz w:val="20"/>
                <w:szCs w:val="20"/>
                <w:color w:val="auto"/>
              </w:rPr>
            </w:pPr>
            <w:r>
              <w:rPr>
                <w:rFonts w:ascii="Arial" w:cs="Arial" w:eastAsia="Arial" w:hAnsi="Arial"/>
                <w:sz w:val="20"/>
                <w:szCs w:val="20"/>
                <w:color w:val="auto"/>
              </w:rPr>
              <w:t>72</w:t>
            </w:r>
          </w:p>
        </w:tc>
      </w:tr>
      <w:tr>
        <w:trPr>
          <w:trHeight w:val="275"/>
        </w:trPr>
        <w:tc>
          <w:tcPr>
            <w:tcW w:w="420" w:type="dxa"/>
            <w:vAlign w:val="bottom"/>
          </w:tcPr>
          <w:p>
            <w:pPr>
              <w:spacing w:after="0"/>
              <w:rPr>
                <w:sz w:val="20"/>
                <w:szCs w:val="20"/>
                <w:color w:val="auto"/>
              </w:rPr>
            </w:pPr>
            <w:r>
              <w:rPr>
                <w:rFonts w:ascii="Arial" w:cs="Arial" w:eastAsia="Arial" w:hAnsi="Arial"/>
                <w:sz w:val="20"/>
                <w:szCs w:val="20"/>
                <w:color w:val="auto"/>
                <w:w w:val="89"/>
              </w:rPr>
              <w:t>5.24.</w:t>
            </w:r>
          </w:p>
        </w:tc>
        <w:tc>
          <w:tcPr>
            <w:tcW w:w="8760" w:type="dxa"/>
            <w:vAlign w:val="bottom"/>
          </w:tcPr>
          <w:p>
            <w:pPr>
              <w:ind w:left="340"/>
              <w:spacing w:after="0"/>
              <w:rPr>
                <w:sz w:val="20"/>
                <w:szCs w:val="20"/>
                <w:color w:val="auto"/>
              </w:rPr>
            </w:pPr>
            <w:r>
              <w:rPr>
                <w:rFonts w:ascii="Arial" w:cs="Arial" w:eastAsia="Arial" w:hAnsi="Arial"/>
                <w:sz w:val="20"/>
                <w:szCs w:val="20"/>
                <w:color w:val="auto"/>
              </w:rPr>
              <w:t>EEA Financial Institution</w:t>
            </w:r>
          </w:p>
        </w:tc>
        <w:tc>
          <w:tcPr>
            <w:tcW w:w="1560" w:type="dxa"/>
            <w:vAlign w:val="bottom"/>
          </w:tcPr>
          <w:p>
            <w:pPr>
              <w:jc w:val="right"/>
              <w:ind w:right="100"/>
              <w:spacing w:after="0"/>
              <w:rPr>
                <w:sz w:val="20"/>
                <w:szCs w:val="20"/>
                <w:color w:val="auto"/>
              </w:rPr>
            </w:pPr>
            <w:r>
              <w:rPr>
                <w:rFonts w:ascii="Arial" w:cs="Arial" w:eastAsia="Arial" w:hAnsi="Arial"/>
                <w:sz w:val="20"/>
                <w:szCs w:val="20"/>
                <w:color w:val="auto"/>
              </w:rPr>
              <w:t>72</w:t>
            </w:r>
          </w:p>
        </w:tc>
      </w:tr>
    </w:tbl>
    <w:p>
      <w:pPr>
        <w:spacing w:after="0" w:line="200" w:lineRule="exact"/>
        <w:rPr>
          <w:sz w:val="20"/>
          <w:szCs w:val="20"/>
          <w:color w:val="auto"/>
        </w:rPr>
      </w:pPr>
    </w:p>
    <w:p>
      <w:pPr>
        <w:spacing w:after="0" w:line="345"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ARTICLE VI</w:t>
      </w:r>
    </w:p>
    <w:p>
      <w:pPr>
        <w:spacing w:after="0" w:line="245"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AFFIRMATIVE COVENANTS</w:t>
      </w:r>
    </w:p>
    <w:p>
      <w:pPr>
        <w:sectPr>
          <w:pgSz w:w="11900" w:h="16838" w:orient="portrait"/>
          <w:cols w:equalWidth="0" w:num="1">
            <w:col w:w="10740"/>
          </w:cols>
          <w:pgMar w:left="640" w:top="1132"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740"/>
          </w:cols>
          <w:pgMar w:left="640" w:top="1132" w:right="519" w:bottom="1440" w:gutter="0" w:footer="0" w:header="0"/>
          <w:type w:val="continuous"/>
        </w:sectPr>
      </w:pPr>
    </w:p>
    <w:bookmarkStart w:id="401" w:name="page402"/>
    <w:bookmarkEnd w:id="401"/>
    <w:tbl>
      <w:tblPr>
        <w:tblLayout w:type="fixed"/>
        <w:tblInd w:w="0" w:type="dxa"/>
        <w:tblCellMar>
          <w:top w:w="0" w:type="dxa"/>
          <w:left w:w="0" w:type="dxa"/>
          <w:bottom w:w="0" w:type="dxa"/>
          <w:right w:w="0" w:type="dxa"/>
        </w:tblCellMar>
      </w:tblPr>
      <w:tr>
        <w:trPr>
          <w:trHeight w:val="254"/>
        </w:trPr>
        <w:tc>
          <w:tcPr>
            <w:tcW w:w="640" w:type="dxa"/>
            <w:vAlign w:val="bottom"/>
          </w:tcPr>
          <w:p>
            <w:pPr>
              <w:jc w:val="right"/>
              <w:ind w:right="140"/>
              <w:spacing w:after="0"/>
              <w:rPr>
                <w:sz w:val="20"/>
                <w:szCs w:val="20"/>
                <w:color w:val="auto"/>
              </w:rPr>
            </w:pPr>
            <w:r>
              <w:rPr>
                <w:rFonts w:ascii="Arial" w:cs="Arial" w:eastAsia="Arial" w:hAnsi="Arial"/>
                <w:sz w:val="20"/>
                <w:szCs w:val="20"/>
                <w:color w:val="auto"/>
                <w:w w:val="85"/>
              </w:rPr>
              <w:t>6.01.</w:t>
            </w:r>
          </w:p>
        </w:tc>
        <w:tc>
          <w:tcPr>
            <w:tcW w:w="7880" w:type="dxa"/>
            <w:vAlign w:val="bottom"/>
          </w:tcPr>
          <w:p>
            <w:pPr>
              <w:ind w:left="220"/>
              <w:spacing w:after="0"/>
              <w:rPr>
                <w:sz w:val="20"/>
                <w:szCs w:val="20"/>
                <w:color w:val="auto"/>
              </w:rPr>
            </w:pPr>
            <w:r>
              <w:rPr>
                <w:rFonts w:ascii="Arial" w:cs="Arial" w:eastAsia="Arial" w:hAnsi="Arial"/>
                <w:sz w:val="20"/>
                <w:szCs w:val="20"/>
                <w:color w:val="auto"/>
              </w:rPr>
              <w:t>Financial Statements</w:t>
            </w:r>
          </w:p>
        </w:tc>
        <w:tc>
          <w:tcPr>
            <w:tcW w:w="200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75"/>
        </w:trPr>
        <w:tc>
          <w:tcPr>
            <w:tcW w:w="640" w:type="dxa"/>
            <w:vAlign w:val="bottom"/>
          </w:tcPr>
          <w:p>
            <w:pPr>
              <w:jc w:val="right"/>
              <w:ind w:right="140"/>
              <w:spacing w:after="0"/>
              <w:rPr>
                <w:sz w:val="20"/>
                <w:szCs w:val="20"/>
                <w:color w:val="auto"/>
              </w:rPr>
            </w:pPr>
            <w:r>
              <w:rPr>
                <w:rFonts w:ascii="Arial" w:cs="Arial" w:eastAsia="Arial" w:hAnsi="Arial"/>
                <w:sz w:val="20"/>
                <w:szCs w:val="20"/>
                <w:color w:val="auto"/>
                <w:w w:val="85"/>
              </w:rPr>
              <w:t>6.02.</w:t>
            </w:r>
          </w:p>
        </w:tc>
        <w:tc>
          <w:tcPr>
            <w:tcW w:w="7880" w:type="dxa"/>
            <w:vAlign w:val="bottom"/>
          </w:tcPr>
          <w:p>
            <w:pPr>
              <w:ind w:left="220"/>
              <w:spacing w:after="0"/>
              <w:rPr>
                <w:sz w:val="20"/>
                <w:szCs w:val="20"/>
                <w:color w:val="auto"/>
              </w:rPr>
            </w:pPr>
            <w:r>
              <w:rPr>
                <w:rFonts w:ascii="Arial" w:cs="Arial" w:eastAsia="Arial" w:hAnsi="Arial"/>
                <w:sz w:val="20"/>
                <w:szCs w:val="20"/>
                <w:color w:val="auto"/>
              </w:rPr>
              <w:t>Certificates; Other Information</w:t>
            </w:r>
          </w:p>
        </w:tc>
        <w:tc>
          <w:tcPr>
            <w:tcW w:w="200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75"/>
        </w:trPr>
        <w:tc>
          <w:tcPr>
            <w:tcW w:w="640" w:type="dxa"/>
            <w:vAlign w:val="bottom"/>
          </w:tcPr>
          <w:p>
            <w:pPr>
              <w:jc w:val="right"/>
              <w:ind w:right="140"/>
              <w:spacing w:after="0"/>
              <w:rPr>
                <w:sz w:val="20"/>
                <w:szCs w:val="20"/>
                <w:color w:val="auto"/>
              </w:rPr>
            </w:pPr>
            <w:r>
              <w:rPr>
                <w:rFonts w:ascii="Arial" w:cs="Arial" w:eastAsia="Arial" w:hAnsi="Arial"/>
                <w:sz w:val="20"/>
                <w:szCs w:val="20"/>
                <w:color w:val="auto"/>
                <w:w w:val="85"/>
              </w:rPr>
              <w:t>6.03.</w:t>
            </w:r>
          </w:p>
        </w:tc>
        <w:tc>
          <w:tcPr>
            <w:tcW w:w="7880" w:type="dxa"/>
            <w:vAlign w:val="bottom"/>
          </w:tcPr>
          <w:p>
            <w:pPr>
              <w:ind w:left="220"/>
              <w:spacing w:after="0"/>
              <w:rPr>
                <w:sz w:val="20"/>
                <w:szCs w:val="20"/>
                <w:color w:val="auto"/>
              </w:rPr>
            </w:pPr>
            <w:r>
              <w:rPr>
                <w:rFonts w:ascii="Arial" w:cs="Arial" w:eastAsia="Arial" w:hAnsi="Arial"/>
                <w:sz w:val="20"/>
                <w:szCs w:val="20"/>
                <w:color w:val="auto"/>
              </w:rPr>
              <w:t>Notices</w:t>
            </w:r>
          </w:p>
        </w:tc>
        <w:tc>
          <w:tcPr>
            <w:tcW w:w="200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75"/>
        </w:trPr>
        <w:tc>
          <w:tcPr>
            <w:tcW w:w="640" w:type="dxa"/>
            <w:vAlign w:val="bottom"/>
          </w:tcPr>
          <w:p>
            <w:pPr>
              <w:jc w:val="right"/>
              <w:ind w:right="140"/>
              <w:spacing w:after="0"/>
              <w:rPr>
                <w:sz w:val="20"/>
                <w:szCs w:val="20"/>
                <w:color w:val="auto"/>
              </w:rPr>
            </w:pPr>
            <w:r>
              <w:rPr>
                <w:rFonts w:ascii="Arial" w:cs="Arial" w:eastAsia="Arial" w:hAnsi="Arial"/>
                <w:sz w:val="20"/>
                <w:szCs w:val="20"/>
                <w:color w:val="auto"/>
                <w:w w:val="85"/>
              </w:rPr>
              <w:t>6.04.</w:t>
            </w:r>
          </w:p>
        </w:tc>
        <w:tc>
          <w:tcPr>
            <w:tcW w:w="7880" w:type="dxa"/>
            <w:vAlign w:val="bottom"/>
          </w:tcPr>
          <w:p>
            <w:pPr>
              <w:ind w:left="220"/>
              <w:spacing w:after="0"/>
              <w:rPr>
                <w:sz w:val="20"/>
                <w:szCs w:val="20"/>
                <w:color w:val="auto"/>
              </w:rPr>
            </w:pPr>
            <w:r>
              <w:rPr>
                <w:rFonts w:ascii="Arial" w:cs="Arial" w:eastAsia="Arial" w:hAnsi="Arial"/>
                <w:sz w:val="20"/>
                <w:szCs w:val="20"/>
                <w:color w:val="auto"/>
              </w:rPr>
              <w:t>Payment of Obligations</w:t>
            </w:r>
          </w:p>
        </w:tc>
        <w:tc>
          <w:tcPr>
            <w:tcW w:w="200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75"/>
        </w:trPr>
        <w:tc>
          <w:tcPr>
            <w:tcW w:w="640" w:type="dxa"/>
            <w:vAlign w:val="bottom"/>
          </w:tcPr>
          <w:p>
            <w:pPr>
              <w:jc w:val="right"/>
              <w:ind w:right="140"/>
              <w:spacing w:after="0"/>
              <w:rPr>
                <w:sz w:val="20"/>
                <w:szCs w:val="20"/>
                <w:color w:val="auto"/>
              </w:rPr>
            </w:pPr>
            <w:r>
              <w:rPr>
                <w:rFonts w:ascii="Arial" w:cs="Arial" w:eastAsia="Arial" w:hAnsi="Arial"/>
                <w:sz w:val="20"/>
                <w:szCs w:val="20"/>
                <w:color w:val="auto"/>
                <w:w w:val="85"/>
              </w:rPr>
              <w:t>6.05.</w:t>
            </w:r>
          </w:p>
        </w:tc>
        <w:tc>
          <w:tcPr>
            <w:tcW w:w="7880" w:type="dxa"/>
            <w:vAlign w:val="bottom"/>
          </w:tcPr>
          <w:p>
            <w:pPr>
              <w:ind w:left="220"/>
              <w:spacing w:after="0"/>
              <w:rPr>
                <w:sz w:val="20"/>
                <w:szCs w:val="20"/>
                <w:color w:val="auto"/>
              </w:rPr>
            </w:pPr>
            <w:r>
              <w:rPr>
                <w:rFonts w:ascii="Arial" w:cs="Arial" w:eastAsia="Arial" w:hAnsi="Arial"/>
                <w:sz w:val="20"/>
                <w:szCs w:val="20"/>
                <w:color w:val="auto"/>
              </w:rPr>
              <w:t>Preservation of Existence, Etc</w:t>
            </w:r>
          </w:p>
        </w:tc>
        <w:tc>
          <w:tcPr>
            <w:tcW w:w="200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75"/>
        </w:trPr>
        <w:tc>
          <w:tcPr>
            <w:tcW w:w="640" w:type="dxa"/>
            <w:vAlign w:val="bottom"/>
          </w:tcPr>
          <w:p>
            <w:pPr>
              <w:jc w:val="right"/>
              <w:ind w:right="140"/>
              <w:spacing w:after="0"/>
              <w:rPr>
                <w:sz w:val="20"/>
                <w:szCs w:val="20"/>
                <w:color w:val="auto"/>
              </w:rPr>
            </w:pPr>
            <w:r>
              <w:rPr>
                <w:rFonts w:ascii="Arial" w:cs="Arial" w:eastAsia="Arial" w:hAnsi="Arial"/>
                <w:sz w:val="20"/>
                <w:szCs w:val="20"/>
                <w:color w:val="auto"/>
                <w:w w:val="85"/>
              </w:rPr>
              <w:t>6.06.</w:t>
            </w:r>
          </w:p>
        </w:tc>
        <w:tc>
          <w:tcPr>
            <w:tcW w:w="7880" w:type="dxa"/>
            <w:vAlign w:val="bottom"/>
          </w:tcPr>
          <w:p>
            <w:pPr>
              <w:ind w:left="220"/>
              <w:spacing w:after="0"/>
              <w:rPr>
                <w:sz w:val="20"/>
                <w:szCs w:val="20"/>
                <w:color w:val="auto"/>
              </w:rPr>
            </w:pPr>
            <w:r>
              <w:rPr>
                <w:rFonts w:ascii="Arial" w:cs="Arial" w:eastAsia="Arial" w:hAnsi="Arial"/>
                <w:sz w:val="20"/>
                <w:szCs w:val="20"/>
                <w:color w:val="auto"/>
              </w:rPr>
              <w:t>Maintenance of Properties</w:t>
            </w:r>
          </w:p>
        </w:tc>
        <w:tc>
          <w:tcPr>
            <w:tcW w:w="200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75"/>
        </w:trPr>
        <w:tc>
          <w:tcPr>
            <w:tcW w:w="640" w:type="dxa"/>
            <w:vAlign w:val="bottom"/>
          </w:tcPr>
          <w:p>
            <w:pPr>
              <w:jc w:val="right"/>
              <w:ind w:right="140"/>
              <w:spacing w:after="0"/>
              <w:rPr>
                <w:sz w:val="20"/>
                <w:szCs w:val="20"/>
                <w:color w:val="auto"/>
              </w:rPr>
            </w:pPr>
            <w:r>
              <w:rPr>
                <w:rFonts w:ascii="Arial" w:cs="Arial" w:eastAsia="Arial" w:hAnsi="Arial"/>
                <w:sz w:val="20"/>
                <w:szCs w:val="20"/>
                <w:color w:val="auto"/>
                <w:w w:val="85"/>
              </w:rPr>
              <w:t>6.07.</w:t>
            </w:r>
          </w:p>
        </w:tc>
        <w:tc>
          <w:tcPr>
            <w:tcW w:w="7880" w:type="dxa"/>
            <w:vAlign w:val="bottom"/>
          </w:tcPr>
          <w:p>
            <w:pPr>
              <w:ind w:left="220"/>
              <w:spacing w:after="0"/>
              <w:rPr>
                <w:sz w:val="20"/>
                <w:szCs w:val="20"/>
                <w:color w:val="auto"/>
              </w:rPr>
            </w:pPr>
            <w:r>
              <w:rPr>
                <w:rFonts w:ascii="Arial" w:cs="Arial" w:eastAsia="Arial" w:hAnsi="Arial"/>
                <w:sz w:val="20"/>
                <w:szCs w:val="20"/>
                <w:color w:val="auto"/>
              </w:rPr>
              <w:t>Maintenance of Insurance</w:t>
            </w:r>
          </w:p>
        </w:tc>
        <w:tc>
          <w:tcPr>
            <w:tcW w:w="200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75"/>
        </w:trPr>
        <w:tc>
          <w:tcPr>
            <w:tcW w:w="640" w:type="dxa"/>
            <w:vAlign w:val="bottom"/>
          </w:tcPr>
          <w:p>
            <w:pPr>
              <w:jc w:val="right"/>
              <w:ind w:right="140"/>
              <w:spacing w:after="0"/>
              <w:rPr>
                <w:sz w:val="20"/>
                <w:szCs w:val="20"/>
                <w:color w:val="auto"/>
              </w:rPr>
            </w:pPr>
            <w:r>
              <w:rPr>
                <w:rFonts w:ascii="Arial" w:cs="Arial" w:eastAsia="Arial" w:hAnsi="Arial"/>
                <w:sz w:val="20"/>
                <w:szCs w:val="20"/>
                <w:color w:val="auto"/>
                <w:w w:val="85"/>
              </w:rPr>
              <w:t>6.08.</w:t>
            </w:r>
          </w:p>
        </w:tc>
        <w:tc>
          <w:tcPr>
            <w:tcW w:w="7880" w:type="dxa"/>
            <w:vAlign w:val="bottom"/>
          </w:tcPr>
          <w:p>
            <w:pPr>
              <w:ind w:left="220"/>
              <w:spacing w:after="0"/>
              <w:rPr>
                <w:sz w:val="20"/>
                <w:szCs w:val="20"/>
                <w:color w:val="auto"/>
              </w:rPr>
            </w:pPr>
            <w:r>
              <w:rPr>
                <w:rFonts w:ascii="Arial" w:cs="Arial" w:eastAsia="Arial" w:hAnsi="Arial"/>
                <w:sz w:val="20"/>
                <w:szCs w:val="20"/>
                <w:color w:val="auto"/>
              </w:rPr>
              <w:t>Compliance with Laws</w:t>
            </w:r>
          </w:p>
        </w:tc>
        <w:tc>
          <w:tcPr>
            <w:tcW w:w="200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75"/>
        </w:trPr>
        <w:tc>
          <w:tcPr>
            <w:tcW w:w="640" w:type="dxa"/>
            <w:vAlign w:val="bottom"/>
          </w:tcPr>
          <w:p>
            <w:pPr>
              <w:jc w:val="right"/>
              <w:ind w:right="140"/>
              <w:spacing w:after="0"/>
              <w:rPr>
                <w:sz w:val="20"/>
                <w:szCs w:val="20"/>
                <w:color w:val="auto"/>
              </w:rPr>
            </w:pPr>
            <w:r>
              <w:rPr>
                <w:rFonts w:ascii="Arial" w:cs="Arial" w:eastAsia="Arial" w:hAnsi="Arial"/>
                <w:sz w:val="20"/>
                <w:szCs w:val="20"/>
                <w:color w:val="auto"/>
                <w:w w:val="85"/>
              </w:rPr>
              <w:t>6.09.</w:t>
            </w:r>
          </w:p>
        </w:tc>
        <w:tc>
          <w:tcPr>
            <w:tcW w:w="7880" w:type="dxa"/>
            <w:vAlign w:val="bottom"/>
          </w:tcPr>
          <w:p>
            <w:pPr>
              <w:ind w:left="220"/>
              <w:spacing w:after="0"/>
              <w:rPr>
                <w:sz w:val="20"/>
                <w:szCs w:val="20"/>
                <w:color w:val="auto"/>
              </w:rPr>
            </w:pPr>
            <w:r>
              <w:rPr>
                <w:rFonts w:ascii="Arial" w:cs="Arial" w:eastAsia="Arial" w:hAnsi="Arial"/>
                <w:sz w:val="20"/>
                <w:szCs w:val="20"/>
                <w:color w:val="auto"/>
              </w:rPr>
              <w:t>Books and Records</w:t>
            </w:r>
          </w:p>
        </w:tc>
        <w:tc>
          <w:tcPr>
            <w:tcW w:w="200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75"/>
        </w:trPr>
        <w:tc>
          <w:tcPr>
            <w:tcW w:w="640" w:type="dxa"/>
            <w:vAlign w:val="bottom"/>
          </w:tcPr>
          <w:p>
            <w:pPr>
              <w:jc w:val="right"/>
              <w:ind w:right="140"/>
              <w:spacing w:after="0"/>
              <w:rPr>
                <w:sz w:val="20"/>
                <w:szCs w:val="20"/>
                <w:color w:val="auto"/>
              </w:rPr>
            </w:pPr>
            <w:r>
              <w:rPr>
                <w:rFonts w:ascii="Arial" w:cs="Arial" w:eastAsia="Arial" w:hAnsi="Arial"/>
                <w:sz w:val="20"/>
                <w:szCs w:val="20"/>
                <w:color w:val="auto"/>
                <w:w w:val="85"/>
              </w:rPr>
              <w:t>6.10.</w:t>
            </w:r>
          </w:p>
        </w:tc>
        <w:tc>
          <w:tcPr>
            <w:tcW w:w="7880" w:type="dxa"/>
            <w:vAlign w:val="bottom"/>
          </w:tcPr>
          <w:p>
            <w:pPr>
              <w:ind w:left="220"/>
              <w:spacing w:after="0"/>
              <w:rPr>
                <w:sz w:val="20"/>
                <w:szCs w:val="20"/>
                <w:color w:val="auto"/>
              </w:rPr>
            </w:pPr>
            <w:r>
              <w:rPr>
                <w:rFonts w:ascii="Arial" w:cs="Arial" w:eastAsia="Arial" w:hAnsi="Arial"/>
                <w:sz w:val="20"/>
                <w:szCs w:val="20"/>
                <w:color w:val="auto"/>
              </w:rPr>
              <w:t>Inspection Rights</w:t>
            </w:r>
          </w:p>
        </w:tc>
        <w:tc>
          <w:tcPr>
            <w:tcW w:w="200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75"/>
        </w:trPr>
        <w:tc>
          <w:tcPr>
            <w:tcW w:w="640" w:type="dxa"/>
            <w:vAlign w:val="bottom"/>
          </w:tcPr>
          <w:p>
            <w:pPr>
              <w:jc w:val="right"/>
              <w:ind w:right="140"/>
              <w:spacing w:after="0"/>
              <w:rPr>
                <w:sz w:val="20"/>
                <w:szCs w:val="20"/>
                <w:color w:val="auto"/>
              </w:rPr>
            </w:pPr>
            <w:r>
              <w:rPr>
                <w:rFonts w:ascii="Arial" w:cs="Arial" w:eastAsia="Arial" w:hAnsi="Arial"/>
                <w:sz w:val="20"/>
                <w:szCs w:val="20"/>
                <w:color w:val="auto"/>
                <w:w w:val="85"/>
              </w:rPr>
              <w:t>6.11.</w:t>
            </w:r>
          </w:p>
        </w:tc>
        <w:tc>
          <w:tcPr>
            <w:tcW w:w="7880" w:type="dxa"/>
            <w:vAlign w:val="bottom"/>
          </w:tcPr>
          <w:p>
            <w:pPr>
              <w:ind w:left="220"/>
              <w:spacing w:after="0"/>
              <w:rPr>
                <w:sz w:val="20"/>
                <w:szCs w:val="20"/>
                <w:color w:val="auto"/>
              </w:rPr>
            </w:pPr>
            <w:r>
              <w:rPr>
                <w:rFonts w:ascii="Arial" w:cs="Arial" w:eastAsia="Arial" w:hAnsi="Arial"/>
                <w:sz w:val="20"/>
                <w:szCs w:val="20"/>
                <w:color w:val="auto"/>
              </w:rPr>
              <w:t>Use of Proceeds</w:t>
            </w:r>
          </w:p>
        </w:tc>
        <w:tc>
          <w:tcPr>
            <w:tcW w:w="200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75"/>
        </w:trPr>
        <w:tc>
          <w:tcPr>
            <w:tcW w:w="640" w:type="dxa"/>
            <w:vAlign w:val="bottom"/>
          </w:tcPr>
          <w:p>
            <w:pPr>
              <w:jc w:val="right"/>
              <w:ind w:right="140"/>
              <w:spacing w:after="0"/>
              <w:rPr>
                <w:sz w:val="20"/>
                <w:szCs w:val="20"/>
                <w:color w:val="auto"/>
              </w:rPr>
            </w:pPr>
            <w:r>
              <w:rPr>
                <w:rFonts w:ascii="Arial" w:cs="Arial" w:eastAsia="Arial" w:hAnsi="Arial"/>
                <w:sz w:val="20"/>
                <w:szCs w:val="20"/>
                <w:color w:val="auto"/>
                <w:w w:val="85"/>
              </w:rPr>
              <w:t>6.12.</w:t>
            </w:r>
          </w:p>
        </w:tc>
        <w:tc>
          <w:tcPr>
            <w:tcW w:w="7880" w:type="dxa"/>
            <w:vAlign w:val="bottom"/>
          </w:tcPr>
          <w:p>
            <w:pPr>
              <w:ind w:left="220"/>
              <w:spacing w:after="0"/>
              <w:rPr>
                <w:sz w:val="20"/>
                <w:szCs w:val="20"/>
                <w:color w:val="auto"/>
              </w:rPr>
            </w:pPr>
            <w:r>
              <w:rPr>
                <w:rFonts w:ascii="Arial" w:cs="Arial" w:eastAsia="Arial" w:hAnsi="Arial"/>
                <w:sz w:val="20"/>
                <w:szCs w:val="20"/>
                <w:color w:val="auto"/>
              </w:rPr>
              <w:t>Additional Guarantors</w:t>
            </w:r>
          </w:p>
        </w:tc>
        <w:tc>
          <w:tcPr>
            <w:tcW w:w="200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75"/>
        </w:trPr>
        <w:tc>
          <w:tcPr>
            <w:tcW w:w="640" w:type="dxa"/>
            <w:vAlign w:val="bottom"/>
          </w:tcPr>
          <w:p>
            <w:pPr>
              <w:jc w:val="right"/>
              <w:ind w:right="140"/>
              <w:spacing w:after="0"/>
              <w:rPr>
                <w:sz w:val="20"/>
                <w:szCs w:val="20"/>
                <w:color w:val="auto"/>
              </w:rPr>
            </w:pPr>
            <w:r>
              <w:rPr>
                <w:rFonts w:ascii="Arial" w:cs="Arial" w:eastAsia="Arial" w:hAnsi="Arial"/>
                <w:sz w:val="20"/>
                <w:szCs w:val="20"/>
                <w:color w:val="auto"/>
                <w:w w:val="85"/>
              </w:rPr>
              <w:t>6.13.</w:t>
            </w:r>
          </w:p>
        </w:tc>
        <w:tc>
          <w:tcPr>
            <w:tcW w:w="7880" w:type="dxa"/>
            <w:vAlign w:val="bottom"/>
          </w:tcPr>
          <w:p>
            <w:pPr>
              <w:ind w:left="220"/>
              <w:spacing w:after="0"/>
              <w:rPr>
                <w:sz w:val="20"/>
                <w:szCs w:val="20"/>
                <w:color w:val="auto"/>
              </w:rPr>
            </w:pPr>
            <w:r>
              <w:rPr>
                <w:rFonts w:ascii="Arial" w:cs="Arial" w:eastAsia="Arial" w:hAnsi="Arial"/>
                <w:sz w:val="20"/>
                <w:szCs w:val="20"/>
                <w:color w:val="auto"/>
              </w:rPr>
              <w:t>Compliance with Environmental Laws</w:t>
            </w:r>
          </w:p>
        </w:tc>
        <w:tc>
          <w:tcPr>
            <w:tcW w:w="200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75"/>
        </w:trPr>
        <w:tc>
          <w:tcPr>
            <w:tcW w:w="640" w:type="dxa"/>
            <w:vAlign w:val="bottom"/>
          </w:tcPr>
          <w:p>
            <w:pPr>
              <w:jc w:val="right"/>
              <w:ind w:right="140"/>
              <w:spacing w:after="0"/>
              <w:rPr>
                <w:sz w:val="20"/>
                <w:szCs w:val="20"/>
                <w:color w:val="auto"/>
              </w:rPr>
            </w:pPr>
            <w:r>
              <w:rPr>
                <w:rFonts w:ascii="Arial" w:cs="Arial" w:eastAsia="Arial" w:hAnsi="Arial"/>
                <w:sz w:val="20"/>
                <w:szCs w:val="20"/>
                <w:color w:val="auto"/>
                <w:w w:val="85"/>
              </w:rPr>
              <w:t>6.14.</w:t>
            </w:r>
          </w:p>
        </w:tc>
        <w:tc>
          <w:tcPr>
            <w:tcW w:w="7880" w:type="dxa"/>
            <w:vAlign w:val="bottom"/>
          </w:tcPr>
          <w:p>
            <w:pPr>
              <w:ind w:left="220"/>
              <w:spacing w:after="0"/>
              <w:rPr>
                <w:sz w:val="20"/>
                <w:szCs w:val="20"/>
                <w:color w:val="auto"/>
              </w:rPr>
            </w:pPr>
            <w:r>
              <w:rPr>
                <w:rFonts w:ascii="Arial" w:cs="Arial" w:eastAsia="Arial" w:hAnsi="Arial"/>
                <w:sz w:val="20"/>
                <w:szCs w:val="20"/>
                <w:color w:val="auto"/>
              </w:rPr>
              <w:t>Further Assurances</w:t>
            </w:r>
          </w:p>
        </w:tc>
        <w:tc>
          <w:tcPr>
            <w:tcW w:w="200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75"/>
        </w:trPr>
        <w:tc>
          <w:tcPr>
            <w:tcW w:w="640" w:type="dxa"/>
            <w:vAlign w:val="bottom"/>
          </w:tcPr>
          <w:p>
            <w:pPr>
              <w:jc w:val="right"/>
              <w:ind w:right="140"/>
              <w:spacing w:after="0"/>
              <w:rPr>
                <w:sz w:val="20"/>
                <w:szCs w:val="20"/>
                <w:color w:val="auto"/>
              </w:rPr>
            </w:pPr>
            <w:r>
              <w:rPr>
                <w:rFonts w:ascii="Arial" w:cs="Arial" w:eastAsia="Arial" w:hAnsi="Arial"/>
                <w:sz w:val="20"/>
                <w:szCs w:val="20"/>
                <w:color w:val="auto"/>
                <w:w w:val="85"/>
              </w:rPr>
              <w:t>6.15.</w:t>
            </w:r>
          </w:p>
        </w:tc>
        <w:tc>
          <w:tcPr>
            <w:tcW w:w="7880" w:type="dxa"/>
            <w:vAlign w:val="bottom"/>
          </w:tcPr>
          <w:p>
            <w:pPr>
              <w:ind w:left="220"/>
              <w:spacing w:after="0"/>
              <w:rPr>
                <w:sz w:val="20"/>
                <w:szCs w:val="20"/>
                <w:color w:val="auto"/>
              </w:rPr>
            </w:pPr>
            <w:r>
              <w:rPr>
                <w:rFonts w:ascii="Arial" w:cs="Arial" w:eastAsia="Arial" w:hAnsi="Arial"/>
                <w:sz w:val="20"/>
                <w:szCs w:val="20"/>
                <w:color w:val="auto"/>
              </w:rPr>
              <w:t>New York Stock Exchange Listing</w:t>
            </w:r>
          </w:p>
        </w:tc>
        <w:tc>
          <w:tcPr>
            <w:tcW w:w="200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75"/>
        </w:trPr>
        <w:tc>
          <w:tcPr>
            <w:tcW w:w="640" w:type="dxa"/>
            <w:vAlign w:val="bottom"/>
          </w:tcPr>
          <w:p>
            <w:pPr>
              <w:jc w:val="right"/>
              <w:ind w:right="140"/>
              <w:spacing w:after="0"/>
              <w:rPr>
                <w:sz w:val="20"/>
                <w:szCs w:val="20"/>
                <w:color w:val="auto"/>
              </w:rPr>
            </w:pPr>
            <w:r>
              <w:rPr>
                <w:rFonts w:ascii="Arial" w:cs="Arial" w:eastAsia="Arial" w:hAnsi="Arial"/>
                <w:sz w:val="20"/>
                <w:szCs w:val="20"/>
                <w:color w:val="auto"/>
                <w:w w:val="85"/>
              </w:rPr>
              <w:t>6.16.</w:t>
            </w:r>
          </w:p>
        </w:tc>
        <w:tc>
          <w:tcPr>
            <w:tcW w:w="7880" w:type="dxa"/>
            <w:vAlign w:val="bottom"/>
          </w:tcPr>
          <w:p>
            <w:pPr>
              <w:ind w:left="220"/>
              <w:spacing w:after="0"/>
              <w:rPr>
                <w:sz w:val="20"/>
                <w:szCs w:val="20"/>
                <w:color w:val="auto"/>
              </w:rPr>
            </w:pPr>
            <w:r>
              <w:rPr>
                <w:rFonts w:ascii="Arial" w:cs="Arial" w:eastAsia="Arial" w:hAnsi="Arial"/>
                <w:sz w:val="20"/>
                <w:szCs w:val="20"/>
                <w:color w:val="auto"/>
              </w:rPr>
              <w:t>Material Contracts</w:t>
            </w:r>
          </w:p>
        </w:tc>
        <w:tc>
          <w:tcPr>
            <w:tcW w:w="200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600"/>
        </w:trPr>
        <w:tc>
          <w:tcPr>
            <w:tcW w:w="640" w:type="dxa"/>
            <w:vAlign w:val="bottom"/>
          </w:tcPr>
          <w:p>
            <w:pPr>
              <w:spacing w:after="0"/>
              <w:rPr>
                <w:sz w:val="24"/>
                <w:szCs w:val="24"/>
                <w:color w:val="auto"/>
              </w:rPr>
            </w:pPr>
          </w:p>
        </w:tc>
        <w:tc>
          <w:tcPr>
            <w:tcW w:w="7880" w:type="dxa"/>
            <w:vAlign w:val="bottom"/>
          </w:tcPr>
          <w:p>
            <w:pPr>
              <w:ind w:left="4380"/>
              <w:spacing w:after="0"/>
              <w:rPr>
                <w:sz w:val="20"/>
                <w:szCs w:val="20"/>
                <w:color w:val="auto"/>
              </w:rPr>
            </w:pPr>
            <w:r>
              <w:rPr>
                <w:rFonts w:ascii="Arial" w:cs="Arial" w:eastAsia="Arial" w:hAnsi="Arial"/>
                <w:sz w:val="20"/>
                <w:szCs w:val="20"/>
                <w:color w:val="auto"/>
              </w:rPr>
              <w:t>ARTICLE VII</w:t>
            </w:r>
          </w:p>
        </w:tc>
        <w:tc>
          <w:tcPr>
            <w:tcW w:w="2000" w:type="dxa"/>
            <w:vAlign w:val="bottom"/>
          </w:tcPr>
          <w:p>
            <w:pPr>
              <w:spacing w:after="0"/>
              <w:rPr>
                <w:sz w:val="24"/>
                <w:szCs w:val="24"/>
                <w:color w:val="auto"/>
              </w:rPr>
            </w:pPr>
          </w:p>
        </w:tc>
      </w:tr>
      <w:tr>
        <w:trPr>
          <w:trHeight w:val="275"/>
        </w:trPr>
        <w:tc>
          <w:tcPr>
            <w:tcW w:w="640" w:type="dxa"/>
            <w:vAlign w:val="bottom"/>
          </w:tcPr>
          <w:p>
            <w:pPr>
              <w:spacing w:after="0"/>
              <w:rPr>
                <w:sz w:val="23"/>
                <w:szCs w:val="23"/>
                <w:color w:val="auto"/>
              </w:rPr>
            </w:pPr>
          </w:p>
        </w:tc>
        <w:tc>
          <w:tcPr>
            <w:tcW w:w="7880" w:type="dxa"/>
            <w:vAlign w:val="bottom"/>
          </w:tcPr>
          <w:p>
            <w:pPr>
              <w:ind w:left="3820"/>
              <w:spacing w:after="0"/>
              <w:rPr>
                <w:sz w:val="20"/>
                <w:szCs w:val="20"/>
                <w:color w:val="auto"/>
              </w:rPr>
            </w:pPr>
            <w:r>
              <w:rPr>
                <w:rFonts w:ascii="Arial" w:cs="Arial" w:eastAsia="Arial" w:hAnsi="Arial"/>
                <w:sz w:val="20"/>
                <w:szCs w:val="20"/>
                <w:color w:val="auto"/>
              </w:rPr>
              <w:t>NEGATIVE COVENANTS</w:t>
            </w:r>
          </w:p>
        </w:tc>
        <w:tc>
          <w:tcPr>
            <w:tcW w:w="2000" w:type="dxa"/>
            <w:vAlign w:val="bottom"/>
          </w:tcPr>
          <w:p>
            <w:pPr>
              <w:spacing w:after="0"/>
              <w:rPr>
                <w:sz w:val="23"/>
                <w:szCs w:val="23"/>
                <w:color w:val="auto"/>
              </w:rPr>
            </w:pPr>
          </w:p>
        </w:tc>
      </w:tr>
      <w:tr>
        <w:trPr>
          <w:trHeight w:val="600"/>
        </w:trPr>
        <w:tc>
          <w:tcPr>
            <w:tcW w:w="640" w:type="dxa"/>
            <w:vAlign w:val="bottom"/>
          </w:tcPr>
          <w:p>
            <w:pPr>
              <w:jc w:val="right"/>
              <w:ind w:right="120"/>
              <w:spacing w:after="0"/>
              <w:rPr>
                <w:sz w:val="20"/>
                <w:szCs w:val="20"/>
                <w:color w:val="auto"/>
              </w:rPr>
            </w:pPr>
            <w:r>
              <w:rPr>
                <w:rFonts w:ascii="Arial" w:cs="Arial" w:eastAsia="Arial" w:hAnsi="Arial"/>
                <w:sz w:val="20"/>
                <w:szCs w:val="20"/>
                <w:color w:val="auto"/>
                <w:w w:val="89"/>
              </w:rPr>
              <w:t>7.01.</w:t>
            </w:r>
          </w:p>
        </w:tc>
        <w:tc>
          <w:tcPr>
            <w:tcW w:w="7880" w:type="dxa"/>
            <w:vAlign w:val="bottom"/>
          </w:tcPr>
          <w:p>
            <w:pPr>
              <w:ind w:left="240"/>
              <w:spacing w:after="0"/>
              <w:rPr>
                <w:sz w:val="20"/>
                <w:szCs w:val="20"/>
                <w:color w:val="auto"/>
              </w:rPr>
            </w:pPr>
            <w:r>
              <w:rPr>
                <w:rFonts w:ascii="Arial" w:cs="Arial" w:eastAsia="Arial" w:hAnsi="Arial"/>
                <w:sz w:val="20"/>
                <w:szCs w:val="20"/>
                <w:color w:val="auto"/>
              </w:rPr>
              <w:t>Liens</w:t>
            </w:r>
          </w:p>
        </w:tc>
        <w:tc>
          <w:tcPr>
            <w:tcW w:w="200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75"/>
        </w:trPr>
        <w:tc>
          <w:tcPr>
            <w:tcW w:w="640" w:type="dxa"/>
            <w:vAlign w:val="bottom"/>
          </w:tcPr>
          <w:p>
            <w:pPr>
              <w:jc w:val="right"/>
              <w:ind w:right="120"/>
              <w:spacing w:after="0"/>
              <w:rPr>
                <w:sz w:val="20"/>
                <w:szCs w:val="20"/>
                <w:color w:val="auto"/>
              </w:rPr>
            </w:pPr>
            <w:r>
              <w:rPr>
                <w:rFonts w:ascii="Arial" w:cs="Arial" w:eastAsia="Arial" w:hAnsi="Arial"/>
                <w:sz w:val="20"/>
                <w:szCs w:val="20"/>
                <w:color w:val="auto"/>
                <w:w w:val="89"/>
              </w:rPr>
              <w:t>7.02.</w:t>
            </w:r>
          </w:p>
        </w:tc>
        <w:tc>
          <w:tcPr>
            <w:tcW w:w="7880" w:type="dxa"/>
            <w:vAlign w:val="bottom"/>
          </w:tcPr>
          <w:p>
            <w:pPr>
              <w:ind w:left="240"/>
              <w:spacing w:after="0"/>
              <w:rPr>
                <w:sz w:val="20"/>
                <w:szCs w:val="20"/>
                <w:color w:val="auto"/>
              </w:rPr>
            </w:pPr>
            <w:r>
              <w:rPr>
                <w:rFonts w:ascii="Arial" w:cs="Arial" w:eastAsia="Arial" w:hAnsi="Arial"/>
                <w:sz w:val="20"/>
                <w:szCs w:val="20"/>
                <w:color w:val="auto"/>
              </w:rPr>
              <w:t>Indebtedness</w:t>
            </w:r>
          </w:p>
        </w:tc>
        <w:tc>
          <w:tcPr>
            <w:tcW w:w="200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75"/>
        </w:trPr>
        <w:tc>
          <w:tcPr>
            <w:tcW w:w="640" w:type="dxa"/>
            <w:vAlign w:val="bottom"/>
          </w:tcPr>
          <w:p>
            <w:pPr>
              <w:jc w:val="right"/>
              <w:ind w:right="120"/>
              <w:spacing w:after="0"/>
              <w:rPr>
                <w:sz w:val="20"/>
                <w:szCs w:val="20"/>
                <w:color w:val="auto"/>
              </w:rPr>
            </w:pPr>
            <w:r>
              <w:rPr>
                <w:rFonts w:ascii="Arial" w:cs="Arial" w:eastAsia="Arial" w:hAnsi="Arial"/>
                <w:sz w:val="20"/>
                <w:szCs w:val="20"/>
                <w:color w:val="auto"/>
                <w:w w:val="89"/>
              </w:rPr>
              <w:t>7.03.</w:t>
            </w:r>
          </w:p>
        </w:tc>
        <w:tc>
          <w:tcPr>
            <w:tcW w:w="7880" w:type="dxa"/>
            <w:vAlign w:val="bottom"/>
          </w:tcPr>
          <w:p>
            <w:pPr>
              <w:ind w:left="240"/>
              <w:spacing w:after="0"/>
              <w:rPr>
                <w:sz w:val="20"/>
                <w:szCs w:val="20"/>
                <w:color w:val="auto"/>
              </w:rPr>
            </w:pPr>
            <w:r>
              <w:rPr>
                <w:rFonts w:ascii="Arial" w:cs="Arial" w:eastAsia="Arial" w:hAnsi="Arial"/>
                <w:sz w:val="20"/>
                <w:szCs w:val="20"/>
                <w:color w:val="auto"/>
              </w:rPr>
              <w:t>Investments</w:t>
            </w:r>
          </w:p>
        </w:tc>
        <w:tc>
          <w:tcPr>
            <w:tcW w:w="200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75"/>
        </w:trPr>
        <w:tc>
          <w:tcPr>
            <w:tcW w:w="640" w:type="dxa"/>
            <w:vAlign w:val="bottom"/>
          </w:tcPr>
          <w:p>
            <w:pPr>
              <w:jc w:val="right"/>
              <w:ind w:right="120"/>
              <w:spacing w:after="0"/>
              <w:rPr>
                <w:sz w:val="20"/>
                <w:szCs w:val="20"/>
                <w:color w:val="auto"/>
              </w:rPr>
            </w:pPr>
            <w:r>
              <w:rPr>
                <w:rFonts w:ascii="Arial" w:cs="Arial" w:eastAsia="Arial" w:hAnsi="Arial"/>
                <w:sz w:val="20"/>
                <w:szCs w:val="20"/>
                <w:color w:val="auto"/>
                <w:w w:val="89"/>
              </w:rPr>
              <w:t>7.04.</w:t>
            </w:r>
          </w:p>
        </w:tc>
        <w:tc>
          <w:tcPr>
            <w:tcW w:w="7880" w:type="dxa"/>
            <w:vAlign w:val="bottom"/>
          </w:tcPr>
          <w:p>
            <w:pPr>
              <w:ind w:left="240"/>
              <w:spacing w:after="0"/>
              <w:rPr>
                <w:sz w:val="20"/>
                <w:szCs w:val="20"/>
                <w:color w:val="auto"/>
              </w:rPr>
            </w:pPr>
            <w:r>
              <w:rPr>
                <w:rFonts w:ascii="Arial" w:cs="Arial" w:eastAsia="Arial" w:hAnsi="Arial"/>
                <w:sz w:val="20"/>
                <w:szCs w:val="20"/>
                <w:color w:val="auto"/>
              </w:rPr>
              <w:t>Fundamental Changes</w:t>
            </w:r>
          </w:p>
        </w:tc>
        <w:tc>
          <w:tcPr>
            <w:tcW w:w="200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75"/>
        </w:trPr>
        <w:tc>
          <w:tcPr>
            <w:tcW w:w="640" w:type="dxa"/>
            <w:vAlign w:val="bottom"/>
          </w:tcPr>
          <w:p>
            <w:pPr>
              <w:jc w:val="right"/>
              <w:ind w:right="120"/>
              <w:spacing w:after="0"/>
              <w:rPr>
                <w:sz w:val="20"/>
                <w:szCs w:val="20"/>
                <w:color w:val="auto"/>
              </w:rPr>
            </w:pPr>
            <w:r>
              <w:rPr>
                <w:rFonts w:ascii="Arial" w:cs="Arial" w:eastAsia="Arial" w:hAnsi="Arial"/>
                <w:sz w:val="20"/>
                <w:szCs w:val="20"/>
                <w:color w:val="auto"/>
                <w:w w:val="89"/>
              </w:rPr>
              <w:t>7.05.</w:t>
            </w:r>
          </w:p>
        </w:tc>
        <w:tc>
          <w:tcPr>
            <w:tcW w:w="7880" w:type="dxa"/>
            <w:vAlign w:val="bottom"/>
          </w:tcPr>
          <w:p>
            <w:pPr>
              <w:ind w:left="240"/>
              <w:spacing w:after="0"/>
              <w:rPr>
                <w:sz w:val="20"/>
                <w:szCs w:val="20"/>
                <w:color w:val="auto"/>
              </w:rPr>
            </w:pPr>
            <w:r>
              <w:rPr>
                <w:rFonts w:ascii="Arial" w:cs="Arial" w:eastAsia="Arial" w:hAnsi="Arial"/>
                <w:sz w:val="20"/>
                <w:szCs w:val="20"/>
                <w:color w:val="auto"/>
              </w:rPr>
              <w:t>Dispositions</w:t>
            </w:r>
          </w:p>
        </w:tc>
        <w:tc>
          <w:tcPr>
            <w:tcW w:w="200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75"/>
        </w:trPr>
        <w:tc>
          <w:tcPr>
            <w:tcW w:w="640" w:type="dxa"/>
            <w:vAlign w:val="bottom"/>
          </w:tcPr>
          <w:p>
            <w:pPr>
              <w:jc w:val="right"/>
              <w:ind w:right="120"/>
              <w:spacing w:after="0"/>
              <w:rPr>
                <w:sz w:val="20"/>
                <w:szCs w:val="20"/>
                <w:color w:val="auto"/>
              </w:rPr>
            </w:pPr>
            <w:r>
              <w:rPr>
                <w:rFonts w:ascii="Arial" w:cs="Arial" w:eastAsia="Arial" w:hAnsi="Arial"/>
                <w:sz w:val="20"/>
                <w:szCs w:val="20"/>
                <w:color w:val="auto"/>
                <w:w w:val="89"/>
              </w:rPr>
              <w:t>7.06.</w:t>
            </w:r>
          </w:p>
        </w:tc>
        <w:tc>
          <w:tcPr>
            <w:tcW w:w="7880" w:type="dxa"/>
            <w:vAlign w:val="bottom"/>
          </w:tcPr>
          <w:p>
            <w:pPr>
              <w:ind w:left="240"/>
              <w:spacing w:after="0"/>
              <w:rPr>
                <w:sz w:val="20"/>
                <w:szCs w:val="20"/>
                <w:color w:val="auto"/>
              </w:rPr>
            </w:pPr>
            <w:r>
              <w:rPr>
                <w:rFonts w:ascii="Arial" w:cs="Arial" w:eastAsia="Arial" w:hAnsi="Arial"/>
                <w:sz w:val="20"/>
                <w:szCs w:val="20"/>
                <w:color w:val="auto"/>
              </w:rPr>
              <w:t>Restricted Payments</w:t>
            </w:r>
          </w:p>
        </w:tc>
        <w:tc>
          <w:tcPr>
            <w:tcW w:w="200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75"/>
        </w:trPr>
        <w:tc>
          <w:tcPr>
            <w:tcW w:w="640" w:type="dxa"/>
            <w:vAlign w:val="bottom"/>
          </w:tcPr>
          <w:p>
            <w:pPr>
              <w:jc w:val="right"/>
              <w:ind w:right="120"/>
              <w:spacing w:after="0"/>
              <w:rPr>
                <w:sz w:val="20"/>
                <w:szCs w:val="20"/>
                <w:color w:val="auto"/>
              </w:rPr>
            </w:pPr>
            <w:r>
              <w:rPr>
                <w:rFonts w:ascii="Arial" w:cs="Arial" w:eastAsia="Arial" w:hAnsi="Arial"/>
                <w:sz w:val="20"/>
                <w:szCs w:val="20"/>
                <w:color w:val="auto"/>
                <w:w w:val="89"/>
              </w:rPr>
              <w:t>7.07.</w:t>
            </w:r>
          </w:p>
        </w:tc>
        <w:tc>
          <w:tcPr>
            <w:tcW w:w="7880" w:type="dxa"/>
            <w:vAlign w:val="bottom"/>
          </w:tcPr>
          <w:p>
            <w:pPr>
              <w:ind w:left="240"/>
              <w:spacing w:after="0"/>
              <w:rPr>
                <w:sz w:val="20"/>
                <w:szCs w:val="20"/>
                <w:color w:val="auto"/>
              </w:rPr>
            </w:pPr>
            <w:r>
              <w:rPr>
                <w:rFonts w:ascii="Arial" w:cs="Arial" w:eastAsia="Arial" w:hAnsi="Arial"/>
                <w:sz w:val="20"/>
                <w:szCs w:val="20"/>
                <w:color w:val="auto"/>
              </w:rPr>
              <w:t>Change in Nature of Business</w:t>
            </w:r>
          </w:p>
        </w:tc>
        <w:tc>
          <w:tcPr>
            <w:tcW w:w="200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275"/>
        </w:trPr>
        <w:tc>
          <w:tcPr>
            <w:tcW w:w="640" w:type="dxa"/>
            <w:vAlign w:val="bottom"/>
          </w:tcPr>
          <w:p>
            <w:pPr>
              <w:jc w:val="right"/>
              <w:ind w:right="120"/>
              <w:spacing w:after="0"/>
              <w:rPr>
                <w:sz w:val="20"/>
                <w:szCs w:val="20"/>
                <w:color w:val="auto"/>
              </w:rPr>
            </w:pPr>
            <w:r>
              <w:rPr>
                <w:rFonts w:ascii="Arial" w:cs="Arial" w:eastAsia="Arial" w:hAnsi="Arial"/>
                <w:sz w:val="20"/>
                <w:szCs w:val="20"/>
                <w:color w:val="auto"/>
                <w:w w:val="89"/>
              </w:rPr>
              <w:t>7.08.</w:t>
            </w:r>
          </w:p>
        </w:tc>
        <w:tc>
          <w:tcPr>
            <w:tcW w:w="7880" w:type="dxa"/>
            <w:vAlign w:val="bottom"/>
          </w:tcPr>
          <w:p>
            <w:pPr>
              <w:ind w:left="240"/>
              <w:spacing w:after="0"/>
              <w:rPr>
                <w:sz w:val="20"/>
                <w:szCs w:val="20"/>
                <w:color w:val="auto"/>
              </w:rPr>
            </w:pPr>
            <w:r>
              <w:rPr>
                <w:rFonts w:ascii="Arial" w:cs="Arial" w:eastAsia="Arial" w:hAnsi="Arial"/>
                <w:sz w:val="20"/>
                <w:szCs w:val="20"/>
                <w:color w:val="auto"/>
              </w:rPr>
              <w:t>Transactions with Affiliates</w:t>
            </w:r>
          </w:p>
        </w:tc>
        <w:tc>
          <w:tcPr>
            <w:tcW w:w="200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275"/>
        </w:trPr>
        <w:tc>
          <w:tcPr>
            <w:tcW w:w="640" w:type="dxa"/>
            <w:vAlign w:val="bottom"/>
          </w:tcPr>
          <w:p>
            <w:pPr>
              <w:jc w:val="right"/>
              <w:ind w:right="120"/>
              <w:spacing w:after="0"/>
              <w:rPr>
                <w:sz w:val="20"/>
                <w:szCs w:val="20"/>
                <w:color w:val="auto"/>
              </w:rPr>
            </w:pPr>
            <w:r>
              <w:rPr>
                <w:rFonts w:ascii="Arial" w:cs="Arial" w:eastAsia="Arial" w:hAnsi="Arial"/>
                <w:sz w:val="20"/>
                <w:szCs w:val="20"/>
                <w:color w:val="auto"/>
                <w:w w:val="89"/>
              </w:rPr>
              <w:t>7.09.</w:t>
            </w:r>
          </w:p>
        </w:tc>
        <w:tc>
          <w:tcPr>
            <w:tcW w:w="7880" w:type="dxa"/>
            <w:vAlign w:val="bottom"/>
          </w:tcPr>
          <w:p>
            <w:pPr>
              <w:ind w:left="240"/>
              <w:spacing w:after="0"/>
              <w:rPr>
                <w:sz w:val="20"/>
                <w:szCs w:val="20"/>
                <w:color w:val="auto"/>
              </w:rPr>
            </w:pPr>
            <w:r>
              <w:rPr>
                <w:rFonts w:ascii="Arial" w:cs="Arial" w:eastAsia="Arial" w:hAnsi="Arial"/>
                <w:sz w:val="20"/>
                <w:szCs w:val="20"/>
                <w:color w:val="auto"/>
              </w:rPr>
              <w:t>Burdensome Agreements</w:t>
            </w:r>
          </w:p>
        </w:tc>
        <w:tc>
          <w:tcPr>
            <w:tcW w:w="200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75"/>
        </w:trPr>
        <w:tc>
          <w:tcPr>
            <w:tcW w:w="640" w:type="dxa"/>
            <w:vAlign w:val="bottom"/>
          </w:tcPr>
          <w:p>
            <w:pPr>
              <w:jc w:val="right"/>
              <w:ind w:right="120"/>
              <w:spacing w:after="0"/>
              <w:rPr>
                <w:sz w:val="20"/>
                <w:szCs w:val="20"/>
                <w:color w:val="auto"/>
              </w:rPr>
            </w:pPr>
            <w:r>
              <w:rPr>
                <w:rFonts w:ascii="Arial" w:cs="Arial" w:eastAsia="Arial" w:hAnsi="Arial"/>
                <w:sz w:val="20"/>
                <w:szCs w:val="20"/>
                <w:color w:val="auto"/>
                <w:w w:val="89"/>
              </w:rPr>
              <w:t>7.10.</w:t>
            </w:r>
          </w:p>
        </w:tc>
        <w:tc>
          <w:tcPr>
            <w:tcW w:w="7880" w:type="dxa"/>
            <w:vAlign w:val="bottom"/>
          </w:tcPr>
          <w:p>
            <w:pPr>
              <w:ind w:left="240"/>
              <w:spacing w:after="0"/>
              <w:rPr>
                <w:sz w:val="20"/>
                <w:szCs w:val="20"/>
                <w:color w:val="auto"/>
              </w:rPr>
            </w:pPr>
            <w:r>
              <w:rPr>
                <w:rFonts w:ascii="Arial" w:cs="Arial" w:eastAsia="Arial" w:hAnsi="Arial"/>
                <w:sz w:val="20"/>
                <w:szCs w:val="20"/>
                <w:color w:val="auto"/>
              </w:rPr>
              <w:t>Use of Proceeds</w:t>
            </w:r>
          </w:p>
        </w:tc>
        <w:tc>
          <w:tcPr>
            <w:tcW w:w="200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75"/>
        </w:trPr>
        <w:tc>
          <w:tcPr>
            <w:tcW w:w="640" w:type="dxa"/>
            <w:vAlign w:val="bottom"/>
          </w:tcPr>
          <w:p>
            <w:pPr>
              <w:jc w:val="right"/>
              <w:ind w:right="140"/>
              <w:spacing w:after="0"/>
              <w:rPr>
                <w:sz w:val="20"/>
                <w:szCs w:val="20"/>
                <w:color w:val="auto"/>
              </w:rPr>
            </w:pPr>
            <w:r>
              <w:rPr>
                <w:rFonts w:ascii="Arial" w:cs="Arial" w:eastAsia="Arial" w:hAnsi="Arial"/>
                <w:sz w:val="20"/>
                <w:szCs w:val="20"/>
                <w:color w:val="auto"/>
                <w:w w:val="85"/>
              </w:rPr>
              <w:t>7.11.</w:t>
            </w:r>
          </w:p>
        </w:tc>
        <w:tc>
          <w:tcPr>
            <w:tcW w:w="7880" w:type="dxa"/>
            <w:vAlign w:val="bottom"/>
          </w:tcPr>
          <w:p>
            <w:pPr>
              <w:ind w:left="240"/>
              <w:spacing w:after="0"/>
              <w:rPr>
                <w:sz w:val="20"/>
                <w:szCs w:val="20"/>
                <w:color w:val="auto"/>
              </w:rPr>
            </w:pPr>
            <w:r>
              <w:rPr>
                <w:rFonts w:ascii="Arial" w:cs="Arial" w:eastAsia="Arial" w:hAnsi="Arial"/>
                <w:sz w:val="20"/>
                <w:szCs w:val="20"/>
                <w:color w:val="auto"/>
              </w:rPr>
              <w:t>Financial Covenants</w:t>
            </w:r>
          </w:p>
        </w:tc>
        <w:tc>
          <w:tcPr>
            <w:tcW w:w="200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75"/>
        </w:trPr>
        <w:tc>
          <w:tcPr>
            <w:tcW w:w="640" w:type="dxa"/>
            <w:vAlign w:val="bottom"/>
          </w:tcPr>
          <w:p>
            <w:pPr>
              <w:jc w:val="right"/>
              <w:ind w:right="120"/>
              <w:spacing w:after="0"/>
              <w:rPr>
                <w:sz w:val="20"/>
                <w:szCs w:val="20"/>
                <w:color w:val="auto"/>
              </w:rPr>
            </w:pPr>
            <w:r>
              <w:rPr>
                <w:rFonts w:ascii="Arial" w:cs="Arial" w:eastAsia="Arial" w:hAnsi="Arial"/>
                <w:sz w:val="20"/>
                <w:szCs w:val="20"/>
                <w:color w:val="auto"/>
                <w:w w:val="89"/>
              </w:rPr>
              <w:t>7.12.</w:t>
            </w:r>
          </w:p>
        </w:tc>
        <w:tc>
          <w:tcPr>
            <w:tcW w:w="7880" w:type="dxa"/>
            <w:vAlign w:val="bottom"/>
          </w:tcPr>
          <w:p>
            <w:pPr>
              <w:ind w:left="240"/>
              <w:spacing w:after="0"/>
              <w:rPr>
                <w:sz w:val="20"/>
                <w:szCs w:val="20"/>
                <w:color w:val="auto"/>
              </w:rPr>
            </w:pPr>
            <w:r>
              <w:rPr>
                <w:rFonts w:ascii="Arial" w:cs="Arial" w:eastAsia="Arial" w:hAnsi="Arial"/>
                <w:sz w:val="20"/>
                <w:szCs w:val="20"/>
                <w:color w:val="auto"/>
              </w:rPr>
              <w:t>Accounting Changes</w:t>
            </w:r>
          </w:p>
        </w:tc>
        <w:tc>
          <w:tcPr>
            <w:tcW w:w="200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75"/>
        </w:trPr>
        <w:tc>
          <w:tcPr>
            <w:tcW w:w="640" w:type="dxa"/>
            <w:vAlign w:val="bottom"/>
          </w:tcPr>
          <w:p>
            <w:pPr>
              <w:jc w:val="right"/>
              <w:ind w:right="120"/>
              <w:spacing w:after="0"/>
              <w:rPr>
                <w:sz w:val="20"/>
                <w:szCs w:val="20"/>
                <w:color w:val="auto"/>
              </w:rPr>
            </w:pPr>
            <w:r>
              <w:rPr>
                <w:rFonts w:ascii="Arial" w:cs="Arial" w:eastAsia="Arial" w:hAnsi="Arial"/>
                <w:sz w:val="20"/>
                <w:szCs w:val="20"/>
                <w:color w:val="auto"/>
                <w:w w:val="89"/>
              </w:rPr>
              <w:t>7.13.</w:t>
            </w:r>
          </w:p>
        </w:tc>
        <w:tc>
          <w:tcPr>
            <w:tcW w:w="7880" w:type="dxa"/>
            <w:vAlign w:val="bottom"/>
          </w:tcPr>
          <w:p>
            <w:pPr>
              <w:ind w:left="240"/>
              <w:spacing w:after="0"/>
              <w:rPr>
                <w:sz w:val="20"/>
                <w:szCs w:val="20"/>
                <w:color w:val="auto"/>
              </w:rPr>
            </w:pPr>
            <w:r>
              <w:rPr>
                <w:rFonts w:ascii="Arial" w:cs="Arial" w:eastAsia="Arial" w:hAnsi="Arial"/>
                <w:sz w:val="20"/>
                <w:szCs w:val="20"/>
                <w:color w:val="auto"/>
              </w:rPr>
              <w:t>Amendment, Waivers and Terminations of Certain Agreements</w:t>
            </w:r>
          </w:p>
        </w:tc>
        <w:tc>
          <w:tcPr>
            <w:tcW w:w="200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75"/>
        </w:trPr>
        <w:tc>
          <w:tcPr>
            <w:tcW w:w="640" w:type="dxa"/>
            <w:vAlign w:val="bottom"/>
          </w:tcPr>
          <w:p>
            <w:pPr>
              <w:jc w:val="right"/>
              <w:ind w:right="120"/>
              <w:spacing w:after="0"/>
              <w:rPr>
                <w:sz w:val="20"/>
                <w:szCs w:val="20"/>
                <w:color w:val="auto"/>
              </w:rPr>
            </w:pPr>
            <w:r>
              <w:rPr>
                <w:rFonts w:ascii="Arial" w:cs="Arial" w:eastAsia="Arial" w:hAnsi="Arial"/>
                <w:sz w:val="20"/>
                <w:szCs w:val="20"/>
                <w:color w:val="auto"/>
                <w:w w:val="89"/>
              </w:rPr>
              <w:t>7.14.</w:t>
            </w:r>
          </w:p>
        </w:tc>
        <w:tc>
          <w:tcPr>
            <w:tcW w:w="7880" w:type="dxa"/>
            <w:vAlign w:val="bottom"/>
          </w:tcPr>
          <w:p>
            <w:pPr>
              <w:ind w:left="240"/>
              <w:spacing w:after="0"/>
              <w:rPr>
                <w:sz w:val="20"/>
                <w:szCs w:val="20"/>
                <w:color w:val="auto"/>
              </w:rPr>
            </w:pPr>
            <w:r>
              <w:rPr>
                <w:rFonts w:ascii="Arial" w:cs="Arial" w:eastAsia="Arial" w:hAnsi="Arial"/>
                <w:sz w:val="20"/>
                <w:szCs w:val="20"/>
                <w:color w:val="auto"/>
              </w:rPr>
              <w:t>Tax Sharing and Indemnification Agreements</w:t>
            </w:r>
          </w:p>
        </w:tc>
        <w:tc>
          <w:tcPr>
            <w:tcW w:w="200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75"/>
        </w:trPr>
        <w:tc>
          <w:tcPr>
            <w:tcW w:w="640" w:type="dxa"/>
            <w:vAlign w:val="bottom"/>
          </w:tcPr>
          <w:p>
            <w:pPr>
              <w:jc w:val="right"/>
              <w:ind w:right="120"/>
              <w:spacing w:after="0"/>
              <w:rPr>
                <w:sz w:val="20"/>
                <w:szCs w:val="20"/>
                <w:color w:val="auto"/>
              </w:rPr>
            </w:pPr>
            <w:r>
              <w:rPr>
                <w:rFonts w:ascii="Arial" w:cs="Arial" w:eastAsia="Arial" w:hAnsi="Arial"/>
                <w:sz w:val="20"/>
                <w:szCs w:val="20"/>
                <w:color w:val="auto"/>
                <w:w w:val="89"/>
              </w:rPr>
              <w:t>7.15.</w:t>
            </w:r>
          </w:p>
        </w:tc>
        <w:tc>
          <w:tcPr>
            <w:tcW w:w="7880" w:type="dxa"/>
            <w:vAlign w:val="bottom"/>
          </w:tcPr>
          <w:p>
            <w:pPr>
              <w:ind w:left="240"/>
              <w:spacing w:after="0"/>
              <w:rPr>
                <w:sz w:val="20"/>
                <w:szCs w:val="20"/>
                <w:color w:val="auto"/>
              </w:rPr>
            </w:pPr>
            <w:r>
              <w:rPr>
                <w:rFonts w:ascii="Arial" w:cs="Arial" w:eastAsia="Arial" w:hAnsi="Arial"/>
                <w:sz w:val="20"/>
                <w:szCs w:val="20"/>
                <w:color w:val="auto"/>
              </w:rPr>
              <w:t>Sanctions; Anti-Corruption Laws</w:t>
            </w:r>
          </w:p>
        </w:tc>
        <w:tc>
          <w:tcPr>
            <w:tcW w:w="2000" w:type="dxa"/>
            <w:vAlign w:val="bottom"/>
          </w:tcPr>
          <w:p>
            <w:pPr>
              <w:jc w:val="right"/>
              <w:spacing w:after="0"/>
              <w:rPr>
                <w:sz w:val="20"/>
                <w:szCs w:val="20"/>
                <w:color w:val="auto"/>
              </w:rPr>
            </w:pPr>
            <w:r>
              <w:rPr>
                <w:rFonts w:ascii="Arial" w:cs="Arial" w:eastAsia="Arial" w:hAnsi="Arial"/>
                <w:sz w:val="20"/>
                <w:szCs w:val="20"/>
                <w:color w:val="auto"/>
              </w:rPr>
              <w:t>86</w:t>
            </w:r>
          </w:p>
        </w:tc>
      </w:tr>
    </w:tbl>
    <w:p>
      <w:pPr>
        <w:spacing w:after="0" w:line="345" w:lineRule="exact"/>
        <w:rPr>
          <w:sz w:val="20"/>
          <w:szCs w:val="20"/>
          <w:color w:val="auto"/>
        </w:rPr>
      </w:pPr>
    </w:p>
    <w:p>
      <w:pPr>
        <w:jc w:val="center"/>
        <w:ind w:right="-659"/>
        <w:spacing w:after="0"/>
        <w:rPr>
          <w:sz w:val="20"/>
          <w:szCs w:val="20"/>
          <w:color w:val="auto"/>
        </w:rPr>
      </w:pPr>
      <w:r>
        <w:rPr>
          <w:rFonts w:ascii="Arial" w:cs="Arial" w:eastAsia="Arial" w:hAnsi="Arial"/>
          <w:sz w:val="20"/>
          <w:szCs w:val="20"/>
          <w:color w:val="auto"/>
        </w:rPr>
        <w:t>ARTICLE VIII</w:t>
      </w:r>
    </w:p>
    <w:p>
      <w:pPr>
        <w:spacing w:after="0" w:line="45" w:lineRule="exact"/>
        <w:rPr>
          <w:sz w:val="20"/>
          <w:szCs w:val="20"/>
          <w:color w:val="auto"/>
        </w:rPr>
      </w:pPr>
    </w:p>
    <w:p>
      <w:pPr>
        <w:jc w:val="center"/>
        <w:ind w:right="-659"/>
        <w:spacing w:after="0"/>
        <w:rPr>
          <w:sz w:val="20"/>
          <w:szCs w:val="20"/>
          <w:color w:val="auto"/>
        </w:rPr>
      </w:pPr>
      <w:r>
        <w:rPr>
          <w:rFonts w:ascii="Arial" w:cs="Arial" w:eastAsia="Arial" w:hAnsi="Arial"/>
          <w:sz w:val="20"/>
          <w:szCs w:val="20"/>
          <w:color w:val="auto"/>
        </w:rPr>
        <w:t>EVENTS OF DEFAULT AND REMEDIES</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520"/>
          </w:cols>
          <w:pgMar w:left="660" w:top="1132" w:right="719" w:bottom="1440" w:gutter="0" w:footer="0" w:header="0"/>
        </w:sectPr>
      </w:pPr>
    </w:p>
    <w:bookmarkStart w:id="402" w:name="page403"/>
    <w:bookmarkEnd w:id="402"/>
    <w:tbl>
      <w:tblPr>
        <w:tblLayout w:type="fixed"/>
        <w:tblInd w:w="0" w:type="dxa"/>
        <w:tblCellMar>
          <w:top w:w="0" w:type="dxa"/>
          <w:left w:w="0" w:type="dxa"/>
          <w:bottom w:w="0" w:type="dxa"/>
          <w:right w:w="0" w:type="dxa"/>
        </w:tblCellMar>
      </w:tblPr>
      <w:tr>
        <w:trPr>
          <w:trHeight w:val="254"/>
        </w:trPr>
        <w:tc>
          <w:tcPr>
            <w:tcW w:w="600" w:type="dxa"/>
            <w:vAlign w:val="bottom"/>
          </w:tcPr>
          <w:p>
            <w:pPr>
              <w:spacing w:after="0"/>
              <w:rPr>
                <w:sz w:val="20"/>
                <w:szCs w:val="20"/>
                <w:color w:val="auto"/>
              </w:rPr>
            </w:pPr>
            <w:r>
              <w:rPr>
                <w:rFonts w:ascii="Arial" w:cs="Arial" w:eastAsia="Arial" w:hAnsi="Arial"/>
                <w:sz w:val="20"/>
                <w:szCs w:val="20"/>
                <w:color w:val="auto"/>
              </w:rPr>
              <w:t>8.01.</w:t>
            </w:r>
          </w:p>
        </w:tc>
        <w:tc>
          <w:tcPr>
            <w:tcW w:w="7960" w:type="dxa"/>
            <w:vAlign w:val="bottom"/>
          </w:tcPr>
          <w:p>
            <w:pPr>
              <w:ind w:left="160"/>
              <w:spacing w:after="0"/>
              <w:rPr>
                <w:sz w:val="20"/>
                <w:szCs w:val="20"/>
                <w:color w:val="auto"/>
              </w:rPr>
            </w:pPr>
            <w:r>
              <w:rPr>
                <w:rFonts w:ascii="Arial" w:cs="Arial" w:eastAsia="Arial" w:hAnsi="Arial"/>
                <w:sz w:val="20"/>
                <w:szCs w:val="20"/>
                <w:color w:val="auto"/>
              </w:rPr>
              <w:t>Events of Default</w:t>
            </w:r>
          </w:p>
        </w:tc>
        <w:tc>
          <w:tcPr>
            <w:tcW w:w="198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75"/>
        </w:trPr>
        <w:tc>
          <w:tcPr>
            <w:tcW w:w="600" w:type="dxa"/>
            <w:vAlign w:val="bottom"/>
          </w:tcPr>
          <w:p>
            <w:pPr>
              <w:spacing w:after="0"/>
              <w:rPr>
                <w:sz w:val="20"/>
                <w:szCs w:val="20"/>
                <w:color w:val="auto"/>
              </w:rPr>
            </w:pPr>
            <w:r>
              <w:rPr>
                <w:rFonts w:ascii="Arial" w:cs="Arial" w:eastAsia="Arial" w:hAnsi="Arial"/>
                <w:sz w:val="20"/>
                <w:szCs w:val="20"/>
                <w:color w:val="auto"/>
              </w:rPr>
              <w:t>8.02.</w:t>
            </w:r>
          </w:p>
        </w:tc>
        <w:tc>
          <w:tcPr>
            <w:tcW w:w="7960" w:type="dxa"/>
            <w:vAlign w:val="bottom"/>
          </w:tcPr>
          <w:p>
            <w:pPr>
              <w:ind w:left="160"/>
              <w:spacing w:after="0"/>
              <w:rPr>
                <w:sz w:val="20"/>
                <w:szCs w:val="20"/>
                <w:color w:val="auto"/>
              </w:rPr>
            </w:pPr>
            <w:r>
              <w:rPr>
                <w:rFonts w:ascii="Arial" w:cs="Arial" w:eastAsia="Arial" w:hAnsi="Arial"/>
                <w:sz w:val="20"/>
                <w:szCs w:val="20"/>
                <w:color w:val="auto"/>
              </w:rPr>
              <w:t>Remedies upon Event of Default</w:t>
            </w:r>
          </w:p>
        </w:tc>
        <w:tc>
          <w:tcPr>
            <w:tcW w:w="1980" w:type="dxa"/>
            <w:vAlign w:val="bottom"/>
          </w:tcPr>
          <w:p>
            <w:pPr>
              <w:jc w:val="right"/>
              <w:spacing w:after="0"/>
              <w:rPr>
                <w:sz w:val="20"/>
                <w:szCs w:val="20"/>
                <w:color w:val="auto"/>
              </w:rPr>
            </w:pPr>
            <w:r>
              <w:rPr>
                <w:rFonts w:ascii="Arial" w:cs="Arial" w:eastAsia="Arial" w:hAnsi="Arial"/>
                <w:sz w:val="20"/>
                <w:szCs w:val="20"/>
                <w:color w:val="auto"/>
              </w:rPr>
              <w:t>89</w:t>
            </w:r>
          </w:p>
        </w:tc>
      </w:tr>
      <w:tr>
        <w:trPr>
          <w:trHeight w:val="275"/>
        </w:trPr>
        <w:tc>
          <w:tcPr>
            <w:tcW w:w="600" w:type="dxa"/>
            <w:vAlign w:val="bottom"/>
          </w:tcPr>
          <w:p>
            <w:pPr>
              <w:spacing w:after="0"/>
              <w:rPr>
                <w:sz w:val="20"/>
                <w:szCs w:val="20"/>
                <w:color w:val="auto"/>
              </w:rPr>
            </w:pPr>
            <w:r>
              <w:rPr>
                <w:rFonts w:ascii="Arial" w:cs="Arial" w:eastAsia="Arial" w:hAnsi="Arial"/>
                <w:sz w:val="20"/>
                <w:szCs w:val="20"/>
                <w:color w:val="auto"/>
              </w:rPr>
              <w:t>8.03.</w:t>
            </w:r>
          </w:p>
        </w:tc>
        <w:tc>
          <w:tcPr>
            <w:tcW w:w="7960" w:type="dxa"/>
            <w:vAlign w:val="bottom"/>
          </w:tcPr>
          <w:p>
            <w:pPr>
              <w:ind w:left="160"/>
              <w:spacing w:after="0"/>
              <w:rPr>
                <w:sz w:val="20"/>
                <w:szCs w:val="20"/>
                <w:color w:val="auto"/>
              </w:rPr>
            </w:pPr>
            <w:r>
              <w:rPr>
                <w:rFonts w:ascii="Arial" w:cs="Arial" w:eastAsia="Arial" w:hAnsi="Arial"/>
                <w:sz w:val="20"/>
                <w:szCs w:val="20"/>
                <w:color w:val="auto"/>
              </w:rPr>
              <w:t>Application of Funds</w:t>
            </w:r>
          </w:p>
        </w:tc>
        <w:tc>
          <w:tcPr>
            <w:tcW w:w="1980" w:type="dxa"/>
            <w:vAlign w:val="bottom"/>
          </w:tcPr>
          <w:p>
            <w:pPr>
              <w:jc w:val="right"/>
              <w:spacing w:after="0"/>
              <w:rPr>
                <w:sz w:val="20"/>
                <w:szCs w:val="20"/>
                <w:color w:val="auto"/>
              </w:rPr>
            </w:pPr>
            <w:r>
              <w:rPr>
                <w:rFonts w:ascii="Arial" w:cs="Arial" w:eastAsia="Arial" w:hAnsi="Arial"/>
                <w:sz w:val="20"/>
                <w:szCs w:val="20"/>
                <w:color w:val="auto"/>
              </w:rPr>
              <w:t>89</w:t>
            </w:r>
          </w:p>
        </w:tc>
      </w:tr>
      <w:tr>
        <w:trPr>
          <w:trHeight w:val="600"/>
        </w:trPr>
        <w:tc>
          <w:tcPr>
            <w:tcW w:w="600" w:type="dxa"/>
            <w:vAlign w:val="bottom"/>
          </w:tcPr>
          <w:p>
            <w:pPr>
              <w:spacing w:after="0"/>
              <w:rPr>
                <w:sz w:val="24"/>
                <w:szCs w:val="24"/>
                <w:color w:val="auto"/>
              </w:rPr>
            </w:pPr>
          </w:p>
        </w:tc>
        <w:tc>
          <w:tcPr>
            <w:tcW w:w="7960" w:type="dxa"/>
            <w:vAlign w:val="bottom"/>
          </w:tcPr>
          <w:p>
            <w:pPr>
              <w:ind w:left="4460"/>
              <w:spacing w:after="0"/>
              <w:rPr>
                <w:sz w:val="20"/>
                <w:szCs w:val="20"/>
                <w:color w:val="auto"/>
              </w:rPr>
            </w:pPr>
            <w:r>
              <w:rPr>
                <w:rFonts w:ascii="Arial" w:cs="Arial" w:eastAsia="Arial" w:hAnsi="Arial"/>
                <w:sz w:val="20"/>
                <w:szCs w:val="20"/>
                <w:color w:val="auto"/>
              </w:rPr>
              <w:t>ARTICLE IX</w:t>
            </w:r>
          </w:p>
        </w:tc>
        <w:tc>
          <w:tcPr>
            <w:tcW w:w="1980" w:type="dxa"/>
            <w:vAlign w:val="bottom"/>
          </w:tcPr>
          <w:p>
            <w:pPr>
              <w:spacing w:after="0"/>
              <w:rPr>
                <w:sz w:val="24"/>
                <w:szCs w:val="24"/>
                <w:color w:val="auto"/>
              </w:rPr>
            </w:pPr>
          </w:p>
        </w:tc>
      </w:tr>
      <w:tr>
        <w:trPr>
          <w:trHeight w:val="275"/>
        </w:trPr>
        <w:tc>
          <w:tcPr>
            <w:tcW w:w="600" w:type="dxa"/>
            <w:vAlign w:val="bottom"/>
          </w:tcPr>
          <w:p>
            <w:pPr>
              <w:spacing w:after="0"/>
              <w:rPr>
                <w:sz w:val="23"/>
                <w:szCs w:val="23"/>
                <w:color w:val="auto"/>
              </w:rPr>
            </w:pPr>
          </w:p>
        </w:tc>
        <w:tc>
          <w:tcPr>
            <w:tcW w:w="7960" w:type="dxa"/>
            <w:vAlign w:val="bottom"/>
          </w:tcPr>
          <w:p>
            <w:pPr>
              <w:ind w:left="3800"/>
              <w:spacing w:after="0"/>
              <w:rPr>
                <w:sz w:val="20"/>
                <w:szCs w:val="20"/>
                <w:color w:val="auto"/>
              </w:rPr>
            </w:pPr>
            <w:r>
              <w:rPr>
                <w:rFonts w:ascii="Arial" w:cs="Arial" w:eastAsia="Arial" w:hAnsi="Arial"/>
                <w:sz w:val="20"/>
                <w:szCs w:val="20"/>
                <w:color w:val="auto"/>
              </w:rPr>
              <w:t>ADMINISTRATIVE AGENT</w:t>
            </w:r>
          </w:p>
        </w:tc>
        <w:tc>
          <w:tcPr>
            <w:tcW w:w="1980" w:type="dxa"/>
            <w:vAlign w:val="bottom"/>
          </w:tcPr>
          <w:p>
            <w:pPr>
              <w:spacing w:after="0"/>
              <w:rPr>
                <w:sz w:val="23"/>
                <w:szCs w:val="23"/>
                <w:color w:val="auto"/>
              </w:rPr>
            </w:pPr>
          </w:p>
        </w:tc>
      </w:tr>
      <w:tr>
        <w:trPr>
          <w:trHeight w:val="600"/>
        </w:trPr>
        <w:tc>
          <w:tcPr>
            <w:tcW w:w="600" w:type="dxa"/>
            <w:vAlign w:val="bottom"/>
          </w:tcPr>
          <w:p>
            <w:pPr>
              <w:ind w:left="40"/>
              <w:spacing w:after="0"/>
              <w:rPr>
                <w:sz w:val="20"/>
                <w:szCs w:val="20"/>
                <w:color w:val="auto"/>
              </w:rPr>
            </w:pPr>
            <w:r>
              <w:rPr>
                <w:rFonts w:ascii="Arial" w:cs="Arial" w:eastAsia="Arial" w:hAnsi="Arial"/>
                <w:sz w:val="20"/>
                <w:szCs w:val="20"/>
                <w:color w:val="auto"/>
              </w:rPr>
              <w:t>9.01.</w:t>
            </w:r>
          </w:p>
        </w:tc>
        <w:tc>
          <w:tcPr>
            <w:tcW w:w="7960" w:type="dxa"/>
            <w:vAlign w:val="bottom"/>
          </w:tcPr>
          <w:p>
            <w:pPr>
              <w:ind w:left="200"/>
              <w:spacing w:after="0"/>
              <w:rPr>
                <w:sz w:val="20"/>
                <w:szCs w:val="20"/>
                <w:color w:val="auto"/>
              </w:rPr>
            </w:pPr>
            <w:r>
              <w:rPr>
                <w:rFonts w:ascii="Arial" w:cs="Arial" w:eastAsia="Arial" w:hAnsi="Arial"/>
                <w:sz w:val="20"/>
                <w:szCs w:val="20"/>
                <w:color w:val="auto"/>
              </w:rPr>
              <w:t>Appointment and Authority</w:t>
            </w:r>
          </w:p>
        </w:tc>
        <w:tc>
          <w:tcPr>
            <w:tcW w:w="198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275"/>
        </w:trPr>
        <w:tc>
          <w:tcPr>
            <w:tcW w:w="600" w:type="dxa"/>
            <w:vAlign w:val="bottom"/>
          </w:tcPr>
          <w:p>
            <w:pPr>
              <w:ind w:left="40"/>
              <w:spacing w:after="0"/>
              <w:rPr>
                <w:sz w:val="20"/>
                <w:szCs w:val="20"/>
                <w:color w:val="auto"/>
              </w:rPr>
            </w:pPr>
            <w:r>
              <w:rPr>
                <w:rFonts w:ascii="Arial" w:cs="Arial" w:eastAsia="Arial" w:hAnsi="Arial"/>
                <w:sz w:val="20"/>
                <w:szCs w:val="20"/>
                <w:color w:val="auto"/>
              </w:rPr>
              <w:t>9.02.</w:t>
            </w:r>
          </w:p>
        </w:tc>
        <w:tc>
          <w:tcPr>
            <w:tcW w:w="7960" w:type="dxa"/>
            <w:vAlign w:val="bottom"/>
          </w:tcPr>
          <w:p>
            <w:pPr>
              <w:ind w:left="200"/>
              <w:spacing w:after="0"/>
              <w:rPr>
                <w:sz w:val="20"/>
                <w:szCs w:val="20"/>
                <w:color w:val="auto"/>
              </w:rPr>
            </w:pPr>
            <w:r>
              <w:rPr>
                <w:rFonts w:ascii="Arial" w:cs="Arial" w:eastAsia="Arial" w:hAnsi="Arial"/>
                <w:sz w:val="20"/>
                <w:szCs w:val="20"/>
                <w:color w:val="auto"/>
              </w:rPr>
              <w:t>Rights as a Lender</w:t>
            </w:r>
          </w:p>
        </w:tc>
        <w:tc>
          <w:tcPr>
            <w:tcW w:w="198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275"/>
        </w:trPr>
        <w:tc>
          <w:tcPr>
            <w:tcW w:w="600" w:type="dxa"/>
            <w:vAlign w:val="bottom"/>
          </w:tcPr>
          <w:p>
            <w:pPr>
              <w:ind w:left="40"/>
              <w:spacing w:after="0"/>
              <w:rPr>
                <w:sz w:val="20"/>
                <w:szCs w:val="20"/>
                <w:color w:val="auto"/>
              </w:rPr>
            </w:pPr>
            <w:r>
              <w:rPr>
                <w:rFonts w:ascii="Arial" w:cs="Arial" w:eastAsia="Arial" w:hAnsi="Arial"/>
                <w:sz w:val="20"/>
                <w:szCs w:val="20"/>
                <w:color w:val="auto"/>
              </w:rPr>
              <w:t>9.03.</w:t>
            </w:r>
          </w:p>
        </w:tc>
        <w:tc>
          <w:tcPr>
            <w:tcW w:w="7960" w:type="dxa"/>
            <w:vAlign w:val="bottom"/>
          </w:tcPr>
          <w:p>
            <w:pPr>
              <w:ind w:left="200"/>
              <w:spacing w:after="0"/>
              <w:rPr>
                <w:sz w:val="20"/>
                <w:szCs w:val="20"/>
                <w:color w:val="auto"/>
              </w:rPr>
            </w:pPr>
            <w:r>
              <w:rPr>
                <w:rFonts w:ascii="Arial" w:cs="Arial" w:eastAsia="Arial" w:hAnsi="Arial"/>
                <w:sz w:val="20"/>
                <w:szCs w:val="20"/>
                <w:color w:val="auto"/>
              </w:rPr>
              <w:t>Exculpatory Provisions</w:t>
            </w:r>
          </w:p>
        </w:tc>
        <w:tc>
          <w:tcPr>
            <w:tcW w:w="198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275"/>
        </w:trPr>
        <w:tc>
          <w:tcPr>
            <w:tcW w:w="600" w:type="dxa"/>
            <w:vAlign w:val="bottom"/>
          </w:tcPr>
          <w:p>
            <w:pPr>
              <w:ind w:left="40"/>
              <w:spacing w:after="0"/>
              <w:rPr>
                <w:sz w:val="20"/>
                <w:szCs w:val="20"/>
                <w:color w:val="auto"/>
              </w:rPr>
            </w:pPr>
            <w:r>
              <w:rPr>
                <w:rFonts w:ascii="Arial" w:cs="Arial" w:eastAsia="Arial" w:hAnsi="Arial"/>
                <w:sz w:val="20"/>
                <w:szCs w:val="20"/>
                <w:color w:val="auto"/>
              </w:rPr>
              <w:t>9.04.</w:t>
            </w:r>
          </w:p>
        </w:tc>
        <w:tc>
          <w:tcPr>
            <w:tcW w:w="7960" w:type="dxa"/>
            <w:vAlign w:val="bottom"/>
          </w:tcPr>
          <w:p>
            <w:pPr>
              <w:ind w:left="200"/>
              <w:spacing w:after="0"/>
              <w:rPr>
                <w:sz w:val="20"/>
                <w:szCs w:val="20"/>
                <w:color w:val="auto"/>
              </w:rPr>
            </w:pPr>
            <w:r>
              <w:rPr>
                <w:rFonts w:ascii="Arial" w:cs="Arial" w:eastAsia="Arial" w:hAnsi="Arial"/>
                <w:sz w:val="20"/>
                <w:szCs w:val="20"/>
                <w:color w:val="auto"/>
              </w:rPr>
              <w:t>Reliance by Administrative Agent</w:t>
            </w:r>
          </w:p>
        </w:tc>
        <w:tc>
          <w:tcPr>
            <w:tcW w:w="1980" w:type="dxa"/>
            <w:vAlign w:val="bottom"/>
          </w:tcPr>
          <w:p>
            <w:pPr>
              <w:jc w:val="right"/>
              <w:spacing w:after="0"/>
              <w:rPr>
                <w:sz w:val="20"/>
                <w:szCs w:val="20"/>
                <w:color w:val="auto"/>
              </w:rPr>
            </w:pPr>
            <w:r>
              <w:rPr>
                <w:rFonts w:ascii="Arial" w:cs="Arial" w:eastAsia="Arial" w:hAnsi="Arial"/>
                <w:sz w:val="20"/>
                <w:szCs w:val="20"/>
                <w:color w:val="auto"/>
              </w:rPr>
              <w:t>91</w:t>
            </w:r>
          </w:p>
        </w:tc>
      </w:tr>
      <w:tr>
        <w:trPr>
          <w:trHeight w:val="275"/>
        </w:trPr>
        <w:tc>
          <w:tcPr>
            <w:tcW w:w="600" w:type="dxa"/>
            <w:vAlign w:val="bottom"/>
          </w:tcPr>
          <w:p>
            <w:pPr>
              <w:ind w:left="40"/>
              <w:spacing w:after="0"/>
              <w:rPr>
                <w:sz w:val="20"/>
                <w:szCs w:val="20"/>
                <w:color w:val="auto"/>
              </w:rPr>
            </w:pPr>
            <w:r>
              <w:rPr>
                <w:rFonts w:ascii="Arial" w:cs="Arial" w:eastAsia="Arial" w:hAnsi="Arial"/>
                <w:sz w:val="20"/>
                <w:szCs w:val="20"/>
                <w:color w:val="auto"/>
              </w:rPr>
              <w:t>9.05.</w:t>
            </w:r>
          </w:p>
        </w:tc>
        <w:tc>
          <w:tcPr>
            <w:tcW w:w="7960" w:type="dxa"/>
            <w:vAlign w:val="bottom"/>
          </w:tcPr>
          <w:p>
            <w:pPr>
              <w:ind w:left="200"/>
              <w:spacing w:after="0"/>
              <w:rPr>
                <w:sz w:val="20"/>
                <w:szCs w:val="20"/>
                <w:color w:val="auto"/>
              </w:rPr>
            </w:pPr>
            <w:r>
              <w:rPr>
                <w:rFonts w:ascii="Arial" w:cs="Arial" w:eastAsia="Arial" w:hAnsi="Arial"/>
                <w:sz w:val="20"/>
                <w:szCs w:val="20"/>
                <w:color w:val="auto"/>
              </w:rPr>
              <w:t>Delegation of Duties</w:t>
            </w:r>
          </w:p>
        </w:tc>
        <w:tc>
          <w:tcPr>
            <w:tcW w:w="1980" w:type="dxa"/>
            <w:vAlign w:val="bottom"/>
          </w:tcPr>
          <w:p>
            <w:pPr>
              <w:jc w:val="right"/>
              <w:spacing w:after="0"/>
              <w:rPr>
                <w:sz w:val="20"/>
                <w:szCs w:val="20"/>
                <w:color w:val="auto"/>
              </w:rPr>
            </w:pPr>
            <w:r>
              <w:rPr>
                <w:rFonts w:ascii="Arial" w:cs="Arial" w:eastAsia="Arial" w:hAnsi="Arial"/>
                <w:sz w:val="20"/>
                <w:szCs w:val="20"/>
                <w:color w:val="auto"/>
              </w:rPr>
              <w:t>92</w:t>
            </w:r>
          </w:p>
        </w:tc>
      </w:tr>
      <w:tr>
        <w:trPr>
          <w:trHeight w:val="275"/>
        </w:trPr>
        <w:tc>
          <w:tcPr>
            <w:tcW w:w="600" w:type="dxa"/>
            <w:vAlign w:val="bottom"/>
          </w:tcPr>
          <w:p>
            <w:pPr>
              <w:ind w:left="40"/>
              <w:spacing w:after="0"/>
              <w:rPr>
                <w:sz w:val="20"/>
                <w:szCs w:val="20"/>
                <w:color w:val="auto"/>
              </w:rPr>
            </w:pPr>
            <w:r>
              <w:rPr>
                <w:rFonts w:ascii="Arial" w:cs="Arial" w:eastAsia="Arial" w:hAnsi="Arial"/>
                <w:sz w:val="20"/>
                <w:szCs w:val="20"/>
                <w:color w:val="auto"/>
              </w:rPr>
              <w:t>9.06.</w:t>
            </w:r>
          </w:p>
        </w:tc>
        <w:tc>
          <w:tcPr>
            <w:tcW w:w="7960" w:type="dxa"/>
            <w:vAlign w:val="bottom"/>
          </w:tcPr>
          <w:p>
            <w:pPr>
              <w:ind w:left="200"/>
              <w:spacing w:after="0"/>
              <w:rPr>
                <w:sz w:val="20"/>
                <w:szCs w:val="20"/>
                <w:color w:val="auto"/>
              </w:rPr>
            </w:pPr>
            <w:r>
              <w:rPr>
                <w:rFonts w:ascii="Arial" w:cs="Arial" w:eastAsia="Arial" w:hAnsi="Arial"/>
                <w:sz w:val="20"/>
                <w:szCs w:val="20"/>
                <w:color w:val="auto"/>
              </w:rPr>
              <w:t>Resignation of Administrative Agent</w:t>
            </w:r>
          </w:p>
        </w:tc>
        <w:tc>
          <w:tcPr>
            <w:tcW w:w="1980" w:type="dxa"/>
            <w:vAlign w:val="bottom"/>
          </w:tcPr>
          <w:p>
            <w:pPr>
              <w:jc w:val="right"/>
              <w:spacing w:after="0"/>
              <w:rPr>
                <w:sz w:val="20"/>
                <w:szCs w:val="20"/>
                <w:color w:val="auto"/>
              </w:rPr>
            </w:pPr>
            <w:r>
              <w:rPr>
                <w:rFonts w:ascii="Arial" w:cs="Arial" w:eastAsia="Arial" w:hAnsi="Arial"/>
                <w:sz w:val="20"/>
                <w:szCs w:val="20"/>
                <w:color w:val="auto"/>
              </w:rPr>
              <w:t>92</w:t>
            </w:r>
          </w:p>
        </w:tc>
      </w:tr>
      <w:tr>
        <w:trPr>
          <w:trHeight w:val="275"/>
        </w:trPr>
        <w:tc>
          <w:tcPr>
            <w:tcW w:w="600" w:type="dxa"/>
            <w:vAlign w:val="bottom"/>
          </w:tcPr>
          <w:p>
            <w:pPr>
              <w:ind w:left="40"/>
              <w:spacing w:after="0"/>
              <w:rPr>
                <w:sz w:val="20"/>
                <w:szCs w:val="20"/>
                <w:color w:val="auto"/>
              </w:rPr>
            </w:pPr>
            <w:r>
              <w:rPr>
                <w:rFonts w:ascii="Arial" w:cs="Arial" w:eastAsia="Arial" w:hAnsi="Arial"/>
                <w:sz w:val="20"/>
                <w:szCs w:val="20"/>
                <w:color w:val="auto"/>
              </w:rPr>
              <w:t>9.07.</w:t>
            </w:r>
          </w:p>
        </w:tc>
        <w:tc>
          <w:tcPr>
            <w:tcW w:w="7960" w:type="dxa"/>
            <w:vAlign w:val="bottom"/>
          </w:tcPr>
          <w:p>
            <w:pPr>
              <w:ind w:left="200"/>
              <w:spacing w:after="0"/>
              <w:rPr>
                <w:sz w:val="20"/>
                <w:szCs w:val="20"/>
                <w:color w:val="auto"/>
              </w:rPr>
            </w:pPr>
            <w:r>
              <w:rPr>
                <w:rFonts w:ascii="Arial" w:cs="Arial" w:eastAsia="Arial" w:hAnsi="Arial"/>
                <w:sz w:val="20"/>
                <w:szCs w:val="20"/>
                <w:color w:val="auto"/>
              </w:rPr>
              <w:t>Non-Reliance on Administrative Agent and Other Lenders</w:t>
            </w:r>
          </w:p>
        </w:tc>
        <w:tc>
          <w:tcPr>
            <w:tcW w:w="1980" w:type="dxa"/>
            <w:vAlign w:val="bottom"/>
          </w:tcPr>
          <w:p>
            <w:pPr>
              <w:jc w:val="right"/>
              <w:spacing w:after="0"/>
              <w:rPr>
                <w:sz w:val="20"/>
                <w:szCs w:val="20"/>
                <w:color w:val="auto"/>
              </w:rPr>
            </w:pPr>
            <w:r>
              <w:rPr>
                <w:rFonts w:ascii="Arial" w:cs="Arial" w:eastAsia="Arial" w:hAnsi="Arial"/>
                <w:sz w:val="20"/>
                <w:szCs w:val="20"/>
                <w:color w:val="auto"/>
              </w:rPr>
              <w:t>93</w:t>
            </w:r>
          </w:p>
        </w:tc>
      </w:tr>
      <w:tr>
        <w:trPr>
          <w:trHeight w:val="275"/>
        </w:trPr>
        <w:tc>
          <w:tcPr>
            <w:tcW w:w="600" w:type="dxa"/>
            <w:vAlign w:val="bottom"/>
          </w:tcPr>
          <w:p>
            <w:pPr>
              <w:ind w:left="40"/>
              <w:spacing w:after="0"/>
              <w:rPr>
                <w:sz w:val="20"/>
                <w:szCs w:val="20"/>
                <w:color w:val="auto"/>
              </w:rPr>
            </w:pPr>
            <w:r>
              <w:rPr>
                <w:rFonts w:ascii="Arial" w:cs="Arial" w:eastAsia="Arial" w:hAnsi="Arial"/>
                <w:sz w:val="20"/>
                <w:szCs w:val="20"/>
                <w:color w:val="auto"/>
              </w:rPr>
              <w:t>9.08.</w:t>
            </w:r>
          </w:p>
        </w:tc>
        <w:tc>
          <w:tcPr>
            <w:tcW w:w="7960" w:type="dxa"/>
            <w:vAlign w:val="bottom"/>
          </w:tcPr>
          <w:p>
            <w:pPr>
              <w:ind w:left="200"/>
              <w:spacing w:after="0"/>
              <w:rPr>
                <w:sz w:val="20"/>
                <w:szCs w:val="20"/>
                <w:color w:val="auto"/>
              </w:rPr>
            </w:pPr>
            <w:r>
              <w:rPr>
                <w:rFonts w:ascii="Arial" w:cs="Arial" w:eastAsia="Arial" w:hAnsi="Arial"/>
                <w:sz w:val="20"/>
                <w:szCs w:val="20"/>
                <w:color w:val="auto"/>
              </w:rPr>
              <w:t>No Other Duties, Etc</w:t>
            </w:r>
          </w:p>
        </w:tc>
        <w:tc>
          <w:tcPr>
            <w:tcW w:w="1980" w:type="dxa"/>
            <w:vAlign w:val="bottom"/>
          </w:tcPr>
          <w:p>
            <w:pPr>
              <w:jc w:val="right"/>
              <w:spacing w:after="0"/>
              <w:rPr>
                <w:sz w:val="20"/>
                <w:szCs w:val="20"/>
                <w:color w:val="auto"/>
              </w:rPr>
            </w:pPr>
            <w:r>
              <w:rPr>
                <w:rFonts w:ascii="Arial" w:cs="Arial" w:eastAsia="Arial" w:hAnsi="Arial"/>
                <w:sz w:val="20"/>
                <w:szCs w:val="20"/>
                <w:color w:val="auto"/>
              </w:rPr>
              <w:t>94</w:t>
            </w:r>
          </w:p>
        </w:tc>
      </w:tr>
      <w:tr>
        <w:trPr>
          <w:trHeight w:val="275"/>
        </w:trPr>
        <w:tc>
          <w:tcPr>
            <w:tcW w:w="600" w:type="dxa"/>
            <w:vAlign w:val="bottom"/>
          </w:tcPr>
          <w:p>
            <w:pPr>
              <w:ind w:left="40"/>
              <w:spacing w:after="0"/>
              <w:rPr>
                <w:sz w:val="20"/>
                <w:szCs w:val="20"/>
                <w:color w:val="auto"/>
              </w:rPr>
            </w:pPr>
            <w:r>
              <w:rPr>
                <w:rFonts w:ascii="Arial" w:cs="Arial" w:eastAsia="Arial" w:hAnsi="Arial"/>
                <w:sz w:val="20"/>
                <w:szCs w:val="20"/>
                <w:color w:val="auto"/>
              </w:rPr>
              <w:t>9.09.</w:t>
            </w:r>
          </w:p>
        </w:tc>
        <w:tc>
          <w:tcPr>
            <w:tcW w:w="7960" w:type="dxa"/>
            <w:vAlign w:val="bottom"/>
          </w:tcPr>
          <w:p>
            <w:pPr>
              <w:ind w:left="200"/>
              <w:spacing w:after="0"/>
              <w:rPr>
                <w:sz w:val="20"/>
                <w:szCs w:val="20"/>
                <w:color w:val="auto"/>
              </w:rPr>
            </w:pPr>
            <w:r>
              <w:rPr>
                <w:rFonts w:ascii="Arial" w:cs="Arial" w:eastAsia="Arial" w:hAnsi="Arial"/>
                <w:sz w:val="20"/>
                <w:szCs w:val="20"/>
                <w:color w:val="auto"/>
              </w:rPr>
              <w:t>Administrative Agent May File Proofs of Claim</w:t>
            </w:r>
          </w:p>
        </w:tc>
        <w:tc>
          <w:tcPr>
            <w:tcW w:w="1980" w:type="dxa"/>
            <w:vAlign w:val="bottom"/>
          </w:tcPr>
          <w:p>
            <w:pPr>
              <w:jc w:val="right"/>
              <w:spacing w:after="0"/>
              <w:rPr>
                <w:sz w:val="20"/>
                <w:szCs w:val="20"/>
                <w:color w:val="auto"/>
              </w:rPr>
            </w:pPr>
            <w:r>
              <w:rPr>
                <w:rFonts w:ascii="Arial" w:cs="Arial" w:eastAsia="Arial" w:hAnsi="Arial"/>
                <w:sz w:val="20"/>
                <w:szCs w:val="20"/>
                <w:color w:val="auto"/>
              </w:rPr>
              <w:t>94</w:t>
            </w:r>
          </w:p>
        </w:tc>
      </w:tr>
      <w:tr>
        <w:trPr>
          <w:trHeight w:val="275"/>
        </w:trPr>
        <w:tc>
          <w:tcPr>
            <w:tcW w:w="600" w:type="dxa"/>
            <w:vAlign w:val="bottom"/>
          </w:tcPr>
          <w:p>
            <w:pPr>
              <w:ind w:left="40"/>
              <w:spacing w:after="0"/>
              <w:rPr>
                <w:sz w:val="20"/>
                <w:szCs w:val="20"/>
                <w:color w:val="auto"/>
              </w:rPr>
            </w:pPr>
            <w:r>
              <w:rPr>
                <w:rFonts w:ascii="Arial" w:cs="Arial" w:eastAsia="Arial" w:hAnsi="Arial"/>
                <w:sz w:val="20"/>
                <w:szCs w:val="20"/>
                <w:color w:val="auto"/>
              </w:rPr>
              <w:t>9.10.</w:t>
            </w:r>
          </w:p>
        </w:tc>
        <w:tc>
          <w:tcPr>
            <w:tcW w:w="7960" w:type="dxa"/>
            <w:vAlign w:val="bottom"/>
          </w:tcPr>
          <w:p>
            <w:pPr>
              <w:ind w:left="200"/>
              <w:spacing w:after="0"/>
              <w:rPr>
                <w:sz w:val="20"/>
                <w:szCs w:val="20"/>
                <w:color w:val="auto"/>
              </w:rPr>
            </w:pPr>
            <w:r>
              <w:rPr>
                <w:rFonts w:ascii="Arial" w:cs="Arial" w:eastAsia="Arial" w:hAnsi="Arial"/>
                <w:sz w:val="20"/>
                <w:szCs w:val="20"/>
                <w:color w:val="auto"/>
              </w:rPr>
              <w:t>Guaranty Matters</w:t>
            </w:r>
          </w:p>
        </w:tc>
        <w:tc>
          <w:tcPr>
            <w:tcW w:w="1980" w:type="dxa"/>
            <w:vAlign w:val="bottom"/>
          </w:tcPr>
          <w:p>
            <w:pPr>
              <w:jc w:val="right"/>
              <w:spacing w:after="0"/>
              <w:rPr>
                <w:sz w:val="20"/>
                <w:szCs w:val="20"/>
                <w:color w:val="auto"/>
              </w:rPr>
            </w:pPr>
            <w:r>
              <w:rPr>
                <w:rFonts w:ascii="Arial" w:cs="Arial" w:eastAsia="Arial" w:hAnsi="Arial"/>
                <w:sz w:val="20"/>
                <w:szCs w:val="20"/>
                <w:color w:val="auto"/>
              </w:rPr>
              <w:t>94</w:t>
            </w:r>
          </w:p>
        </w:tc>
      </w:tr>
      <w:tr>
        <w:trPr>
          <w:trHeight w:val="275"/>
        </w:trPr>
        <w:tc>
          <w:tcPr>
            <w:tcW w:w="600" w:type="dxa"/>
            <w:vAlign w:val="bottom"/>
          </w:tcPr>
          <w:p>
            <w:pPr>
              <w:ind w:left="40"/>
              <w:spacing w:after="0"/>
              <w:rPr>
                <w:sz w:val="20"/>
                <w:szCs w:val="20"/>
                <w:color w:val="auto"/>
              </w:rPr>
            </w:pPr>
            <w:r>
              <w:rPr>
                <w:rFonts w:ascii="Arial" w:cs="Arial" w:eastAsia="Arial" w:hAnsi="Arial"/>
                <w:sz w:val="20"/>
                <w:szCs w:val="20"/>
                <w:color w:val="auto"/>
              </w:rPr>
              <w:t>9.11.</w:t>
            </w:r>
          </w:p>
        </w:tc>
        <w:tc>
          <w:tcPr>
            <w:tcW w:w="7960" w:type="dxa"/>
            <w:vAlign w:val="bottom"/>
          </w:tcPr>
          <w:p>
            <w:pPr>
              <w:ind w:left="200"/>
              <w:spacing w:after="0"/>
              <w:rPr>
                <w:sz w:val="20"/>
                <w:szCs w:val="20"/>
                <w:color w:val="auto"/>
              </w:rPr>
            </w:pPr>
            <w:r>
              <w:rPr>
                <w:rFonts w:ascii="Arial" w:cs="Arial" w:eastAsia="Arial" w:hAnsi="Arial"/>
                <w:sz w:val="20"/>
                <w:szCs w:val="20"/>
                <w:color w:val="auto"/>
              </w:rPr>
              <w:t>Lender Representations Regarding ERISA</w:t>
            </w:r>
          </w:p>
        </w:tc>
        <w:tc>
          <w:tcPr>
            <w:tcW w:w="1980" w:type="dxa"/>
            <w:vAlign w:val="bottom"/>
          </w:tcPr>
          <w:p>
            <w:pPr>
              <w:jc w:val="right"/>
              <w:spacing w:after="0"/>
              <w:rPr>
                <w:sz w:val="20"/>
                <w:szCs w:val="20"/>
                <w:color w:val="auto"/>
              </w:rPr>
            </w:pPr>
            <w:r>
              <w:rPr>
                <w:rFonts w:ascii="Arial" w:cs="Arial" w:eastAsia="Arial" w:hAnsi="Arial"/>
                <w:sz w:val="20"/>
                <w:szCs w:val="20"/>
                <w:color w:val="auto"/>
              </w:rPr>
              <w:t>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679"/>
        <w:spacing w:after="0"/>
        <w:rPr>
          <w:sz w:val="20"/>
          <w:szCs w:val="20"/>
          <w:color w:val="auto"/>
        </w:rPr>
      </w:pPr>
      <w:r>
        <w:rPr>
          <w:rFonts w:ascii="Arial" w:cs="Arial" w:eastAsia="Arial" w:hAnsi="Arial"/>
          <w:sz w:val="20"/>
          <w:szCs w:val="20"/>
          <w:color w:val="auto"/>
        </w:rPr>
        <w:t>ARTICLE X</w:t>
      </w:r>
    </w:p>
    <w:p>
      <w:pPr>
        <w:spacing w:after="0" w:line="45" w:lineRule="exact"/>
        <w:rPr>
          <w:sz w:val="20"/>
          <w:szCs w:val="20"/>
          <w:color w:val="auto"/>
        </w:rPr>
      </w:pPr>
    </w:p>
    <w:p>
      <w:pPr>
        <w:jc w:val="center"/>
        <w:ind w:right="-679"/>
        <w:spacing w:after="0"/>
        <w:rPr>
          <w:sz w:val="20"/>
          <w:szCs w:val="20"/>
          <w:color w:val="auto"/>
        </w:rPr>
      </w:pPr>
      <w:r>
        <w:rPr>
          <w:rFonts w:ascii="Arial" w:cs="Arial" w:eastAsia="Arial" w:hAnsi="Arial"/>
          <w:sz w:val="20"/>
          <w:szCs w:val="20"/>
          <w:color w:val="auto"/>
        </w:rPr>
        <w:t>MISCELLANEOUS</w:t>
      </w: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540"/>
          </w:cols>
          <w:pgMar w:left="640" w:top="1132" w:right="719" w:bottom="1440" w:gutter="0" w:footer="0" w:header="0"/>
        </w:sectPr>
      </w:pPr>
    </w:p>
    <w:bookmarkStart w:id="403" w:name="page404"/>
    <w:bookmarkEnd w:id="403"/>
    <w:tbl>
      <w:tblPr>
        <w:tblLayout w:type="fixed"/>
        <w:tblInd w:w="0" w:type="dxa"/>
        <w:tblCellMar>
          <w:top w:w="0" w:type="dxa"/>
          <w:left w:w="0" w:type="dxa"/>
          <w:bottom w:w="0" w:type="dxa"/>
          <w:right w:w="0" w:type="dxa"/>
        </w:tblCellMar>
      </w:tblP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10.01.</w:t>
            </w:r>
          </w:p>
        </w:tc>
        <w:tc>
          <w:tcPr>
            <w:tcW w:w="7780" w:type="dxa"/>
            <w:vAlign w:val="bottom"/>
          </w:tcPr>
          <w:p>
            <w:pPr>
              <w:ind w:left="180"/>
              <w:spacing w:after="0"/>
              <w:rPr>
                <w:sz w:val="20"/>
                <w:szCs w:val="20"/>
                <w:color w:val="auto"/>
              </w:rPr>
            </w:pPr>
            <w:r>
              <w:rPr>
                <w:rFonts w:ascii="Arial" w:cs="Arial" w:eastAsia="Arial" w:hAnsi="Arial"/>
                <w:sz w:val="20"/>
                <w:szCs w:val="20"/>
                <w:color w:val="auto"/>
              </w:rPr>
              <w:t>Amendments, Etc</w:t>
            </w:r>
          </w:p>
        </w:tc>
        <w:tc>
          <w:tcPr>
            <w:tcW w:w="2140" w:type="dxa"/>
            <w:vAlign w:val="bottom"/>
          </w:tcPr>
          <w:p>
            <w:pPr>
              <w:jc w:val="right"/>
              <w:spacing w:after="0"/>
              <w:rPr>
                <w:sz w:val="20"/>
                <w:szCs w:val="20"/>
                <w:color w:val="auto"/>
              </w:rPr>
            </w:pPr>
            <w:r>
              <w:rPr>
                <w:rFonts w:ascii="Arial" w:cs="Arial" w:eastAsia="Arial" w:hAnsi="Arial"/>
                <w:sz w:val="20"/>
                <w:szCs w:val="20"/>
                <w:color w:val="auto"/>
              </w:rPr>
              <w:t>97</w:t>
            </w:r>
          </w:p>
        </w:tc>
      </w:tr>
      <w:tr>
        <w:trPr>
          <w:trHeight w:val="275"/>
        </w:trPr>
        <w:tc>
          <w:tcPr>
            <w:tcW w:w="680" w:type="dxa"/>
            <w:vAlign w:val="bottom"/>
          </w:tcPr>
          <w:p>
            <w:pPr>
              <w:spacing w:after="0"/>
              <w:rPr>
                <w:sz w:val="20"/>
                <w:szCs w:val="20"/>
                <w:color w:val="auto"/>
              </w:rPr>
            </w:pPr>
            <w:r>
              <w:rPr>
                <w:rFonts w:ascii="Arial" w:cs="Arial" w:eastAsia="Arial" w:hAnsi="Arial"/>
                <w:sz w:val="20"/>
                <w:szCs w:val="20"/>
                <w:color w:val="auto"/>
              </w:rPr>
              <w:t>10.02.</w:t>
            </w:r>
          </w:p>
        </w:tc>
        <w:tc>
          <w:tcPr>
            <w:tcW w:w="7780" w:type="dxa"/>
            <w:vAlign w:val="bottom"/>
          </w:tcPr>
          <w:p>
            <w:pPr>
              <w:ind w:left="180"/>
              <w:spacing w:after="0"/>
              <w:rPr>
                <w:sz w:val="20"/>
                <w:szCs w:val="20"/>
                <w:color w:val="auto"/>
              </w:rPr>
            </w:pPr>
            <w:r>
              <w:rPr>
                <w:rFonts w:ascii="Arial" w:cs="Arial" w:eastAsia="Arial" w:hAnsi="Arial"/>
                <w:sz w:val="20"/>
                <w:szCs w:val="20"/>
                <w:color w:val="auto"/>
              </w:rPr>
              <w:t>Notices; Effectiveness; Electronic Communications</w:t>
            </w:r>
          </w:p>
        </w:tc>
        <w:tc>
          <w:tcPr>
            <w:tcW w:w="2140" w:type="dxa"/>
            <w:vAlign w:val="bottom"/>
          </w:tcPr>
          <w:p>
            <w:pPr>
              <w:jc w:val="right"/>
              <w:spacing w:after="0"/>
              <w:rPr>
                <w:sz w:val="20"/>
                <w:szCs w:val="20"/>
                <w:color w:val="auto"/>
              </w:rPr>
            </w:pPr>
            <w:r>
              <w:rPr>
                <w:rFonts w:ascii="Arial" w:cs="Arial" w:eastAsia="Arial" w:hAnsi="Arial"/>
                <w:sz w:val="20"/>
                <w:szCs w:val="20"/>
                <w:color w:val="auto"/>
              </w:rPr>
              <w:t>99</w:t>
            </w:r>
          </w:p>
        </w:tc>
      </w:tr>
      <w:tr>
        <w:trPr>
          <w:trHeight w:val="275"/>
        </w:trPr>
        <w:tc>
          <w:tcPr>
            <w:tcW w:w="680" w:type="dxa"/>
            <w:vAlign w:val="bottom"/>
          </w:tcPr>
          <w:p>
            <w:pPr>
              <w:spacing w:after="0"/>
              <w:rPr>
                <w:sz w:val="20"/>
                <w:szCs w:val="20"/>
                <w:color w:val="auto"/>
              </w:rPr>
            </w:pPr>
            <w:r>
              <w:rPr>
                <w:rFonts w:ascii="Arial" w:cs="Arial" w:eastAsia="Arial" w:hAnsi="Arial"/>
                <w:sz w:val="20"/>
                <w:szCs w:val="20"/>
                <w:color w:val="auto"/>
              </w:rPr>
              <w:t>10.03.</w:t>
            </w:r>
          </w:p>
        </w:tc>
        <w:tc>
          <w:tcPr>
            <w:tcW w:w="7780" w:type="dxa"/>
            <w:vAlign w:val="bottom"/>
          </w:tcPr>
          <w:p>
            <w:pPr>
              <w:ind w:left="180"/>
              <w:spacing w:after="0"/>
              <w:rPr>
                <w:sz w:val="20"/>
                <w:szCs w:val="20"/>
                <w:color w:val="auto"/>
              </w:rPr>
            </w:pPr>
            <w:r>
              <w:rPr>
                <w:rFonts w:ascii="Arial" w:cs="Arial" w:eastAsia="Arial" w:hAnsi="Arial"/>
                <w:sz w:val="20"/>
                <w:szCs w:val="20"/>
                <w:color w:val="auto"/>
              </w:rPr>
              <w:t>No Waiver; Cumulative Remedies; Enforcement</w:t>
            </w:r>
          </w:p>
        </w:tc>
        <w:tc>
          <w:tcPr>
            <w:tcW w:w="214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275"/>
        </w:trPr>
        <w:tc>
          <w:tcPr>
            <w:tcW w:w="680" w:type="dxa"/>
            <w:vAlign w:val="bottom"/>
          </w:tcPr>
          <w:p>
            <w:pPr>
              <w:spacing w:after="0"/>
              <w:rPr>
                <w:sz w:val="20"/>
                <w:szCs w:val="20"/>
                <w:color w:val="auto"/>
              </w:rPr>
            </w:pPr>
            <w:r>
              <w:rPr>
                <w:rFonts w:ascii="Arial" w:cs="Arial" w:eastAsia="Arial" w:hAnsi="Arial"/>
                <w:sz w:val="20"/>
                <w:szCs w:val="20"/>
                <w:color w:val="auto"/>
              </w:rPr>
              <w:t>10.04.</w:t>
            </w:r>
          </w:p>
        </w:tc>
        <w:tc>
          <w:tcPr>
            <w:tcW w:w="7780" w:type="dxa"/>
            <w:vAlign w:val="bottom"/>
          </w:tcPr>
          <w:p>
            <w:pPr>
              <w:ind w:left="180"/>
              <w:spacing w:after="0"/>
              <w:rPr>
                <w:sz w:val="20"/>
                <w:szCs w:val="20"/>
                <w:color w:val="auto"/>
              </w:rPr>
            </w:pPr>
            <w:r>
              <w:rPr>
                <w:rFonts w:ascii="Arial" w:cs="Arial" w:eastAsia="Arial" w:hAnsi="Arial"/>
                <w:sz w:val="20"/>
                <w:szCs w:val="20"/>
                <w:color w:val="auto"/>
              </w:rPr>
              <w:t>Expenses; Indemnity; Damage Waiver</w:t>
            </w:r>
          </w:p>
        </w:tc>
        <w:tc>
          <w:tcPr>
            <w:tcW w:w="214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275"/>
        </w:trPr>
        <w:tc>
          <w:tcPr>
            <w:tcW w:w="680" w:type="dxa"/>
            <w:vAlign w:val="bottom"/>
          </w:tcPr>
          <w:p>
            <w:pPr>
              <w:spacing w:after="0"/>
              <w:rPr>
                <w:sz w:val="20"/>
                <w:szCs w:val="20"/>
                <w:color w:val="auto"/>
              </w:rPr>
            </w:pPr>
            <w:r>
              <w:rPr>
                <w:rFonts w:ascii="Arial" w:cs="Arial" w:eastAsia="Arial" w:hAnsi="Arial"/>
                <w:sz w:val="20"/>
                <w:szCs w:val="20"/>
                <w:color w:val="auto"/>
              </w:rPr>
              <w:t>10.05.</w:t>
            </w:r>
          </w:p>
        </w:tc>
        <w:tc>
          <w:tcPr>
            <w:tcW w:w="7780" w:type="dxa"/>
            <w:vAlign w:val="bottom"/>
          </w:tcPr>
          <w:p>
            <w:pPr>
              <w:ind w:left="180"/>
              <w:spacing w:after="0"/>
              <w:rPr>
                <w:sz w:val="20"/>
                <w:szCs w:val="20"/>
                <w:color w:val="auto"/>
              </w:rPr>
            </w:pPr>
            <w:r>
              <w:rPr>
                <w:rFonts w:ascii="Arial" w:cs="Arial" w:eastAsia="Arial" w:hAnsi="Arial"/>
                <w:sz w:val="20"/>
                <w:szCs w:val="20"/>
                <w:color w:val="auto"/>
              </w:rPr>
              <w:t>Payments Set Aside</w:t>
            </w:r>
          </w:p>
        </w:tc>
        <w:tc>
          <w:tcPr>
            <w:tcW w:w="2140" w:type="dxa"/>
            <w:vAlign w:val="bottom"/>
          </w:tcPr>
          <w:p>
            <w:pPr>
              <w:jc w:val="right"/>
              <w:spacing w:after="0"/>
              <w:rPr>
                <w:sz w:val="20"/>
                <w:szCs w:val="20"/>
                <w:color w:val="auto"/>
              </w:rPr>
            </w:pPr>
            <w:r>
              <w:rPr>
                <w:rFonts w:ascii="Arial" w:cs="Arial" w:eastAsia="Arial" w:hAnsi="Arial"/>
                <w:sz w:val="20"/>
                <w:szCs w:val="20"/>
                <w:color w:val="auto"/>
              </w:rPr>
              <w:t>104</w:t>
            </w:r>
          </w:p>
        </w:tc>
      </w:tr>
      <w:tr>
        <w:trPr>
          <w:trHeight w:val="275"/>
        </w:trPr>
        <w:tc>
          <w:tcPr>
            <w:tcW w:w="680" w:type="dxa"/>
            <w:vAlign w:val="bottom"/>
          </w:tcPr>
          <w:p>
            <w:pPr>
              <w:spacing w:after="0"/>
              <w:rPr>
                <w:sz w:val="20"/>
                <w:szCs w:val="20"/>
                <w:color w:val="auto"/>
              </w:rPr>
            </w:pPr>
            <w:r>
              <w:rPr>
                <w:rFonts w:ascii="Arial" w:cs="Arial" w:eastAsia="Arial" w:hAnsi="Arial"/>
                <w:sz w:val="20"/>
                <w:szCs w:val="20"/>
                <w:color w:val="auto"/>
              </w:rPr>
              <w:t>10.06.</w:t>
            </w:r>
          </w:p>
        </w:tc>
        <w:tc>
          <w:tcPr>
            <w:tcW w:w="7780" w:type="dxa"/>
            <w:vAlign w:val="bottom"/>
          </w:tcPr>
          <w:p>
            <w:pPr>
              <w:ind w:left="180"/>
              <w:spacing w:after="0"/>
              <w:rPr>
                <w:sz w:val="20"/>
                <w:szCs w:val="20"/>
                <w:color w:val="auto"/>
              </w:rPr>
            </w:pPr>
            <w:r>
              <w:rPr>
                <w:rFonts w:ascii="Arial" w:cs="Arial" w:eastAsia="Arial" w:hAnsi="Arial"/>
                <w:sz w:val="20"/>
                <w:szCs w:val="20"/>
                <w:color w:val="auto"/>
              </w:rPr>
              <w:t>Successors and Assigns</w:t>
            </w:r>
          </w:p>
        </w:tc>
        <w:tc>
          <w:tcPr>
            <w:tcW w:w="2140" w:type="dxa"/>
            <w:vAlign w:val="bottom"/>
          </w:tcPr>
          <w:p>
            <w:pPr>
              <w:jc w:val="right"/>
              <w:spacing w:after="0"/>
              <w:rPr>
                <w:sz w:val="20"/>
                <w:szCs w:val="20"/>
                <w:color w:val="auto"/>
              </w:rPr>
            </w:pPr>
            <w:r>
              <w:rPr>
                <w:rFonts w:ascii="Arial" w:cs="Arial" w:eastAsia="Arial" w:hAnsi="Arial"/>
                <w:sz w:val="20"/>
                <w:szCs w:val="20"/>
                <w:color w:val="auto"/>
              </w:rPr>
              <w:t>104</w:t>
            </w:r>
          </w:p>
        </w:tc>
      </w:tr>
      <w:tr>
        <w:trPr>
          <w:trHeight w:val="275"/>
        </w:trPr>
        <w:tc>
          <w:tcPr>
            <w:tcW w:w="680" w:type="dxa"/>
            <w:vAlign w:val="bottom"/>
          </w:tcPr>
          <w:p>
            <w:pPr>
              <w:spacing w:after="0"/>
              <w:rPr>
                <w:sz w:val="20"/>
                <w:szCs w:val="20"/>
                <w:color w:val="auto"/>
              </w:rPr>
            </w:pPr>
            <w:r>
              <w:rPr>
                <w:rFonts w:ascii="Arial" w:cs="Arial" w:eastAsia="Arial" w:hAnsi="Arial"/>
                <w:sz w:val="20"/>
                <w:szCs w:val="20"/>
                <w:color w:val="auto"/>
              </w:rPr>
              <w:t>10.07.</w:t>
            </w:r>
          </w:p>
        </w:tc>
        <w:tc>
          <w:tcPr>
            <w:tcW w:w="7780" w:type="dxa"/>
            <w:vAlign w:val="bottom"/>
          </w:tcPr>
          <w:p>
            <w:pPr>
              <w:ind w:left="180"/>
              <w:spacing w:after="0"/>
              <w:rPr>
                <w:sz w:val="20"/>
                <w:szCs w:val="20"/>
                <w:color w:val="auto"/>
              </w:rPr>
            </w:pPr>
            <w:r>
              <w:rPr>
                <w:rFonts w:ascii="Arial" w:cs="Arial" w:eastAsia="Arial" w:hAnsi="Arial"/>
                <w:sz w:val="20"/>
                <w:szCs w:val="20"/>
                <w:color w:val="auto"/>
              </w:rPr>
              <w:t>Treatment of Certain Information; Confidentiality</w:t>
            </w:r>
          </w:p>
        </w:tc>
        <w:tc>
          <w:tcPr>
            <w:tcW w:w="214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275"/>
        </w:trPr>
        <w:tc>
          <w:tcPr>
            <w:tcW w:w="680" w:type="dxa"/>
            <w:vAlign w:val="bottom"/>
          </w:tcPr>
          <w:p>
            <w:pPr>
              <w:spacing w:after="0"/>
              <w:rPr>
                <w:sz w:val="20"/>
                <w:szCs w:val="20"/>
                <w:color w:val="auto"/>
              </w:rPr>
            </w:pPr>
            <w:r>
              <w:rPr>
                <w:rFonts w:ascii="Arial" w:cs="Arial" w:eastAsia="Arial" w:hAnsi="Arial"/>
                <w:sz w:val="20"/>
                <w:szCs w:val="20"/>
                <w:color w:val="auto"/>
              </w:rPr>
              <w:t>10.08.</w:t>
            </w:r>
          </w:p>
        </w:tc>
        <w:tc>
          <w:tcPr>
            <w:tcW w:w="7780" w:type="dxa"/>
            <w:vAlign w:val="bottom"/>
          </w:tcPr>
          <w:p>
            <w:pPr>
              <w:ind w:left="180"/>
              <w:spacing w:after="0"/>
              <w:rPr>
                <w:sz w:val="20"/>
                <w:szCs w:val="20"/>
                <w:color w:val="auto"/>
              </w:rPr>
            </w:pPr>
            <w:r>
              <w:rPr>
                <w:rFonts w:ascii="Arial" w:cs="Arial" w:eastAsia="Arial" w:hAnsi="Arial"/>
                <w:sz w:val="20"/>
                <w:szCs w:val="20"/>
                <w:color w:val="auto"/>
              </w:rPr>
              <w:t>Right of Setoff</w:t>
            </w:r>
          </w:p>
        </w:tc>
        <w:tc>
          <w:tcPr>
            <w:tcW w:w="214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275"/>
        </w:trPr>
        <w:tc>
          <w:tcPr>
            <w:tcW w:w="680" w:type="dxa"/>
            <w:vAlign w:val="bottom"/>
          </w:tcPr>
          <w:p>
            <w:pPr>
              <w:spacing w:after="0"/>
              <w:rPr>
                <w:sz w:val="20"/>
                <w:szCs w:val="20"/>
                <w:color w:val="auto"/>
              </w:rPr>
            </w:pPr>
            <w:r>
              <w:rPr>
                <w:rFonts w:ascii="Arial" w:cs="Arial" w:eastAsia="Arial" w:hAnsi="Arial"/>
                <w:sz w:val="20"/>
                <w:szCs w:val="20"/>
                <w:color w:val="auto"/>
              </w:rPr>
              <w:t>10.09.</w:t>
            </w:r>
          </w:p>
        </w:tc>
        <w:tc>
          <w:tcPr>
            <w:tcW w:w="7780" w:type="dxa"/>
            <w:vAlign w:val="bottom"/>
          </w:tcPr>
          <w:p>
            <w:pPr>
              <w:ind w:left="180"/>
              <w:spacing w:after="0"/>
              <w:rPr>
                <w:sz w:val="20"/>
                <w:szCs w:val="20"/>
                <w:color w:val="auto"/>
              </w:rPr>
            </w:pPr>
            <w:r>
              <w:rPr>
                <w:rFonts w:ascii="Arial" w:cs="Arial" w:eastAsia="Arial" w:hAnsi="Arial"/>
                <w:sz w:val="20"/>
                <w:szCs w:val="20"/>
                <w:color w:val="auto"/>
              </w:rPr>
              <w:t>Interest Rate Limitation</w:t>
            </w:r>
          </w:p>
        </w:tc>
        <w:tc>
          <w:tcPr>
            <w:tcW w:w="214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275"/>
        </w:trPr>
        <w:tc>
          <w:tcPr>
            <w:tcW w:w="680" w:type="dxa"/>
            <w:vAlign w:val="bottom"/>
          </w:tcPr>
          <w:p>
            <w:pPr>
              <w:spacing w:after="0"/>
              <w:rPr>
                <w:sz w:val="20"/>
                <w:szCs w:val="20"/>
                <w:color w:val="auto"/>
              </w:rPr>
            </w:pPr>
            <w:r>
              <w:rPr>
                <w:rFonts w:ascii="Arial" w:cs="Arial" w:eastAsia="Arial" w:hAnsi="Arial"/>
                <w:sz w:val="20"/>
                <w:szCs w:val="20"/>
                <w:color w:val="auto"/>
              </w:rPr>
              <w:t>10.10.</w:t>
            </w:r>
          </w:p>
        </w:tc>
        <w:tc>
          <w:tcPr>
            <w:tcW w:w="7780" w:type="dxa"/>
            <w:vAlign w:val="bottom"/>
          </w:tcPr>
          <w:p>
            <w:pPr>
              <w:ind w:left="180"/>
              <w:spacing w:after="0"/>
              <w:rPr>
                <w:sz w:val="20"/>
                <w:szCs w:val="20"/>
                <w:color w:val="auto"/>
              </w:rPr>
            </w:pPr>
            <w:r>
              <w:rPr>
                <w:rFonts w:ascii="Arial" w:cs="Arial" w:eastAsia="Arial" w:hAnsi="Arial"/>
                <w:sz w:val="20"/>
                <w:szCs w:val="20"/>
                <w:color w:val="auto"/>
              </w:rPr>
              <w:t>Counterparts; Integration; Effectiveness</w:t>
            </w:r>
          </w:p>
        </w:tc>
        <w:tc>
          <w:tcPr>
            <w:tcW w:w="2140" w:type="dxa"/>
            <w:vAlign w:val="bottom"/>
          </w:tcPr>
          <w:p>
            <w:pPr>
              <w:jc w:val="right"/>
              <w:spacing w:after="0"/>
              <w:rPr>
                <w:sz w:val="20"/>
                <w:szCs w:val="20"/>
                <w:color w:val="auto"/>
              </w:rPr>
            </w:pPr>
            <w:r>
              <w:rPr>
                <w:rFonts w:ascii="Arial" w:cs="Arial" w:eastAsia="Arial" w:hAnsi="Arial"/>
                <w:sz w:val="20"/>
                <w:szCs w:val="20"/>
                <w:color w:val="auto"/>
              </w:rPr>
              <w:t>111</w:t>
            </w:r>
          </w:p>
        </w:tc>
      </w:tr>
      <w:tr>
        <w:trPr>
          <w:trHeight w:val="275"/>
        </w:trPr>
        <w:tc>
          <w:tcPr>
            <w:tcW w:w="680" w:type="dxa"/>
            <w:vAlign w:val="bottom"/>
          </w:tcPr>
          <w:p>
            <w:pPr>
              <w:spacing w:after="0"/>
              <w:rPr>
                <w:sz w:val="20"/>
                <w:szCs w:val="20"/>
                <w:color w:val="auto"/>
              </w:rPr>
            </w:pPr>
            <w:r>
              <w:rPr>
                <w:rFonts w:ascii="Arial" w:cs="Arial" w:eastAsia="Arial" w:hAnsi="Arial"/>
                <w:sz w:val="20"/>
                <w:szCs w:val="20"/>
                <w:color w:val="auto"/>
              </w:rPr>
              <w:t>10.11.</w:t>
            </w:r>
          </w:p>
        </w:tc>
        <w:tc>
          <w:tcPr>
            <w:tcW w:w="7780" w:type="dxa"/>
            <w:vAlign w:val="bottom"/>
          </w:tcPr>
          <w:p>
            <w:pPr>
              <w:ind w:left="180"/>
              <w:spacing w:after="0"/>
              <w:rPr>
                <w:sz w:val="20"/>
                <w:szCs w:val="20"/>
                <w:color w:val="auto"/>
              </w:rPr>
            </w:pPr>
            <w:r>
              <w:rPr>
                <w:rFonts w:ascii="Arial" w:cs="Arial" w:eastAsia="Arial" w:hAnsi="Arial"/>
                <w:sz w:val="20"/>
                <w:szCs w:val="20"/>
                <w:color w:val="auto"/>
              </w:rPr>
              <w:t>Survival of Representations and Warranties</w:t>
            </w:r>
          </w:p>
        </w:tc>
        <w:tc>
          <w:tcPr>
            <w:tcW w:w="2140" w:type="dxa"/>
            <w:vAlign w:val="bottom"/>
          </w:tcPr>
          <w:p>
            <w:pPr>
              <w:jc w:val="right"/>
              <w:spacing w:after="0"/>
              <w:rPr>
                <w:sz w:val="20"/>
                <w:szCs w:val="20"/>
                <w:color w:val="auto"/>
              </w:rPr>
            </w:pPr>
            <w:r>
              <w:rPr>
                <w:rFonts w:ascii="Arial" w:cs="Arial" w:eastAsia="Arial" w:hAnsi="Arial"/>
                <w:sz w:val="20"/>
                <w:szCs w:val="20"/>
                <w:color w:val="auto"/>
              </w:rPr>
              <w:t>111</w:t>
            </w:r>
          </w:p>
        </w:tc>
      </w:tr>
      <w:tr>
        <w:trPr>
          <w:trHeight w:val="275"/>
        </w:trPr>
        <w:tc>
          <w:tcPr>
            <w:tcW w:w="680" w:type="dxa"/>
            <w:vAlign w:val="bottom"/>
          </w:tcPr>
          <w:p>
            <w:pPr>
              <w:spacing w:after="0"/>
              <w:rPr>
                <w:sz w:val="20"/>
                <w:szCs w:val="20"/>
                <w:color w:val="auto"/>
              </w:rPr>
            </w:pPr>
            <w:r>
              <w:rPr>
                <w:rFonts w:ascii="Arial" w:cs="Arial" w:eastAsia="Arial" w:hAnsi="Arial"/>
                <w:sz w:val="20"/>
                <w:szCs w:val="20"/>
                <w:color w:val="auto"/>
              </w:rPr>
              <w:t>10.12.</w:t>
            </w:r>
          </w:p>
        </w:tc>
        <w:tc>
          <w:tcPr>
            <w:tcW w:w="7780" w:type="dxa"/>
            <w:vAlign w:val="bottom"/>
          </w:tcPr>
          <w:p>
            <w:pPr>
              <w:ind w:left="180"/>
              <w:spacing w:after="0"/>
              <w:rPr>
                <w:sz w:val="20"/>
                <w:szCs w:val="20"/>
                <w:color w:val="auto"/>
              </w:rPr>
            </w:pPr>
            <w:r>
              <w:rPr>
                <w:rFonts w:ascii="Arial" w:cs="Arial" w:eastAsia="Arial" w:hAnsi="Arial"/>
                <w:sz w:val="20"/>
                <w:szCs w:val="20"/>
                <w:color w:val="auto"/>
              </w:rPr>
              <w:t>Severability</w:t>
            </w:r>
          </w:p>
        </w:tc>
        <w:tc>
          <w:tcPr>
            <w:tcW w:w="2140" w:type="dxa"/>
            <w:vAlign w:val="bottom"/>
          </w:tcPr>
          <w:p>
            <w:pPr>
              <w:jc w:val="right"/>
              <w:spacing w:after="0"/>
              <w:rPr>
                <w:sz w:val="20"/>
                <w:szCs w:val="20"/>
                <w:color w:val="auto"/>
              </w:rPr>
            </w:pPr>
            <w:r>
              <w:rPr>
                <w:rFonts w:ascii="Arial" w:cs="Arial" w:eastAsia="Arial" w:hAnsi="Arial"/>
                <w:sz w:val="20"/>
                <w:szCs w:val="20"/>
                <w:color w:val="auto"/>
              </w:rPr>
              <w:t>111</w:t>
            </w:r>
          </w:p>
        </w:tc>
      </w:tr>
      <w:tr>
        <w:trPr>
          <w:trHeight w:val="275"/>
        </w:trPr>
        <w:tc>
          <w:tcPr>
            <w:tcW w:w="680" w:type="dxa"/>
            <w:vAlign w:val="bottom"/>
          </w:tcPr>
          <w:p>
            <w:pPr>
              <w:spacing w:after="0"/>
              <w:rPr>
                <w:sz w:val="20"/>
                <w:szCs w:val="20"/>
                <w:color w:val="auto"/>
              </w:rPr>
            </w:pPr>
            <w:r>
              <w:rPr>
                <w:rFonts w:ascii="Arial" w:cs="Arial" w:eastAsia="Arial" w:hAnsi="Arial"/>
                <w:sz w:val="20"/>
                <w:szCs w:val="20"/>
                <w:color w:val="auto"/>
              </w:rPr>
              <w:t>10.13.</w:t>
            </w:r>
          </w:p>
        </w:tc>
        <w:tc>
          <w:tcPr>
            <w:tcW w:w="7780" w:type="dxa"/>
            <w:vAlign w:val="bottom"/>
          </w:tcPr>
          <w:p>
            <w:pPr>
              <w:ind w:left="180"/>
              <w:spacing w:after="0"/>
              <w:rPr>
                <w:sz w:val="20"/>
                <w:szCs w:val="20"/>
                <w:color w:val="auto"/>
              </w:rPr>
            </w:pPr>
            <w:r>
              <w:rPr>
                <w:rFonts w:ascii="Arial" w:cs="Arial" w:eastAsia="Arial" w:hAnsi="Arial"/>
                <w:sz w:val="20"/>
                <w:szCs w:val="20"/>
                <w:color w:val="auto"/>
              </w:rPr>
              <w:t>Replacement of Lenders</w:t>
            </w:r>
          </w:p>
        </w:tc>
        <w:tc>
          <w:tcPr>
            <w:tcW w:w="2140" w:type="dxa"/>
            <w:vAlign w:val="bottom"/>
          </w:tcPr>
          <w:p>
            <w:pPr>
              <w:jc w:val="right"/>
              <w:spacing w:after="0"/>
              <w:rPr>
                <w:sz w:val="20"/>
                <w:szCs w:val="20"/>
                <w:color w:val="auto"/>
              </w:rPr>
            </w:pPr>
            <w:r>
              <w:rPr>
                <w:rFonts w:ascii="Arial" w:cs="Arial" w:eastAsia="Arial" w:hAnsi="Arial"/>
                <w:sz w:val="20"/>
                <w:szCs w:val="20"/>
                <w:color w:val="auto"/>
              </w:rPr>
              <w:t>111</w:t>
            </w:r>
          </w:p>
        </w:tc>
      </w:tr>
      <w:tr>
        <w:trPr>
          <w:trHeight w:val="275"/>
        </w:trPr>
        <w:tc>
          <w:tcPr>
            <w:tcW w:w="680" w:type="dxa"/>
            <w:vAlign w:val="bottom"/>
          </w:tcPr>
          <w:p>
            <w:pPr>
              <w:spacing w:after="0"/>
              <w:rPr>
                <w:sz w:val="20"/>
                <w:szCs w:val="20"/>
                <w:color w:val="auto"/>
              </w:rPr>
            </w:pPr>
            <w:r>
              <w:rPr>
                <w:rFonts w:ascii="Arial" w:cs="Arial" w:eastAsia="Arial" w:hAnsi="Arial"/>
                <w:sz w:val="20"/>
                <w:szCs w:val="20"/>
                <w:color w:val="auto"/>
              </w:rPr>
              <w:t>10.14.</w:t>
            </w:r>
          </w:p>
        </w:tc>
        <w:tc>
          <w:tcPr>
            <w:tcW w:w="7780" w:type="dxa"/>
            <w:vAlign w:val="bottom"/>
          </w:tcPr>
          <w:p>
            <w:pPr>
              <w:ind w:left="180"/>
              <w:spacing w:after="0"/>
              <w:rPr>
                <w:sz w:val="20"/>
                <w:szCs w:val="20"/>
                <w:color w:val="auto"/>
              </w:rPr>
            </w:pPr>
            <w:r>
              <w:rPr>
                <w:rFonts w:ascii="Arial" w:cs="Arial" w:eastAsia="Arial" w:hAnsi="Arial"/>
                <w:sz w:val="20"/>
                <w:szCs w:val="20"/>
                <w:color w:val="auto"/>
              </w:rPr>
              <w:t>Governing Law; Jurisdiction; Etc</w:t>
            </w:r>
          </w:p>
        </w:tc>
        <w:tc>
          <w:tcPr>
            <w:tcW w:w="2140" w:type="dxa"/>
            <w:vAlign w:val="bottom"/>
          </w:tcPr>
          <w:p>
            <w:pPr>
              <w:jc w:val="right"/>
              <w:spacing w:after="0"/>
              <w:rPr>
                <w:sz w:val="20"/>
                <w:szCs w:val="20"/>
                <w:color w:val="auto"/>
              </w:rPr>
            </w:pPr>
            <w:r>
              <w:rPr>
                <w:rFonts w:ascii="Arial" w:cs="Arial" w:eastAsia="Arial" w:hAnsi="Arial"/>
                <w:sz w:val="20"/>
                <w:szCs w:val="20"/>
                <w:color w:val="auto"/>
              </w:rPr>
              <w:t>112</w:t>
            </w:r>
          </w:p>
        </w:tc>
      </w:tr>
      <w:tr>
        <w:trPr>
          <w:trHeight w:val="275"/>
        </w:trPr>
        <w:tc>
          <w:tcPr>
            <w:tcW w:w="680" w:type="dxa"/>
            <w:vAlign w:val="bottom"/>
          </w:tcPr>
          <w:p>
            <w:pPr>
              <w:spacing w:after="0"/>
              <w:rPr>
                <w:sz w:val="20"/>
                <w:szCs w:val="20"/>
                <w:color w:val="auto"/>
              </w:rPr>
            </w:pPr>
            <w:r>
              <w:rPr>
                <w:rFonts w:ascii="Arial" w:cs="Arial" w:eastAsia="Arial" w:hAnsi="Arial"/>
                <w:sz w:val="20"/>
                <w:szCs w:val="20"/>
                <w:color w:val="auto"/>
              </w:rPr>
              <w:t>10.15.</w:t>
            </w:r>
          </w:p>
        </w:tc>
        <w:tc>
          <w:tcPr>
            <w:tcW w:w="7780" w:type="dxa"/>
            <w:vAlign w:val="bottom"/>
          </w:tcPr>
          <w:p>
            <w:pPr>
              <w:ind w:left="180"/>
              <w:spacing w:after="0"/>
              <w:rPr>
                <w:sz w:val="20"/>
                <w:szCs w:val="20"/>
                <w:color w:val="auto"/>
              </w:rPr>
            </w:pPr>
            <w:r>
              <w:rPr>
                <w:rFonts w:ascii="Arial" w:cs="Arial" w:eastAsia="Arial" w:hAnsi="Arial"/>
                <w:sz w:val="20"/>
                <w:szCs w:val="20"/>
                <w:color w:val="auto"/>
              </w:rPr>
              <w:t>WAIVER OF JURY TRIAL</w:t>
            </w:r>
          </w:p>
        </w:tc>
        <w:tc>
          <w:tcPr>
            <w:tcW w:w="2140" w:type="dxa"/>
            <w:vAlign w:val="bottom"/>
          </w:tcPr>
          <w:p>
            <w:pPr>
              <w:jc w:val="right"/>
              <w:spacing w:after="0"/>
              <w:rPr>
                <w:sz w:val="20"/>
                <w:szCs w:val="20"/>
                <w:color w:val="auto"/>
              </w:rPr>
            </w:pPr>
            <w:r>
              <w:rPr>
                <w:rFonts w:ascii="Arial" w:cs="Arial" w:eastAsia="Arial" w:hAnsi="Arial"/>
                <w:sz w:val="20"/>
                <w:szCs w:val="20"/>
                <w:color w:val="auto"/>
              </w:rPr>
              <w:t>114</w:t>
            </w:r>
          </w:p>
        </w:tc>
      </w:tr>
      <w:tr>
        <w:trPr>
          <w:trHeight w:val="275"/>
        </w:trPr>
        <w:tc>
          <w:tcPr>
            <w:tcW w:w="680" w:type="dxa"/>
            <w:vAlign w:val="bottom"/>
          </w:tcPr>
          <w:p>
            <w:pPr>
              <w:spacing w:after="0"/>
              <w:rPr>
                <w:sz w:val="20"/>
                <w:szCs w:val="20"/>
                <w:color w:val="auto"/>
              </w:rPr>
            </w:pPr>
            <w:r>
              <w:rPr>
                <w:rFonts w:ascii="Arial" w:cs="Arial" w:eastAsia="Arial" w:hAnsi="Arial"/>
                <w:sz w:val="20"/>
                <w:szCs w:val="20"/>
                <w:color w:val="auto"/>
              </w:rPr>
              <w:t>10.16.</w:t>
            </w:r>
          </w:p>
        </w:tc>
        <w:tc>
          <w:tcPr>
            <w:tcW w:w="7780" w:type="dxa"/>
            <w:vAlign w:val="bottom"/>
          </w:tcPr>
          <w:p>
            <w:pPr>
              <w:ind w:left="180"/>
              <w:spacing w:after="0"/>
              <w:rPr>
                <w:sz w:val="20"/>
                <w:szCs w:val="20"/>
                <w:color w:val="auto"/>
              </w:rPr>
            </w:pPr>
            <w:r>
              <w:rPr>
                <w:rFonts w:ascii="Arial" w:cs="Arial" w:eastAsia="Arial" w:hAnsi="Arial"/>
                <w:sz w:val="20"/>
                <w:szCs w:val="20"/>
                <w:color w:val="auto"/>
              </w:rPr>
              <w:t>No Advisory or Fiduciary Responsibility</w:t>
            </w:r>
          </w:p>
        </w:tc>
        <w:tc>
          <w:tcPr>
            <w:tcW w:w="2140" w:type="dxa"/>
            <w:vAlign w:val="bottom"/>
          </w:tcPr>
          <w:p>
            <w:pPr>
              <w:jc w:val="right"/>
              <w:spacing w:after="0"/>
              <w:rPr>
                <w:sz w:val="20"/>
                <w:szCs w:val="20"/>
                <w:color w:val="auto"/>
              </w:rPr>
            </w:pPr>
            <w:r>
              <w:rPr>
                <w:rFonts w:ascii="Arial" w:cs="Arial" w:eastAsia="Arial" w:hAnsi="Arial"/>
                <w:sz w:val="20"/>
                <w:szCs w:val="20"/>
                <w:color w:val="auto"/>
              </w:rPr>
              <w:t>114</w:t>
            </w:r>
          </w:p>
        </w:tc>
      </w:tr>
      <w:tr>
        <w:trPr>
          <w:trHeight w:val="275"/>
        </w:trPr>
        <w:tc>
          <w:tcPr>
            <w:tcW w:w="680" w:type="dxa"/>
            <w:vAlign w:val="bottom"/>
          </w:tcPr>
          <w:p>
            <w:pPr>
              <w:spacing w:after="0"/>
              <w:rPr>
                <w:sz w:val="20"/>
                <w:szCs w:val="20"/>
                <w:color w:val="auto"/>
              </w:rPr>
            </w:pPr>
            <w:r>
              <w:rPr>
                <w:rFonts w:ascii="Arial" w:cs="Arial" w:eastAsia="Arial" w:hAnsi="Arial"/>
                <w:sz w:val="20"/>
                <w:szCs w:val="20"/>
                <w:color w:val="auto"/>
              </w:rPr>
              <w:t>10.17.</w:t>
            </w:r>
          </w:p>
        </w:tc>
        <w:tc>
          <w:tcPr>
            <w:tcW w:w="7780" w:type="dxa"/>
            <w:vAlign w:val="bottom"/>
          </w:tcPr>
          <w:p>
            <w:pPr>
              <w:ind w:left="180"/>
              <w:spacing w:after="0"/>
              <w:rPr>
                <w:sz w:val="20"/>
                <w:szCs w:val="20"/>
                <w:color w:val="auto"/>
              </w:rPr>
            </w:pPr>
            <w:r>
              <w:rPr>
                <w:rFonts w:ascii="Arial" w:cs="Arial" w:eastAsia="Arial" w:hAnsi="Arial"/>
                <w:sz w:val="20"/>
                <w:szCs w:val="20"/>
                <w:color w:val="auto"/>
              </w:rPr>
              <w:t>Electronic Execution of Assignments and Certain Other Documents</w:t>
            </w:r>
          </w:p>
        </w:tc>
        <w:tc>
          <w:tcPr>
            <w:tcW w:w="2140" w:type="dxa"/>
            <w:vAlign w:val="bottom"/>
          </w:tcPr>
          <w:p>
            <w:pPr>
              <w:jc w:val="right"/>
              <w:spacing w:after="0"/>
              <w:rPr>
                <w:sz w:val="20"/>
                <w:szCs w:val="20"/>
                <w:color w:val="auto"/>
              </w:rPr>
            </w:pPr>
            <w:r>
              <w:rPr>
                <w:rFonts w:ascii="Arial" w:cs="Arial" w:eastAsia="Arial" w:hAnsi="Arial"/>
                <w:sz w:val="20"/>
                <w:szCs w:val="20"/>
                <w:color w:val="auto"/>
              </w:rPr>
              <w:t>115</w:t>
            </w:r>
          </w:p>
        </w:tc>
      </w:tr>
      <w:tr>
        <w:trPr>
          <w:trHeight w:val="275"/>
        </w:trPr>
        <w:tc>
          <w:tcPr>
            <w:tcW w:w="680" w:type="dxa"/>
            <w:vAlign w:val="bottom"/>
          </w:tcPr>
          <w:p>
            <w:pPr>
              <w:spacing w:after="0"/>
              <w:rPr>
                <w:sz w:val="20"/>
                <w:szCs w:val="20"/>
                <w:color w:val="auto"/>
              </w:rPr>
            </w:pPr>
            <w:r>
              <w:rPr>
                <w:rFonts w:ascii="Arial" w:cs="Arial" w:eastAsia="Arial" w:hAnsi="Arial"/>
                <w:sz w:val="20"/>
                <w:szCs w:val="20"/>
                <w:color w:val="auto"/>
              </w:rPr>
              <w:t>10.18.</w:t>
            </w:r>
          </w:p>
        </w:tc>
        <w:tc>
          <w:tcPr>
            <w:tcW w:w="7780" w:type="dxa"/>
            <w:vAlign w:val="bottom"/>
          </w:tcPr>
          <w:p>
            <w:pPr>
              <w:ind w:left="180"/>
              <w:spacing w:after="0"/>
              <w:rPr>
                <w:sz w:val="20"/>
                <w:szCs w:val="20"/>
                <w:color w:val="auto"/>
              </w:rPr>
            </w:pPr>
            <w:r>
              <w:rPr>
                <w:rFonts w:ascii="Arial" w:cs="Arial" w:eastAsia="Arial" w:hAnsi="Arial"/>
                <w:sz w:val="20"/>
                <w:szCs w:val="20"/>
                <w:color w:val="auto"/>
              </w:rPr>
              <w:t>USA PATRIOT Act</w:t>
            </w:r>
          </w:p>
        </w:tc>
        <w:tc>
          <w:tcPr>
            <w:tcW w:w="2140" w:type="dxa"/>
            <w:vAlign w:val="bottom"/>
          </w:tcPr>
          <w:p>
            <w:pPr>
              <w:jc w:val="right"/>
              <w:spacing w:after="0"/>
              <w:rPr>
                <w:sz w:val="20"/>
                <w:szCs w:val="20"/>
                <w:color w:val="auto"/>
              </w:rPr>
            </w:pPr>
            <w:r>
              <w:rPr>
                <w:rFonts w:ascii="Arial" w:cs="Arial" w:eastAsia="Arial" w:hAnsi="Arial"/>
                <w:sz w:val="20"/>
                <w:szCs w:val="20"/>
                <w:color w:val="auto"/>
              </w:rPr>
              <w:t>115</w:t>
            </w:r>
          </w:p>
        </w:tc>
      </w:tr>
      <w:tr>
        <w:trPr>
          <w:trHeight w:val="275"/>
        </w:trPr>
        <w:tc>
          <w:tcPr>
            <w:tcW w:w="680" w:type="dxa"/>
            <w:vAlign w:val="bottom"/>
          </w:tcPr>
          <w:p>
            <w:pPr>
              <w:spacing w:after="0"/>
              <w:rPr>
                <w:sz w:val="20"/>
                <w:szCs w:val="20"/>
                <w:color w:val="auto"/>
              </w:rPr>
            </w:pPr>
            <w:r>
              <w:rPr>
                <w:rFonts w:ascii="Arial" w:cs="Arial" w:eastAsia="Arial" w:hAnsi="Arial"/>
                <w:sz w:val="20"/>
                <w:szCs w:val="20"/>
                <w:color w:val="auto"/>
              </w:rPr>
              <w:t>10.19.</w:t>
            </w:r>
          </w:p>
        </w:tc>
        <w:tc>
          <w:tcPr>
            <w:tcW w:w="7780" w:type="dxa"/>
            <w:vAlign w:val="bottom"/>
          </w:tcPr>
          <w:p>
            <w:pPr>
              <w:ind w:left="180"/>
              <w:spacing w:after="0"/>
              <w:rPr>
                <w:sz w:val="20"/>
                <w:szCs w:val="20"/>
                <w:color w:val="auto"/>
              </w:rPr>
            </w:pPr>
            <w:r>
              <w:rPr>
                <w:rFonts w:ascii="Arial" w:cs="Arial" w:eastAsia="Arial" w:hAnsi="Arial"/>
                <w:sz w:val="20"/>
                <w:szCs w:val="20"/>
                <w:color w:val="auto"/>
              </w:rPr>
              <w:t>[Intentionally Omitted]</w:t>
            </w:r>
          </w:p>
        </w:tc>
        <w:tc>
          <w:tcPr>
            <w:tcW w:w="2140" w:type="dxa"/>
            <w:vAlign w:val="bottom"/>
          </w:tcPr>
          <w:p>
            <w:pPr>
              <w:jc w:val="right"/>
              <w:spacing w:after="0"/>
              <w:rPr>
                <w:sz w:val="20"/>
                <w:szCs w:val="20"/>
                <w:color w:val="auto"/>
              </w:rPr>
            </w:pPr>
            <w:r>
              <w:rPr>
                <w:rFonts w:ascii="Arial" w:cs="Arial" w:eastAsia="Arial" w:hAnsi="Arial"/>
                <w:sz w:val="20"/>
                <w:szCs w:val="20"/>
                <w:color w:val="auto"/>
              </w:rPr>
              <w:t>115</w:t>
            </w:r>
          </w:p>
        </w:tc>
      </w:tr>
      <w:tr>
        <w:trPr>
          <w:trHeight w:val="275"/>
        </w:trPr>
        <w:tc>
          <w:tcPr>
            <w:tcW w:w="680" w:type="dxa"/>
            <w:vAlign w:val="bottom"/>
          </w:tcPr>
          <w:p>
            <w:pPr>
              <w:spacing w:after="0"/>
              <w:rPr>
                <w:sz w:val="20"/>
                <w:szCs w:val="20"/>
                <w:color w:val="auto"/>
              </w:rPr>
            </w:pPr>
            <w:r>
              <w:rPr>
                <w:rFonts w:ascii="Arial" w:cs="Arial" w:eastAsia="Arial" w:hAnsi="Arial"/>
                <w:sz w:val="20"/>
                <w:szCs w:val="20"/>
                <w:color w:val="auto"/>
              </w:rPr>
              <w:t>10.20.</w:t>
            </w:r>
          </w:p>
        </w:tc>
        <w:tc>
          <w:tcPr>
            <w:tcW w:w="7780" w:type="dxa"/>
            <w:vAlign w:val="bottom"/>
          </w:tcPr>
          <w:p>
            <w:pPr>
              <w:ind w:left="180"/>
              <w:spacing w:after="0"/>
              <w:rPr>
                <w:sz w:val="20"/>
                <w:szCs w:val="20"/>
                <w:color w:val="auto"/>
              </w:rPr>
            </w:pPr>
            <w:r>
              <w:rPr>
                <w:rFonts w:ascii="Arial" w:cs="Arial" w:eastAsia="Arial" w:hAnsi="Arial"/>
                <w:sz w:val="20"/>
                <w:szCs w:val="20"/>
                <w:color w:val="auto"/>
              </w:rPr>
              <w:t>[Intentionally Omitted]</w:t>
            </w:r>
          </w:p>
        </w:tc>
        <w:tc>
          <w:tcPr>
            <w:tcW w:w="2140" w:type="dxa"/>
            <w:vAlign w:val="bottom"/>
          </w:tcPr>
          <w:p>
            <w:pPr>
              <w:jc w:val="right"/>
              <w:spacing w:after="0"/>
              <w:rPr>
                <w:sz w:val="20"/>
                <w:szCs w:val="20"/>
                <w:color w:val="auto"/>
              </w:rPr>
            </w:pPr>
            <w:r>
              <w:rPr>
                <w:rFonts w:ascii="Arial" w:cs="Arial" w:eastAsia="Arial" w:hAnsi="Arial"/>
                <w:sz w:val="20"/>
                <w:szCs w:val="20"/>
                <w:color w:val="auto"/>
              </w:rPr>
              <w:t>115</w:t>
            </w:r>
          </w:p>
        </w:tc>
      </w:tr>
      <w:tr>
        <w:trPr>
          <w:trHeight w:val="275"/>
        </w:trPr>
        <w:tc>
          <w:tcPr>
            <w:tcW w:w="680" w:type="dxa"/>
            <w:vAlign w:val="bottom"/>
          </w:tcPr>
          <w:p>
            <w:pPr>
              <w:spacing w:after="0"/>
              <w:rPr>
                <w:sz w:val="20"/>
                <w:szCs w:val="20"/>
                <w:color w:val="auto"/>
              </w:rPr>
            </w:pPr>
            <w:r>
              <w:rPr>
                <w:rFonts w:ascii="Arial" w:cs="Arial" w:eastAsia="Arial" w:hAnsi="Arial"/>
                <w:sz w:val="20"/>
                <w:szCs w:val="20"/>
                <w:color w:val="auto"/>
              </w:rPr>
              <w:t>10.21.</w:t>
            </w:r>
          </w:p>
        </w:tc>
        <w:tc>
          <w:tcPr>
            <w:tcW w:w="7780" w:type="dxa"/>
            <w:vAlign w:val="bottom"/>
          </w:tcPr>
          <w:p>
            <w:pPr>
              <w:ind w:left="180"/>
              <w:spacing w:after="0"/>
              <w:rPr>
                <w:sz w:val="20"/>
                <w:szCs w:val="20"/>
                <w:color w:val="auto"/>
              </w:rPr>
            </w:pPr>
            <w:r>
              <w:rPr>
                <w:rFonts w:ascii="Arial" w:cs="Arial" w:eastAsia="Arial" w:hAnsi="Arial"/>
                <w:sz w:val="20"/>
                <w:szCs w:val="20"/>
                <w:color w:val="auto"/>
              </w:rPr>
              <w:t>Acknowledgement and Consent to Bail-in of EEA Financial Institutions</w:t>
            </w:r>
          </w:p>
        </w:tc>
        <w:tc>
          <w:tcPr>
            <w:tcW w:w="2140" w:type="dxa"/>
            <w:vAlign w:val="bottom"/>
          </w:tcPr>
          <w:p>
            <w:pPr>
              <w:jc w:val="right"/>
              <w:spacing w:after="0"/>
              <w:rPr>
                <w:sz w:val="20"/>
                <w:szCs w:val="20"/>
                <w:color w:val="auto"/>
              </w:rPr>
            </w:pPr>
            <w:r>
              <w:rPr>
                <w:rFonts w:ascii="Arial" w:cs="Arial" w:eastAsia="Arial" w:hAnsi="Arial"/>
                <w:sz w:val="20"/>
                <w:szCs w:val="20"/>
                <w:color w:val="auto"/>
              </w:rPr>
              <w:t>115</w:t>
            </w:r>
          </w:p>
        </w:tc>
      </w:tr>
    </w:tbl>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600"/>
          </w:cols>
          <w:pgMar w:left="620" w:top="1132" w:right="679" w:bottom="1440" w:gutter="0" w:footer="0" w:header="0"/>
        </w:sectPr>
      </w:pPr>
    </w:p>
    <w:bookmarkStart w:id="404" w:name="page405"/>
    <w:bookmarkEnd w:id="404"/>
    <w:p>
      <w:pPr>
        <w:spacing w:after="0" w:line="12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SCHEDULES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1500" w:type="dxa"/>
            <w:vAlign w:val="bottom"/>
          </w:tcPr>
          <w:p>
            <w:pPr>
              <w:ind w:left="620"/>
              <w:spacing w:after="0"/>
              <w:rPr>
                <w:sz w:val="20"/>
                <w:szCs w:val="20"/>
                <w:color w:val="auto"/>
              </w:rPr>
            </w:pPr>
            <w:r>
              <w:rPr>
                <w:rFonts w:ascii="Arial" w:cs="Arial" w:eastAsia="Arial" w:hAnsi="Arial"/>
                <w:sz w:val="20"/>
                <w:szCs w:val="20"/>
                <w:color w:val="auto"/>
              </w:rPr>
              <w:t>I</w:t>
            </w:r>
          </w:p>
        </w:tc>
        <w:tc>
          <w:tcPr>
            <w:tcW w:w="5680" w:type="dxa"/>
            <w:vAlign w:val="bottom"/>
          </w:tcPr>
          <w:p>
            <w:pPr>
              <w:ind w:left="760"/>
              <w:spacing w:after="0"/>
              <w:rPr>
                <w:sz w:val="20"/>
                <w:szCs w:val="20"/>
                <w:color w:val="auto"/>
              </w:rPr>
            </w:pPr>
            <w:r>
              <w:rPr>
                <w:rFonts w:ascii="Arial" w:cs="Arial" w:eastAsia="Arial" w:hAnsi="Arial"/>
                <w:sz w:val="20"/>
                <w:szCs w:val="20"/>
                <w:color w:val="auto"/>
              </w:rPr>
              <w:t>[Reserved]</w:t>
            </w:r>
          </w:p>
        </w:tc>
      </w:tr>
      <w:tr>
        <w:trPr>
          <w:trHeight w:val="275"/>
        </w:trPr>
        <w:tc>
          <w:tcPr>
            <w:tcW w:w="1500" w:type="dxa"/>
            <w:vAlign w:val="bottom"/>
          </w:tcPr>
          <w:p>
            <w:pPr>
              <w:ind w:left="620"/>
              <w:spacing w:after="0"/>
              <w:rPr>
                <w:sz w:val="20"/>
                <w:szCs w:val="20"/>
                <w:color w:val="auto"/>
              </w:rPr>
            </w:pPr>
            <w:r>
              <w:rPr>
                <w:rFonts w:ascii="Arial" w:cs="Arial" w:eastAsia="Arial" w:hAnsi="Arial"/>
                <w:sz w:val="20"/>
                <w:szCs w:val="20"/>
                <w:color w:val="auto"/>
              </w:rPr>
              <w:t>II</w:t>
            </w:r>
          </w:p>
        </w:tc>
        <w:tc>
          <w:tcPr>
            <w:tcW w:w="5680" w:type="dxa"/>
            <w:vAlign w:val="bottom"/>
          </w:tcPr>
          <w:p>
            <w:pPr>
              <w:ind w:left="760"/>
              <w:spacing w:after="0"/>
              <w:rPr>
                <w:sz w:val="20"/>
                <w:szCs w:val="20"/>
                <w:color w:val="auto"/>
              </w:rPr>
            </w:pPr>
            <w:r>
              <w:rPr>
                <w:rFonts w:ascii="Arial" w:cs="Arial" w:eastAsia="Arial" w:hAnsi="Arial"/>
                <w:sz w:val="20"/>
                <w:szCs w:val="20"/>
                <w:color w:val="auto"/>
              </w:rPr>
              <w:t>Exceptions to Recourse Liability</w:t>
            </w:r>
          </w:p>
        </w:tc>
      </w:tr>
      <w:tr>
        <w:trPr>
          <w:trHeight w:val="275"/>
        </w:trPr>
        <w:tc>
          <w:tcPr>
            <w:tcW w:w="1500" w:type="dxa"/>
            <w:vAlign w:val="bottom"/>
          </w:tcPr>
          <w:p>
            <w:pPr>
              <w:ind w:left="620"/>
              <w:spacing w:after="0"/>
              <w:rPr>
                <w:sz w:val="20"/>
                <w:szCs w:val="20"/>
                <w:color w:val="auto"/>
              </w:rPr>
            </w:pPr>
            <w:r>
              <w:rPr>
                <w:rFonts w:ascii="Arial" w:cs="Arial" w:eastAsia="Arial" w:hAnsi="Arial"/>
                <w:sz w:val="20"/>
                <w:szCs w:val="20"/>
                <w:color w:val="auto"/>
              </w:rPr>
              <w:t>III</w:t>
            </w:r>
          </w:p>
        </w:tc>
        <w:tc>
          <w:tcPr>
            <w:tcW w:w="5680" w:type="dxa"/>
            <w:vAlign w:val="bottom"/>
          </w:tcPr>
          <w:p>
            <w:pPr>
              <w:ind w:left="760"/>
              <w:spacing w:after="0"/>
              <w:rPr>
                <w:sz w:val="20"/>
                <w:szCs w:val="20"/>
                <w:color w:val="auto"/>
              </w:rPr>
            </w:pPr>
            <w:r>
              <w:rPr>
                <w:rFonts w:ascii="Arial" w:cs="Arial" w:eastAsia="Arial" w:hAnsi="Arial"/>
                <w:sz w:val="20"/>
                <w:szCs w:val="20"/>
                <w:color w:val="auto"/>
              </w:rPr>
              <w:t>Initial Unencumbered Eligible Properties</w:t>
            </w:r>
          </w:p>
        </w:tc>
      </w:tr>
      <w:tr>
        <w:trPr>
          <w:trHeight w:val="275"/>
        </w:trPr>
        <w:tc>
          <w:tcPr>
            <w:tcW w:w="1500" w:type="dxa"/>
            <w:vAlign w:val="bottom"/>
          </w:tcPr>
          <w:p>
            <w:pPr>
              <w:ind w:left="620"/>
              <w:spacing w:after="0"/>
              <w:rPr>
                <w:sz w:val="20"/>
                <w:szCs w:val="20"/>
                <w:color w:val="auto"/>
              </w:rPr>
            </w:pPr>
            <w:r>
              <w:rPr>
                <w:rFonts w:ascii="Arial" w:cs="Arial" w:eastAsia="Arial" w:hAnsi="Arial"/>
                <w:sz w:val="20"/>
                <w:szCs w:val="20"/>
                <w:color w:val="auto"/>
              </w:rPr>
              <w:t>2.01</w:t>
            </w:r>
          </w:p>
        </w:tc>
        <w:tc>
          <w:tcPr>
            <w:tcW w:w="5680" w:type="dxa"/>
            <w:vAlign w:val="bottom"/>
          </w:tcPr>
          <w:p>
            <w:pPr>
              <w:ind w:left="760"/>
              <w:spacing w:after="0"/>
              <w:rPr>
                <w:sz w:val="20"/>
                <w:szCs w:val="20"/>
                <w:color w:val="auto"/>
              </w:rPr>
            </w:pPr>
            <w:r>
              <w:rPr>
                <w:rFonts w:ascii="Arial" w:cs="Arial" w:eastAsia="Arial" w:hAnsi="Arial"/>
                <w:sz w:val="20"/>
                <w:szCs w:val="20"/>
                <w:color w:val="auto"/>
              </w:rPr>
              <w:t>Commitments and Applicable Percentages</w:t>
            </w:r>
          </w:p>
        </w:tc>
      </w:tr>
      <w:tr>
        <w:trPr>
          <w:trHeight w:val="275"/>
        </w:trPr>
        <w:tc>
          <w:tcPr>
            <w:tcW w:w="1500" w:type="dxa"/>
            <w:vAlign w:val="bottom"/>
          </w:tcPr>
          <w:p>
            <w:pPr>
              <w:ind w:left="620"/>
              <w:spacing w:after="0"/>
              <w:rPr>
                <w:sz w:val="20"/>
                <w:szCs w:val="20"/>
                <w:color w:val="auto"/>
              </w:rPr>
            </w:pPr>
            <w:r>
              <w:rPr>
                <w:rFonts w:ascii="Arial" w:cs="Arial" w:eastAsia="Arial" w:hAnsi="Arial"/>
                <w:sz w:val="20"/>
                <w:szCs w:val="20"/>
                <w:color w:val="auto"/>
              </w:rPr>
              <w:t>5.09(c)</w:t>
            </w:r>
          </w:p>
        </w:tc>
        <w:tc>
          <w:tcPr>
            <w:tcW w:w="5680" w:type="dxa"/>
            <w:vAlign w:val="bottom"/>
          </w:tcPr>
          <w:p>
            <w:pPr>
              <w:ind w:left="760"/>
              <w:spacing w:after="0"/>
              <w:rPr>
                <w:sz w:val="20"/>
                <w:szCs w:val="20"/>
                <w:color w:val="auto"/>
              </w:rPr>
            </w:pPr>
            <w:r>
              <w:rPr>
                <w:rFonts w:ascii="Arial" w:cs="Arial" w:eastAsia="Arial" w:hAnsi="Arial"/>
                <w:sz w:val="20"/>
                <w:szCs w:val="20"/>
                <w:color w:val="auto"/>
              </w:rPr>
              <w:t>Releases of Hazardous Materials</w:t>
            </w:r>
          </w:p>
        </w:tc>
      </w:tr>
      <w:tr>
        <w:trPr>
          <w:trHeight w:val="275"/>
        </w:trPr>
        <w:tc>
          <w:tcPr>
            <w:tcW w:w="1500" w:type="dxa"/>
            <w:vAlign w:val="bottom"/>
          </w:tcPr>
          <w:p>
            <w:pPr>
              <w:ind w:left="620"/>
              <w:spacing w:after="0"/>
              <w:rPr>
                <w:sz w:val="20"/>
                <w:szCs w:val="20"/>
                <w:color w:val="auto"/>
              </w:rPr>
            </w:pPr>
            <w:r>
              <w:rPr>
                <w:rFonts w:ascii="Arial" w:cs="Arial" w:eastAsia="Arial" w:hAnsi="Arial"/>
                <w:sz w:val="20"/>
                <w:szCs w:val="20"/>
                <w:color w:val="auto"/>
              </w:rPr>
              <w:t>5.09(d)</w:t>
            </w:r>
          </w:p>
        </w:tc>
        <w:tc>
          <w:tcPr>
            <w:tcW w:w="5680" w:type="dxa"/>
            <w:vAlign w:val="bottom"/>
          </w:tcPr>
          <w:p>
            <w:pPr>
              <w:ind w:left="760"/>
              <w:spacing w:after="0"/>
              <w:rPr>
                <w:sz w:val="20"/>
                <w:szCs w:val="20"/>
                <w:color w:val="auto"/>
              </w:rPr>
            </w:pPr>
            <w:r>
              <w:rPr>
                <w:rFonts w:ascii="Arial" w:cs="Arial" w:eastAsia="Arial" w:hAnsi="Arial"/>
                <w:sz w:val="20"/>
                <w:szCs w:val="20"/>
                <w:color w:val="auto"/>
              </w:rPr>
              <w:t>Environmental Compliance</w:t>
            </w:r>
          </w:p>
        </w:tc>
      </w:tr>
      <w:tr>
        <w:trPr>
          <w:trHeight w:val="275"/>
        </w:trPr>
        <w:tc>
          <w:tcPr>
            <w:tcW w:w="1500" w:type="dxa"/>
            <w:vAlign w:val="bottom"/>
          </w:tcPr>
          <w:p>
            <w:pPr>
              <w:ind w:left="620"/>
              <w:spacing w:after="0"/>
              <w:rPr>
                <w:sz w:val="20"/>
                <w:szCs w:val="20"/>
                <w:color w:val="auto"/>
              </w:rPr>
            </w:pPr>
            <w:r>
              <w:rPr>
                <w:rFonts w:ascii="Arial" w:cs="Arial" w:eastAsia="Arial" w:hAnsi="Arial"/>
                <w:sz w:val="20"/>
                <w:szCs w:val="20"/>
                <w:color w:val="auto"/>
              </w:rPr>
              <w:t>5.11</w:t>
            </w:r>
          </w:p>
        </w:tc>
        <w:tc>
          <w:tcPr>
            <w:tcW w:w="5680" w:type="dxa"/>
            <w:vAlign w:val="bottom"/>
          </w:tcPr>
          <w:p>
            <w:pPr>
              <w:ind w:left="760"/>
              <w:spacing w:after="0"/>
              <w:rPr>
                <w:sz w:val="20"/>
                <w:szCs w:val="20"/>
                <w:color w:val="auto"/>
              </w:rPr>
            </w:pPr>
            <w:r>
              <w:rPr>
                <w:rFonts w:ascii="Arial" w:cs="Arial" w:eastAsia="Arial" w:hAnsi="Arial"/>
                <w:sz w:val="20"/>
                <w:szCs w:val="20"/>
                <w:color w:val="auto"/>
              </w:rPr>
              <w:t>Tax Sharing Agreements</w:t>
            </w:r>
          </w:p>
        </w:tc>
      </w:tr>
      <w:tr>
        <w:trPr>
          <w:trHeight w:val="275"/>
        </w:trPr>
        <w:tc>
          <w:tcPr>
            <w:tcW w:w="1500" w:type="dxa"/>
            <w:vAlign w:val="bottom"/>
          </w:tcPr>
          <w:p>
            <w:pPr>
              <w:ind w:left="620"/>
              <w:spacing w:after="0"/>
              <w:rPr>
                <w:sz w:val="20"/>
                <w:szCs w:val="20"/>
                <w:color w:val="auto"/>
              </w:rPr>
            </w:pPr>
            <w:r>
              <w:rPr>
                <w:rFonts w:ascii="Arial" w:cs="Arial" w:eastAsia="Arial" w:hAnsi="Arial"/>
                <w:sz w:val="20"/>
                <w:szCs w:val="20"/>
                <w:color w:val="auto"/>
              </w:rPr>
              <w:t>5.12(d)</w:t>
            </w:r>
          </w:p>
        </w:tc>
        <w:tc>
          <w:tcPr>
            <w:tcW w:w="5680" w:type="dxa"/>
            <w:vAlign w:val="bottom"/>
          </w:tcPr>
          <w:p>
            <w:pPr>
              <w:ind w:left="760"/>
              <w:spacing w:after="0"/>
              <w:rPr>
                <w:sz w:val="20"/>
                <w:szCs w:val="20"/>
                <w:color w:val="auto"/>
              </w:rPr>
            </w:pPr>
            <w:r>
              <w:rPr>
                <w:rFonts w:ascii="Arial" w:cs="Arial" w:eastAsia="Arial" w:hAnsi="Arial"/>
                <w:sz w:val="20"/>
                <w:szCs w:val="20"/>
                <w:color w:val="auto"/>
              </w:rPr>
              <w:t>Pension Plans</w:t>
            </w:r>
          </w:p>
        </w:tc>
      </w:tr>
      <w:tr>
        <w:trPr>
          <w:trHeight w:val="275"/>
        </w:trPr>
        <w:tc>
          <w:tcPr>
            <w:tcW w:w="1500" w:type="dxa"/>
            <w:vAlign w:val="bottom"/>
          </w:tcPr>
          <w:p>
            <w:pPr>
              <w:ind w:left="620"/>
              <w:spacing w:after="0"/>
              <w:rPr>
                <w:sz w:val="20"/>
                <w:szCs w:val="20"/>
                <w:color w:val="auto"/>
              </w:rPr>
            </w:pPr>
            <w:r>
              <w:rPr>
                <w:rFonts w:ascii="Arial" w:cs="Arial" w:eastAsia="Arial" w:hAnsi="Arial"/>
                <w:sz w:val="20"/>
                <w:szCs w:val="20"/>
                <w:color w:val="auto"/>
              </w:rPr>
              <w:t>5.13</w:t>
            </w:r>
          </w:p>
        </w:tc>
        <w:tc>
          <w:tcPr>
            <w:tcW w:w="5680" w:type="dxa"/>
            <w:vAlign w:val="bottom"/>
          </w:tcPr>
          <w:p>
            <w:pPr>
              <w:ind w:left="760"/>
              <w:spacing w:after="0"/>
              <w:rPr>
                <w:sz w:val="20"/>
                <w:szCs w:val="20"/>
                <w:color w:val="auto"/>
              </w:rPr>
            </w:pPr>
            <w:r>
              <w:rPr>
                <w:rFonts w:ascii="Arial" w:cs="Arial" w:eastAsia="Arial" w:hAnsi="Arial"/>
                <w:sz w:val="20"/>
                <w:szCs w:val="20"/>
                <w:color w:val="auto"/>
                <w:w w:val="97"/>
              </w:rPr>
              <w:t>Subsidiaries and Other Equity Investments; Loan Parties</w:t>
            </w:r>
          </w:p>
        </w:tc>
      </w:tr>
      <w:tr>
        <w:trPr>
          <w:trHeight w:val="275"/>
        </w:trPr>
        <w:tc>
          <w:tcPr>
            <w:tcW w:w="1500" w:type="dxa"/>
            <w:vAlign w:val="bottom"/>
          </w:tcPr>
          <w:p>
            <w:pPr>
              <w:ind w:left="620"/>
              <w:spacing w:after="0"/>
              <w:rPr>
                <w:sz w:val="20"/>
                <w:szCs w:val="20"/>
                <w:color w:val="auto"/>
              </w:rPr>
            </w:pPr>
            <w:r>
              <w:rPr>
                <w:rFonts w:ascii="Arial" w:cs="Arial" w:eastAsia="Arial" w:hAnsi="Arial"/>
                <w:sz w:val="20"/>
                <w:szCs w:val="20"/>
                <w:color w:val="auto"/>
              </w:rPr>
              <w:t>7.01(m)</w:t>
            </w:r>
          </w:p>
        </w:tc>
        <w:tc>
          <w:tcPr>
            <w:tcW w:w="5680" w:type="dxa"/>
            <w:vAlign w:val="bottom"/>
          </w:tcPr>
          <w:p>
            <w:pPr>
              <w:ind w:left="760"/>
              <w:spacing w:after="0"/>
              <w:rPr>
                <w:sz w:val="20"/>
                <w:szCs w:val="20"/>
                <w:color w:val="auto"/>
              </w:rPr>
            </w:pPr>
            <w:r>
              <w:rPr>
                <w:rFonts w:ascii="Arial" w:cs="Arial" w:eastAsia="Arial" w:hAnsi="Arial"/>
                <w:sz w:val="20"/>
                <w:szCs w:val="20"/>
                <w:color w:val="auto"/>
              </w:rPr>
              <w:t>Existing Liens</w:t>
            </w:r>
          </w:p>
        </w:tc>
      </w:tr>
      <w:tr>
        <w:trPr>
          <w:trHeight w:val="275"/>
        </w:trPr>
        <w:tc>
          <w:tcPr>
            <w:tcW w:w="1500" w:type="dxa"/>
            <w:vAlign w:val="bottom"/>
          </w:tcPr>
          <w:p>
            <w:pPr>
              <w:ind w:left="620"/>
              <w:spacing w:after="0"/>
              <w:rPr>
                <w:sz w:val="20"/>
                <w:szCs w:val="20"/>
                <w:color w:val="auto"/>
              </w:rPr>
            </w:pPr>
            <w:r>
              <w:rPr>
                <w:rFonts w:ascii="Arial" w:cs="Arial" w:eastAsia="Arial" w:hAnsi="Arial"/>
                <w:sz w:val="20"/>
                <w:szCs w:val="20"/>
                <w:color w:val="auto"/>
              </w:rPr>
              <w:t>7.03</w:t>
            </w:r>
          </w:p>
        </w:tc>
        <w:tc>
          <w:tcPr>
            <w:tcW w:w="5680" w:type="dxa"/>
            <w:vAlign w:val="bottom"/>
          </w:tcPr>
          <w:p>
            <w:pPr>
              <w:ind w:left="760"/>
              <w:spacing w:after="0"/>
              <w:rPr>
                <w:sz w:val="20"/>
                <w:szCs w:val="20"/>
                <w:color w:val="auto"/>
              </w:rPr>
            </w:pPr>
            <w:r>
              <w:rPr>
                <w:rFonts w:ascii="Arial" w:cs="Arial" w:eastAsia="Arial" w:hAnsi="Arial"/>
                <w:sz w:val="20"/>
                <w:szCs w:val="20"/>
                <w:color w:val="auto"/>
              </w:rPr>
              <w:t>Existing Investments</w:t>
            </w:r>
          </w:p>
        </w:tc>
      </w:tr>
      <w:tr>
        <w:trPr>
          <w:trHeight w:val="275"/>
        </w:trPr>
        <w:tc>
          <w:tcPr>
            <w:tcW w:w="1500" w:type="dxa"/>
            <w:vAlign w:val="bottom"/>
          </w:tcPr>
          <w:p>
            <w:pPr>
              <w:ind w:left="620"/>
              <w:spacing w:after="0"/>
              <w:rPr>
                <w:sz w:val="20"/>
                <w:szCs w:val="20"/>
                <w:color w:val="auto"/>
              </w:rPr>
            </w:pPr>
            <w:r>
              <w:rPr>
                <w:rFonts w:ascii="Arial" w:cs="Arial" w:eastAsia="Arial" w:hAnsi="Arial"/>
                <w:sz w:val="20"/>
                <w:szCs w:val="20"/>
                <w:color w:val="auto"/>
              </w:rPr>
              <w:t>10.02</w:t>
            </w:r>
          </w:p>
        </w:tc>
        <w:tc>
          <w:tcPr>
            <w:tcW w:w="5680" w:type="dxa"/>
            <w:vAlign w:val="bottom"/>
          </w:tcPr>
          <w:p>
            <w:pPr>
              <w:ind w:left="760"/>
              <w:spacing w:after="0"/>
              <w:rPr>
                <w:sz w:val="20"/>
                <w:szCs w:val="20"/>
                <w:color w:val="auto"/>
              </w:rPr>
            </w:pPr>
            <w:r>
              <w:rPr>
                <w:rFonts w:ascii="Arial" w:cs="Arial" w:eastAsia="Arial" w:hAnsi="Arial"/>
                <w:sz w:val="20"/>
                <w:szCs w:val="20"/>
                <w:color w:val="auto"/>
                <w:w w:val="92"/>
              </w:rPr>
              <w:t>Administrative Agent’s Office, Certain Addresses for Notices</w:t>
            </w:r>
          </w:p>
        </w:tc>
      </w:tr>
      <w:tr>
        <w:trPr>
          <w:trHeight w:val="637"/>
        </w:trPr>
        <w:tc>
          <w:tcPr>
            <w:tcW w:w="1500" w:type="dxa"/>
            <w:vAlign w:val="bottom"/>
          </w:tcPr>
          <w:p>
            <w:pPr>
              <w:spacing w:after="0"/>
              <w:rPr>
                <w:sz w:val="20"/>
                <w:szCs w:val="20"/>
                <w:color w:val="auto"/>
              </w:rPr>
            </w:pPr>
            <w:r>
              <w:rPr>
                <w:rFonts w:ascii="Arial" w:cs="Arial" w:eastAsia="Arial" w:hAnsi="Arial"/>
                <w:sz w:val="20"/>
                <w:szCs w:val="20"/>
                <w:color w:val="auto"/>
              </w:rPr>
              <w:t>EXHIBITS</w:t>
            </w:r>
          </w:p>
        </w:tc>
        <w:tc>
          <w:tcPr>
            <w:tcW w:w="5680" w:type="dxa"/>
            <w:vAlign w:val="bottom"/>
          </w:tcPr>
          <w:p>
            <w:pPr>
              <w:spacing w:after="0"/>
              <w:rPr>
                <w:sz w:val="24"/>
                <w:szCs w:val="24"/>
                <w:color w:val="auto"/>
              </w:rPr>
            </w:pPr>
          </w:p>
        </w:tc>
      </w:tr>
      <w:tr>
        <w:trPr>
          <w:trHeight w:val="575"/>
        </w:trPr>
        <w:tc>
          <w:tcPr>
            <w:tcW w:w="1500" w:type="dxa"/>
            <w:vAlign w:val="bottom"/>
          </w:tcPr>
          <w:p>
            <w:pPr>
              <w:spacing w:after="0"/>
              <w:rPr>
                <w:sz w:val="20"/>
                <w:szCs w:val="20"/>
                <w:color w:val="auto"/>
              </w:rPr>
            </w:pPr>
            <w:r>
              <w:rPr>
                <w:rFonts w:ascii="Arial" w:cs="Arial" w:eastAsia="Arial" w:hAnsi="Arial"/>
                <w:sz w:val="20"/>
                <w:szCs w:val="20"/>
                <w:color w:val="auto"/>
              </w:rPr>
              <w:t>A</w:t>
            </w:r>
          </w:p>
        </w:tc>
        <w:tc>
          <w:tcPr>
            <w:tcW w:w="5680" w:type="dxa"/>
            <w:vAlign w:val="bottom"/>
          </w:tcPr>
          <w:p>
            <w:pPr>
              <w:ind w:left="220"/>
              <w:spacing w:after="0"/>
              <w:rPr>
                <w:sz w:val="20"/>
                <w:szCs w:val="20"/>
                <w:color w:val="auto"/>
              </w:rPr>
            </w:pPr>
            <w:r>
              <w:rPr>
                <w:rFonts w:ascii="Arial" w:cs="Arial" w:eastAsia="Arial" w:hAnsi="Arial"/>
                <w:sz w:val="20"/>
                <w:szCs w:val="20"/>
                <w:color w:val="auto"/>
              </w:rPr>
              <w:t>Form of Loan Notice</w:t>
            </w:r>
          </w:p>
        </w:tc>
      </w:tr>
      <w:tr>
        <w:trPr>
          <w:trHeight w:val="275"/>
        </w:trPr>
        <w:tc>
          <w:tcPr>
            <w:tcW w:w="1500" w:type="dxa"/>
            <w:vAlign w:val="bottom"/>
          </w:tcPr>
          <w:p>
            <w:pPr>
              <w:spacing w:after="0"/>
              <w:rPr>
                <w:sz w:val="20"/>
                <w:szCs w:val="20"/>
                <w:color w:val="auto"/>
              </w:rPr>
            </w:pPr>
            <w:r>
              <w:rPr>
                <w:rFonts w:ascii="Arial" w:cs="Arial" w:eastAsia="Arial" w:hAnsi="Arial"/>
                <w:sz w:val="20"/>
                <w:szCs w:val="20"/>
                <w:color w:val="auto"/>
              </w:rPr>
              <w:t>B</w:t>
            </w:r>
          </w:p>
        </w:tc>
        <w:tc>
          <w:tcPr>
            <w:tcW w:w="5680" w:type="dxa"/>
            <w:vAlign w:val="bottom"/>
          </w:tcPr>
          <w:p>
            <w:pPr>
              <w:ind w:left="220"/>
              <w:spacing w:after="0"/>
              <w:rPr>
                <w:sz w:val="20"/>
                <w:szCs w:val="20"/>
                <w:color w:val="auto"/>
              </w:rPr>
            </w:pPr>
            <w:r>
              <w:rPr>
                <w:rFonts w:ascii="Arial" w:cs="Arial" w:eastAsia="Arial" w:hAnsi="Arial"/>
                <w:sz w:val="20"/>
                <w:szCs w:val="20"/>
                <w:color w:val="auto"/>
              </w:rPr>
              <w:t>[RESERVED]</w:t>
            </w:r>
          </w:p>
        </w:tc>
      </w:tr>
      <w:tr>
        <w:trPr>
          <w:trHeight w:val="275"/>
        </w:trPr>
        <w:tc>
          <w:tcPr>
            <w:tcW w:w="1500" w:type="dxa"/>
            <w:vAlign w:val="bottom"/>
          </w:tcPr>
          <w:p>
            <w:pPr>
              <w:spacing w:after="0"/>
              <w:rPr>
                <w:sz w:val="20"/>
                <w:szCs w:val="20"/>
                <w:color w:val="auto"/>
              </w:rPr>
            </w:pPr>
            <w:r>
              <w:rPr>
                <w:rFonts w:ascii="Arial" w:cs="Arial" w:eastAsia="Arial" w:hAnsi="Arial"/>
                <w:sz w:val="20"/>
                <w:szCs w:val="20"/>
                <w:color w:val="auto"/>
              </w:rPr>
              <w:t>C-1</w:t>
            </w:r>
          </w:p>
        </w:tc>
        <w:tc>
          <w:tcPr>
            <w:tcW w:w="5680" w:type="dxa"/>
            <w:vAlign w:val="bottom"/>
          </w:tcPr>
          <w:p>
            <w:pPr>
              <w:ind w:left="220"/>
              <w:spacing w:after="0"/>
              <w:rPr>
                <w:sz w:val="20"/>
                <w:szCs w:val="20"/>
                <w:color w:val="auto"/>
              </w:rPr>
            </w:pPr>
            <w:r>
              <w:rPr>
                <w:rFonts w:ascii="Arial" w:cs="Arial" w:eastAsia="Arial" w:hAnsi="Arial"/>
                <w:sz w:val="20"/>
                <w:szCs w:val="20"/>
                <w:color w:val="auto"/>
              </w:rPr>
              <w:t>[RESERVED]</w:t>
            </w:r>
          </w:p>
        </w:tc>
      </w:tr>
      <w:tr>
        <w:trPr>
          <w:trHeight w:val="275"/>
        </w:trPr>
        <w:tc>
          <w:tcPr>
            <w:tcW w:w="1500" w:type="dxa"/>
            <w:vAlign w:val="bottom"/>
          </w:tcPr>
          <w:p>
            <w:pPr>
              <w:spacing w:after="0"/>
              <w:rPr>
                <w:sz w:val="20"/>
                <w:szCs w:val="20"/>
                <w:color w:val="auto"/>
              </w:rPr>
            </w:pPr>
            <w:r>
              <w:rPr>
                <w:rFonts w:ascii="Arial" w:cs="Arial" w:eastAsia="Arial" w:hAnsi="Arial"/>
                <w:sz w:val="20"/>
                <w:szCs w:val="20"/>
                <w:color w:val="auto"/>
              </w:rPr>
              <w:t>C-2</w:t>
            </w:r>
          </w:p>
        </w:tc>
        <w:tc>
          <w:tcPr>
            <w:tcW w:w="5680" w:type="dxa"/>
            <w:vAlign w:val="bottom"/>
          </w:tcPr>
          <w:p>
            <w:pPr>
              <w:ind w:left="220"/>
              <w:spacing w:after="0"/>
              <w:rPr>
                <w:sz w:val="20"/>
                <w:szCs w:val="20"/>
                <w:color w:val="auto"/>
              </w:rPr>
            </w:pPr>
            <w:r>
              <w:rPr>
                <w:rFonts w:ascii="Arial" w:cs="Arial" w:eastAsia="Arial" w:hAnsi="Arial"/>
                <w:sz w:val="20"/>
                <w:szCs w:val="20"/>
                <w:color w:val="auto"/>
              </w:rPr>
              <w:t>Form of Term Note</w:t>
            </w:r>
          </w:p>
        </w:tc>
      </w:tr>
      <w:tr>
        <w:trPr>
          <w:trHeight w:val="275"/>
        </w:trPr>
        <w:tc>
          <w:tcPr>
            <w:tcW w:w="1500" w:type="dxa"/>
            <w:vAlign w:val="bottom"/>
          </w:tcPr>
          <w:p>
            <w:pPr>
              <w:spacing w:after="0"/>
              <w:rPr>
                <w:sz w:val="20"/>
                <w:szCs w:val="20"/>
                <w:color w:val="auto"/>
              </w:rPr>
            </w:pPr>
            <w:r>
              <w:rPr>
                <w:rFonts w:ascii="Arial" w:cs="Arial" w:eastAsia="Arial" w:hAnsi="Arial"/>
                <w:sz w:val="20"/>
                <w:szCs w:val="20"/>
                <w:color w:val="auto"/>
              </w:rPr>
              <w:t>D</w:t>
            </w:r>
          </w:p>
        </w:tc>
        <w:tc>
          <w:tcPr>
            <w:tcW w:w="5680" w:type="dxa"/>
            <w:vAlign w:val="bottom"/>
          </w:tcPr>
          <w:p>
            <w:pPr>
              <w:ind w:left="220"/>
              <w:spacing w:after="0"/>
              <w:rPr>
                <w:sz w:val="20"/>
                <w:szCs w:val="20"/>
                <w:color w:val="auto"/>
              </w:rPr>
            </w:pPr>
            <w:r>
              <w:rPr>
                <w:rFonts w:ascii="Arial" w:cs="Arial" w:eastAsia="Arial" w:hAnsi="Arial"/>
                <w:sz w:val="20"/>
                <w:szCs w:val="20"/>
                <w:color w:val="auto"/>
              </w:rPr>
              <w:t>Form of Compliance Certificate</w:t>
            </w:r>
          </w:p>
        </w:tc>
      </w:tr>
      <w:tr>
        <w:trPr>
          <w:trHeight w:val="275"/>
        </w:trPr>
        <w:tc>
          <w:tcPr>
            <w:tcW w:w="1500" w:type="dxa"/>
            <w:vAlign w:val="bottom"/>
          </w:tcPr>
          <w:p>
            <w:pPr>
              <w:spacing w:after="0"/>
              <w:rPr>
                <w:sz w:val="20"/>
                <w:szCs w:val="20"/>
                <w:color w:val="auto"/>
              </w:rPr>
            </w:pPr>
            <w:r>
              <w:rPr>
                <w:rFonts w:ascii="Arial" w:cs="Arial" w:eastAsia="Arial" w:hAnsi="Arial"/>
                <w:sz w:val="20"/>
                <w:szCs w:val="20"/>
                <w:color w:val="auto"/>
              </w:rPr>
              <w:t>E-1</w:t>
            </w:r>
          </w:p>
        </w:tc>
        <w:tc>
          <w:tcPr>
            <w:tcW w:w="5680" w:type="dxa"/>
            <w:vAlign w:val="bottom"/>
          </w:tcPr>
          <w:p>
            <w:pPr>
              <w:ind w:left="220"/>
              <w:spacing w:after="0"/>
              <w:rPr>
                <w:sz w:val="20"/>
                <w:szCs w:val="20"/>
                <w:color w:val="auto"/>
              </w:rPr>
            </w:pPr>
            <w:r>
              <w:rPr>
                <w:rFonts w:ascii="Arial" w:cs="Arial" w:eastAsia="Arial" w:hAnsi="Arial"/>
                <w:sz w:val="20"/>
                <w:szCs w:val="20"/>
                <w:color w:val="auto"/>
              </w:rPr>
              <w:t>Form of Assignment and Assumption</w:t>
            </w:r>
          </w:p>
        </w:tc>
      </w:tr>
      <w:tr>
        <w:trPr>
          <w:trHeight w:val="275"/>
        </w:trPr>
        <w:tc>
          <w:tcPr>
            <w:tcW w:w="1500" w:type="dxa"/>
            <w:vAlign w:val="bottom"/>
          </w:tcPr>
          <w:p>
            <w:pPr>
              <w:spacing w:after="0"/>
              <w:rPr>
                <w:sz w:val="20"/>
                <w:szCs w:val="20"/>
                <w:color w:val="auto"/>
              </w:rPr>
            </w:pPr>
            <w:r>
              <w:rPr>
                <w:rFonts w:ascii="Arial" w:cs="Arial" w:eastAsia="Arial" w:hAnsi="Arial"/>
                <w:sz w:val="20"/>
                <w:szCs w:val="20"/>
                <w:color w:val="auto"/>
              </w:rPr>
              <w:t>E-2</w:t>
            </w:r>
          </w:p>
        </w:tc>
        <w:tc>
          <w:tcPr>
            <w:tcW w:w="5680" w:type="dxa"/>
            <w:vAlign w:val="bottom"/>
          </w:tcPr>
          <w:p>
            <w:pPr>
              <w:ind w:left="220"/>
              <w:spacing w:after="0"/>
              <w:rPr>
                <w:sz w:val="20"/>
                <w:szCs w:val="20"/>
                <w:color w:val="auto"/>
              </w:rPr>
            </w:pPr>
            <w:r>
              <w:rPr>
                <w:rFonts w:ascii="Arial" w:cs="Arial" w:eastAsia="Arial" w:hAnsi="Arial"/>
                <w:sz w:val="20"/>
                <w:szCs w:val="20"/>
                <w:color w:val="auto"/>
              </w:rPr>
              <w:t>Form of Administrative Questionnaire</w:t>
            </w:r>
          </w:p>
        </w:tc>
      </w:tr>
      <w:tr>
        <w:trPr>
          <w:trHeight w:val="275"/>
        </w:trPr>
        <w:tc>
          <w:tcPr>
            <w:tcW w:w="1500" w:type="dxa"/>
            <w:vAlign w:val="bottom"/>
          </w:tcPr>
          <w:p>
            <w:pPr>
              <w:spacing w:after="0"/>
              <w:rPr>
                <w:sz w:val="20"/>
                <w:szCs w:val="20"/>
                <w:color w:val="auto"/>
              </w:rPr>
            </w:pPr>
            <w:r>
              <w:rPr>
                <w:rFonts w:ascii="Arial" w:cs="Arial" w:eastAsia="Arial" w:hAnsi="Arial"/>
                <w:sz w:val="20"/>
                <w:szCs w:val="20"/>
                <w:color w:val="auto"/>
              </w:rPr>
              <w:t>F</w:t>
            </w:r>
          </w:p>
        </w:tc>
        <w:tc>
          <w:tcPr>
            <w:tcW w:w="5680" w:type="dxa"/>
            <w:vAlign w:val="bottom"/>
          </w:tcPr>
          <w:p>
            <w:pPr>
              <w:ind w:left="220"/>
              <w:spacing w:after="0"/>
              <w:rPr>
                <w:sz w:val="20"/>
                <w:szCs w:val="20"/>
                <w:color w:val="auto"/>
              </w:rPr>
            </w:pPr>
            <w:r>
              <w:rPr>
                <w:rFonts w:ascii="Arial" w:cs="Arial" w:eastAsia="Arial" w:hAnsi="Arial"/>
                <w:sz w:val="20"/>
                <w:szCs w:val="20"/>
                <w:color w:val="auto"/>
              </w:rPr>
              <w:t>Form of Guaranty Agreement</w:t>
            </w:r>
          </w:p>
        </w:tc>
      </w:tr>
      <w:tr>
        <w:trPr>
          <w:trHeight w:val="275"/>
        </w:trPr>
        <w:tc>
          <w:tcPr>
            <w:tcW w:w="1500" w:type="dxa"/>
            <w:vAlign w:val="bottom"/>
          </w:tcPr>
          <w:p>
            <w:pPr>
              <w:spacing w:after="0"/>
              <w:rPr>
                <w:sz w:val="20"/>
                <w:szCs w:val="20"/>
                <w:color w:val="auto"/>
              </w:rPr>
            </w:pPr>
            <w:r>
              <w:rPr>
                <w:rFonts w:ascii="Arial" w:cs="Arial" w:eastAsia="Arial" w:hAnsi="Arial"/>
                <w:sz w:val="20"/>
                <w:szCs w:val="20"/>
                <w:color w:val="auto"/>
              </w:rPr>
              <w:t>G</w:t>
            </w:r>
          </w:p>
        </w:tc>
        <w:tc>
          <w:tcPr>
            <w:tcW w:w="5680" w:type="dxa"/>
            <w:vAlign w:val="bottom"/>
          </w:tcPr>
          <w:p>
            <w:pPr>
              <w:ind w:left="220"/>
              <w:spacing w:after="0"/>
              <w:rPr>
                <w:sz w:val="20"/>
                <w:szCs w:val="20"/>
                <w:color w:val="auto"/>
              </w:rPr>
            </w:pPr>
            <w:r>
              <w:rPr>
                <w:rFonts w:ascii="Arial" w:cs="Arial" w:eastAsia="Arial" w:hAnsi="Arial"/>
                <w:sz w:val="20"/>
                <w:szCs w:val="20"/>
                <w:color w:val="auto"/>
              </w:rPr>
              <w:t>Form of Solvency Certificate</w:t>
            </w:r>
          </w:p>
        </w:tc>
      </w:tr>
      <w:tr>
        <w:trPr>
          <w:trHeight w:val="275"/>
        </w:trPr>
        <w:tc>
          <w:tcPr>
            <w:tcW w:w="1500" w:type="dxa"/>
            <w:vAlign w:val="bottom"/>
          </w:tcPr>
          <w:p>
            <w:pPr>
              <w:spacing w:after="0"/>
              <w:rPr>
                <w:sz w:val="20"/>
                <w:szCs w:val="20"/>
                <w:color w:val="auto"/>
              </w:rPr>
            </w:pPr>
            <w:r>
              <w:rPr>
                <w:rFonts w:ascii="Arial" w:cs="Arial" w:eastAsia="Arial" w:hAnsi="Arial"/>
                <w:sz w:val="20"/>
                <w:szCs w:val="20"/>
                <w:color w:val="auto"/>
              </w:rPr>
              <w:t>H</w:t>
            </w:r>
          </w:p>
        </w:tc>
        <w:tc>
          <w:tcPr>
            <w:tcW w:w="5680" w:type="dxa"/>
            <w:vAlign w:val="bottom"/>
          </w:tcPr>
          <w:p>
            <w:pPr>
              <w:ind w:left="220"/>
              <w:spacing w:after="0"/>
              <w:rPr>
                <w:sz w:val="20"/>
                <w:szCs w:val="20"/>
                <w:color w:val="auto"/>
              </w:rPr>
            </w:pPr>
            <w:r>
              <w:rPr>
                <w:rFonts w:ascii="Arial" w:cs="Arial" w:eastAsia="Arial" w:hAnsi="Arial"/>
                <w:sz w:val="20"/>
                <w:szCs w:val="20"/>
                <w:color w:val="auto"/>
              </w:rPr>
              <w:t>Form of United States Tax Compliance Certificate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199"/>
          </w:cols>
          <w:pgMar w:left="260" w:top="1440" w:right="1440" w:bottom="1440" w:gutter="0" w:footer="0" w:header="0"/>
        </w:sectPr>
      </w:pPr>
    </w:p>
    <w:bookmarkStart w:id="405" w:name="page406"/>
    <w:bookmarkEnd w:id="405"/>
    <w:p>
      <w:pPr>
        <w:jc w:val="center"/>
        <w:spacing w:after="0"/>
        <w:rPr>
          <w:sz w:val="20"/>
          <w:szCs w:val="20"/>
          <w:color w:val="auto"/>
        </w:rPr>
      </w:pPr>
      <w:r>
        <w:rPr>
          <w:rFonts w:ascii="Arial" w:cs="Arial" w:eastAsia="Arial" w:hAnsi="Arial"/>
          <w:sz w:val="20"/>
          <w:szCs w:val="20"/>
          <w:color w:val="auto"/>
        </w:rPr>
        <w:t>TERM LOAN AGREEMENT</w:t>
      </w:r>
    </w:p>
    <w:p>
      <w:pPr>
        <w:spacing w:after="0" w:line="207"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This TERM LOAN AGREEMENT (“</w:t>
      </w:r>
      <w:r>
        <w:rPr>
          <w:rFonts w:ascii="Arial" w:cs="Arial" w:eastAsia="Arial" w:hAnsi="Arial"/>
          <w:sz w:val="20"/>
          <w:szCs w:val="20"/>
          <w:u w:val="single" w:color="auto"/>
          <w:color w:val="auto"/>
        </w:rPr>
        <w:t>Agreement</w:t>
      </w:r>
      <w:r>
        <w:rPr>
          <w:rFonts w:ascii="Arial" w:cs="Arial" w:eastAsia="Arial" w:hAnsi="Arial"/>
          <w:sz w:val="20"/>
          <w:szCs w:val="20"/>
          <w:color w:val="auto"/>
        </w:rPr>
        <w:t xml:space="preserve">”) is entered into as of March 1, 2016 among AMERICAN ASSETS TRUST, L.P., a Maryland limited partnership </w:t>
      </w:r>
      <w:r>
        <w:rPr>
          <w:rFonts w:ascii="Arial" w:cs="Arial" w:eastAsia="Arial" w:hAnsi="Arial"/>
          <w:sz w:val="20"/>
          <w:szCs w:val="20"/>
          <w:b w:val="1"/>
          <w:bCs w:val="1"/>
          <w:color w:val="auto"/>
        </w:rPr>
        <w:t>(</w:t>
      </w:r>
      <w:r>
        <w:rPr>
          <w:rFonts w:ascii="Arial" w:cs="Arial" w:eastAsia="Arial" w:hAnsi="Arial"/>
          <w:sz w:val="20"/>
          <w:szCs w:val="20"/>
          <w:color w:val="auto"/>
        </w:rPr>
        <w:t>the “</w:t>
      </w:r>
      <w:r>
        <w:rPr>
          <w:rFonts w:ascii="Arial" w:cs="Arial" w:eastAsia="Arial" w:hAnsi="Arial"/>
          <w:sz w:val="20"/>
          <w:szCs w:val="20"/>
          <w:u w:val="single" w:color="auto"/>
          <w:color w:val="auto"/>
        </w:rPr>
        <w:t>Borrower</w:t>
      </w:r>
      <w:r>
        <w:rPr>
          <w:rFonts w:ascii="Arial" w:cs="Arial" w:eastAsia="Arial" w:hAnsi="Arial"/>
          <w:sz w:val="20"/>
          <w:szCs w:val="20"/>
          <w:color w:val="auto"/>
        </w:rPr>
        <w:t xml:space="preserve"> ”), AMERICAN ASSETS TRUST, INC. a Maryland corporation (the “</w:t>
      </w:r>
      <w:r>
        <w:rPr>
          <w:rFonts w:ascii="Arial" w:cs="Arial" w:eastAsia="Arial" w:hAnsi="Arial"/>
          <w:sz w:val="20"/>
          <w:szCs w:val="20"/>
          <w:u w:val="single" w:color="auto"/>
          <w:color w:val="auto"/>
        </w:rPr>
        <w:t>REIT</w:t>
      </w:r>
      <w:r>
        <w:rPr>
          <w:rFonts w:ascii="Arial" w:cs="Arial" w:eastAsia="Arial" w:hAnsi="Arial"/>
          <w:sz w:val="20"/>
          <w:szCs w:val="20"/>
          <w:color w:val="auto"/>
        </w:rPr>
        <w:t>”), each lender from time to time party hereto (collectively, the “</w:t>
      </w:r>
      <w:r>
        <w:rPr>
          <w:rFonts w:ascii="Arial" w:cs="Arial" w:eastAsia="Arial" w:hAnsi="Arial"/>
          <w:sz w:val="20"/>
          <w:szCs w:val="20"/>
          <w:u w:val="single" w:color="auto"/>
          <w:color w:val="auto"/>
        </w:rPr>
        <w:t>Lenders</w:t>
      </w:r>
      <w:r>
        <w:rPr>
          <w:rFonts w:ascii="Arial" w:cs="Arial" w:eastAsia="Arial" w:hAnsi="Arial"/>
          <w:sz w:val="20"/>
          <w:szCs w:val="20"/>
          <w:color w:val="auto"/>
        </w:rPr>
        <w:t>” and individually, a “</w:t>
      </w:r>
      <w:r>
        <w:rPr>
          <w:rFonts w:ascii="Arial" w:cs="Arial" w:eastAsia="Arial" w:hAnsi="Arial"/>
          <w:sz w:val="20"/>
          <w:szCs w:val="20"/>
          <w:u w:val="single" w:color="auto"/>
          <w:color w:val="auto"/>
        </w:rPr>
        <w:t>Lender</w:t>
      </w:r>
      <w:r>
        <w:rPr>
          <w:rFonts w:ascii="Arial" w:cs="Arial" w:eastAsia="Arial" w:hAnsi="Arial"/>
          <w:sz w:val="20"/>
          <w:szCs w:val="20"/>
          <w:color w:val="auto"/>
        </w:rPr>
        <w:t>”), and U.S. BANK NATIONAL ASSOCIATION, as Administrative Agent.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PRELIMINARY STATEMENT</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The Borrower and the REIT have requested that the Lenders make term loans available to the Borrower on the date hereof, as more particularly described herein, on the terms and subject to the conditions hereinafter set forth.</w:t>
      </w:r>
    </w:p>
    <w:p>
      <w:pPr>
        <w:spacing w:after="0" w:line="153"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NOW THEREFORE, for good and valuable consideration, the receipt and adequacy of which are hereby acknowledged, the parties hereto agree as follows:</w:t>
      </w:r>
    </w:p>
    <w:p>
      <w:pPr>
        <w:spacing w:after="0" w:line="153"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ARTICLE I</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20"/>
          <w:szCs w:val="20"/>
          <w:color w:val="auto"/>
        </w:rPr>
        <w:t>DEFINITIONS AND ACCOUNTING TERMS</w:t>
      </w:r>
    </w:p>
    <w:p>
      <w:pPr>
        <w:spacing w:after="0" w:line="229"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shall have the meanings set forth below:</w:t>
      </w:r>
    </w:p>
    <w:p>
      <w:pPr>
        <w:spacing w:after="0" w:line="24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10.18</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U.S. Bank National Association (including its branches and affiliates), in its capacity as administrative agent under any of the Loan Documents, or any successor administrative agent.</w:t>
      </w:r>
    </w:p>
    <w:p>
      <w:pPr>
        <w:spacing w:after="0" w:line="153" w:lineRule="exact"/>
        <w:rPr>
          <w:sz w:val="20"/>
          <w:szCs w:val="20"/>
          <w:color w:val="auto"/>
        </w:rPr>
      </w:pPr>
    </w:p>
    <w:p>
      <w:pPr>
        <w:jc w:val="both"/>
        <w:ind w:firstLine="599"/>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Agent’s Office</w:t>
      </w:r>
      <w:r>
        <w:rPr>
          <w:rFonts w:ascii="Arial" w:cs="Arial" w:eastAsia="Arial" w:hAnsi="Arial"/>
          <w:sz w:val="19"/>
          <w:szCs w:val="19"/>
          <w:color w:val="auto"/>
        </w:rPr>
        <w:t xml:space="preserve">” means the Administrative Agent’s address and, as appropriate, account as set forth on </w:t>
      </w:r>
      <w:r>
        <w:rPr>
          <w:rFonts w:ascii="Arial" w:cs="Arial" w:eastAsia="Arial" w:hAnsi="Arial"/>
          <w:sz w:val="19"/>
          <w:szCs w:val="19"/>
          <w:u w:val="single" w:color="auto"/>
          <w:color w:val="auto"/>
        </w:rPr>
        <w:t>Schedule 10.02</w:t>
      </w:r>
      <w:r>
        <w:rPr>
          <w:rFonts w:ascii="Arial" w:cs="Arial" w:eastAsia="Arial" w:hAnsi="Arial"/>
          <w:sz w:val="19"/>
          <w:szCs w:val="19"/>
          <w:color w:val="auto"/>
        </w:rPr>
        <w:t>, or such other address or account as the Administrative Agent may from time to time notify the Borrower and the Lenders.</w:t>
      </w:r>
    </w:p>
    <w:p>
      <w:pPr>
        <w:spacing w:after="0" w:line="130"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xml:space="preserve">” means an Administrative Questionnaire in substantially the form of </w:t>
      </w:r>
      <w:r>
        <w:rPr>
          <w:rFonts w:ascii="Arial" w:cs="Arial" w:eastAsia="Arial" w:hAnsi="Arial"/>
          <w:sz w:val="20"/>
          <w:szCs w:val="20"/>
          <w:u w:val="single" w:color="auto"/>
          <w:color w:val="auto"/>
        </w:rPr>
        <w:t>Exhibit E-2</w:t>
      </w:r>
      <w:r>
        <w:rPr>
          <w:rFonts w:ascii="Arial" w:cs="Arial" w:eastAsia="Arial" w:hAnsi="Arial"/>
          <w:sz w:val="20"/>
          <w:szCs w:val="20"/>
          <w:color w:val="auto"/>
        </w:rPr>
        <w:t xml:space="preserve"> or any other form approved by the Administrative Agent.</w:t>
      </w:r>
    </w:p>
    <w:p>
      <w:pPr>
        <w:spacing w:after="0" w:line="153" w:lineRule="exact"/>
        <w:rPr>
          <w:sz w:val="20"/>
          <w:szCs w:val="20"/>
          <w:color w:val="auto"/>
        </w:rPr>
      </w:pPr>
    </w:p>
    <w:p>
      <w:pPr>
        <w:jc w:val="both"/>
        <w:ind w:firstLine="599"/>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means, with respect to any Person, another Person that directly, or indirectly through one or more intermediaries, Controls or is Controlled by or is under common Control with the Person specified;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in no event shall the Administrative Agent or any Lender or any of their respective Affiliates be deemed an Affiliate of the REIT or any Subsidiary thereof.</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 Parties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10.02(c)</w:t>
      </w:r>
      <w:r>
        <w:rPr>
          <w:rFonts w:ascii="Arial" w:cs="Arial" w:eastAsia="Arial" w:hAnsi="Arial"/>
          <w:sz w:val="20"/>
          <w:szCs w:val="20"/>
          <w:color w:val="auto"/>
        </w:rPr>
        <w: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term loan agreement.</w:t>
      </w:r>
    </w:p>
    <w:p>
      <w:pPr>
        <w:spacing w:after="0" w:line="207" w:lineRule="exact"/>
        <w:rPr>
          <w:sz w:val="20"/>
          <w:szCs w:val="20"/>
          <w:color w:val="auto"/>
        </w:rPr>
      </w:pPr>
    </w:p>
    <w:p>
      <w:pPr>
        <w:jc w:val="both"/>
        <w:ind w:firstLine="599"/>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Capital Expenditure Adjustment</w:t>
      </w:r>
      <w:r>
        <w:rPr>
          <w:rFonts w:ascii="Arial" w:cs="Arial" w:eastAsia="Arial" w:hAnsi="Arial"/>
          <w:sz w:val="18"/>
          <w:szCs w:val="18"/>
          <w:color w:val="auto"/>
        </w:rPr>
        <w:t xml:space="preserve">” means (i) in the case of a Portfolio Property consisting of a Hotel Property, an office property or a retail property (x) if such Portfolio Property has been owned, or ground leased pursuant to an Eligible Ground Lease, by one or more Subsidiaries of the Borrower for at least four consecutive full fiscal quarters for which financial statements have been provided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4% of the average of the quarterly gross revenues from such Portfolio</w:t>
      </w:r>
    </w:p>
    <w:p>
      <w:pPr>
        <w:sectPr>
          <w:pgSz w:w="11900" w:h="16838" w:orient="portrait"/>
          <w:cols w:equalWidth="0" w:num="1">
            <w:col w:w="11420"/>
          </w:cols>
          <w:pgMar w:left="240" w:top="1032" w:right="239" w:bottom="1440" w:gutter="0" w:footer="0" w:header="0"/>
        </w:sectPr>
      </w:pPr>
    </w:p>
    <w:bookmarkStart w:id="406" w:name="page407"/>
    <w:bookmarkEnd w:id="406"/>
    <w:p>
      <w:pPr>
        <w:jc w:val="both"/>
        <w:spacing w:after="0" w:line="278" w:lineRule="auto"/>
        <w:rPr>
          <w:sz w:val="20"/>
          <w:szCs w:val="20"/>
          <w:color w:val="auto"/>
        </w:rPr>
      </w:pPr>
      <w:r>
        <w:rPr>
          <w:rFonts w:ascii="Arial" w:cs="Arial" w:eastAsia="Arial" w:hAnsi="Arial"/>
          <w:sz w:val="18"/>
          <w:szCs w:val="18"/>
          <w:color w:val="auto"/>
        </w:rPr>
        <w:t xml:space="preserve">Property as set forth in the financial statements for the then most recently ended four consecutive fiscal quarter period of the REIT delivered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(y) if such Portfolio Property has not been owned, or ground leased pursuant to an Eligible Ground Lease, by one or more Subsidiaries of the Borrower for at least four consecutive full fiscal quarters for which financial statements have been provided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4% of the average of the quarterly gross revenues from such Portfolio Property for the period consisting of all of the full fiscal quarters of the REIT commencing after the date such Portfolio Property was acquired (or after an Eligible Ground Lease is entered into with respect to such Portfolio Property, if applicable) by a Subsidiary of the Borrower for which financial statements have been provided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(ii) in the case of any Portfolio Property consisting of a residential property, an amount equal to $125 multiplied by the number of units in such residential property. For purposes of clause (i)(y) of this definition, in the case of any Portfolio Property consisting of a Portfolio Property that is owned, or ground leased pursuant to an Eligible Ground Lease, by one or more Subsidiaries of the Borrower for at least one full fiscal month of the REIT but less than one full fiscal quarter for which financial statements have been provided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the Annual Capital Expenditure Adjustment for such Portfolio Property shall equal (x) if such Portfolio Property is owned, or ground leased pursuant to an Eligible Ground Lease, for less than two full fiscal months of the REIT, the Annual Capital Expenditure Adjustment that would apply to such Portfolio Property if calculated in accordance with the applicable clause of this definition above (but for only the then most recently ended one fiscal month period of the REIT instead of for the period specified in such applicable clause above), multiplied by 3 and (y) if such Portfolio Property is owned, or ground leased pursuant to an Eligible Ground Lease, for at least two full fiscal months of the REIT, the Annual Capital Expenditure Adjustment that would apply to such Portfolio Property if calculated in accordance with the applicable clause of this definition above (but for only the then most recently ended two fiscal month period of the REIT instead of for the period specified in such applicable clause above), multiplied by 3/2.</w:t>
      </w:r>
    </w:p>
    <w:p>
      <w:pPr>
        <w:spacing w:after="0" w:line="153"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all laws, rules, and regulations of any jurisdiction applicable to the REIT or its Subsidiaries from time to time concerning or relating to bribery or corruption.</w:t>
      </w:r>
    </w:p>
    <w:p>
      <w:pPr>
        <w:spacing w:after="0" w:line="153"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Capitalization Rate</w:t>
      </w:r>
      <w:r>
        <w:rPr>
          <w:rFonts w:ascii="Arial" w:cs="Arial" w:eastAsia="Arial" w:hAnsi="Arial"/>
          <w:sz w:val="20"/>
          <w:szCs w:val="20"/>
          <w:color w:val="auto"/>
        </w:rPr>
        <w:t>” means, (i) in the case of any Portfolio Property consisting of a traditional multi-family property (which, for example, shall include a multi-family apartment, duplex or condo complex), 6.00%, (ii) in the case of any Portfolio Property consisting of a non-traditional multi-family property (which, for example, shall include a recreational vehicle (RV) park), 7.00%, (iii) in the case of any Portfolio Property consisting of a retail property, 6.25%, (iv) in the case of any Portfolio Property consisting of an office property, 6.00% and (v) in the case of a Hotel Property, 7.50%.</w:t>
      </w:r>
    </w:p>
    <w:p>
      <w:pPr>
        <w:spacing w:after="0" w:line="174"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Percentage</w:t>
      </w:r>
      <w:r>
        <w:rPr>
          <w:rFonts w:ascii="Arial" w:cs="Arial" w:eastAsia="Arial" w:hAnsi="Arial"/>
          <w:sz w:val="20"/>
          <w:szCs w:val="20"/>
          <w:color w:val="auto"/>
        </w:rPr>
        <w:t xml:space="preserve">” means, with respect to any Lender at any time, the percentage (carried out to the ninth decimal place) of the Facility represented by (i) on or prior to the Closing Date, such Lender’s Commitment at such time and (ii) thereafter, the sum of the aggregate principal amount of such Lender’s Term Loans and Commitments at such time. The initial Applicable Percentage of each Lender is set forth opposite the name of such Lender on </w:t>
      </w: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or in the Assignment and Assumption or Joinder Agreement pursuant to which such Lender becomes a party hereto, as applicable.</w:t>
      </w:r>
    </w:p>
    <w:p>
      <w:pPr>
        <w:spacing w:after="0" w:line="174"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Rate</w:t>
      </w:r>
      <w:r>
        <w:rPr>
          <w:rFonts w:ascii="Arial" w:cs="Arial" w:eastAsia="Arial" w:hAnsi="Arial"/>
          <w:sz w:val="20"/>
          <w:szCs w:val="20"/>
          <w:color w:val="auto"/>
        </w:rPr>
        <w:t>” means (i) at any time prior to the Investment Grade Pricing Effective Date, the Leverage-Based Applicable Rate in effect at such time and (ii) at any time on and after the Investment Grade Pricing Effective Date, the Ratings-Based Applicable Rate in effect at such time.</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Appropriate Lender</w:t>
      </w:r>
      <w:r>
        <w:rPr>
          <w:rFonts w:ascii="Arial" w:cs="Arial" w:eastAsia="Arial" w:hAnsi="Arial"/>
          <w:sz w:val="20"/>
          <w:szCs w:val="20"/>
          <w:color w:val="auto"/>
        </w:rPr>
        <w:t>” means, at any time, a Lender that has a Commitment or Term Loan at such time.</w:t>
      </w:r>
    </w:p>
    <w:p>
      <w:pPr>
        <w:spacing w:after="0" w:line="200" w:lineRule="exact"/>
        <w:rPr>
          <w:sz w:val="20"/>
          <w:szCs w:val="20"/>
          <w:color w:val="auto"/>
        </w:rPr>
      </w:pPr>
    </w:p>
    <w:p>
      <w:pPr>
        <w:spacing w:after="0" w:line="244"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2</w:t>
      </w:r>
      <w:r>
        <w:rPr>
          <w:rFonts w:ascii="MS PGothic" w:cs="MS PGothic" w:eastAsia="MS PGothic" w:hAnsi="MS PGothic"/>
          <w:sz w:val="20"/>
          <w:szCs w:val="20"/>
          <w:color w:val="auto"/>
        </w:rPr>
        <w:t>‑</w:t>
      </w:r>
    </w:p>
    <w:p>
      <w:pPr>
        <w:sectPr>
          <w:pgSz w:w="11900" w:h="16838" w:orient="portrait"/>
          <w:cols w:equalWidth="0" w:num="1">
            <w:col w:w="11420"/>
          </w:cols>
          <w:pgMar w:left="240" w:top="794" w:right="239" w:bottom="1440" w:gutter="0" w:footer="0" w:header="0"/>
        </w:sectPr>
      </w:pPr>
    </w:p>
    <w:bookmarkStart w:id="407" w:name="page408"/>
    <w:bookmarkEnd w:id="407"/>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153"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Arrangers</w:t>
      </w:r>
      <w:r>
        <w:rPr>
          <w:rFonts w:ascii="Arial" w:cs="Arial" w:eastAsia="Arial" w:hAnsi="Arial"/>
          <w:sz w:val="20"/>
          <w:szCs w:val="20"/>
          <w:color w:val="auto"/>
        </w:rPr>
        <w:t>” means, collectively, U.S. Bank National Association, PNC Capital Markets LLC and Wells Fargo Securities, LLC, in their capacities as joint bookrunners and joint lead arrangers.</w:t>
      </w:r>
    </w:p>
    <w:p>
      <w:pPr>
        <w:spacing w:after="0" w:line="153"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 Group</w:t>
      </w:r>
      <w:r>
        <w:rPr>
          <w:rFonts w:ascii="Arial" w:cs="Arial" w:eastAsia="Arial" w:hAnsi="Arial"/>
          <w:sz w:val="20"/>
          <w:szCs w:val="20"/>
          <w:color w:val="auto"/>
        </w:rPr>
        <w:t>” means two or more Eligible Assignees that are Affiliates of one another or two or more Approved Funds managed by the same investment advisor (or by investment advisors that are Affiliates of one another).</w:t>
      </w:r>
    </w:p>
    <w:p>
      <w:pPr>
        <w:spacing w:after="0" w:line="153"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10.06(b)</w:t>
      </w:r>
      <w:r>
        <w:rPr>
          <w:rFonts w:ascii="Arial" w:cs="Arial" w:eastAsia="Arial" w:hAnsi="Arial"/>
          <w:sz w:val="20"/>
          <w:szCs w:val="20"/>
          <w:color w:val="auto"/>
        </w:rPr>
        <w:t xml:space="preserve">), and accepted by the Administrative Agent, in substantially the form of </w:t>
      </w:r>
      <w:r>
        <w:rPr>
          <w:rFonts w:ascii="Arial" w:cs="Arial" w:eastAsia="Arial" w:hAnsi="Arial"/>
          <w:sz w:val="20"/>
          <w:szCs w:val="20"/>
          <w:u w:val="single" w:color="auto"/>
          <w:color w:val="auto"/>
        </w:rPr>
        <w:t>Exhibit E-1</w:t>
      </w:r>
      <w:r>
        <w:rPr>
          <w:rFonts w:ascii="Arial" w:cs="Arial" w:eastAsia="Arial" w:hAnsi="Arial"/>
          <w:sz w:val="20"/>
          <w:szCs w:val="20"/>
          <w:color w:val="auto"/>
        </w:rPr>
        <w:t xml:space="preserve"> or any other form (including electronic documentation generated by use of an electronic platform) approved by the Administrative Agent.</w:t>
      </w:r>
    </w:p>
    <w:p>
      <w:pPr>
        <w:spacing w:after="0" w:line="168" w:lineRule="exact"/>
        <w:rPr>
          <w:sz w:val="20"/>
          <w:szCs w:val="20"/>
          <w:color w:val="auto"/>
        </w:rPr>
      </w:pPr>
    </w:p>
    <w:p>
      <w:pPr>
        <w:jc w:val="both"/>
        <w:ind w:firstLine="599"/>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without duplication,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and (c) all Synthetic Debt of such Person.</w:t>
      </w:r>
    </w:p>
    <w:p>
      <w:pPr>
        <w:spacing w:after="0" w:line="144"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Audited Financial Statements</w:t>
      </w:r>
      <w:r>
        <w:rPr>
          <w:rFonts w:ascii="Arial" w:cs="Arial" w:eastAsia="Arial" w:hAnsi="Arial"/>
          <w:sz w:val="20"/>
          <w:szCs w:val="20"/>
          <w:color w:val="auto"/>
        </w:rPr>
        <w:t>” means the audited consolidated balance sheet of the Consolidated Group for the fiscal year ended December 31, 2016, and the related consolidated statements of income or operations, shareholders’ equity and cash flows for such fiscal year of the REIT, including the notes thereto.</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 Period</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w:t>
      </w:r>
      <w:r>
        <w:rPr>
          <w:rFonts w:ascii="Arial" w:cs="Arial" w:eastAsia="Arial" w:hAnsi="Arial"/>
          <w:sz w:val="20"/>
          <w:szCs w:val="20"/>
          <w:color w:val="auto"/>
        </w:rPr>
        <w: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 Termination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2.06</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EEA Resolution Authority in respect of any liability of an EEA Financial Institution.</w:t>
      </w:r>
    </w:p>
    <w:p>
      <w:pPr>
        <w:spacing w:after="0" w:line="153" w:lineRule="exact"/>
        <w:rPr>
          <w:sz w:val="20"/>
          <w:szCs w:val="20"/>
          <w:color w:val="auto"/>
        </w:rPr>
      </w:pPr>
    </w:p>
    <w:p>
      <w:pPr>
        <w:jc w:val="both"/>
        <w:ind w:right="460"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64"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w:t>
      </w:r>
      <w:r>
        <w:rPr>
          <w:rFonts w:ascii="Arial" w:cs="Arial" w:eastAsia="Arial" w:hAnsi="Arial"/>
          <w:sz w:val="20"/>
          <w:szCs w:val="20"/>
          <w:color w:val="auto"/>
        </w:rPr>
        <w:t>” means for any day, a fluctuating rate per annum equal to the highest of (i) 0.0%, (ii) the Prime Rate, (iii) the sum of the FRBNY Rate for such day plus 0.50% per annum and (iv) the Eurodollar Rate for a one month Interest Period on such day (or if such day is not a Business Day, the immediately preceding Business Day) plus 1.00%, provided that, for the avoidance of doubt, the Eurodollar Rate for any day shall be based on the rate reported by the applicable financial information service at approximately 11:00 a.m. London time on such day.</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means a Loan that bears interest based on the Base Rate.</w:t>
      </w:r>
    </w:p>
    <w:p>
      <w:pPr>
        <w:spacing w:after="0" w:line="20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Plan</w:t>
      </w:r>
      <w:r>
        <w:rPr>
          <w:rFonts w:ascii="Arial" w:cs="Arial" w:eastAsia="Arial" w:hAnsi="Arial"/>
          <w:sz w:val="20"/>
          <w:szCs w:val="20"/>
          <w:color w:val="auto"/>
        </w:rPr>
        <w:t>” means any of (a) an “employee benefit plan” (as defined in ERISA) that is subject to Title I of ERISA, (b) a “plan” as defined in Section 4975 of the Code or (c) any Person whose assets include</w:t>
      </w:r>
    </w:p>
    <w:p>
      <w:pPr>
        <w:spacing w:after="0" w:line="390"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3</w:t>
      </w:r>
      <w:r>
        <w:rPr>
          <w:rFonts w:ascii="MS PGothic" w:cs="MS PGothic" w:eastAsia="MS PGothic" w:hAnsi="MS PGothic"/>
          <w:sz w:val="20"/>
          <w:szCs w:val="20"/>
          <w:color w:val="auto"/>
        </w:rPr>
        <w:t>‑</w:t>
      </w:r>
    </w:p>
    <w:p>
      <w:pPr>
        <w:sectPr>
          <w:pgSz w:w="11900" w:h="16838" w:orient="portrait"/>
          <w:cols w:equalWidth="0" w:num="1">
            <w:col w:w="11420"/>
          </w:cols>
          <w:pgMar w:left="240" w:top="794" w:right="239" w:bottom="1440" w:gutter="0" w:footer="0" w:header="0"/>
        </w:sectPr>
      </w:pPr>
    </w:p>
    <w:bookmarkStart w:id="408" w:name="page409"/>
    <w:bookmarkEnd w:id="408"/>
    <w:p>
      <w:pPr>
        <w:jc w:val="both"/>
        <w:spacing w:after="0" w:line="272" w:lineRule="auto"/>
        <w:rPr>
          <w:sz w:val="20"/>
          <w:szCs w:val="20"/>
          <w:color w:val="auto"/>
        </w:rPr>
      </w:pPr>
      <w:r>
        <w:rPr>
          <w:rFonts w:ascii="Arial" w:cs="Arial" w:eastAsia="Arial" w:hAnsi="Arial"/>
          <w:sz w:val="20"/>
          <w:szCs w:val="20"/>
          <w:color w:val="auto"/>
        </w:rPr>
        <w:t>(for purposes of ERISA Section 3(42) or otherwise for purposes of Title I of ERISA or Section 4975 of the Code) the assets of any such “employee benefit plan” or “plan.</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has the meaning specified in the introductory paragraph hereto.</w:t>
      </w:r>
    </w:p>
    <w:p>
      <w:pPr>
        <w:spacing w:after="0" w:line="207" w:lineRule="exact"/>
        <w:rPr>
          <w:sz w:val="20"/>
          <w:szCs w:val="20"/>
          <w:color w:val="auto"/>
        </w:rPr>
      </w:pPr>
    </w:p>
    <w:p>
      <w:pPr>
        <w:jc w:val="both"/>
        <w:ind w:firstLine="599"/>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 Limited Partnership Agreement</w:t>
      </w:r>
      <w:r>
        <w:rPr>
          <w:rFonts w:ascii="Arial" w:cs="Arial" w:eastAsia="Arial" w:hAnsi="Arial"/>
          <w:sz w:val="19"/>
          <w:szCs w:val="19"/>
          <w:color w:val="auto"/>
        </w:rPr>
        <w:t>” means the Amended and Restated Limited Partnership Agreement of the Borrower, dated as of January 19, 2011, among the REIT, as general partner, and the limited partners from time to time party thereto.</w:t>
      </w:r>
    </w:p>
    <w:p>
      <w:pPr>
        <w:spacing w:after="0" w:line="13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xml:space="preserve">” means a borrowing consisting of simultaneous Term Loans of the same Type and, in the case of Eurodollar Rate Loans, having the same Interest Period made by each of the Lenders pursuant to </w:t>
      </w:r>
      <w:r>
        <w:rPr>
          <w:rFonts w:ascii="Arial" w:cs="Arial" w:eastAsia="Arial" w:hAnsi="Arial"/>
          <w:sz w:val="20"/>
          <w:szCs w:val="20"/>
          <w:u w:val="single" w:color="auto"/>
          <w:color w:val="auto"/>
        </w:rPr>
        <w:t>Section 2.01</w:t>
      </w:r>
      <w:r>
        <w:rPr>
          <w:rFonts w:ascii="Arial" w:cs="Arial" w:eastAsia="Arial" w:hAnsi="Arial"/>
          <w:sz w:val="20"/>
          <w:szCs w:val="20"/>
          <w:color w:val="auto"/>
        </w:rPr>
        <w:t>.</w:t>
      </w:r>
    </w:p>
    <w:p>
      <w:pPr>
        <w:spacing w:after="0" w:line="153"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that is also a London Banking Day.</w:t>
      </w:r>
    </w:p>
    <w:p>
      <w:pPr>
        <w:spacing w:after="0" w:line="164"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Capitalized Leases</w:t>
      </w:r>
      <w:r>
        <w:rPr>
          <w:rFonts w:ascii="Arial" w:cs="Arial" w:eastAsia="Arial" w:hAnsi="Arial"/>
          <w:sz w:val="20"/>
          <w:szCs w:val="20"/>
          <w:color w:val="auto"/>
        </w:rPr>
        <w:t>” means all leases that have been or should be, in accordance with GAAP (for the avoidance of doubt, subject to the last sentence of Section 1.03(b)), recorded as capitalized leases.</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Equivalents</w:t>
      </w:r>
      <w:r>
        <w:rPr>
          <w:rFonts w:ascii="Arial" w:cs="Arial" w:eastAsia="Arial" w:hAnsi="Arial"/>
          <w:sz w:val="20"/>
          <w:szCs w:val="20"/>
          <w:color w:val="auto"/>
        </w:rPr>
        <w:t>” means any of the following types of Investments:</w:t>
      </w:r>
    </w:p>
    <w:p>
      <w:pPr>
        <w:spacing w:after="0" w:line="207" w:lineRule="exact"/>
        <w:rPr>
          <w:sz w:val="20"/>
          <w:szCs w:val="20"/>
          <w:color w:val="auto"/>
        </w:rPr>
      </w:pPr>
    </w:p>
    <w:p>
      <w:pPr>
        <w:jc w:val="both"/>
        <w:ind w:left="600" w:firstLine="599"/>
        <w:spacing w:after="0" w:line="260" w:lineRule="auto"/>
        <w:tabs>
          <w:tab w:leader="none" w:pos="1662" w:val="left"/>
        </w:tabs>
        <w:numPr>
          <w:ilvl w:val="0"/>
          <w:numId w:val="476"/>
        </w:numPr>
        <w:rPr>
          <w:rFonts w:ascii="Arial" w:cs="Arial" w:eastAsia="Arial" w:hAnsi="Arial"/>
          <w:sz w:val="20"/>
          <w:szCs w:val="20"/>
          <w:color w:val="auto"/>
        </w:rPr>
      </w:pPr>
      <w:r>
        <w:rPr>
          <w:rFonts w:ascii="Arial" w:cs="Arial" w:eastAsia="Arial" w:hAnsi="Arial"/>
          <w:sz w:val="20"/>
          <w:szCs w:val="20"/>
          <w:color w:val="auto"/>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full faith and credit of the United States of America is pledged in support thereof;</w:t>
      </w:r>
    </w:p>
    <w:p>
      <w:pPr>
        <w:spacing w:after="0" w:line="164" w:lineRule="exact"/>
        <w:rPr>
          <w:rFonts w:ascii="Arial" w:cs="Arial" w:eastAsia="Arial" w:hAnsi="Arial"/>
          <w:sz w:val="20"/>
          <w:szCs w:val="20"/>
          <w:color w:val="auto"/>
        </w:rPr>
      </w:pPr>
    </w:p>
    <w:p>
      <w:pPr>
        <w:jc w:val="both"/>
        <w:ind w:left="600" w:firstLine="599"/>
        <w:spacing w:after="0" w:line="268" w:lineRule="auto"/>
        <w:tabs>
          <w:tab w:leader="none" w:pos="1704" w:val="left"/>
        </w:tabs>
        <w:numPr>
          <w:ilvl w:val="0"/>
          <w:numId w:val="476"/>
        </w:numPr>
        <w:rPr>
          <w:rFonts w:ascii="Arial" w:cs="Arial" w:eastAsia="Arial" w:hAnsi="Arial"/>
          <w:sz w:val="19"/>
          <w:szCs w:val="19"/>
          <w:color w:val="auto"/>
        </w:rPr>
      </w:pPr>
      <w:r>
        <w:rPr>
          <w:rFonts w:ascii="Arial" w:cs="Arial" w:eastAsia="Arial" w:hAnsi="Arial"/>
          <w:sz w:val="19"/>
          <w:szCs w:val="19"/>
          <w:color w:val="auto"/>
        </w:rPr>
        <w:t>time deposits with, or insured certificates of deposit or bankers’ acceptances of,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clause (c) of this definition and (iii) has combined capital and surplus of at least $500,000,000, in each case with maturities of not more than one year from the date of acquisition thereof;</w:t>
      </w:r>
    </w:p>
    <w:p>
      <w:pPr>
        <w:spacing w:after="0" w:line="159" w:lineRule="exact"/>
        <w:rPr>
          <w:rFonts w:ascii="Arial" w:cs="Arial" w:eastAsia="Arial" w:hAnsi="Arial"/>
          <w:sz w:val="19"/>
          <w:szCs w:val="19"/>
          <w:color w:val="auto"/>
        </w:rPr>
      </w:pPr>
    </w:p>
    <w:p>
      <w:pPr>
        <w:jc w:val="both"/>
        <w:ind w:left="600" w:firstLine="599"/>
        <w:spacing w:after="0" w:line="260" w:lineRule="auto"/>
        <w:tabs>
          <w:tab w:leader="none" w:pos="1629" w:val="left"/>
        </w:tabs>
        <w:numPr>
          <w:ilvl w:val="0"/>
          <w:numId w:val="476"/>
        </w:numPr>
        <w:rPr>
          <w:rFonts w:ascii="Arial" w:cs="Arial" w:eastAsia="Arial" w:hAnsi="Arial"/>
          <w:sz w:val="20"/>
          <w:szCs w:val="20"/>
          <w:color w:val="auto"/>
        </w:rPr>
      </w:pPr>
      <w:r>
        <w:rPr>
          <w:rFonts w:ascii="Arial" w:cs="Arial" w:eastAsia="Arial" w:hAnsi="Arial"/>
          <w:sz w:val="20"/>
          <w:szCs w:val="20"/>
          <w:color w:val="auto"/>
        </w:rPr>
        <w:t>commercial paper issued by any Person organized under the laws of any state of the United States of America and rated at least “Prime-2” (or the then equivalent grade) by Moody’s or at least “A-2” (or the then equivalent grade) by S&amp;P, in each case with maturities of not more than 270 days from the date of acquisition thereof;</w:t>
      </w:r>
    </w:p>
    <w:p>
      <w:pPr>
        <w:spacing w:after="0" w:line="164" w:lineRule="exact"/>
        <w:rPr>
          <w:rFonts w:ascii="Arial" w:cs="Arial" w:eastAsia="Arial" w:hAnsi="Arial"/>
          <w:sz w:val="20"/>
          <w:szCs w:val="20"/>
          <w:color w:val="auto"/>
        </w:rPr>
      </w:pPr>
    </w:p>
    <w:p>
      <w:pPr>
        <w:jc w:val="both"/>
        <w:ind w:left="600" w:firstLine="599"/>
        <w:spacing w:after="0" w:line="273" w:lineRule="auto"/>
        <w:tabs>
          <w:tab w:leader="none" w:pos="1678" w:val="left"/>
        </w:tabs>
        <w:numPr>
          <w:ilvl w:val="0"/>
          <w:numId w:val="476"/>
        </w:numPr>
        <w:rPr>
          <w:rFonts w:ascii="Arial" w:cs="Arial" w:eastAsia="Arial" w:hAnsi="Arial"/>
          <w:sz w:val="19"/>
          <w:szCs w:val="19"/>
          <w:color w:val="auto"/>
        </w:rPr>
      </w:pPr>
      <w:r>
        <w:rPr>
          <w:rFonts w:ascii="Arial" w:cs="Arial" w:eastAsia="Arial" w:hAnsi="Arial"/>
          <w:sz w:val="19"/>
          <w:szCs w:val="19"/>
          <w:color w:val="auto"/>
        </w:rPr>
        <w:t>Investments, classified in accordance with GAAP as current assets of the Borrower or any of its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clauses (a), (b) and (c) of this definition; and</w:t>
      </w:r>
    </w:p>
    <w:p>
      <w:pPr>
        <w:spacing w:after="0" w:line="39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4</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09" w:name="page410"/>
    <w:bookmarkEnd w:id="409"/>
    <w:p>
      <w:pPr>
        <w:jc w:val="both"/>
        <w:ind w:left="600" w:firstLine="599"/>
        <w:spacing w:after="0" w:line="280" w:lineRule="auto"/>
        <w:tabs>
          <w:tab w:leader="none" w:pos="1626" w:val="left"/>
        </w:tabs>
        <w:numPr>
          <w:ilvl w:val="0"/>
          <w:numId w:val="477"/>
        </w:numPr>
        <w:rPr>
          <w:rFonts w:ascii="Arial" w:cs="Arial" w:eastAsia="Arial" w:hAnsi="Arial"/>
          <w:sz w:val="19"/>
          <w:szCs w:val="19"/>
          <w:color w:val="auto"/>
        </w:rPr>
      </w:pPr>
      <w:r>
        <w:rPr>
          <w:rFonts w:ascii="Arial" w:cs="Arial" w:eastAsia="Arial" w:hAnsi="Arial"/>
          <w:sz w:val="19"/>
          <w:szCs w:val="19"/>
          <w:color w:val="auto"/>
        </w:rPr>
        <w:t xml:space="preserve">Mortgage backed securities that are issued by the Government National Mortgage Association and fully guaranteed by the United States of America having maturities of not more than 30 years from the date of acquisition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full faith and credit of the United States of America is pledged in support thereof (“</w:t>
      </w:r>
      <w:r>
        <w:rPr>
          <w:rFonts w:ascii="Arial" w:cs="Arial" w:eastAsia="Arial" w:hAnsi="Arial"/>
          <w:sz w:val="19"/>
          <w:szCs w:val="19"/>
          <w:u w:val="single" w:color="auto"/>
          <w:color w:val="auto"/>
        </w:rPr>
        <w:t>GNMA Securities</w:t>
      </w:r>
      <w:r>
        <w:rPr>
          <w:rFonts w:ascii="Arial" w:cs="Arial" w:eastAsia="Arial" w:hAnsi="Arial"/>
          <w:sz w:val="19"/>
          <w:szCs w:val="19"/>
          <w:color w:val="auto"/>
        </w:rPr>
        <w:t>”).</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CERCLA</w:t>
      </w:r>
      <w:r>
        <w:rPr>
          <w:rFonts w:ascii="Arial" w:cs="Arial" w:eastAsia="Arial" w:hAnsi="Arial"/>
          <w:sz w:val="20"/>
          <w:szCs w:val="20"/>
          <w:color w:val="auto"/>
        </w:rPr>
        <w:t>” means the Comprehensive Environmental Response, Compensation and Liability Act of 1980.</w:t>
      </w:r>
    </w:p>
    <w:p>
      <w:pPr>
        <w:spacing w:after="0" w:line="207" w:lineRule="exact"/>
        <w:rPr>
          <w:sz w:val="20"/>
          <w:szCs w:val="20"/>
          <w:color w:val="auto"/>
        </w:rPr>
      </w:pPr>
    </w:p>
    <w:p>
      <w:pPr>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CERCLIS</w:t>
      </w:r>
      <w:r>
        <w:rPr>
          <w:rFonts w:ascii="Arial" w:cs="Arial" w:eastAsia="Arial" w:hAnsi="Arial"/>
          <w:sz w:val="20"/>
          <w:szCs w:val="20"/>
          <w:color w:val="auto"/>
        </w:rPr>
        <w:t>” means the Comprehensive Environmental Response, Compensation and Liability Information System maintained by the U.S. Environmental Protection Agency.</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w:t>
      </w:r>
      <w:r>
        <w:rPr>
          <w:rFonts w:ascii="Arial" w:cs="Arial" w:eastAsia="Arial" w:hAnsi="Arial"/>
          <w:sz w:val="20"/>
          <w:szCs w:val="20"/>
          <w:color w:val="auto"/>
        </w:rPr>
        <w:t>” means a Person that is a controlled foreign corporation under Section 957 of the Code.</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means the occurrence, after the date of this Agreement, of (x) any change in the Risk-Based Capital Guidelines, or</w:t>
      </w:r>
    </w:p>
    <w:p>
      <w:pPr>
        <w:spacing w:after="0" w:line="46" w:lineRule="exact"/>
        <w:rPr>
          <w:sz w:val="20"/>
          <w:szCs w:val="20"/>
          <w:color w:val="auto"/>
        </w:rPr>
      </w:pPr>
    </w:p>
    <w:p>
      <w:pPr>
        <w:jc w:val="both"/>
        <w:spacing w:after="0" w:line="263" w:lineRule="auto"/>
        <w:tabs>
          <w:tab w:leader="none" w:pos="293" w:val="left"/>
        </w:tabs>
        <w:numPr>
          <w:ilvl w:val="0"/>
          <w:numId w:val="478"/>
        </w:numPr>
        <w:rPr>
          <w:rFonts w:ascii="Arial" w:cs="Arial" w:eastAsia="Arial" w:hAnsi="Arial"/>
          <w:sz w:val="19"/>
          <w:szCs w:val="19"/>
          <w:color w:val="auto"/>
        </w:rPr>
      </w:pPr>
      <w:r>
        <w:rPr>
          <w:rFonts w:ascii="Arial" w:cs="Arial" w:eastAsia="Arial" w:hAnsi="Arial"/>
          <w:sz w:val="19"/>
          <w:szCs w:val="19"/>
          <w:color w:val="auto"/>
        </w:rPr>
        <w:t xml:space="preserve">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(x) the Dodd-Frank Wall Street Reform and Consumer Protection Act and all requests, rules, guidelines or directives thereunder or issued in connection therewith or in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 an event or series of events by which:</w:t>
      </w:r>
    </w:p>
    <w:p>
      <w:pPr>
        <w:spacing w:after="0" w:line="207" w:lineRule="exact"/>
        <w:rPr>
          <w:sz w:val="20"/>
          <w:szCs w:val="20"/>
          <w:color w:val="auto"/>
        </w:rPr>
      </w:pPr>
    </w:p>
    <w:p>
      <w:pPr>
        <w:jc w:val="both"/>
        <w:ind w:left="600" w:firstLine="599"/>
        <w:spacing w:after="0" w:line="282" w:lineRule="auto"/>
        <w:tabs>
          <w:tab w:leader="none" w:pos="1647"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other than the Permitted Holders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Arial" w:cs="Arial" w:eastAsia="Arial" w:hAnsi="Arial"/>
          <w:sz w:val="18"/>
          <w:szCs w:val="18"/>
          <w:u w:val="single" w:color="auto"/>
          <w:color w:val="auto"/>
        </w:rPr>
        <w:t>option right</w:t>
      </w:r>
      <w:r>
        <w:rPr>
          <w:rFonts w:ascii="Arial" w:cs="Arial" w:eastAsia="Arial" w:hAnsi="Arial"/>
          <w:sz w:val="18"/>
          <w:szCs w:val="18"/>
          <w:color w:val="auto"/>
        </w:rPr>
        <w:t>”)), directly or indirectly, of 35% or more of the equity securities of the REIT entitled to vote for members of the board of directors or equivalent governing body of the REIT on a fully-diluted basis (and taking into account all such securities that such person or group has the right to acquire pursuant to any option right); or</w:t>
      </w:r>
    </w:p>
    <w:p>
      <w:pPr>
        <w:spacing w:after="0" w:line="152" w:lineRule="exact"/>
        <w:rPr>
          <w:rFonts w:ascii="Arial" w:cs="Arial" w:eastAsia="Arial" w:hAnsi="Arial"/>
          <w:sz w:val="18"/>
          <w:szCs w:val="18"/>
          <w:color w:val="auto"/>
        </w:rPr>
      </w:pPr>
    </w:p>
    <w:p>
      <w:pPr>
        <w:jc w:val="both"/>
        <w:ind w:left="600" w:firstLine="599"/>
        <w:spacing w:after="0" w:line="286" w:lineRule="auto"/>
        <w:tabs>
          <w:tab w:leader="none" w:pos="1697" w:val="left"/>
        </w:tabs>
        <w:numPr>
          <w:ilvl w:val="0"/>
          <w:numId w:val="479"/>
        </w:numPr>
        <w:rPr>
          <w:rFonts w:ascii="Arial" w:cs="Arial" w:eastAsia="Arial" w:hAnsi="Arial"/>
          <w:sz w:val="18"/>
          <w:szCs w:val="18"/>
          <w:color w:val="auto"/>
        </w:rPr>
      </w:pPr>
      <w:r>
        <w:rPr>
          <w:rFonts w:ascii="Arial" w:cs="Arial" w:eastAsia="Arial" w:hAnsi="Arial"/>
          <w:sz w:val="18"/>
          <w:szCs w:val="18"/>
          <w:color w:val="auto"/>
        </w:rPr>
        <w:t xml:space="preserve">(i) the REIT shall cease to be the sole general partner of the Borrower or shall cease to own, directly, (x) 100% of the general partnership interests of the Borrower and (y) Equity Interests of the Borrower representing a majority of the total economic interests of the Equity Interests of the Borrower, in each case free and clear of all Liens (other than Permitted Judgment Liens and Liens permitted under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or (ii) any holder of a limited partnership interest in the Borrower is provided with or obtains voting rights with respect to such limited partnership interest that deprive the REIT, in its capacity as general partner of the Borrower, of its right to manage the Borrower in the ordinary course of business and consistent with past practice.</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4.01</w:t>
      </w:r>
      <w:r>
        <w:rPr>
          <w:rFonts w:ascii="Arial" w:cs="Arial" w:eastAsia="Arial" w:hAnsi="Arial"/>
          <w:sz w:val="20"/>
          <w:szCs w:val="20"/>
          <w:color w:val="auto"/>
        </w:rPr>
        <w:t>.</w:t>
      </w:r>
    </w:p>
    <w:p>
      <w:pPr>
        <w:spacing w:after="0" w:line="200" w:lineRule="exact"/>
        <w:rPr>
          <w:sz w:val="20"/>
          <w:szCs w:val="20"/>
          <w:color w:val="auto"/>
        </w:rPr>
      </w:pPr>
    </w:p>
    <w:p>
      <w:pPr>
        <w:spacing w:after="0" w:line="244"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5</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10" w:name="page411"/>
    <w:bookmarkEnd w:id="410"/>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w:t>
      </w:r>
    </w:p>
    <w:p>
      <w:pPr>
        <w:spacing w:after="0" w:line="207"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xml:space="preserve">” means, as to each Lender, its obligation to make a Term Loan to the Borrower pursuant to </w:t>
      </w:r>
      <w:r>
        <w:rPr>
          <w:rFonts w:ascii="Arial" w:cs="Arial" w:eastAsia="Arial" w:hAnsi="Arial"/>
          <w:sz w:val="20"/>
          <w:szCs w:val="20"/>
          <w:u w:val="single" w:color="auto"/>
          <w:color w:val="auto"/>
        </w:rPr>
        <w:t>Section 2.01</w:t>
      </w:r>
      <w:r>
        <w:rPr>
          <w:rFonts w:ascii="Arial" w:cs="Arial" w:eastAsia="Arial" w:hAnsi="Arial"/>
          <w:sz w:val="20"/>
          <w:szCs w:val="20"/>
          <w:color w:val="auto"/>
        </w:rPr>
        <w:t xml:space="preserve"> in an aggregate principal amount equal to the amount set forth opposite such Lender’s name on </w:t>
      </w: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under the caption “Commitment” or opposite such caption in the Assignment and Assumption or Joinder Agreement pursuant to which such Lender becomes a party hereto, as applicable, as such amount may be adjusted from time to time in accordance with this Agreement. On the Closing Date, the aggregate amount of the Commitments is $100,000,000.</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53" w:lineRule="exact"/>
        <w:rPr>
          <w:sz w:val="20"/>
          <w:szCs w:val="20"/>
          <w:color w:val="auto"/>
        </w:rPr>
      </w:pPr>
    </w:p>
    <w:p>
      <w:pPr>
        <w:jc w:val="both"/>
        <w:ind w:firstLine="599"/>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EBITDA</w:t>
      </w:r>
      <w:r>
        <w:rPr>
          <w:rFonts w:ascii="Arial" w:cs="Arial" w:eastAsia="Arial" w:hAnsi="Arial"/>
          <w:sz w:val="19"/>
          <w:szCs w:val="19"/>
          <w:color w:val="auto"/>
        </w:rPr>
        <w:t xml:space="preserve">” means, for any period, without duplication, an amount equal to Consolidated Net Income for such period (a)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following to the extent deducted in calculating such Consolidated Net Income: (i) Consolidated Interest Expense (plus, to the extent not already included in such Consolidated Interest Expense, amortization of deferred financing costs), (ii) the provision for federal, state, local and foreign income taxes of the Consolidated Group (including the Consolidated Group Pro Rata Share of the provision for Federal, state, local and foreign incomes taxes of each Unconsolidated Affiliate), (iii) non-cash charges of the Consolidated Group (excluding any non-cash charge that results in an accrual of a reserve for a cash charge in any future period), (iv) the Consolidated Group Pro Rata Share of non-cash charges of Unconsolidated Affiliates (excluding any non-cash charge that results in an accrual of a reserve for a cash charge in any future period), (v) acquisition closing costs of the Consolidated Group that were capitalized prior to FAS 141-R reducing such Consolidated Net Income (including the Consolidated Group Pro Rata Share of acquisition closing costs of Unconsolidated Affiliates that were capitalized prior to FAS 141-R reducing such Consolidated Net Income), (vi) depreciation and amortization expense of the Consolidated Group (including the Consolidated Group Pro Rata Share of depreciation and amortization expense of each Unconsolidated Affiliate) and (vii) one-time costs and expenses relating to the effectiveness of the credit facilities evidenced by this Agreement and the transactions relating thereto, to the extent such fees and expenses are incurred on or prior to the date that is ninety-days following the Closing Date and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(b)(i) non-cash items of the Consolidated Group increasing such Consolidated Net Income (other than the reversal of any accrual of a reserve referred to in the parenthetical in clause (a)(iii) of this definition, except to the extent such reversal results from a cash payment) and (ii) the Consolidated Group Pro Rata Share of non-cash items of Unconsolidated Affiliates increasing such Consolidated Net Income (other than the reversal of any accrual of a reserve referred to in the parenthetical in clause (a)(iv) of this definition, except to the extent such reversal results from a cash payment).</w:t>
      </w:r>
    </w:p>
    <w:p>
      <w:pPr>
        <w:spacing w:after="0" w:line="178"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Fixed Charge Coverage Ratio</w:t>
      </w:r>
      <w:r>
        <w:rPr>
          <w:rFonts w:ascii="Arial" w:cs="Arial" w:eastAsia="Arial" w:hAnsi="Arial"/>
          <w:sz w:val="20"/>
          <w:szCs w:val="20"/>
          <w:color w:val="auto"/>
        </w:rPr>
        <w:t>” means the ratio as of the last day of any fiscal quarter of the REIT of (i) Consolidated EBITDA for the four consecutive fiscal quarter period of the REIT then ending to (ii) Consolidated Fixed Charges for such four consecutive fiscal quarter period.</w:t>
      </w:r>
    </w:p>
    <w:p>
      <w:pPr>
        <w:spacing w:after="0" w:line="164"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Fixed Charges</w:t>
      </w:r>
      <w:r>
        <w:rPr>
          <w:rFonts w:ascii="Arial" w:cs="Arial" w:eastAsia="Arial" w:hAnsi="Arial"/>
          <w:sz w:val="20"/>
          <w:szCs w:val="20"/>
          <w:color w:val="auto"/>
        </w:rPr>
        <w:t>” means, for any period, the sum, without duplication, of (i) Consolidated Interest Expense, (ii) scheduled payments of principal on Consolidated Total Indebtedness (excluding any balloon payments payable on maturity of any such Consolidated Total Indebtedness), (iii) the amount of dividends or distributions paid or required to be paid by any member of the Consolidated Group (other than to another member of the Consolidated Group) during such period in respect of its preferred Equity Interests (excluding any balloon payments payable on maturity or redemption in whole of such Equity Interests) and (iv) the Consolidated Group Pro Rata Share of the amount of dividends or distributions paid or required to be paid by any Unconsolidated Affiliate during such period in respect of its preferred Equity Interests (to</w:t>
      </w:r>
    </w:p>
    <w:p>
      <w:pPr>
        <w:spacing w:after="0" w:line="200" w:lineRule="exact"/>
        <w:rPr>
          <w:sz w:val="20"/>
          <w:szCs w:val="20"/>
          <w:color w:val="auto"/>
        </w:rPr>
      </w:pPr>
    </w:p>
    <w:p>
      <w:pPr>
        <w:spacing w:after="0" w:line="21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6</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11" w:name="page412"/>
    <w:bookmarkEnd w:id="411"/>
    <w:p>
      <w:pPr>
        <w:jc w:val="both"/>
        <w:spacing w:after="0" w:line="260" w:lineRule="auto"/>
        <w:rPr>
          <w:sz w:val="20"/>
          <w:szCs w:val="20"/>
          <w:color w:val="auto"/>
        </w:rPr>
      </w:pPr>
      <w:r>
        <w:rPr>
          <w:rFonts w:ascii="Arial" w:cs="Arial" w:eastAsia="Arial" w:hAnsi="Arial"/>
          <w:sz w:val="20"/>
          <w:szCs w:val="20"/>
          <w:color w:val="auto"/>
        </w:rPr>
        <w:t>Persons other than (x) a member of the Consolidated Group or (y) an Unconsolidated Affiliate in which the percentage of Equity Interests of such Unconsolidated Affiliate owned by the Consolidated Group is greater than or equal to the percentage of Equity Interests owned by the Consolidated Group in the Unconsolidated Affiliate paying the dividend or distribution).</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Group</w:t>
      </w:r>
      <w:r>
        <w:rPr>
          <w:rFonts w:ascii="Arial" w:cs="Arial" w:eastAsia="Arial" w:hAnsi="Arial"/>
          <w:sz w:val="20"/>
          <w:szCs w:val="20"/>
          <w:color w:val="auto"/>
        </w:rPr>
        <w:t>” means, collectively, the REIT and its Consolidated Subsidiaries.</w:t>
      </w:r>
    </w:p>
    <w:p>
      <w:pPr>
        <w:spacing w:after="0" w:line="207"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Group Pro Rata Share</w:t>
      </w:r>
      <w:r>
        <w:rPr>
          <w:rFonts w:ascii="Arial" w:cs="Arial" w:eastAsia="Arial" w:hAnsi="Arial"/>
          <w:sz w:val="20"/>
          <w:szCs w:val="20"/>
          <w:color w:val="auto"/>
        </w:rPr>
        <w:t>” means, with respect to any Unconsolidated Affiliate, the aggregate percentage interest held by members of the Consolidated Group in such Unconsolidated Affiliate determined by calculating the percentage of Equity Interests of such Unconsolidated Affiliate owned by members of the Consolidated Group.</w:t>
      </w:r>
    </w:p>
    <w:p>
      <w:pPr>
        <w:spacing w:after="0" w:line="164" w:lineRule="exact"/>
        <w:rPr>
          <w:sz w:val="20"/>
          <w:szCs w:val="20"/>
          <w:color w:val="auto"/>
        </w:rPr>
      </w:pPr>
    </w:p>
    <w:p>
      <w:pPr>
        <w:jc w:val="both"/>
        <w:ind w:firstLine="59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Expense</w:t>
      </w:r>
      <w:r>
        <w:rPr>
          <w:rFonts w:ascii="Arial" w:cs="Arial" w:eastAsia="Arial" w:hAnsi="Arial"/>
          <w:sz w:val="19"/>
          <w:szCs w:val="19"/>
          <w:color w:val="auto"/>
        </w:rPr>
        <w:t>” means, for any period, without duplication, the sum of (i) total cash interest expense (including, for the avoidance of doubt, capitalized interest) of the Consolidated Group for such period determined on a consolidated basis in accordance with GAAP plus (ii) the Consolidated Group Pro Rata Share of total cash interest expense (including, for the avoidance of doubt, capitalized interest) of each Unconsolidated Affiliate for such period determined in accordance with GAAP.</w:t>
      </w:r>
    </w:p>
    <w:p>
      <w:pPr>
        <w:spacing w:after="0" w:line="155" w:lineRule="exact"/>
        <w:rPr>
          <w:sz w:val="20"/>
          <w:szCs w:val="20"/>
          <w:color w:val="auto"/>
        </w:rPr>
      </w:pPr>
    </w:p>
    <w:p>
      <w:pPr>
        <w:jc w:val="both"/>
        <w:ind w:firstLine="599"/>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with respect to any period, the sum of (i) the net income (or loss) of the Consolidated Group for such period determined on a consolidated basis in accordance with GAAP, excluding any extraordinary or non-recurring gain (or extraordinary or non-recurring loss) realized during such period by any member of the Consolidated Group plus (ii) the Consolidated Group Pro Rata Share of the net income (or loss) of each Unconsolidated Affiliate for such period determined in accordance with GAAP, excluding any extraordinary or non-recurring gain (or extraordinary or non-recurring loss) realized during such period by such Unconsolidated Affiliate.</w:t>
      </w:r>
    </w:p>
    <w:p>
      <w:pPr>
        <w:spacing w:after="0" w:line="144"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Secured Leverage Ratio</w:t>
      </w:r>
      <w:r>
        <w:rPr>
          <w:rFonts w:ascii="Arial" w:cs="Arial" w:eastAsia="Arial" w:hAnsi="Arial"/>
          <w:sz w:val="20"/>
          <w:szCs w:val="20"/>
          <w:color w:val="auto"/>
        </w:rPr>
        <w:t>” means, as of any date of determination, the ratio (expressed as a percentage) of (i) Consolidated Total Secured Indebtedness as of such date to (ii) the Secured Total Asset Value as of such date.</w:t>
      </w:r>
    </w:p>
    <w:p>
      <w:pPr>
        <w:spacing w:after="0" w:line="153"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Subsidiaries</w:t>
      </w:r>
      <w:r>
        <w:rPr>
          <w:rFonts w:ascii="Arial" w:cs="Arial" w:eastAsia="Arial" w:hAnsi="Arial"/>
          <w:sz w:val="20"/>
          <w:szCs w:val="20"/>
          <w:color w:val="auto"/>
        </w:rPr>
        <w:t>” means, as to any Person, all Subsidiaries of such Person that are consolidated with such Person for financial reporting purposes under GAAP.</w:t>
      </w:r>
    </w:p>
    <w:p>
      <w:pPr>
        <w:spacing w:after="0" w:line="153"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Indebtedness</w:t>
      </w:r>
      <w:r>
        <w:rPr>
          <w:rFonts w:ascii="Arial" w:cs="Arial" w:eastAsia="Arial" w:hAnsi="Arial"/>
          <w:sz w:val="20"/>
          <w:szCs w:val="20"/>
          <w:color w:val="auto"/>
        </w:rPr>
        <w:t>” means, as at any date of determination, the sum of (i) the aggregate amount of all Indebtedness owed by the Consolidated Group that would be reflected on a consolidated balance sheet of the Consolidated Group as of such date plus (ii) the Consolidated Group Pro Rata Share of the aggregate amount of all Indebtedness owed by each Unconsolidated Affiliate that would be reflected on a balance sheet of such Unconsolidated Affiliate.</w:t>
      </w:r>
    </w:p>
    <w:p>
      <w:pPr>
        <w:spacing w:after="0" w:line="168" w:lineRule="exact"/>
        <w:rPr>
          <w:sz w:val="20"/>
          <w:szCs w:val="20"/>
          <w:color w:val="auto"/>
        </w:rPr>
      </w:pPr>
    </w:p>
    <w:p>
      <w:pPr>
        <w:jc w:val="both"/>
        <w:ind w:firstLine="599"/>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Leverage Ratio</w:t>
      </w:r>
      <w:r>
        <w:rPr>
          <w:rFonts w:ascii="Arial" w:cs="Arial" w:eastAsia="Arial" w:hAnsi="Arial"/>
          <w:sz w:val="18"/>
          <w:szCs w:val="18"/>
          <w:color w:val="auto"/>
        </w:rPr>
        <w:t xml:space="preserve">” means, as of any date of determination, the ratio (expressed as a percentage) of (i) Consolidated Total Indebtedness as of such date,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the Unrestricted Cash Amount as of such date to (ii) the Total Asset Value as of such date.</w:t>
      </w:r>
    </w:p>
    <w:p>
      <w:pPr>
        <w:spacing w:after="0" w:line="107"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Secured Indebtedness</w:t>
      </w:r>
      <w:r>
        <w:rPr>
          <w:rFonts w:ascii="Arial" w:cs="Arial" w:eastAsia="Arial" w:hAnsi="Arial"/>
          <w:sz w:val="20"/>
          <w:szCs w:val="20"/>
          <w:color w:val="auto"/>
        </w:rPr>
        <w:t>” means, as at any date of determination, the sum of (i) the aggregate amount of all Secured Indebtedness owed by members of the Consolidated Group (excluding in any event Indebtedness outstanding under this Agreement) that would be reflected on a consolidated balance sheet of the Consolidated Group as of such date plus (ii) the Consolidated Group Pro Rata Share of the aggregate amount of all Secured Indebtedness owed by each Unconsolidated Affiliate that would be reflected on a balance sheet of such Unconsolidated Affiliate.</w:t>
      </w:r>
    </w:p>
    <w:p>
      <w:pPr>
        <w:spacing w:after="0" w:line="200" w:lineRule="exact"/>
        <w:rPr>
          <w:sz w:val="20"/>
          <w:szCs w:val="20"/>
          <w:color w:val="auto"/>
        </w:rPr>
      </w:pPr>
    </w:p>
    <w:p>
      <w:pPr>
        <w:spacing w:after="0" w:line="21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7</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12" w:name="page413"/>
    <w:bookmarkEnd w:id="412"/>
    <w:p>
      <w:pPr>
        <w:jc w:val="both"/>
        <w:ind w:firstLine="59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Unsecured Indebtedness</w:t>
      </w:r>
      <w:r>
        <w:rPr>
          <w:rFonts w:ascii="Arial" w:cs="Arial" w:eastAsia="Arial" w:hAnsi="Arial"/>
          <w:sz w:val="20"/>
          <w:szCs w:val="20"/>
          <w:color w:val="auto"/>
        </w:rPr>
        <w:t>” means, as at any date of determination, the sum of (i) the aggregate amount of all Unsecured Indebtedness owed by members of the Consolidated Group (including Indebtedness outstanding under this Agreement) that would be reflected on a consolidated balance sheet of the Consolidated Group as of such date plus (ii) the Consolidated Group Pro Rata Share of the aggregate amount of all Unsecured Indebtedness owed by each Unconsolidated Affiliate that would be reflected on a balance sheet of such Unconsolidated Affiliate.</w:t>
      </w:r>
    </w:p>
    <w:p>
      <w:pPr>
        <w:spacing w:after="0" w:line="174"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Unsecured Interest Coverage Ratio</w:t>
      </w:r>
      <w:r>
        <w:rPr>
          <w:rFonts w:ascii="Arial" w:cs="Arial" w:eastAsia="Arial" w:hAnsi="Arial"/>
          <w:sz w:val="20"/>
          <w:szCs w:val="20"/>
          <w:color w:val="auto"/>
        </w:rPr>
        <w:t>” means the ratio as of the last day of any fiscal quarter of the REIT of (i) the sum of Unencumbered Property NOI of each Unencumbered Eligible Property for the fiscal quarter of the REIT then ending to (ii) Consolidated Unsecured Interest Expense for such fiscal quarter.</w:t>
      </w:r>
    </w:p>
    <w:p>
      <w:pPr>
        <w:spacing w:after="0" w:line="164" w:lineRule="exact"/>
        <w:rPr>
          <w:sz w:val="20"/>
          <w:szCs w:val="20"/>
          <w:color w:val="auto"/>
        </w:rPr>
      </w:pPr>
    </w:p>
    <w:p>
      <w:pPr>
        <w:jc w:val="both"/>
        <w:ind w:firstLine="599"/>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Unsecured Interest Expense</w:t>
      </w:r>
      <w:r>
        <w:rPr>
          <w:rFonts w:ascii="Arial" w:cs="Arial" w:eastAsia="Arial" w:hAnsi="Arial"/>
          <w:sz w:val="19"/>
          <w:szCs w:val="19"/>
          <w:color w:val="auto"/>
        </w:rPr>
        <w:t>” means, for any period, the portion of Consolidated Interest Expense for such period that was incurred in respect of Unsecured Indebtedness owed by any member of the Consolidated Group or an Unconsolidated Affiliate.</w:t>
      </w:r>
    </w:p>
    <w:p>
      <w:pPr>
        <w:spacing w:after="0" w:line="130"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Unsecured Leverage Ratio</w:t>
      </w:r>
      <w:r>
        <w:rPr>
          <w:rFonts w:ascii="Arial" w:cs="Arial" w:eastAsia="Arial" w:hAnsi="Arial"/>
          <w:sz w:val="20"/>
          <w:szCs w:val="20"/>
          <w:color w:val="auto"/>
        </w:rPr>
        <w:t xml:space="preserve">” means, as of any date of determination, the ratio (expressed as a percentage) of (i) Consolidated Total Unsecured Indebtedness as of such date, </w:t>
      </w:r>
      <w:r>
        <w:rPr>
          <w:rFonts w:ascii="Arial" w:cs="Arial" w:eastAsia="Arial" w:hAnsi="Arial"/>
          <w:sz w:val="20"/>
          <w:szCs w:val="20"/>
          <w:i w:val="1"/>
          <w:iCs w:val="1"/>
          <w:color w:val="auto"/>
        </w:rPr>
        <w:t>less</w:t>
      </w:r>
      <w:r>
        <w:rPr>
          <w:rFonts w:ascii="Arial" w:cs="Arial" w:eastAsia="Arial" w:hAnsi="Arial"/>
          <w:sz w:val="20"/>
          <w:szCs w:val="20"/>
          <w:color w:val="auto"/>
        </w:rPr>
        <w:t xml:space="preserve"> the Unrestricted Cash Amount as of such date to (ii) the Unencumbered Asset Value as of such date.</w:t>
      </w:r>
    </w:p>
    <w:p>
      <w:pPr>
        <w:spacing w:after="0" w:line="164"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53"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164" w:lineRule="exact"/>
        <w:rPr>
          <w:sz w:val="20"/>
          <w:szCs w:val="20"/>
          <w:color w:val="auto"/>
        </w:rPr>
      </w:pPr>
    </w:p>
    <w:p>
      <w:pPr>
        <w:jc w:val="both"/>
        <w:ind w:firstLine="599"/>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Joint Venture</w:t>
      </w:r>
      <w:r>
        <w:rPr>
          <w:rFonts w:ascii="Arial" w:cs="Arial" w:eastAsia="Arial" w:hAnsi="Arial"/>
          <w:sz w:val="18"/>
          <w:szCs w:val="18"/>
          <w:color w:val="auto"/>
        </w:rPr>
        <w:t>” means a Subsidiary of the Borrower that (a) is organized under the laws of the United States of America or any State thereof (and each Subsidiary of the Borrower that directly or indirectly owns any Equity Interests in such Subsidiary is also organized under the laws of the United States of America or any State thereof), (b) is not a Wholly Owned Subsidiary of the Borrower and (c) is controlled by a Wholly Owned Subsidiary of the Borrower that is not a borrower or guarantor of, or otherwise does not have a payment obligation in respect of, any Indebtedness for borrowed money that constitutes Recourse Indebtedness. For purposes of this definition, a Subsidiary of the Borrower is “controlled” by a Person if such Person has the right to exercise exclusive control over any disposition, refinancing and operating activity of any Unencumbered Portfolio Property owned or ground leased by such Subsidiary without the consent of any other Person (other than (i) the Borrower or (ii) any Subsidiary of the Borrower, as long as such Subsidiary does not need the consent of any minority equity holder thereof to consent to any disposition, refinancing or operating activity).</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Extension</w:t>
      </w:r>
      <w:r>
        <w:rPr>
          <w:rFonts w:ascii="Arial" w:cs="Arial" w:eastAsia="Arial" w:hAnsi="Arial"/>
          <w:sz w:val="20"/>
          <w:szCs w:val="20"/>
          <w:color w:val="auto"/>
        </w:rPr>
        <w:t>” means a Borrowing.</w:t>
      </w:r>
    </w:p>
    <w:p>
      <w:pPr>
        <w:spacing w:after="0" w:line="207"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Laws</w:t>
      </w:r>
      <w:r>
        <w:rPr>
          <w:rFonts w:ascii="Arial" w:cs="Arial" w:eastAsia="Arial" w:hAnsi="Arial"/>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64"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 Rating</w:t>
      </w:r>
      <w:r>
        <w:rPr>
          <w:rFonts w:ascii="Arial" w:cs="Arial" w:eastAsia="Arial" w:hAnsi="Arial"/>
          <w:sz w:val="20"/>
          <w:szCs w:val="20"/>
          <w:color w:val="auto"/>
        </w:rPr>
        <w:t>” means, as of any date of determination, the rating assigned by a Rating Agency to the Borrower’s non-credit enhanced, senior unsecured long term debt as in effect on such date.</w:t>
      </w:r>
    </w:p>
    <w:p>
      <w:pPr>
        <w:spacing w:after="0" w:line="390"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8</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13" w:name="page414"/>
    <w:bookmarkEnd w:id="413"/>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with the giving of any notice, the passage of time, or both, would be an Event of Default.</w:t>
      </w:r>
    </w:p>
    <w:p>
      <w:pPr>
        <w:spacing w:after="0" w:line="153"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Rate</w:t>
      </w:r>
      <w:r>
        <w:rPr>
          <w:rFonts w:ascii="Arial" w:cs="Arial" w:eastAsia="Arial" w:hAnsi="Arial"/>
          <w:sz w:val="20"/>
          <w:szCs w:val="20"/>
          <w:color w:val="auto"/>
        </w:rPr>
        <w:t xml:space="preserve">” means an interest rate equal to (i)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the Applicable Rate for Base Rate Loans (assuming that the Pricing Level corresponding to the highest Applicable Rate applied in the then applicable Pricing Grid)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(iii) 2% per annum;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with respect to a Term Loan that is a Eurodollar Rate Loan, the Default Rate shall be an interest rate equal to (i) the Eurodollar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the Applicable Rate for Eurodollar Rate Loans (assuming that the Pricing Level corresponding to the highest Applicable Rate applied in the then applicable Pricing Grid)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(iii) 2% per annum.</w:t>
      </w:r>
    </w:p>
    <w:p>
      <w:pPr>
        <w:spacing w:after="0" w:line="174" w:lineRule="exact"/>
        <w:rPr>
          <w:sz w:val="20"/>
          <w:szCs w:val="20"/>
          <w:color w:val="auto"/>
        </w:rPr>
      </w:pPr>
    </w:p>
    <w:p>
      <w:pPr>
        <w:jc w:val="both"/>
        <w:ind w:firstLine="59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2.19(b)</w:t>
      </w:r>
      <w:r>
        <w:rPr>
          <w:rFonts w:ascii="Arial" w:cs="Arial" w:eastAsia="Arial" w:hAnsi="Arial"/>
          <w:sz w:val="18"/>
          <w:szCs w:val="18"/>
          <w:color w:val="auto"/>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hereunder within two Business Days of the date when due, (b) has notified the Borrower and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clause (c) upon receipt of such written confirmation by the Administrative Agent and the Borrower), (d) has, or has a direct or indirect parent company that has, (i) become the subject of a proceeding under any Debtor Relief Law or</w:t>
      </w:r>
    </w:p>
    <w:p>
      <w:pPr>
        <w:spacing w:after="0" w:line="7" w:lineRule="exact"/>
        <w:rPr>
          <w:sz w:val="20"/>
          <w:szCs w:val="20"/>
          <w:color w:val="auto"/>
        </w:rPr>
      </w:pPr>
    </w:p>
    <w:p>
      <w:pPr>
        <w:jc w:val="both"/>
        <w:spacing w:after="0" w:line="262" w:lineRule="auto"/>
        <w:tabs>
          <w:tab w:leader="none" w:pos="296" w:val="left"/>
        </w:tabs>
        <w:numPr>
          <w:ilvl w:val="0"/>
          <w:numId w:val="480"/>
        </w:numPr>
        <w:rPr>
          <w:rFonts w:ascii="Arial" w:cs="Arial" w:eastAsia="Arial" w:hAnsi="Arial"/>
          <w:sz w:val="19"/>
          <w:szCs w:val="19"/>
          <w:color w:val="auto"/>
        </w:rPr>
      </w:pPr>
      <w:r>
        <w:rPr>
          <w:rFonts w:ascii="Arial" w:cs="Arial" w:eastAsia="Arial" w:hAnsi="Arial"/>
          <w:sz w:val="19"/>
          <w:szCs w:val="19"/>
          <w:color w:val="auto"/>
        </w:rPr>
        <w:t xml:space="preserve">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or (e) is, or has a direct or indirect parent company that is, subject to a Bail-In Action. Any determination by the Administrative Agent that a Lender is a Defaulting Lender under any one or more of clauses (a) through (e) above, and of the effective date of such status, shall be conclusive and binding absent manifest error, and such Lender shall be deemed to be a Defaulting Lender (subject to </w:t>
      </w:r>
      <w:r>
        <w:rPr>
          <w:rFonts w:ascii="Arial" w:cs="Arial" w:eastAsia="Arial" w:hAnsi="Arial"/>
          <w:sz w:val="19"/>
          <w:szCs w:val="19"/>
          <w:u w:val="single" w:color="auto"/>
          <w:color w:val="auto"/>
        </w:rPr>
        <w:t>Section 2.19(b)</w:t>
      </w:r>
      <w:r>
        <w:rPr>
          <w:rFonts w:ascii="Arial" w:cs="Arial" w:eastAsia="Arial" w:hAnsi="Arial"/>
          <w:sz w:val="19"/>
          <w:szCs w:val="19"/>
          <w:color w:val="auto"/>
        </w:rPr>
        <w:t>) as of the date established therefor by the Administrative Agent in a written notice of such determination, which shall be delivered by the Administrative Agent to the Borrower and each other Lender promptly following such determination.</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Development Investment</w:t>
      </w:r>
      <w:r>
        <w:rPr>
          <w:rFonts w:ascii="Arial" w:cs="Arial" w:eastAsia="Arial" w:hAnsi="Arial"/>
          <w:sz w:val="20"/>
          <w:szCs w:val="20"/>
          <w:color w:val="auto"/>
        </w:rPr>
        <w:t>” has the meaning specified in clause (a) of the definition of “Specified Investments”.</w:t>
      </w:r>
    </w:p>
    <w:p>
      <w:pPr>
        <w:spacing w:after="0" w:line="207" w:lineRule="exact"/>
        <w:rPr>
          <w:sz w:val="20"/>
          <w:szCs w:val="20"/>
          <w:color w:val="auto"/>
        </w:rPr>
      </w:pPr>
    </w:p>
    <w:p>
      <w:pPr>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Direct Owner</w:t>
      </w:r>
      <w:r>
        <w:rPr>
          <w:rFonts w:ascii="Arial" w:cs="Arial" w:eastAsia="Arial" w:hAnsi="Arial"/>
          <w:sz w:val="20"/>
          <w:szCs w:val="20"/>
          <w:color w:val="auto"/>
        </w:rPr>
        <w:t>” means each Subsidiary of the Borrower that directly owns, or is the ground lessee of an interest in, any Unencumbered Portfolio Property.</w:t>
      </w:r>
    </w:p>
    <w:p>
      <w:pPr>
        <w:spacing w:after="0" w:line="390"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9</w:t>
      </w:r>
      <w:r>
        <w:rPr>
          <w:rFonts w:ascii="MS PGothic" w:cs="MS PGothic" w:eastAsia="MS PGothic" w:hAnsi="MS PGothic"/>
          <w:sz w:val="20"/>
          <w:szCs w:val="20"/>
          <w:color w:val="auto"/>
        </w:rPr>
        <w:t>‑</w:t>
      </w:r>
    </w:p>
    <w:p>
      <w:pPr>
        <w:sectPr>
          <w:pgSz w:w="11900" w:h="16838" w:orient="portrait"/>
          <w:cols w:equalWidth="0" w:num="1">
            <w:col w:w="11420"/>
          </w:cols>
          <w:pgMar w:left="240" w:top="794" w:right="239" w:bottom="1440" w:gutter="0" w:footer="0" w:header="0"/>
        </w:sectPr>
      </w:pPr>
    </w:p>
    <w:bookmarkStart w:id="414" w:name="page415"/>
    <w:bookmarkEnd w:id="414"/>
    <w:p>
      <w:pPr>
        <w:jc w:val="both"/>
        <w:ind w:firstLine="599"/>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Disposed Portfolio Property</w:t>
      </w:r>
      <w:r>
        <w:rPr>
          <w:rFonts w:ascii="Arial" w:cs="Arial" w:eastAsia="Arial" w:hAnsi="Arial"/>
          <w:sz w:val="18"/>
          <w:szCs w:val="18"/>
          <w:color w:val="auto"/>
        </w:rPr>
        <w:t xml:space="preserve">” means, as of any date of determination, any Portfolio Property that is directly or indirectly disposed of by any member of the Consolidated Group to a Person that is not a member of the Consolidated Group during the then most recently ended fiscal quarter of the REIT for which financial statements have been provided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30" w:lineRule="exact"/>
        <w:rPr>
          <w:sz w:val="20"/>
          <w:szCs w:val="20"/>
          <w:color w:val="auto"/>
        </w:rPr>
      </w:pPr>
    </w:p>
    <w:p>
      <w:pPr>
        <w:jc w:val="both"/>
        <w:ind w:firstLine="599"/>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(other than a real estate lease entered into in the ordinary course of business) or other disposition (including any sale and leaseback transaction) of any property by any Person, including any sale, assignment, transfer or other disposal, with or without recourse, of any notes or accounts receivable or any rights and claims associated therewith.</w:t>
      </w:r>
    </w:p>
    <w:p>
      <w:pPr>
        <w:spacing w:after="0" w:line="13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pacing w:after="0" w:line="207" w:lineRule="exact"/>
        <w:rPr>
          <w:sz w:val="20"/>
          <w:szCs w:val="20"/>
          <w:color w:val="auto"/>
        </w:rPr>
      </w:pPr>
    </w:p>
    <w:p>
      <w:pPr>
        <w:ind w:right="440" w:firstLine="599"/>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207" w:lineRule="exact"/>
        <w:rPr>
          <w:sz w:val="20"/>
          <w:szCs w:val="20"/>
          <w:color w:val="auto"/>
        </w:rPr>
      </w:pPr>
    </w:p>
    <w:p>
      <w:pPr>
        <w:ind w:right="40" w:firstLine="599"/>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30"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xml:space="preserve">” means any Person that meets the requirements to be an assignee under </w:t>
      </w:r>
      <w:r>
        <w:rPr>
          <w:rFonts w:ascii="Arial" w:cs="Arial" w:eastAsia="Arial" w:hAnsi="Arial"/>
          <w:sz w:val="20"/>
          <w:szCs w:val="20"/>
          <w:u w:val="single" w:color="auto"/>
          <w:color w:val="auto"/>
        </w:rPr>
        <w:t>Section 10.06(b)(iii)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10.06(b)(iii)</w:t>
      </w:r>
      <w:r>
        <w:rPr>
          <w:rFonts w:ascii="Arial" w:cs="Arial" w:eastAsia="Arial" w:hAnsi="Arial"/>
          <w:sz w:val="20"/>
          <w:szCs w:val="20"/>
          <w:color w:val="auto"/>
        </w:rPr>
        <w:t>).</w:t>
      </w:r>
    </w:p>
    <w:p>
      <w:pPr>
        <w:spacing w:after="0" w:line="153" w:lineRule="exact"/>
        <w:rPr>
          <w:sz w:val="20"/>
          <w:szCs w:val="20"/>
          <w:color w:val="auto"/>
        </w:rPr>
      </w:pPr>
    </w:p>
    <w:p>
      <w:pPr>
        <w:jc w:val="both"/>
        <w:ind w:firstLine="599"/>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Ground Lease</w:t>
      </w:r>
      <w:r>
        <w:rPr>
          <w:rFonts w:ascii="Arial" w:cs="Arial" w:eastAsia="Arial" w:hAnsi="Arial"/>
          <w:sz w:val="18"/>
          <w:szCs w:val="18"/>
          <w:color w:val="auto"/>
        </w:rPr>
        <w:t>” means a ground lease with respect to a Portfolio Property executed by a Controlled Joint Venture or a Wholly Owned Subsidiary of the Borrower, as lessee, that (a) has a minimum remaining term of thirty five (35) years, including tenant controlled options, as of the date the related Portfolio Property becomes an Unencumbered Eligible Property hereunder (or, if prior to the Closing Date, the date on which it became an “Unencumbered Eligible Property” under the Revolving Credit Agreement), (b) has customary notice rights, default cure rights, bankruptcy new lease rights and other customary provisions for the benefit of a leasehold mortgagee or has equivalent protection for a leasehold permanent mortgagee by a subordination to such leasehold permanent mortgagee of the landlord's fee interest and</w:t>
      </w:r>
    </w:p>
    <w:p>
      <w:pPr>
        <w:spacing w:after="0" w:line="1" w:lineRule="exact"/>
        <w:rPr>
          <w:sz w:val="20"/>
          <w:szCs w:val="20"/>
          <w:color w:val="auto"/>
        </w:rPr>
      </w:pPr>
    </w:p>
    <w:p>
      <w:pPr>
        <w:spacing w:after="0" w:line="256" w:lineRule="auto"/>
        <w:tabs>
          <w:tab w:leader="none" w:pos="287" w:val="left"/>
        </w:tabs>
        <w:numPr>
          <w:ilvl w:val="0"/>
          <w:numId w:val="481"/>
        </w:numPr>
        <w:rPr>
          <w:rFonts w:ascii="Arial" w:cs="Arial" w:eastAsia="Arial" w:hAnsi="Arial"/>
          <w:sz w:val="20"/>
          <w:szCs w:val="20"/>
          <w:color w:val="auto"/>
        </w:rPr>
      </w:pPr>
      <w:r>
        <w:rPr>
          <w:rFonts w:ascii="Arial" w:cs="Arial" w:eastAsia="Arial" w:hAnsi="Arial"/>
          <w:sz w:val="20"/>
          <w:szCs w:val="20"/>
          <w:color w:val="auto"/>
        </w:rPr>
        <w:t>is otherwise acceptable for non-recourse leasehold mortgage financing under customary prudent lending requirements as reasonably and mutually determined by both the Borrower and the Administrative Agent.</w:t>
      </w:r>
    </w:p>
    <w:p>
      <w:pPr>
        <w:spacing w:after="0" w:line="168"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w:t>
      </w:r>
      <w:r>
        <w:rPr>
          <w:rFonts w:ascii="Arial" w:cs="Arial" w:eastAsia="Arial" w:hAnsi="Arial"/>
          <w:sz w:val="20"/>
          <w:szCs w:val="20"/>
          <w:color w:val="auto"/>
        </w:rPr>
        <w:t>” means ambient air, indoor air, surface water, groundwater, drinking water, soil, surface and subsurface strata, and natural resources such as wetlands, flora and fauna.</w:t>
      </w:r>
    </w:p>
    <w:p>
      <w:pPr>
        <w:spacing w:after="0" w:line="153"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any and all Federal, state, local, and foreign statutes, laws, regulations, ordinances, rules, judgments, orders, decrees, permits, agreements or governmental restrictions relating to pollution or the protection of the Environment or of human health (to the extent related to exposure to Hazardous Materials), including those relating to the manufacture, generation, handling, transport, storage, treatment, Release or threat of Release of Hazardous Materials.</w:t>
      </w:r>
    </w:p>
    <w:p>
      <w:pPr>
        <w:spacing w:after="0" w:line="168"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Liability</w:t>
      </w:r>
      <w:r>
        <w:rPr>
          <w:rFonts w:ascii="Arial" w:cs="Arial" w:eastAsia="Arial" w:hAnsi="Arial"/>
          <w:sz w:val="20"/>
          <w:szCs w:val="20"/>
          <w:color w:val="auto"/>
        </w:rPr>
        <w:t>” means any liability, contingent or otherwise (including any liability for damages, costs of environmental remediation, fines, penalties or indemnities), of the Borrower, the REIT or</w:t>
      </w:r>
    </w:p>
    <w:p>
      <w:pPr>
        <w:spacing w:after="0" w:line="390"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10</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15" w:name="page416"/>
    <w:bookmarkEnd w:id="415"/>
    <w:p>
      <w:pPr>
        <w:jc w:val="both"/>
        <w:spacing w:after="0" w:line="284" w:lineRule="auto"/>
        <w:rPr>
          <w:sz w:val="20"/>
          <w:szCs w:val="20"/>
          <w:color w:val="auto"/>
        </w:rPr>
      </w:pPr>
      <w:r>
        <w:rPr>
          <w:rFonts w:ascii="Arial" w:cs="Arial" w:eastAsia="Arial" w:hAnsi="Arial"/>
          <w:sz w:val="18"/>
          <w:szCs w:val="18"/>
          <w:color w:val="auto"/>
        </w:rPr>
        <w:t>any of their respective Subsidiaries directly or indirectly resulting from or based upon (a) violation of any Environmental Law, (b) the generation, use, handling, transportation, storage, treatment or disposal of any Hazardous Materials, (c) exposure to any Hazardous Materials,</w:t>
      </w:r>
    </w:p>
    <w:p>
      <w:pPr>
        <w:spacing w:after="0" w:line="1" w:lineRule="exact"/>
        <w:rPr>
          <w:sz w:val="20"/>
          <w:szCs w:val="20"/>
          <w:color w:val="auto"/>
        </w:rPr>
      </w:pPr>
    </w:p>
    <w:p>
      <w:pPr>
        <w:spacing w:after="0" w:line="256" w:lineRule="auto"/>
        <w:tabs>
          <w:tab w:leader="none" w:pos="290" w:val="left"/>
        </w:tabs>
        <w:numPr>
          <w:ilvl w:val="0"/>
          <w:numId w:val="482"/>
        </w:numPr>
        <w:rPr>
          <w:rFonts w:ascii="Arial" w:cs="Arial" w:eastAsia="Arial" w:hAnsi="Arial"/>
          <w:sz w:val="20"/>
          <w:szCs w:val="20"/>
          <w:color w:val="auto"/>
        </w:rPr>
      </w:pPr>
      <w:r>
        <w:rPr>
          <w:rFonts w:ascii="Arial" w:cs="Arial" w:eastAsia="Arial" w:hAnsi="Arial"/>
          <w:sz w:val="20"/>
          <w:szCs w:val="20"/>
          <w:color w:val="auto"/>
        </w:rPr>
        <w:t>the Release or threatened Release of any Hazardous Materials or (e) any contract, agreement or other consensual arrangement pursuant to which liability is assumed or imposed with respect to any of the foregoing.</w:t>
      </w:r>
    </w:p>
    <w:p>
      <w:pPr>
        <w:spacing w:after="0" w:line="168"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Permit</w:t>
      </w:r>
      <w:r>
        <w:rPr>
          <w:rFonts w:ascii="Arial" w:cs="Arial" w:eastAsia="Arial" w:hAnsi="Arial"/>
          <w:sz w:val="20"/>
          <w:szCs w:val="20"/>
          <w:color w:val="auto"/>
        </w:rPr>
        <w:t>” means any permit, approval, identification number, license or other authorization required under any Environmental Law.</w:t>
      </w:r>
    </w:p>
    <w:p>
      <w:pPr>
        <w:spacing w:after="0" w:line="153"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xml:space="preserve">”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Arial" w:cs="Arial" w:eastAsia="Arial" w:hAnsi="Arial"/>
          <w:sz w:val="20"/>
          <w:szCs w:val="20"/>
          <w:u w:val="single" w:color="auto"/>
          <w:color w:val="auto"/>
        </w:rPr>
        <w:t>provided</w:t>
      </w:r>
      <w:r>
        <w:rPr>
          <w:rFonts w:ascii="Arial" w:cs="Arial" w:eastAsia="Arial" w:hAnsi="Arial"/>
          <w:sz w:val="20"/>
          <w:szCs w:val="20"/>
          <w:color w:val="auto"/>
        </w:rPr>
        <w:t>, that Equity Interests shall not include any debt securities or other Indebtedness convertible into, or exchangeable for, Equity Interests.</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means the Employee Retirement Income Security Act of 1974, and the rules and regulations promulgated thereunder.</w:t>
      </w:r>
    </w:p>
    <w:p>
      <w:pPr>
        <w:spacing w:after="0" w:line="219"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64" w:lineRule="exact"/>
        <w:rPr>
          <w:sz w:val="20"/>
          <w:szCs w:val="20"/>
          <w:color w:val="auto"/>
        </w:rPr>
      </w:pPr>
    </w:p>
    <w:p>
      <w:pPr>
        <w:jc w:val="both"/>
        <w:ind w:firstLine="599"/>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a Pension Plan, or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spacing w:after="0" w:line="172"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53"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Rate</w:t>
      </w:r>
      <w:r>
        <w:rPr>
          <w:rFonts w:ascii="Arial" w:cs="Arial" w:eastAsia="Arial" w:hAnsi="Arial"/>
          <w:sz w:val="20"/>
          <w:szCs w:val="20"/>
          <w:color w:val="auto"/>
        </w:rPr>
        <w:t>” means, for any Interest Period, the greater of (a) zero percent (0.0%) for the purposes of any applicable portion of the Term Loan that has not been identified by the Borrower to the Administrative Agent in writing as being subject to a Swap Contract that provides a hedge against interest rate risk and (b)</w:t>
      </w:r>
    </w:p>
    <w:p>
      <w:pPr>
        <w:spacing w:after="0" w:line="200" w:lineRule="exact"/>
        <w:rPr>
          <w:sz w:val="20"/>
          <w:szCs w:val="20"/>
          <w:color w:val="auto"/>
        </w:rPr>
      </w:pPr>
    </w:p>
    <w:p>
      <w:pPr>
        <w:spacing w:after="0" w:line="20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11</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16" w:name="page417"/>
    <w:bookmarkEnd w:id="416"/>
    <w:p>
      <w:pPr>
        <w:jc w:val="both"/>
        <w:spacing w:after="0" w:line="280" w:lineRule="auto"/>
        <w:rPr>
          <w:sz w:val="20"/>
          <w:szCs w:val="20"/>
          <w:color w:val="auto"/>
        </w:rPr>
      </w:pPr>
      <w:r>
        <w:rPr>
          <w:rFonts w:ascii="Arial" w:cs="Arial" w:eastAsia="Arial" w:hAnsi="Arial"/>
          <w:sz w:val="18"/>
          <w:szCs w:val="18"/>
          <w:color w:val="auto"/>
        </w:rPr>
        <w:t>the applicable interest settlement rate for deposits in Dollars (“</w:t>
      </w:r>
      <w:r>
        <w:rPr>
          <w:rFonts w:ascii="Arial" w:cs="Arial" w:eastAsia="Arial" w:hAnsi="Arial"/>
          <w:sz w:val="18"/>
          <w:szCs w:val="18"/>
          <w:u w:val="single" w:color="auto"/>
          <w:color w:val="auto"/>
        </w:rPr>
        <w:t>LIBOR</w:t>
      </w:r>
      <w:r>
        <w:rPr>
          <w:rFonts w:ascii="Arial" w:cs="Arial" w:eastAsia="Arial" w:hAnsi="Arial"/>
          <w:sz w:val="18"/>
          <w:szCs w:val="18"/>
          <w:color w:val="auto"/>
        </w:rPr>
        <w:t xml:space="preserve">”) administered by ICE Benchmark Administration (or any other Person that takes over the administration of such rate) appearing on the applicable Reuters Screen (or on any successor or substitute page on such screen) as of 11:00 a.m. (London time) two (2) Business Days before the first day of such Interest Period, and having a maturity equal to such Interest Period, provided that, if the applicable Reuters Screen (or any successor or substitute page) is not available to the Administrative Agent for any reason, the applicable Eurodollar Rate for the relevant Interest Period shall instead be the applicable interest settlement rate for deposits in Dollars administered by ICE Benchmark Administration (or any other Person that takes over the administration of such rate) as reported by any other generally recognized financial information service selected by the Administrative Agent as of 11:00 a.m. (London time) two (2) Business Days before the first day of such Interest Period, and having a maturity equal to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a comparable or successor rate to LIBOR is approved by the Administrative Agent in connection with this Agreement, the approved rate shall be applied to the applicable Interest Period in a manner consistent with market practice;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to the extent such market practice is not administratively feasible for the Administrative Agent, such approved rate shall be applied to the applicable Interest Period as otherwise reasonably determined by the Administrative Agent.</w:t>
      </w:r>
    </w:p>
    <w:p>
      <w:pPr>
        <w:spacing w:after="0" w:line="150" w:lineRule="exact"/>
        <w:rPr>
          <w:sz w:val="20"/>
          <w:szCs w:val="20"/>
          <w:color w:val="auto"/>
        </w:rPr>
      </w:pPr>
    </w:p>
    <w:p>
      <w:pPr>
        <w:jc w:val="both"/>
        <w:ind w:firstLine="599"/>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Loan</w:t>
      </w:r>
      <w:r>
        <w:rPr>
          <w:rFonts w:ascii="Arial" w:cs="Arial" w:eastAsia="Arial" w:hAnsi="Arial"/>
          <w:sz w:val="18"/>
          <w:szCs w:val="18"/>
          <w:color w:val="auto"/>
        </w:rPr>
        <w:t>” means a Term Loan that bears interest at a rate based on the definition of “Eurodollar Rate” (other than, for the avoidance of doubt, a Term Loan that bears interest based on the Base Rate determined by reference to clause (iv) of the definition thereof).</w:t>
      </w:r>
    </w:p>
    <w:p>
      <w:pPr>
        <w:spacing w:after="0" w:line="1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Subsidiary</w:t>
      </w:r>
      <w:r>
        <w:rPr>
          <w:rFonts w:ascii="Arial" w:cs="Arial" w:eastAsia="Arial" w:hAnsi="Arial"/>
          <w:sz w:val="19"/>
          <w:szCs w:val="19"/>
          <w:color w:val="auto"/>
        </w:rPr>
        <w:t>” means any Subsidiary of the Borrower that (a) is not a Direct Owner of any Unencumbered Eligible Property or an Indirect Owner of the Direct Owner of any Unencumbered Eligible Property and (b) is (i) an Excluded TRS Subsidiary, (ii) an Immaterial Subsidiary, (iii) a Subsidiary in which the Borrower and/or its Wholly Owned Subsidiaries directly, indirectly or beneficially own more than 50% but less than 75% of the Equity Interests of such Subsidiary having ordinary voting power for the election of directors or members of any other governing body of such Subsidiary, (iv) a borrower or guarantor of Secured Indebtedness (or a direct or indirect parent of such borrower or guarantor (other than the Borrower or the REIT)), and the terms of such Secured Indebtedness prohibit such Subsidiary from becoming a Guarantor or (v) a CFC that is unable to become a Guarantor without, in the reasonable judgment of the REIT, causing adverse tax consequences to the Consolidated Group.</w:t>
      </w:r>
    </w:p>
    <w:p>
      <w:pPr>
        <w:spacing w:after="0" w:line="161" w:lineRule="exact"/>
        <w:rPr>
          <w:sz w:val="20"/>
          <w:szCs w:val="20"/>
          <w:color w:val="auto"/>
        </w:rPr>
      </w:pPr>
    </w:p>
    <w:p>
      <w:pPr>
        <w:jc w:val="both"/>
        <w:ind w:firstLine="599"/>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means any of the following Taxes imposed on or with respect to Recipient or required to be withheld or deducted from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or (ii) pursuant to </w:t>
      </w:r>
      <w:r>
        <w:rPr>
          <w:rFonts w:ascii="Arial" w:cs="Arial" w:eastAsia="Arial" w:hAnsi="Arial"/>
          <w:sz w:val="18"/>
          <w:szCs w:val="18"/>
          <w:u w:val="single" w:color="auto"/>
          <w:color w:val="auto"/>
        </w:rPr>
        <w:t>Section 3.01(a)(ii)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3.01</w:t>
      </w:r>
      <w:r>
        <w:rPr>
          <w:rFonts w:ascii="Arial" w:cs="Arial" w:eastAsia="Arial" w:hAnsi="Arial"/>
          <w:sz w:val="18"/>
          <w:szCs w:val="18"/>
          <w:color w:val="auto"/>
        </w:rPr>
        <w:t xml:space="preserve">(c),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and (d) any U.S. federal withholding Taxes imposed pursuant to FATCA.</w:t>
      </w:r>
    </w:p>
    <w:p>
      <w:pPr>
        <w:spacing w:after="0" w:line="149"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TRS Subsidiary</w:t>
      </w:r>
      <w:r>
        <w:rPr>
          <w:rFonts w:ascii="Arial" w:cs="Arial" w:eastAsia="Arial" w:hAnsi="Arial"/>
          <w:sz w:val="20"/>
          <w:szCs w:val="20"/>
          <w:color w:val="auto"/>
        </w:rPr>
        <w:t xml:space="preserve">” means (a) a TRS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TRS Subsidiary does not own any assets or conduct any business or operations, other than its ownership of all of the Equity Interests of a Hotel Lessee Subsidiary and activities ancillary or incidental thereto or (b) a Hotel Lessee Subsidiary,</w:t>
      </w:r>
    </w:p>
    <w:p>
      <w:pPr>
        <w:spacing w:after="0" w:line="200" w:lineRule="exact"/>
        <w:rPr>
          <w:sz w:val="20"/>
          <w:szCs w:val="20"/>
          <w:color w:val="auto"/>
        </w:rPr>
      </w:pPr>
    </w:p>
    <w:p>
      <w:pPr>
        <w:spacing w:after="0" w:line="20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12</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17" w:name="page418"/>
    <w:bookmarkEnd w:id="417"/>
    <w:p>
      <w:pPr>
        <w:jc w:val="both"/>
        <w:spacing w:after="0" w:line="272" w:lineRule="auto"/>
        <w:rPr>
          <w:sz w:val="20"/>
          <w:szCs w:val="20"/>
          <w:color w:val="auto"/>
        </w:rPr>
      </w:pPr>
      <w:r>
        <w:rPr>
          <w:rFonts w:ascii="Arial" w:cs="Arial" w:eastAsia="Arial" w:hAnsi="Arial"/>
          <w:sz w:val="20"/>
          <w:szCs w:val="20"/>
          <w:color w:val="auto"/>
        </w:rPr>
        <w:t>in each case if either (i) the Exemption Condition exists with respect to such Person or (ii) in the reasonable judgment of the REIT, the Guarantee of the Obligations by such Person would cause adverse tax consequences to the Consolidated Group.</w:t>
      </w:r>
    </w:p>
    <w:p>
      <w:pPr>
        <w:spacing w:after="0" w:line="153"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Exemption Condition</w:t>
      </w:r>
      <w:r>
        <w:rPr>
          <w:rFonts w:ascii="Arial" w:cs="Arial" w:eastAsia="Arial" w:hAnsi="Arial"/>
          <w:sz w:val="20"/>
          <w:szCs w:val="20"/>
          <w:color w:val="auto"/>
        </w:rPr>
        <w:t>” means, at any time with respect to any Subsidiary of the Borrower that is not a Guarantor, such Subsidiary is not a borrower or guarantor of, and does not have a payment obligation in respect of, Indebtedness for borrowed money that constitutes Recourse Indebtedness (other than Indebtedness permitted under Section 7.02(b)).</w:t>
      </w:r>
    </w:p>
    <w:p>
      <w:pPr>
        <w:spacing w:after="0" w:line="164"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w:t>
      </w:r>
      <w:r>
        <w:rPr>
          <w:rFonts w:ascii="Arial" w:cs="Arial" w:eastAsia="Arial" w:hAnsi="Arial"/>
          <w:sz w:val="20"/>
          <w:szCs w:val="20"/>
          <w:color w:val="auto"/>
        </w:rPr>
        <w:t>” means, at any time, (a) on or prior to the Closing Date, the aggregate amount of the Commitments at such time and (b) thereafter, the sum of the aggregate principal amount of the Commitments and Term Loans of all Lenders outstanding at such time. On the Closing Date, the amount of the Facility is $100,000,000.</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FASB ASC</w:t>
      </w:r>
      <w:r>
        <w:rPr>
          <w:rFonts w:ascii="Arial" w:cs="Arial" w:eastAsia="Arial" w:hAnsi="Arial"/>
          <w:sz w:val="20"/>
          <w:szCs w:val="20"/>
          <w:color w:val="auto"/>
        </w:rPr>
        <w:t>” means the Accounting Standards Codification of the Financial Accounting Standards Board.</w:t>
      </w:r>
    </w:p>
    <w:p>
      <w:pPr>
        <w:spacing w:after="0" w:line="207"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substantially comparable and not materially more onerous to comply with) and any current or future regulations or official interpretations thereof and any agreements entered into pursuant to Section 1471(b)(1) of the Code.</w:t>
      </w:r>
    </w:p>
    <w:p>
      <w:pPr>
        <w:spacing w:after="0" w:line="164" w:lineRule="exact"/>
        <w:rPr>
          <w:sz w:val="20"/>
          <w:szCs w:val="20"/>
          <w:color w:val="auto"/>
        </w:rPr>
      </w:pPr>
    </w:p>
    <w:p>
      <w:pPr>
        <w:jc w:val="both"/>
        <w:ind w:firstLine="59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Rate</w:t>
      </w:r>
      <w:r>
        <w:rPr>
          <w:rFonts w:ascii="Arial" w:cs="Arial" w:eastAsia="Arial" w:hAnsi="Arial"/>
          <w:sz w:val="19"/>
          <w:szCs w:val="19"/>
          <w:color w:val="auto"/>
        </w:rPr>
        <w:t>” means, for any day, the rate per annum calculated by the FRBNY based on such day’s federal funds transactions by depository institutions (as determined in such manner as the FRBNY shall set forth on its public website from time to time) and published on the next succeeding Business Day by the FRBNY as the federal funds effective rate. For the avoidance of doubt, if the Federal Funds Rate shall be less than zero, such rate shall be deemed to be zero for purposes of this Agreement.</w:t>
      </w:r>
    </w:p>
    <w:p>
      <w:pPr>
        <w:spacing w:after="0" w:line="155"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w:t>
      </w:r>
      <w:r>
        <w:rPr>
          <w:rFonts w:ascii="Arial" w:cs="Arial" w:eastAsia="Arial" w:hAnsi="Arial"/>
          <w:sz w:val="20"/>
          <w:szCs w:val="20"/>
          <w:color w:val="auto"/>
        </w:rPr>
        <w:t>” means the letter agreement, dated February 2, 2016, among the Borrower, U.S. Bank, PNC Bank, National Association and PNC Capital Markets LLC.</w:t>
      </w:r>
    </w:p>
    <w:p>
      <w:pPr>
        <w:spacing w:after="0" w:line="153"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Covenant Event of Default</w:t>
      </w:r>
      <w:r>
        <w:rPr>
          <w:rFonts w:ascii="Arial" w:cs="Arial" w:eastAsia="Arial" w:hAnsi="Arial"/>
          <w:sz w:val="20"/>
          <w:szCs w:val="20"/>
          <w:color w:val="auto"/>
        </w:rPr>
        <w:t xml:space="preserve">” means an Event of Default arising as a result of the Borrower’s failure to comply with any of the covenants contained in </w:t>
      </w:r>
      <w:r>
        <w:rPr>
          <w:rFonts w:ascii="Arial" w:cs="Arial" w:eastAsia="Arial" w:hAnsi="Arial"/>
          <w:sz w:val="20"/>
          <w:szCs w:val="20"/>
          <w:u w:val="single" w:color="auto"/>
          <w:color w:val="auto"/>
        </w:rPr>
        <w:t>Section 7.02(b)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7.11</w:t>
      </w:r>
      <w:r>
        <w:rPr>
          <w:rFonts w:ascii="Arial" w:cs="Arial" w:eastAsia="Arial" w:hAnsi="Arial"/>
          <w:sz w:val="20"/>
          <w:szCs w:val="20"/>
          <w:color w:val="auto"/>
        </w:rPr>
        <w:t>.</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Fitch</w:t>
      </w:r>
      <w:r>
        <w:rPr>
          <w:rFonts w:ascii="Arial" w:cs="Arial" w:eastAsia="Arial" w:hAnsi="Arial"/>
          <w:sz w:val="20"/>
          <w:szCs w:val="20"/>
          <w:color w:val="auto"/>
        </w:rPr>
        <w:t>” means Fitch, Inc. and any successor thereto.</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 Lender that is not a U.S. Person.</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FRB</w:t>
      </w:r>
      <w:r>
        <w:rPr>
          <w:rFonts w:ascii="Arial" w:cs="Arial" w:eastAsia="Arial" w:hAnsi="Arial"/>
          <w:sz w:val="20"/>
          <w:szCs w:val="20"/>
          <w:color w:val="auto"/>
        </w:rPr>
        <w:t>” means the Board of Governors of the Federal Reserve System of the United States.</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FRBNY</w:t>
      </w:r>
      <w:r>
        <w:rPr>
          <w:rFonts w:ascii="Arial" w:cs="Arial" w:eastAsia="Arial" w:hAnsi="Arial"/>
          <w:sz w:val="20"/>
          <w:szCs w:val="20"/>
          <w:color w:val="auto"/>
        </w:rPr>
        <w:t>” means the Federal Reserve Bank of New York.</w:t>
      </w:r>
    </w:p>
    <w:p>
      <w:pPr>
        <w:spacing w:after="0" w:line="207" w:lineRule="exact"/>
        <w:rPr>
          <w:sz w:val="20"/>
          <w:szCs w:val="20"/>
          <w:color w:val="auto"/>
        </w:rPr>
      </w:pPr>
    </w:p>
    <w:p>
      <w:pPr>
        <w:jc w:val="both"/>
        <w:ind w:firstLine="599"/>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FRBNY Rate</w:t>
      </w:r>
      <w:r>
        <w:rPr>
          <w:rFonts w:ascii="Arial" w:cs="Arial" w:eastAsia="Arial" w:hAnsi="Arial"/>
          <w:sz w:val="19"/>
          <w:szCs w:val="19"/>
          <w:color w:val="auto"/>
        </w:rPr>
        <w:t>” means, for any day, the per annum rate equal to the greater of (a) the Federal Funds Rate in effect on such day and (b) the Overnight Bank Funding Rate in effect on such day; provided that if both such rates are not so published for any day that is a Business Day, the term “FRBNY Rate” means the rate quoted for such day for a federal funds transaction at 11:00 a.m. on such day received by the Administrative Agent from a Federal funds broker of recognized standing selected by it; provided, further, that if any of the aforesaid rates shall be less than zero, such rate shall be deemed to be zero for purposes of this Agreement.</w:t>
      </w:r>
    </w:p>
    <w:p>
      <w:pPr>
        <w:spacing w:after="0" w:line="39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13</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18" w:name="page419"/>
    <w:bookmarkEnd w:id="418"/>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53" w:lineRule="exact"/>
        <w:rPr>
          <w:sz w:val="20"/>
          <w:szCs w:val="20"/>
          <w:color w:val="auto"/>
        </w:rPr>
      </w:pPr>
    </w:p>
    <w:p>
      <w:pPr>
        <w:jc w:val="both"/>
        <w:ind w:firstLine="59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5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GNMA Securities</w:t>
      </w:r>
      <w:r>
        <w:rPr>
          <w:rFonts w:ascii="Arial" w:cs="Arial" w:eastAsia="Arial" w:hAnsi="Arial"/>
          <w:sz w:val="20"/>
          <w:szCs w:val="20"/>
          <w:color w:val="auto"/>
        </w:rPr>
        <w:t>” has the meaning specified in clause (e) of the definition of “Cash Equivalents.”</w:t>
      </w:r>
    </w:p>
    <w:p>
      <w:pPr>
        <w:spacing w:after="0" w:line="207"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68" w:lineRule="exact"/>
        <w:rPr>
          <w:sz w:val="20"/>
          <w:szCs w:val="20"/>
          <w:color w:val="auto"/>
        </w:rPr>
      </w:pPr>
    </w:p>
    <w:p>
      <w:pPr>
        <w:jc w:val="both"/>
        <w:ind w:firstLine="599"/>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as to any Person, (a) any obligation, contingent or otherwise, of such Person guaranteeing or having the economic effect of guaranteeing any Indebtedness or other obligation payable or performable by another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8"/>
          <w:szCs w:val="18"/>
          <w:u w:val="single" w:color="auto"/>
          <w:color w:val="auto"/>
        </w:rPr>
        <w:t>Guarantee</w:t>
      </w:r>
      <w:r>
        <w:rPr>
          <w:rFonts w:ascii="Arial" w:cs="Arial" w:eastAsia="Arial" w:hAnsi="Arial"/>
          <w:sz w:val="18"/>
          <w:szCs w:val="18"/>
          <w:color w:val="auto"/>
        </w:rPr>
        <w:t>” as a verb has a corresponding meaning.</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Guarantors</w:t>
      </w:r>
      <w:r>
        <w:rPr>
          <w:rFonts w:ascii="Arial" w:cs="Arial" w:eastAsia="Arial" w:hAnsi="Arial"/>
          <w:sz w:val="20"/>
          <w:szCs w:val="20"/>
          <w:color w:val="auto"/>
        </w:rPr>
        <w:t>” means at any time, collectively, the REIT and each Subsidiary of the REIT that at such time is a Guarantor.</w:t>
      </w:r>
    </w:p>
    <w:p>
      <w:pPr>
        <w:spacing w:after="0" w:line="20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 Agreement</w:t>
      </w:r>
      <w:r>
        <w:rPr>
          <w:rFonts w:ascii="Arial" w:cs="Arial" w:eastAsia="Arial" w:hAnsi="Arial"/>
          <w:sz w:val="20"/>
          <w:szCs w:val="20"/>
          <w:color w:val="auto"/>
        </w:rPr>
        <w:t xml:space="preserve">” means the Guaranty made by the Guarantors in favor of the Administrative Agent and the Lenders, substantially in the form of </w:t>
      </w:r>
      <w:r>
        <w:rPr>
          <w:rFonts w:ascii="Arial" w:cs="Arial" w:eastAsia="Arial" w:hAnsi="Arial"/>
          <w:sz w:val="20"/>
          <w:szCs w:val="20"/>
          <w:u w:val="single" w:color="auto"/>
          <w:color w:val="auto"/>
        </w:rPr>
        <w:t>Exhibit G</w:t>
      </w:r>
      <w:r>
        <w:rPr>
          <w:rFonts w:ascii="Arial" w:cs="Arial" w:eastAsia="Arial" w:hAnsi="Arial"/>
          <w:sz w:val="20"/>
          <w:szCs w:val="20"/>
          <w:color w:val="auto"/>
        </w:rPr>
        <w:t>.</w:t>
      </w:r>
    </w:p>
    <w:p>
      <w:pPr>
        <w:spacing w:after="0" w:line="153"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Materials</w:t>
      </w:r>
      <w:r>
        <w:rPr>
          <w:rFonts w:ascii="Arial" w:cs="Arial" w:eastAsia="Arial" w:hAnsi="Arial"/>
          <w:sz w:val="20"/>
          <w:szCs w:val="20"/>
          <w:color w:val="auto"/>
        </w:rPr>
        <w:t>” means all explosive or radioactive substances or wastes and all hazardous or toxic substances or wastes,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regulated pursuant to any Environmental Law.</w:t>
      </w:r>
    </w:p>
    <w:p>
      <w:pPr>
        <w:spacing w:after="0" w:line="200" w:lineRule="exact"/>
        <w:rPr>
          <w:sz w:val="20"/>
          <w:szCs w:val="20"/>
          <w:color w:val="auto"/>
        </w:rPr>
      </w:pPr>
    </w:p>
    <w:p>
      <w:pPr>
        <w:spacing w:after="0" w:line="20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14</w:t>
      </w:r>
      <w:r>
        <w:rPr>
          <w:rFonts w:ascii="MS PGothic" w:cs="MS PGothic" w:eastAsia="MS PGothic" w:hAnsi="MS PGothic"/>
          <w:sz w:val="20"/>
          <w:szCs w:val="20"/>
          <w:color w:val="auto"/>
        </w:rPr>
        <w:t>‑</w:t>
      </w:r>
    </w:p>
    <w:p>
      <w:pPr>
        <w:sectPr>
          <w:pgSz w:w="11900" w:h="16838" w:orient="portrait"/>
          <w:cols w:equalWidth="0" w:num="1">
            <w:col w:w="11420"/>
          </w:cols>
          <w:pgMar w:left="240" w:top="794" w:right="239" w:bottom="1440" w:gutter="0" w:footer="0" w:header="0"/>
        </w:sectPr>
      </w:pPr>
    </w:p>
    <w:bookmarkStart w:id="419" w:name="page420"/>
    <w:bookmarkEnd w:id="419"/>
    <w:p>
      <w:pPr>
        <w:jc w:val="both"/>
        <w:ind w:firstLine="599"/>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Hotel Lessee Subsidiary</w:t>
      </w:r>
      <w:r>
        <w:rPr>
          <w:rFonts w:ascii="Arial" w:cs="Arial" w:eastAsia="Arial" w:hAnsi="Arial"/>
          <w:sz w:val="18"/>
          <w:szCs w:val="18"/>
          <w:color w:val="auto"/>
        </w:rPr>
        <w:t xml:space="preserve">” means a Wholly Owned Subsidiary of a TRS Subsidiary that (i) is the lessee of a Hotel Property owned by one or more Wholly Owned Subsidiaries of the Borrower that are Guarantors, (ii) does not conduct any business or operations, other than acting as lessee and operator of such Hotel Property and activities incidental or ancillary thereto, (iii) is not an obligor with respect to any Indebtedness for borrowed money and (iv) does not have any Liens encumbering any of its property, assets or revenues other than Permitted Judgment Liens and Liens permitted under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(excluding clauses (g), (i) and (j) of </w:t>
      </w:r>
      <w:r>
        <w:rPr>
          <w:rFonts w:ascii="Arial" w:cs="Arial" w:eastAsia="Arial" w:hAnsi="Arial"/>
          <w:sz w:val="18"/>
          <w:szCs w:val="18"/>
          <w:u w:val="single" w:color="auto"/>
          <w:color w:val="auto"/>
        </w:rPr>
        <w:t>Section 7.01)</w:t>
      </w:r>
      <w:r>
        <w:rPr>
          <w:rFonts w:ascii="Arial" w:cs="Arial" w:eastAsia="Arial" w:hAnsi="Arial"/>
          <w:sz w:val="18"/>
          <w:szCs w:val="18"/>
          <w:color w:val="auto"/>
        </w:rPr>
        <w:t>; provided, that in the case of clause</w:t>
      </w:r>
    </w:p>
    <w:p>
      <w:pPr>
        <w:spacing w:after="0" w:line="4" w:lineRule="exact"/>
        <w:rPr>
          <w:sz w:val="20"/>
          <w:szCs w:val="20"/>
          <w:color w:val="auto"/>
        </w:rPr>
      </w:pPr>
    </w:p>
    <w:p>
      <w:pPr>
        <w:spacing w:after="0" w:line="256" w:lineRule="auto"/>
        <w:tabs>
          <w:tab w:leader="none" w:pos="251" w:val="left"/>
        </w:tabs>
        <w:numPr>
          <w:ilvl w:val="0"/>
          <w:numId w:val="483"/>
        </w:numPr>
        <w:rPr>
          <w:rFonts w:ascii="Arial" w:cs="Arial" w:eastAsia="Arial" w:hAnsi="Arial"/>
          <w:sz w:val="20"/>
          <w:szCs w:val="20"/>
          <w:color w:val="auto"/>
        </w:rPr>
      </w:pPr>
      <w:r>
        <w:rPr>
          <w:rFonts w:ascii="Arial" w:cs="Arial" w:eastAsia="Arial" w:hAnsi="Arial"/>
          <w:sz w:val="20"/>
          <w:szCs w:val="20"/>
          <w:color w:val="auto"/>
        </w:rPr>
        <w:t>of this definition, if the Exemption Condition exists at any time with respect to any such Wholly Owned Subsidiary of the Borrower, the requirement that such Wholly Owned Subsidiary be a Guarantor shall not apply to such Wholly Owned Subsidiary.</w:t>
      </w:r>
    </w:p>
    <w:p>
      <w:pPr>
        <w:spacing w:after="0" w:line="168"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Hotel Property</w:t>
      </w:r>
      <w:r>
        <w:rPr>
          <w:rFonts w:ascii="Arial" w:cs="Arial" w:eastAsia="Arial" w:hAnsi="Arial"/>
          <w:sz w:val="20"/>
          <w:szCs w:val="20"/>
          <w:color w:val="auto"/>
        </w:rPr>
        <w:t>” means a Portfolio Property that is (i) operated by or on behalf of one or more Subsidiaries of the Borrower as a hotel and (ii) designated as a “Hotel Property” in a written notice executed by a Responsible Officer of the REIT and delivered to the Administrative Agent.</w:t>
      </w:r>
    </w:p>
    <w:p>
      <w:pPr>
        <w:spacing w:after="0" w:line="164"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Immaterial Subsidiary</w:t>
      </w:r>
      <w:r>
        <w:rPr>
          <w:rFonts w:ascii="Arial" w:cs="Arial" w:eastAsia="Arial" w:hAnsi="Arial"/>
          <w:sz w:val="20"/>
          <w:szCs w:val="20"/>
          <w:color w:val="auto"/>
        </w:rPr>
        <w:t>” means, as of any date, any Subsidiary of the Borrower (i) whose assets, when taken together with the assets of all other Subsidiaries of the Borrower that are designated as “Immaterial Subsidiaries” in accordance with clause (ii) of this definition, have an aggregate book value of less than $30,000,000 and (ii) is designated as an “Immaterial Subsidiary” in a written notice executed by a Responsible Officer of the REIT and delivered to the Administrative Agent.</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Impacted Loans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3.03(a)</w:t>
      </w:r>
      <w:r>
        <w:rPr>
          <w:rFonts w:ascii="Arial" w:cs="Arial" w:eastAsia="Arial" w:hAnsi="Arial"/>
          <w:sz w:val="20"/>
          <w:szCs w:val="20"/>
          <w:color w:val="auto"/>
        </w:rPr>
        <w: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Effective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2.17(b)</w:t>
      </w:r>
      <w:r>
        <w:rPr>
          <w:rFonts w:ascii="Arial" w:cs="Arial" w:eastAsia="Arial" w:hAnsi="Arial"/>
          <w:sz w:val="20"/>
          <w:szCs w:val="20"/>
          <w:color w:val="auto"/>
        </w:rPr>
        <w: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2.17(a)</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as to any Person at a particular time, without duplication, all of the following, whether or not included as indebtedness or liabilities in accordance with GAAP:</w:t>
      </w:r>
    </w:p>
    <w:p>
      <w:pPr>
        <w:spacing w:after="0" w:line="153" w:lineRule="exact"/>
        <w:rPr>
          <w:sz w:val="20"/>
          <w:szCs w:val="20"/>
          <w:color w:val="auto"/>
        </w:rPr>
      </w:pPr>
    </w:p>
    <w:p>
      <w:pPr>
        <w:ind w:left="600" w:firstLine="599"/>
        <w:spacing w:after="0" w:line="272" w:lineRule="auto"/>
        <w:tabs>
          <w:tab w:leader="none" w:pos="1685" w:val="left"/>
        </w:tabs>
        <w:numPr>
          <w:ilvl w:val="0"/>
          <w:numId w:val="484"/>
        </w:numPr>
        <w:rPr>
          <w:rFonts w:ascii="Arial" w:cs="Arial" w:eastAsia="Arial" w:hAnsi="Arial"/>
          <w:sz w:val="20"/>
          <w:szCs w:val="20"/>
          <w:color w:val="auto"/>
        </w:rPr>
      </w:pPr>
      <w:r>
        <w:rPr>
          <w:rFonts w:ascii="Arial" w:cs="Arial" w:eastAsia="Arial" w:hAnsi="Arial"/>
          <w:sz w:val="20"/>
          <w:szCs w:val="20"/>
          <w:color w:val="auto"/>
        </w:rPr>
        <w:t>all obligations of such Person for borrowed money and all obligations of such Person evidenced by bonds, debentures, notes, loan agreements or other similar instruments;</w:t>
      </w:r>
    </w:p>
    <w:p>
      <w:pPr>
        <w:spacing w:after="0" w:line="153" w:lineRule="exact"/>
        <w:rPr>
          <w:rFonts w:ascii="Arial" w:cs="Arial" w:eastAsia="Arial" w:hAnsi="Arial"/>
          <w:sz w:val="20"/>
          <w:szCs w:val="20"/>
          <w:color w:val="auto"/>
        </w:rPr>
      </w:pPr>
    </w:p>
    <w:p>
      <w:pPr>
        <w:jc w:val="both"/>
        <w:ind w:left="600" w:firstLine="599"/>
        <w:spacing w:after="0" w:line="256" w:lineRule="auto"/>
        <w:tabs>
          <w:tab w:leader="none" w:pos="1739" w:val="left"/>
        </w:tabs>
        <w:numPr>
          <w:ilvl w:val="0"/>
          <w:numId w:val="484"/>
        </w:numPr>
        <w:rPr>
          <w:rFonts w:ascii="Arial" w:cs="Arial" w:eastAsia="Arial" w:hAnsi="Arial"/>
          <w:sz w:val="20"/>
          <w:szCs w:val="20"/>
          <w:color w:val="auto"/>
        </w:rPr>
      </w:pPr>
      <w:r>
        <w:rPr>
          <w:rFonts w:ascii="Arial" w:cs="Arial" w:eastAsia="Arial" w:hAnsi="Arial"/>
          <w:sz w:val="20"/>
          <w:szCs w:val="20"/>
          <w:color w:val="auto"/>
        </w:rPr>
        <w:t>the maximum amount of all direct or contingent obligations of such Person arising under letters of credit (including standby and commercial), bankers’ acceptances and similar instruments (including bank guaranties, surety bonds, comfort letters, keep-well agreements and capital maintenance agreements), in each case to the extent such instruments or agreements support financial, rather than performance, obligations;</w:t>
      </w:r>
    </w:p>
    <w:p>
      <w:pPr>
        <w:spacing w:after="0" w:line="167" w:lineRule="exact"/>
        <w:rPr>
          <w:rFonts w:ascii="Arial" w:cs="Arial" w:eastAsia="Arial" w:hAnsi="Arial"/>
          <w:sz w:val="20"/>
          <w:szCs w:val="20"/>
          <w:color w:val="auto"/>
        </w:rPr>
      </w:pPr>
    </w:p>
    <w:p>
      <w:pPr>
        <w:ind w:left="1620" w:hanging="421"/>
        <w:spacing w:after="0"/>
        <w:tabs>
          <w:tab w:leader="none" w:pos="1620" w:val="left"/>
        </w:tabs>
        <w:numPr>
          <w:ilvl w:val="0"/>
          <w:numId w:val="484"/>
        </w:numPr>
        <w:rPr>
          <w:rFonts w:ascii="Arial" w:cs="Arial" w:eastAsia="Arial" w:hAnsi="Arial"/>
          <w:sz w:val="20"/>
          <w:szCs w:val="20"/>
          <w:color w:val="auto"/>
        </w:rPr>
      </w:pPr>
      <w:r>
        <w:rPr>
          <w:rFonts w:ascii="Arial" w:cs="Arial" w:eastAsia="Arial" w:hAnsi="Arial"/>
          <w:sz w:val="20"/>
          <w:szCs w:val="20"/>
          <w:color w:val="auto"/>
        </w:rPr>
        <w:t>net obligations of such Person under any Swap Contract;</w:t>
      </w:r>
    </w:p>
    <w:p>
      <w:pPr>
        <w:spacing w:after="0" w:line="207" w:lineRule="exact"/>
        <w:rPr>
          <w:rFonts w:ascii="Arial" w:cs="Arial" w:eastAsia="Arial" w:hAnsi="Arial"/>
          <w:sz w:val="20"/>
          <w:szCs w:val="20"/>
          <w:color w:val="auto"/>
        </w:rPr>
      </w:pPr>
    </w:p>
    <w:p>
      <w:pPr>
        <w:ind w:left="600" w:firstLine="599"/>
        <w:spacing w:after="0" w:line="272" w:lineRule="auto"/>
        <w:tabs>
          <w:tab w:leader="none" w:pos="1635" w:val="left"/>
        </w:tabs>
        <w:numPr>
          <w:ilvl w:val="0"/>
          <w:numId w:val="484"/>
        </w:numPr>
        <w:rPr>
          <w:rFonts w:ascii="Arial" w:cs="Arial" w:eastAsia="Arial" w:hAnsi="Arial"/>
          <w:sz w:val="20"/>
          <w:szCs w:val="20"/>
          <w:color w:val="auto"/>
        </w:rPr>
      </w:pPr>
      <w:r>
        <w:rPr>
          <w:rFonts w:ascii="Arial" w:cs="Arial" w:eastAsia="Arial" w:hAnsi="Arial"/>
          <w:sz w:val="20"/>
          <w:szCs w:val="20"/>
          <w:color w:val="auto"/>
        </w:rPr>
        <w:t>all obligations of such Person to pay the deferred purchase price of property or services (other than trade accounts payable in the ordinary course of business);</w:t>
      </w:r>
    </w:p>
    <w:p>
      <w:pPr>
        <w:spacing w:after="0" w:line="153" w:lineRule="exact"/>
        <w:rPr>
          <w:rFonts w:ascii="Arial" w:cs="Arial" w:eastAsia="Arial" w:hAnsi="Arial"/>
          <w:sz w:val="20"/>
          <w:szCs w:val="20"/>
          <w:color w:val="auto"/>
        </w:rPr>
      </w:pPr>
    </w:p>
    <w:p>
      <w:pPr>
        <w:jc w:val="both"/>
        <w:ind w:left="600" w:firstLine="599"/>
        <w:spacing w:after="0" w:line="253" w:lineRule="auto"/>
        <w:tabs>
          <w:tab w:leader="none" w:pos="1624" w:val="left"/>
        </w:tabs>
        <w:numPr>
          <w:ilvl w:val="0"/>
          <w:numId w:val="484"/>
        </w:numPr>
        <w:rPr>
          <w:rFonts w:ascii="Arial" w:cs="Arial" w:eastAsia="Arial" w:hAnsi="Arial"/>
          <w:sz w:val="20"/>
          <w:szCs w:val="20"/>
          <w:color w:val="auto"/>
        </w:rPr>
      </w:pPr>
      <w:r>
        <w:rPr>
          <w:rFonts w:ascii="Arial" w:cs="Arial" w:eastAsia="Arial" w:hAnsi="Arial"/>
          <w:sz w:val="20"/>
          <w:szCs w:val="20"/>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 (valued in the case of this clause (e) at the lesser of (i) the aggregate unpaid amount of such indebtedness and (ii) if such indebtedness is non-recourse, the fair market value of the property encumbered thereby as determined by such Person in good faith);</w:t>
      </w:r>
    </w:p>
    <w:p>
      <w:pPr>
        <w:spacing w:after="0" w:line="200" w:lineRule="exact"/>
        <w:rPr>
          <w:sz w:val="20"/>
          <w:szCs w:val="20"/>
          <w:color w:val="auto"/>
        </w:rPr>
      </w:pPr>
    </w:p>
    <w:p>
      <w:pPr>
        <w:spacing w:after="0" w:line="21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15</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20" w:name="page421"/>
    <w:bookmarkEnd w:id="420"/>
    <w:p>
      <w:pPr>
        <w:ind w:left="600" w:firstLine="599"/>
        <w:spacing w:after="0" w:line="272" w:lineRule="auto"/>
        <w:tabs>
          <w:tab w:leader="none" w:pos="1691" w:val="left"/>
        </w:tabs>
        <w:numPr>
          <w:ilvl w:val="0"/>
          <w:numId w:val="485"/>
        </w:numPr>
        <w:rPr>
          <w:rFonts w:ascii="Arial" w:cs="Arial" w:eastAsia="Arial" w:hAnsi="Arial"/>
          <w:sz w:val="20"/>
          <w:szCs w:val="20"/>
          <w:color w:val="auto"/>
        </w:rPr>
      </w:pPr>
      <w:r>
        <w:rPr>
          <w:rFonts w:ascii="Arial" w:cs="Arial" w:eastAsia="Arial" w:hAnsi="Arial"/>
          <w:sz w:val="20"/>
          <w:szCs w:val="20"/>
          <w:color w:val="auto"/>
        </w:rPr>
        <w:t>all Attributable Indebtedness in respect of Capitalized Leases and Synthetic Lease Obligations of such Person and all Synthetic Debt of such Person;</w:t>
      </w:r>
    </w:p>
    <w:p>
      <w:pPr>
        <w:spacing w:after="0" w:line="153" w:lineRule="exact"/>
        <w:rPr>
          <w:rFonts w:ascii="Arial" w:cs="Arial" w:eastAsia="Arial" w:hAnsi="Arial"/>
          <w:sz w:val="20"/>
          <w:szCs w:val="20"/>
          <w:color w:val="auto"/>
        </w:rPr>
      </w:pPr>
    </w:p>
    <w:p>
      <w:pPr>
        <w:jc w:val="both"/>
        <w:ind w:left="600" w:firstLine="599"/>
        <w:spacing w:after="0" w:line="260" w:lineRule="auto"/>
        <w:tabs>
          <w:tab w:leader="none" w:pos="1737" w:val="left"/>
        </w:tabs>
        <w:numPr>
          <w:ilvl w:val="0"/>
          <w:numId w:val="485"/>
        </w:numPr>
        <w:rPr>
          <w:rFonts w:ascii="Arial" w:cs="Arial" w:eastAsia="Arial" w:hAnsi="Arial"/>
          <w:sz w:val="20"/>
          <w:szCs w:val="20"/>
          <w:color w:val="auto"/>
        </w:rPr>
      </w:pPr>
      <w:r>
        <w:rPr>
          <w:rFonts w:ascii="Arial" w:cs="Arial" w:eastAsia="Arial" w:hAnsi="Arial"/>
          <w:sz w:val="20"/>
          <w:szCs w:val="20"/>
          <w:color w:val="auto"/>
        </w:rPr>
        <w:t xml:space="preserve">all obligations of such Person to purchase, redeem, retire, defease or otherwise make any payment in respect of any Equity Interest in such Person, valued, in the case of a redeemable preferred interest, at the greater of its voluntary or involuntary liquidation preference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accrued and unpaid dividends; and</w:t>
      </w:r>
    </w:p>
    <w:p>
      <w:pPr>
        <w:spacing w:after="0" w:line="164" w:lineRule="exact"/>
        <w:rPr>
          <w:rFonts w:ascii="Arial" w:cs="Arial" w:eastAsia="Arial" w:hAnsi="Arial"/>
          <w:sz w:val="20"/>
          <w:szCs w:val="20"/>
          <w:color w:val="auto"/>
        </w:rPr>
      </w:pPr>
    </w:p>
    <w:p>
      <w:pPr>
        <w:ind w:left="1640" w:hanging="441"/>
        <w:spacing w:after="0"/>
        <w:tabs>
          <w:tab w:leader="none" w:pos="1640" w:val="left"/>
        </w:tabs>
        <w:numPr>
          <w:ilvl w:val="0"/>
          <w:numId w:val="485"/>
        </w:numPr>
        <w:rPr>
          <w:rFonts w:ascii="Arial" w:cs="Arial" w:eastAsia="Arial" w:hAnsi="Arial"/>
          <w:sz w:val="20"/>
          <w:szCs w:val="20"/>
          <w:color w:val="auto"/>
        </w:rPr>
      </w:pPr>
      <w:r>
        <w:rPr>
          <w:rFonts w:ascii="Arial" w:cs="Arial" w:eastAsia="Arial" w:hAnsi="Arial"/>
          <w:sz w:val="20"/>
          <w:szCs w:val="20"/>
          <w:color w:val="auto"/>
        </w:rPr>
        <w:t>all Guarantees of such Person in respect of any of the foregoing.</w:t>
      </w:r>
    </w:p>
    <w:p>
      <w:pPr>
        <w:spacing w:after="0" w:line="207"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For all purposes hereof, the Indebtedness owed by the REIT or any Subsidiary thereof shall include the Consolidated Group Pro Rata Share of the foregoing items and components thereof attributable to Indebtedness owed by Unconsolidated Affiliates. The amount of any net obligation under any Swap Contract on any date shall be deemed to be the Swap Termination Value thereof as of such date. The amount of any Capitalized Lease or Synthetic Lease Obligation as of any date shall be deemed to be the amount of Attributable Indebtedness in respect thereof as of such date.</w:t>
      </w:r>
    </w:p>
    <w:p>
      <w:pPr>
        <w:spacing w:after="0" w:line="174"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means (a) Taxes other than Excluded Taxes, imposed on or with respect to any payment made by or on account of any obligation of any Loan Party under any Loan Document and (b) to the extent not otherwise described in the preceding clause (a), Other Taxes.</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10.04(b)</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Indirect Owner</w:t>
      </w:r>
      <w:r>
        <w:rPr>
          <w:rFonts w:ascii="Arial" w:cs="Arial" w:eastAsia="Arial" w:hAnsi="Arial"/>
          <w:sz w:val="20"/>
          <w:szCs w:val="20"/>
          <w:color w:val="auto"/>
        </w:rPr>
        <w:t>” means each Subsidiary of the Borrower (including, for the avoidance of doubt, each Controlled Joint Venture) that directly or indirectly owns an Equity Interest in the Direct Owner of any Unencumbered Portfolio Property.</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Ineligible Institution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10.06(b)(v)</w:t>
      </w:r>
      <w:r>
        <w:rPr>
          <w:rFonts w:ascii="Arial" w:cs="Arial" w:eastAsia="Arial" w:hAnsi="Arial"/>
          <w:sz w:val="20"/>
          <w:szCs w:val="20"/>
          <w:color w:val="auto"/>
        </w:rPr>
        <w: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Payment Date</w:t>
      </w:r>
      <w:r>
        <w:rPr>
          <w:rFonts w:ascii="Arial" w:cs="Arial" w:eastAsia="Arial" w:hAnsi="Arial"/>
          <w:sz w:val="20"/>
          <w:szCs w:val="20"/>
          <w:color w:val="auto"/>
        </w:rPr>
        <w:t xml:space="preserve">” means, (a) as to any Eurodollar Rate Loan, the last day of each Interest Period applicable to such Loan and the Maturity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any Interest Period for a Eurodollar Rate Loan exceeds three months, the respective dates that fall every three months after the beginning of such Interest Period shall also be Interest Payment Dates; and (b) as to any Base Rate Loan, the last Business Day of each March, June, September and December and the Maturity Date.</w:t>
      </w:r>
    </w:p>
    <w:p>
      <w:pPr>
        <w:spacing w:after="0" w:line="168" w:lineRule="exact"/>
        <w:rPr>
          <w:sz w:val="20"/>
          <w:szCs w:val="20"/>
          <w:color w:val="auto"/>
        </w:rPr>
      </w:pPr>
    </w:p>
    <w:p>
      <w:pPr>
        <w:jc w:val="both"/>
        <w:ind w:firstLine="599"/>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Eurodollar Rate Loan, the period commencing on the date such Eurodollar Rate Loan is disbursed or converted to or continued as a Eurodollar Rate Loan and ending on the date one, two, three or six months (or if agreed by all Lenders, twelve months) thereafter (in each case, subject to availability), as selected by the Borrower in its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30" w:lineRule="exact"/>
        <w:rPr>
          <w:sz w:val="20"/>
          <w:szCs w:val="20"/>
          <w:color w:val="auto"/>
        </w:rPr>
      </w:pPr>
    </w:p>
    <w:p>
      <w:pPr>
        <w:jc w:val="both"/>
        <w:ind w:left="600" w:firstLine="599"/>
        <w:spacing w:after="0" w:line="260" w:lineRule="auto"/>
        <w:tabs>
          <w:tab w:leader="none" w:pos="1638" w:val="left"/>
        </w:tabs>
        <w:numPr>
          <w:ilvl w:val="0"/>
          <w:numId w:val="486"/>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64" w:lineRule="exact"/>
        <w:rPr>
          <w:rFonts w:ascii="Arial" w:cs="Arial" w:eastAsia="Arial" w:hAnsi="Arial"/>
          <w:sz w:val="20"/>
          <w:szCs w:val="20"/>
          <w:color w:val="auto"/>
        </w:rPr>
      </w:pPr>
    </w:p>
    <w:p>
      <w:pPr>
        <w:jc w:val="both"/>
        <w:ind w:left="600" w:firstLine="599"/>
        <w:spacing w:after="0" w:line="260" w:lineRule="auto"/>
        <w:tabs>
          <w:tab w:leader="none" w:pos="1784" w:val="left"/>
        </w:tabs>
        <w:numPr>
          <w:ilvl w:val="0"/>
          <w:numId w:val="486"/>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200" w:lineRule="exact"/>
        <w:rPr>
          <w:sz w:val="20"/>
          <w:szCs w:val="20"/>
          <w:color w:val="auto"/>
        </w:rPr>
      </w:pPr>
    </w:p>
    <w:p>
      <w:pPr>
        <w:spacing w:after="0" w:line="20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16</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21" w:name="page422"/>
    <w:bookmarkEnd w:id="421"/>
    <w:p>
      <w:pPr>
        <w:ind w:left="1200"/>
        <w:spacing w:after="0"/>
        <w:tabs>
          <w:tab w:leader="none" w:pos="160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18"/>
          <w:szCs w:val="18"/>
          <w:color w:val="auto"/>
        </w:rPr>
        <w:t>no Interest Period shall extend beyond the Maturity Date.</w:t>
      </w:r>
    </w:p>
    <w:p>
      <w:pPr>
        <w:spacing w:after="0" w:line="207" w:lineRule="exact"/>
        <w:rPr>
          <w:sz w:val="20"/>
          <w:szCs w:val="20"/>
          <w:color w:val="auto"/>
        </w:rPr>
      </w:pPr>
    </w:p>
    <w:p>
      <w:pPr>
        <w:jc w:val="both"/>
        <w:ind w:firstLine="59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means, as to any Person, any direct or indirect (a) investment by such Person, consisting of (i) the purchase or other acquisition of Equity Interests or other securities of another Person or (ii) a loan, advance, other extension of credit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owed by such other Person, (b) purchase or other acquisition (in one transaction or a series of transactions) of assets of another Person that constitute a business unit or all or a substantial part of the business of, such Person or (c) purchase, acquisition or other investment in any real property or real property-related assets (including, without limitation, mortgage loans and other real estate-related debt investments, investments in unimproved land holdings and Portfolio Properties, and costs to construct real property assets under development). For purposes hereof, the amount of any Investment shall be the amount actually invested, without adjustment for subsequent increases or decreases in the value of such Investment, but determined net of all payments constituting returns of invested capital received in respect of such Investment and, in the case of a guaranty or similar obligation, such Investment will be reduced to the extent the exposure under such guaranty or similar obligation is reduced.</w:t>
      </w:r>
    </w:p>
    <w:p>
      <w:pPr>
        <w:spacing w:after="0" w:line="163" w:lineRule="exact"/>
        <w:rPr>
          <w:sz w:val="20"/>
          <w:szCs w:val="20"/>
          <w:color w:val="auto"/>
        </w:rPr>
      </w:pPr>
    </w:p>
    <w:p>
      <w:pPr>
        <w:jc w:val="both"/>
        <w:ind w:firstLine="599"/>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 Pricing Effective Date</w:t>
      </w:r>
      <w:r>
        <w:rPr>
          <w:rFonts w:ascii="Arial" w:cs="Arial" w:eastAsia="Arial" w:hAnsi="Arial"/>
          <w:sz w:val="18"/>
          <w:szCs w:val="18"/>
          <w:color w:val="auto"/>
        </w:rPr>
        <w:t>” means the first Business Day following the date on which (i) the Borrower has obtained an Investment Grade Rating and (ii) the REIT has delivered to the Administrative Agent a certificate executed by a Responsible Officer of the REIT (x) certifying that an Investment Grade Rating has been obtained and is in effect (which certification shall also set forth the Debt Ratings received from each Rating Agency as of such date) and (y) notifying the Administrative Agent that Borrower has irrevocably elected</w:t>
      </w:r>
    </w:p>
    <w:p>
      <w:pPr>
        <w:spacing w:after="0" w:line="3" w:lineRule="exact"/>
        <w:rPr>
          <w:sz w:val="20"/>
          <w:szCs w:val="20"/>
          <w:color w:val="auto"/>
        </w:rPr>
      </w:pPr>
    </w:p>
    <w:p>
      <w:pPr>
        <w:jc w:val="both"/>
        <w:spacing w:after="0" w:line="250" w:lineRule="auto"/>
        <w:tabs>
          <w:tab w:leader="none" w:pos="338" w:val="left"/>
        </w:tabs>
        <w:numPr>
          <w:ilvl w:val="0"/>
          <w:numId w:val="487"/>
        </w:numPr>
        <w:rPr>
          <w:rFonts w:ascii="Arial" w:cs="Arial" w:eastAsia="Arial" w:hAnsi="Arial"/>
          <w:sz w:val="20"/>
          <w:szCs w:val="20"/>
          <w:color w:val="auto"/>
        </w:rPr>
      </w:pPr>
      <w:r>
        <w:rPr>
          <w:rFonts w:ascii="Arial" w:cs="Arial" w:eastAsia="Arial" w:hAnsi="Arial"/>
          <w:sz w:val="20"/>
          <w:szCs w:val="20"/>
          <w:color w:val="auto"/>
        </w:rPr>
        <w:t>to have the Ratings-Based Applicable Rate apply to the pricing of the Facility and (B) to apply ratings-based pricing concurrently under the Revolving Credit Agreement (provided that if (x) the Revolving Credit Agreement is not then in effect or (y) the Revolving Credit Agreement as then in effect does not provide that the Borrower may elect ratings-based pricing thereunder at such time, then satisfaction of this clause (B) shall not be required).</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 Grade Rating</w:t>
      </w:r>
      <w:r>
        <w:rPr>
          <w:rFonts w:ascii="Arial" w:cs="Arial" w:eastAsia="Arial" w:hAnsi="Arial"/>
          <w:sz w:val="20"/>
          <w:szCs w:val="20"/>
          <w:color w:val="auto"/>
        </w:rPr>
        <w:t>” means receipt of one Debt Rating of BBB- or higher from S&amp;P or Baa3 or higher from Moody’s.</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IP Rights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5.18</w:t>
      </w:r>
      <w:r>
        <w:rPr>
          <w:rFonts w:ascii="Arial" w:cs="Arial" w:eastAsia="Arial" w:hAnsi="Arial"/>
          <w:sz w:val="20"/>
          <w:szCs w:val="20"/>
          <w:color w:val="auto"/>
        </w:rPr>
        <w: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Joinder Agreement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2.17(a)</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Laws</w:t>
      </w:r>
      <w:r>
        <w:rPr>
          <w:rFonts w:ascii="Arial" w:cs="Arial" w:eastAsia="Arial" w:hAnsi="Arial"/>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w:t>
      </w:r>
      <w:r>
        <w:rPr>
          <w:rFonts w:ascii="Arial" w:cs="Arial" w:eastAsia="Arial" w:hAnsi="Arial"/>
          <w:sz w:val="20"/>
          <w:szCs w:val="20"/>
          <w:color w:val="auto"/>
        </w:rPr>
        <w:t>” has the meaning specified in the introductory paragraph hereto.</w:t>
      </w:r>
    </w:p>
    <w:p>
      <w:pPr>
        <w:spacing w:after="0" w:line="207" w:lineRule="exact"/>
        <w:rPr>
          <w:sz w:val="20"/>
          <w:szCs w:val="20"/>
          <w:color w:val="auto"/>
        </w:rPr>
      </w:pPr>
    </w:p>
    <w:p>
      <w:pPr>
        <w:jc w:val="both"/>
        <w:ind w:firstLine="599"/>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Lending Office</w:t>
      </w:r>
      <w:r>
        <w:rPr>
          <w:rFonts w:ascii="Arial" w:cs="Arial" w:eastAsia="Arial" w:hAnsi="Arial"/>
          <w:sz w:val="19"/>
          <w:szCs w:val="19"/>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367"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17</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22" w:name="page423"/>
    <w:bookmarkEnd w:id="422"/>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Leverage-Based Applicable Rate</w:t>
      </w:r>
      <w:r>
        <w:rPr>
          <w:rFonts w:ascii="Arial" w:cs="Arial" w:eastAsia="Arial" w:hAnsi="Arial"/>
          <w:sz w:val="20"/>
          <w:szCs w:val="20"/>
          <w:color w:val="auto"/>
        </w:rPr>
        <w:t xml:space="preserve">” means the applicable percentage per annum set forth below determined by reference to the Consolidated Total Leverage Ratio as set forth in the most recent Compliance Certificate received by the Administrative Agent and the Lenders pursuant to </w:t>
      </w:r>
      <w:r>
        <w:rPr>
          <w:rFonts w:ascii="Arial" w:cs="Arial" w:eastAsia="Arial" w:hAnsi="Arial"/>
          <w:sz w:val="20"/>
          <w:szCs w:val="20"/>
          <w:u w:val="single" w:color="auto"/>
          <w:color w:val="auto"/>
        </w:rPr>
        <w:t>Section 6.02(b)</w:t>
      </w:r>
      <w:r>
        <w:rPr>
          <w:rFonts w:ascii="Arial" w:cs="Arial" w:eastAsia="Arial" w:hAnsi="Arial"/>
          <w:sz w:val="20"/>
          <w:szCs w:val="20"/>
          <w:color w:val="auto"/>
        </w:rPr>
        <w:t>:</w:t>
      </w:r>
    </w:p>
    <w:p>
      <w:pPr>
        <w:spacing w:after="0" w:line="276" w:lineRule="exact"/>
        <w:rPr>
          <w:sz w:val="20"/>
          <w:szCs w:val="20"/>
          <w:color w:val="auto"/>
        </w:rPr>
      </w:pPr>
    </w:p>
    <w:tbl>
      <w:tblPr>
        <w:tblLayout w:type="fixed"/>
        <w:tblInd w:w="730" w:type="dxa"/>
        <w:tblCellMar>
          <w:top w:w="0" w:type="dxa"/>
          <w:left w:w="0" w:type="dxa"/>
          <w:bottom w:w="0" w:type="dxa"/>
          <w:right w:w="0" w:type="dxa"/>
        </w:tblCellMar>
      </w:tblPr>
      <w:tr>
        <w:trPr>
          <w:trHeight w:val="280"/>
        </w:trPr>
        <w:tc>
          <w:tcPr>
            <w:tcW w:w="22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Pricing Level</w:t>
            </w:r>
          </w:p>
        </w:tc>
        <w:tc>
          <w:tcPr>
            <w:tcW w:w="20" w:type="dxa"/>
            <w:vAlign w:val="bottom"/>
            <w:tcBorders>
              <w:top w:val="single" w:sz="8" w:color="auto"/>
              <w:bottom w:val="single" w:sz="8" w:color="auto"/>
            </w:tcBorders>
          </w:tcPr>
          <w:p>
            <w:pPr>
              <w:spacing w:after="0"/>
              <w:rPr>
                <w:sz w:val="24"/>
                <w:szCs w:val="24"/>
                <w:color w:val="auto"/>
              </w:rPr>
            </w:pPr>
          </w:p>
        </w:tc>
        <w:tc>
          <w:tcPr>
            <w:tcW w:w="360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20"/>
                <w:szCs w:val="20"/>
                <w:b w:val="1"/>
                <w:bCs w:val="1"/>
                <w:color w:val="auto"/>
              </w:rPr>
              <w:t>Consolidated Total Leverage Ratio</w:t>
            </w:r>
          </w:p>
        </w:tc>
        <w:tc>
          <w:tcPr>
            <w:tcW w:w="24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b w:val="1"/>
                <w:bCs w:val="1"/>
                <w:color w:val="auto"/>
              </w:rPr>
              <w:t>Eurodollar Rate Loans</w:t>
            </w:r>
          </w:p>
        </w:tc>
        <w:tc>
          <w:tcPr>
            <w:tcW w:w="17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b w:val="1"/>
                <w:bCs w:val="1"/>
                <w:color w:val="auto"/>
              </w:rPr>
              <w:t>Base Rate Loans</w:t>
            </w:r>
          </w:p>
        </w:tc>
      </w:tr>
      <w:tr>
        <w:trPr>
          <w:trHeight w:val="267"/>
        </w:trPr>
        <w:tc>
          <w:tcPr>
            <w:tcW w:w="22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w:t>
            </w:r>
          </w:p>
        </w:tc>
        <w:tc>
          <w:tcPr>
            <w:tcW w:w="36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&lt; 40%</w:t>
            </w:r>
          </w:p>
        </w:tc>
        <w:tc>
          <w:tcPr>
            <w:tcW w:w="2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1.70%</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0.70%</w:t>
            </w:r>
          </w:p>
        </w:tc>
      </w:tr>
      <w:tr>
        <w:trPr>
          <w:trHeight w:val="287"/>
        </w:trPr>
        <w:tc>
          <w:tcPr>
            <w:tcW w:w="2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II</w:t>
            </w:r>
          </w:p>
        </w:tc>
        <w:tc>
          <w:tcPr>
            <w:tcW w:w="20" w:type="dxa"/>
            <w:vAlign w:val="bottom"/>
          </w:tcPr>
          <w:p>
            <w:pPr>
              <w:spacing w:after="0"/>
              <w:rPr>
                <w:sz w:val="24"/>
                <w:szCs w:val="24"/>
                <w:color w:val="auto"/>
              </w:rPr>
            </w:pPr>
          </w:p>
        </w:tc>
        <w:tc>
          <w:tcPr>
            <w:tcW w:w="36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&gt; 40% and &lt; 45%</w:t>
            </w:r>
          </w:p>
        </w:tc>
        <w:tc>
          <w:tcPr>
            <w:tcW w:w="24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1.75%</w:t>
            </w:r>
          </w:p>
        </w:tc>
        <w:tc>
          <w:tcPr>
            <w:tcW w:w="17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0.75%</w:t>
            </w:r>
          </w:p>
        </w:tc>
      </w:tr>
      <w:tr>
        <w:trPr>
          <w:trHeight w:val="42"/>
        </w:trPr>
        <w:tc>
          <w:tcPr>
            <w:tcW w:w="22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3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r>
      <w:tr>
        <w:trPr>
          <w:trHeight w:val="280"/>
        </w:trPr>
        <w:tc>
          <w:tcPr>
            <w:tcW w:w="2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III</w:t>
            </w:r>
          </w:p>
        </w:tc>
        <w:tc>
          <w:tcPr>
            <w:tcW w:w="20" w:type="dxa"/>
            <w:vAlign w:val="bottom"/>
          </w:tcPr>
          <w:p>
            <w:pPr>
              <w:spacing w:after="0"/>
              <w:rPr>
                <w:sz w:val="24"/>
                <w:szCs w:val="24"/>
                <w:color w:val="auto"/>
              </w:rPr>
            </w:pPr>
          </w:p>
        </w:tc>
        <w:tc>
          <w:tcPr>
            <w:tcW w:w="36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&gt; 45% and &lt; 50%</w:t>
            </w:r>
          </w:p>
        </w:tc>
        <w:tc>
          <w:tcPr>
            <w:tcW w:w="24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1.90%</w:t>
            </w:r>
          </w:p>
        </w:tc>
        <w:tc>
          <w:tcPr>
            <w:tcW w:w="17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0.90%</w:t>
            </w:r>
          </w:p>
        </w:tc>
      </w:tr>
      <w:tr>
        <w:trPr>
          <w:trHeight w:val="42"/>
        </w:trPr>
        <w:tc>
          <w:tcPr>
            <w:tcW w:w="22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3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r>
      <w:tr>
        <w:trPr>
          <w:trHeight w:val="280"/>
        </w:trPr>
        <w:tc>
          <w:tcPr>
            <w:tcW w:w="2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IV</w:t>
            </w:r>
          </w:p>
        </w:tc>
        <w:tc>
          <w:tcPr>
            <w:tcW w:w="20" w:type="dxa"/>
            <w:vAlign w:val="bottom"/>
          </w:tcPr>
          <w:p>
            <w:pPr>
              <w:spacing w:after="0"/>
              <w:rPr>
                <w:sz w:val="24"/>
                <w:szCs w:val="24"/>
                <w:color w:val="auto"/>
              </w:rPr>
            </w:pPr>
          </w:p>
        </w:tc>
        <w:tc>
          <w:tcPr>
            <w:tcW w:w="36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&gt; 50% and &lt; 55%</w:t>
            </w:r>
          </w:p>
        </w:tc>
        <w:tc>
          <w:tcPr>
            <w:tcW w:w="24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2.05%</w:t>
            </w:r>
          </w:p>
        </w:tc>
        <w:tc>
          <w:tcPr>
            <w:tcW w:w="17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1.05%</w:t>
            </w:r>
          </w:p>
        </w:tc>
      </w:tr>
      <w:tr>
        <w:trPr>
          <w:trHeight w:val="42"/>
        </w:trPr>
        <w:tc>
          <w:tcPr>
            <w:tcW w:w="22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3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r>
      <w:tr>
        <w:trPr>
          <w:trHeight w:val="280"/>
        </w:trPr>
        <w:tc>
          <w:tcPr>
            <w:tcW w:w="2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V</w:t>
            </w:r>
          </w:p>
        </w:tc>
        <w:tc>
          <w:tcPr>
            <w:tcW w:w="362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&gt; 55%</w:t>
            </w:r>
          </w:p>
        </w:tc>
        <w:tc>
          <w:tcPr>
            <w:tcW w:w="24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2.35%</w:t>
            </w:r>
          </w:p>
        </w:tc>
        <w:tc>
          <w:tcPr>
            <w:tcW w:w="17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1.35%</w:t>
            </w:r>
          </w:p>
        </w:tc>
      </w:tr>
      <w:tr>
        <w:trPr>
          <w:trHeight w:val="42"/>
        </w:trPr>
        <w:tc>
          <w:tcPr>
            <w:tcW w:w="22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3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r>
    </w:tbl>
    <w:p>
      <w:pPr>
        <w:spacing w:after="0" w:line="193" w:lineRule="exact"/>
        <w:rPr>
          <w:sz w:val="20"/>
          <w:szCs w:val="20"/>
          <w:color w:val="auto"/>
        </w:rPr>
      </w:pPr>
    </w:p>
    <w:p>
      <w:pPr>
        <w:jc w:val="both"/>
        <w:ind w:firstLine="599"/>
        <w:spacing w:after="0" w:line="270" w:lineRule="auto"/>
        <w:rPr>
          <w:sz w:val="20"/>
          <w:szCs w:val="20"/>
          <w:color w:val="auto"/>
        </w:rPr>
      </w:pPr>
      <w:r>
        <w:rPr>
          <w:rFonts w:ascii="Arial" w:cs="Arial" w:eastAsia="Arial" w:hAnsi="Arial"/>
          <w:sz w:val="19"/>
          <w:szCs w:val="19"/>
          <w:color w:val="auto"/>
        </w:rPr>
        <w:t xml:space="preserve">Any increase or decrease in the Leverage-Based Applicable Rate resulting from a change in the Consolidated Total Leverage Ratio shall become effective as of the first Business Day immediately following the date a Compliance Certificate is delivered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6.02(b)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Compliance Certificate is not delivered when due in accordance with such Section, then Pricing Level V shall apply as of the first Business Day after the date on which such Compliance Certificate was required to have been delivered and shall remain in effect until the date on which such Compliance Certificate is delivered.</w:t>
      </w:r>
    </w:p>
    <w:p>
      <w:pPr>
        <w:spacing w:after="0" w:line="157" w:lineRule="exact"/>
        <w:rPr>
          <w:sz w:val="20"/>
          <w:szCs w:val="20"/>
          <w:color w:val="auto"/>
        </w:rPr>
      </w:pPr>
    </w:p>
    <w:p>
      <w:pPr>
        <w:jc w:val="both"/>
        <w:ind w:firstLine="599"/>
        <w:spacing w:after="0" w:line="293" w:lineRule="auto"/>
        <w:rPr>
          <w:sz w:val="20"/>
          <w:szCs w:val="20"/>
          <w:color w:val="auto"/>
        </w:rPr>
      </w:pPr>
      <w:r>
        <w:rPr>
          <w:rFonts w:ascii="Arial" w:cs="Arial" w:eastAsia="Arial" w:hAnsi="Arial"/>
          <w:sz w:val="18"/>
          <w:szCs w:val="18"/>
          <w:color w:val="auto"/>
        </w:rPr>
        <w:t xml:space="preserve">Notwithstanding anything to the contrary contained in this definition, (i) from the Closing Date to the date on which the Administrative Agent receives a Compliance Certificate pursuant to </w:t>
      </w:r>
      <w:r>
        <w:rPr>
          <w:rFonts w:ascii="Arial" w:cs="Arial" w:eastAsia="Arial" w:hAnsi="Arial"/>
          <w:sz w:val="18"/>
          <w:szCs w:val="18"/>
          <w:u w:val="single" w:color="auto"/>
          <w:color w:val="auto"/>
        </w:rPr>
        <w:t>Section 6.02(b)</w:t>
      </w:r>
      <w:r>
        <w:rPr>
          <w:rFonts w:ascii="Arial" w:cs="Arial" w:eastAsia="Arial" w:hAnsi="Arial"/>
          <w:sz w:val="18"/>
          <w:szCs w:val="18"/>
          <w:color w:val="auto"/>
        </w:rPr>
        <w:t xml:space="preserve"> for the fiscal quarter of the REIT ending March 31, 2016, the Pricing Level shall be determined based on the Consolidated Total Leverage Ratio as set forth in the Pro Forma Closing Date Compliance Certificate and (ii) the determination of the Leverage-Based Applicable Rate for any period shall be subject to the provisions of </w:t>
      </w:r>
      <w:r>
        <w:rPr>
          <w:rFonts w:ascii="Arial" w:cs="Arial" w:eastAsia="Arial" w:hAnsi="Arial"/>
          <w:sz w:val="18"/>
          <w:szCs w:val="18"/>
          <w:u w:val="single" w:color="auto"/>
          <w:color w:val="auto"/>
        </w:rPr>
        <w:t>Section 2.10(b).</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w:t>
      </w:r>
      <w:r>
        <w:rPr>
          <w:rFonts w:ascii="Arial" w:cs="Arial" w:eastAsia="Arial" w:hAnsi="Arial"/>
          <w:sz w:val="20"/>
          <w:szCs w:val="20"/>
          <w:color w:val="auto"/>
        </w:rPr>
        <w:t>” has the meaning specified in the definition of “Eurodollar Rate.”</w:t>
      </w:r>
    </w:p>
    <w:p>
      <w:pPr>
        <w:spacing w:after="0" w:line="207" w:lineRule="exact"/>
        <w:rPr>
          <w:sz w:val="20"/>
          <w:szCs w:val="20"/>
          <w:color w:val="auto"/>
        </w:rPr>
      </w:pPr>
    </w:p>
    <w:p>
      <w:pPr>
        <w:jc w:val="both"/>
        <w:ind w:firstLine="59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any mortgage, pledge, hypothecation, assignment, deposit arrangement, encumbrance, easement, right-of-way or other encumbrance on title to real property, lien (statutory or other), charge, or preference, priority or other security interest or preferential arrangement in the nature of a security interest of any kind or nature whatsoever (including any conditional sale or other title retention agreement, and any financing lease having substantially the same economic effect as any of the foregoing).</w:t>
      </w:r>
    </w:p>
    <w:p>
      <w:pPr>
        <w:spacing w:after="0" w:line="15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w:t>
      </w:r>
      <w:r>
        <w:rPr>
          <w:rFonts w:ascii="Arial" w:cs="Arial" w:eastAsia="Arial" w:hAnsi="Arial"/>
          <w:sz w:val="19"/>
          <w:szCs w:val="19"/>
          <w:color w:val="auto"/>
        </w:rPr>
        <w:t xml:space="preserve">” means an extension of credit by a Lender to the Borrower as described in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herein in the form of a Term Loan.</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(a) this Agreement, (b) the Term Notes, (c) the Guaranty Agreement and (d) the Fee Letter</w:t>
      </w:r>
      <w:r>
        <w:rPr>
          <w:rFonts w:ascii="Arial" w:cs="Arial" w:eastAsia="Arial" w:hAnsi="Arial"/>
          <w:sz w:val="18"/>
          <w:szCs w:val="18"/>
          <w:b w:val="1"/>
          <w:bCs w:val="1"/>
          <w:color w:val="auto"/>
        </w:rPr>
        <w:t>.</w:t>
      </w:r>
    </w:p>
    <w:p>
      <w:pPr>
        <w:spacing w:after="0" w:line="236"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Notice</w:t>
      </w:r>
      <w:r>
        <w:rPr>
          <w:rFonts w:ascii="Arial" w:cs="Arial" w:eastAsia="Arial" w:hAnsi="Arial"/>
          <w:sz w:val="20"/>
          <w:szCs w:val="20"/>
          <w:color w:val="auto"/>
        </w:rPr>
        <w:t xml:space="preserve">” means a notice of (a) a Borrowing, (b) a conversion of Loans from one Type to the other, or (c) a continuation of Eurodollar Rate Loans, pursuant to </w:t>
      </w:r>
      <w:r>
        <w:rPr>
          <w:rFonts w:ascii="Arial" w:cs="Arial" w:eastAsia="Arial" w:hAnsi="Arial"/>
          <w:sz w:val="20"/>
          <w:szCs w:val="20"/>
          <w:u w:val="single" w:color="auto"/>
          <w:color w:val="auto"/>
        </w:rPr>
        <w:t>Section 2.02(a)</w:t>
      </w:r>
      <w:r>
        <w:rPr>
          <w:rFonts w:ascii="Arial" w:cs="Arial" w:eastAsia="Arial" w:hAnsi="Arial"/>
          <w:sz w:val="20"/>
          <w:szCs w:val="20"/>
          <w:color w:val="auto"/>
        </w:rPr>
        <w:t xml:space="preserve">, which, if in writing, shall be substantially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such other form as may be approved by the Administrative Agent).</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means, collectively, the Borrower and each Guarantor.</w:t>
      </w:r>
    </w:p>
    <w:p>
      <w:pPr>
        <w:spacing w:after="0" w:line="20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Party Pro Rata Share</w:t>
      </w:r>
      <w:r>
        <w:rPr>
          <w:rFonts w:ascii="Arial" w:cs="Arial" w:eastAsia="Arial" w:hAnsi="Arial"/>
          <w:sz w:val="20"/>
          <w:szCs w:val="20"/>
          <w:color w:val="auto"/>
        </w:rPr>
        <w:t>” means, with respect to any Controlled Joint Venture, the percentage interest held by the REIT or a Wholly Owned Subsidiary thereof, in the aggregate, in such Controlled Joint</w:t>
      </w:r>
    </w:p>
    <w:p>
      <w:pPr>
        <w:spacing w:after="0" w:line="390"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18</w:t>
      </w:r>
      <w:r>
        <w:rPr>
          <w:rFonts w:ascii="MS PGothic" w:cs="MS PGothic" w:eastAsia="MS PGothic" w:hAnsi="MS PGothic"/>
          <w:sz w:val="20"/>
          <w:szCs w:val="20"/>
          <w:color w:val="auto"/>
        </w:rPr>
        <w:t>‑</w:t>
      </w:r>
    </w:p>
    <w:p>
      <w:pPr>
        <w:sectPr>
          <w:pgSz w:w="11900" w:h="16838" w:orient="portrait"/>
          <w:cols w:equalWidth="0" w:num="1">
            <w:col w:w="11420"/>
          </w:cols>
          <w:pgMar w:left="240" w:top="794" w:right="239" w:bottom="1440" w:gutter="0" w:footer="0" w:header="0"/>
        </w:sectPr>
      </w:pPr>
    </w:p>
    <w:bookmarkStart w:id="423" w:name="page424"/>
    <w:bookmarkEnd w:id="423"/>
    <w:p>
      <w:pPr>
        <w:jc w:val="both"/>
        <w:spacing w:after="0" w:line="272" w:lineRule="auto"/>
        <w:rPr>
          <w:sz w:val="20"/>
          <w:szCs w:val="20"/>
          <w:color w:val="auto"/>
        </w:rPr>
      </w:pPr>
      <w:r>
        <w:rPr>
          <w:rFonts w:ascii="Arial" w:cs="Arial" w:eastAsia="Arial" w:hAnsi="Arial"/>
          <w:sz w:val="20"/>
          <w:szCs w:val="20"/>
          <w:color w:val="auto"/>
        </w:rPr>
        <w:t>Venture determined by calculating the percentage of Equity Interests of such Controlled Joint Venture owned, directly or indirectly, by the REIT and its Wholly Owned Subsidiaries.</w:t>
      </w:r>
    </w:p>
    <w:p>
      <w:pPr>
        <w:spacing w:after="0" w:line="153"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London Banking Day</w:t>
      </w:r>
      <w:r>
        <w:rPr>
          <w:rFonts w:ascii="Arial" w:cs="Arial" w:eastAsia="Arial" w:hAnsi="Arial"/>
          <w:sz w:val="20"/>
          <w:szCs w:val="20"/>
          <w:color w:val="auto"/>
        </w:rPr>
        <w:t>” means any day on which dealings in Dollar deposits are conducted by and between banks in the London interbank eurodollar market.</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Master Agreement</w:t>
      </w:r>
      <w:r>
        <w:rPr>
          <w:rFonts w:ascii="Arial" w:cs="Arial" w:eastAsia="Arial" w:hAnsi="Arial"/>
          <w:sz w:val="20"/>
          <w:szCs w:val="20"/>
          <w:color w:val="auto"/>
        </w:rPr>
        <w:t>” has the meaning specified in the definition of “Swap Contract.”</w:t>
      </w:r>
    </w:p>
    <w:p>
      <w:pPr>
        <w:spacing w:after="0" w:line="207" w:lineRule="exact"/>
        <w:rPr>
          <w:sz w:val="20"/>
          <w:szCs w:val="20"/>
          <w:color w:val="auto"/>
        </w:rPr>
      </w:pPr>
    </w:p>
    <w:p>
      <w:pPr>
        <w:jc w:val="both"/>
        <w:ind w:firstLine="599"/>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change in, or a material adverse effect upon, the operations, business, assets, properties, liabilities (actual or contingent) or condition (financial or otherwise) of the REIT or the Borrower and its Subsidiaries, taken as a whole; (b) a material adverse effect on the rights and remedies of the Administrative Agent or any Lender under any Loan Document, or of the ability of the Borrower and the Loan Parties, taken as a whole, to perform their obligations under any Loan Document; or (c) a material adverse effect upon the legality, validity, binding effect or enforceability against any Loan Party of any Loan Document to which it is a party.</w:t>
      </w:r>
    </w:p>
    <w:p>
      <w:pPr>
        <w:spacing w:after="0" w:line="144"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Contract</w:t>
      </w:r>
      <w:r>
        <w:rPr>
          <w:rFonts w:ascii="Arial" w:cs="Arial" w:eastAsia="Arial" w:hAnsi="Arial"/>
          <w:sz w:val="20"/>
          <w:szCs w:val="20"/>
          <w:color w:val="auto"/>
        </w:rPr>
        <w:t>” means, with respect to any Person, each contract to which such Person is a party involving aggregate consideration payable to or by such Person of $25,000,000 or more in any year or otherwise material to the business, condition (financial or otherwise), operations, performance or properties of such Person.</w:t>
      </w:r>
    </w:p>
    <w:p>
      <w:pPr>
        <w:spacing w:after="0" w:line="164"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xml:space="preserve">” means March 1, 2023;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such date is not a Business Day, the Maturity Date shall be the next preceding Business Day.</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10.09</w:t>
      </w:r>
      <w:r>
        <w:rPr>
          <w:rFonts w:ascii="Arial" w:cs="Arial" w:eastAsia="Arial" w:hAnsi="Arial"/>
          <w:sz w:val="20"/>
          <w:szCs w:val="20"/>
          <w:color w:val="auto"/>
        </w:rPr>
        <w: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and any successor thereto.</w:t>
      </w:r>
    </w:p>
    <w:p>
      <w:pPr>
        <w:spacing w:after="0" w:line="207"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64"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Multiple Employer Plan</w:t>
      </w:r>
      <w:r>
        <w:rPr>
          <w:rFonts w:ascii="Arial" w:cs="Arial" w:eastAsia="Arial" w:hAnsi="Arial"/>
          <w:sz w:val="20"/>
          <w:szCs w:val="20"/>
          <w:color w:val="auto"/>
        </w:rPr>
        <w:t>” means a Plan which has two or more contributing sponsors (including the Borrower or any ERISA Affiliate) at least two of whom are not under common control, as such a plan is described in Section 4064 of ERISA.</w:t>
      </w:r>
    </w:p>
    <w:p>
      <w:pPr>
        <w:spacing w:after="0" w:line="153"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Newly-Acquired Portfolio Property</w:t>
      </w:r>
      <w:r>
        <w:rPr>
          <w:rFonts w:ascii="Arial" w:cs="Arial" w:eastAsia="Arial" w:hAnsi="Arial"/>
          <w:sz w:val="20"/>
          <w:szCs w:val="20"/>
          <w:color w:val="auto"/>
        </w:rPr>
        <w:t xml:space="preserve">” means, as of any date of determination, any Portfolio Property acquired or ground leased pursuant to an Eligible Ground Lease by any member of the Consolidated Group from a Person that was not a member of the Consolidated Group during the then most recently ended two consecutive fiscal quarter period of the REIT for which financial statements have been provided to the Administrative Agent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2.17(a)</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or amendment that (i) requires the approval of all Lenders or all affected Lenders in accordance with the terms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(ii) has been approved by the Required Lenders.</w:t>
      </w:r>
    </w:p>
    <w:p>
      <w:pPr>
        <w:spacing w:after="0" w:line="1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at any time, each Lender that is not a Defaulting Lender at such time.</w:t>
      </w:r>
    </w:p>
    <w:p>
      <w:pPr>
        <w:spacing w:after="0" w:line="200" w:lineRule="exact"/>
        <w:rPr>
          <w:sz w:val="20"/>
          <w:szCs w:val="20"/>
          <w:color w:val="auto"/>
        </w:rPr>
      </w:pPr>
    </w:p>
    <w:p>
      <w:pPr>
        <w:spacing w:after="0" w:line="244"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19</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24" w:name="page425"/>
    <w:bookmarkEnd w:id="424"/>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Non-Loan Party Subsidiary</w:t>
      </w:r>
      <w:r>
        <w:rPr>
          <w:rFonts w:ascii="Arial" w:cs="Arial" w:eastAsia="Arial" w:hAnsi="Arial"/>
          <w:sz w:val="19"/>
          <w:szCs w:val="19"/>
          <w:color w:val="auto"/>
        </w:rPr>
        <w:t>” has the meaning specified in the definition of “Aggregate Non-Loan Party Investment Amount.”</w:t>
      </w:r>
    </w:p>
    <w:p>
      <w:pPr>
        <w:spacing w:after="0" w:line="219" w:lineRule="exact"/>
        <w:rPr>
          <w:sz w:val="20"/>
          <w:szCs w:val="20"/>
          <w:color w:val="auto"/>
        </w:rPr>
      </w:pPr>
    </w:p>
    <w:p>
      <w:pPr>
        <w:jc w:val="both"/>
        <w:ind w:firstLine="599"/>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Indebtedness</w:t>
      </w:r>
      <w:r>
        <w:rPr>
          <w:rFonts w:ascii="Arial" w:cs="Arial" w:eastAsia="Arial" w:hAnsi="Arial"/>
          <w:sz w:val="18"/>
          <w:szCs w:val="18"/>
          <w:color w:val="auto"/>
        </w:rPr>
        <w:t xml:space="preserve">” means, with respect to a Person, (a) Indebtedness, or a Guarantee of Indebtedness, in respect of which recourse for payment (except for customary exceptions for fraud, misrepresentation, misapplication of cash, waste, environmental claims and liabilities, prohibited transfers, violations of single purpose entity covenants, and other circumstances customarily excluded by institutional lenders from exculpation provisions and/or included in separate guaranty or indemnification agreements in non-recourse or tax-exempt financings of real estate, including those set forth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is contractually limited to specific assets of such Person encumbered by a Lien securing such Indebtedness or Guarantee, (b) if such Person is a Single Asset Entity, any Indebtedness owed by such Person (other than Indebtedness described in the immediately following clause (c)), or (c) if such Person is a Single Asset Holding Company, any Indebtedness (“Holdco Indebtedness”) of such Single Asset Holding Company resulting from a Guarantee of, or Lien securing, Indebtedness owed by a Single Asset Entity that is a Subsidiary of such Single Asset Holding Company, so long as, in each case, either (i) recourse for payment of such Holdco Indebtedness (except for customary exceptions for fraud, misrepresentation, misapplication of cash, waste, environmental claims and liabilities, prohibited transfers, violations of single purpose entity covenants, and other circumstances customarily excluded by institutional lenders from exculpation provisions and/or included in separate guaranty or indemnification agreements in non-recourse or tax-exempt financings of real estate, including those set forth on </w:t>
      </w:r>
      <w:r>
        <w:rPr>
          <w:rFonts w:ascii="Arial" w:cs="Arial" w:eastAsia="Arial" w:hAnsi="Arial"/>
          <w:sz w:val="18"/>
          <w:szCs w:val="18"/>
          <w:u w:val="single" w:color="auto"/>
          <w:color w:val="auto"/>
        </w:rPr>
        <w:t>Schedule III</w:t>
      </w:r>
      <w:r>
        <w:rPr>
          <w:rFonts w:ascii="Arial" w:cs="Arial" w:eastAsia="Arial" w:hAnsi="Arial"/>
          <w:sz w:val="18"/>
          <w:szCs w:val="18"/>
          <w:color w:val="auto"/>
        </w:rPr>
        <w:t>) is contractually limited to the Equity Interests held by such Single Asset Holding Company in such Single Asset Entity or (ii) such Single Asset Holding Company has no assets other than Equity Interests in such Single Asset Entity and cash and other assets of nominal value incidental to the ownership of the such Single Asset Entity.</w:t>
      </w:r>
    </w:p>
    <w:p>
      <w:pPr>
        <w:spacing w:after="0" w:line="150" w:lineRule="exact"/>
        <w:rPr>
          <w:sz w:val="20"/>
          <w:szCs w:val="20"/>
          <w:color w:val="auto"/>
        </w:rPr>
      </w:pPr>
    </w:p>
    <w:p>
      <w:pPr>
        <w:jc w:val="both"/>
        <w:ind w:firstLine="599"/>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Non-Stabilized Portfolio Property</w:t>
      </w:r>
      <w:r>
        <w:rPr>
          <w:rFonts w:ascii="Arial" w:cs="Arial" w:eastAsia="Arial" w:hAnsi="Arial"/>
          <w:sz w:val="19"/>
          <w:szCs w:val="19"/>
          <w:color w:val="auto"/>
        </w:rPr>
        <w:t>” means, as of any date of determination, any Portfolio Property (i) that was previously (but is no longer) under development and in which a Development Investment was made by the REIT or a Subsidiary thereof after the Third Amendment Effective Date and (ii) in respect of which the Stabilization Date has not occurred on or prior to such date.</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NPL</w:t>
      </w:r>
      <w:r>
        <w:rPr>
          <w:rFonts w:ascii="Arial" w:cs="Arial" w:eastAsia="Arial" w:hAnsi="Arial"/>
          <w:sz w:val="20"/>
          <w:szCs w:val="20"/>
          <w:color w:val="auto"/>
        </w:rPr>
        <w:t>” means the National Priorities List under CERCLA.</w:t>
      </w:r>
    </w:p>
    <w:p>
      <w:pPr>
        <w:spacing w:after="0" w:line="207" w:lineRule="exact"/>
        <w:rPr>
          <w:sz w:val="20"/>
          <w:szCs w:val="20"/>
          <w:color w:val="auto"/>
        </w:rPr>
      </w:pPr>
    </w:p>
    <w:p>
      <w:pPr>
        <w:jc w:val="both"/>
        <w:ind w:firstLine="599"/>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all advances to, and debts, liabilities, obligations, covenants and duties of, any Loan Party arising under any Loan Document or otherwise with respect to any Loan,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United States Department of the Treasury.</w:t>
      </w:r>
    </w:p>
    <w:p>
      <w:pPr>
        <w:spacing w:after="0" w:line="207"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Organization Documents</w:t>
      </w:r>
      <w:r>
        <w:rPr>
          <w:rFonts w:ascii="Arial" w:cs="Arial" w:eastAsia="Arial" w:hAnsi="Arial"/>
          <w:sz w:val="20"/>
          <w:szCs w:val="20"/>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200" w:lineRule="exact"/>
        <w:rPr>
          <w:sz w:val="20"/>
          <w:szCs w:val="20"/>
          <w:color w:val="auto"/>
        </w:rPr>
      </w:pPr>
    </w:p>
    <w:p>
      <w:pPr>
        <w:spacing w:after="0" w:line="21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20</w:t>
      </w:r>
      <w:r>
        <w:rPr>
          <w:rFonts w:ascii="MS PGothic" w:cs="MS PGothic" w:eastAsia="MS PGothic" w:hAnsi="MS PGothic"/>
          <w:sz w:val="20"/>
          <w:szCs w:val="20"/>
          <w:color w:val="auto"/>
        </w:rPr>
        <w:t>‑</w:t>
      </w:r>
    </w:p>
    <w:p>
      <w:pPr>
        <w:sectPr>
          <w:pgSz w:w="11900" w:h="16838" w:orient="portrait"/>
          <w:cols w:equalWidth="0" w:num="1">
            <w:col w:w="11420"/>
          </w:cols>
          <w:pgMar w:left="240" w:top="794" w:right="239" w:bottom="1440" w:gutter="0" w:footer="0" w:header="0"/>
        </w:sectPr>
      </w:pPr>
    </w:p>
    <w:bookmarkStart w:id="425" w:name="page426"/>
    <w:bookmarkEnd w:id="425"/>
    <w:p>
      <w:pPr>
        <w:jc w:val="both"/>
        <w:ind w:firstLine="599"/>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solely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Documents).</w:t>
      </w:r>
    </w:p>
    <w:p>
      <w:pPr>
        <w:spacing w:after="0" w:line="176"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20"/>
          <w:szCs w:val="20"/>
          <w:u w:val="single" w:color="auto"/>
          <w:color w:val="auto"/>
        </w:rPr>
        <w:t>Section 3.06</w:t>
      </w:r>
      <w:r>
        <w:rPr>
          <w:rFonts w:ascii="Arial" w:cs="Arial" w:eastAsia="Arial" w:hAnsi="Arial"/>
          <w:sz w:val="20"/>
          <w:szCs w:val="20"/>
          <w:color w:val="auto"/>
        </w:rPr>
        <w:t>).</w:t>
      </w:r>
    </w:p>
    <w:p>
      <w:pPr>
        <w:spacing w:after="0" w:line="168"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Outstanding Amount</w:t>
      </w:r>
      <w:r>
        <w:rPr>
          <w:rFonts w:ascii="Arial" w:cs="Arial" w:eastAsia="Arial" w:hAnsi="Arial"/>
          <w:sz w:val="20"/>
          <w:szCs w:val="20"/>
          <w:color w:val="auto"/>
        </w:rPr>
        <w:t>” means, with respect to any Loan on any date, the aggregate outstanding principal amount thereof after giving effect to any borrowings and prepayments or repayments of such Loan occurring on such date.</w:t>
      </w:r>
    </w:p>
    <w:p>
      <w:pPr>
        <w:spacing w:after="0" w:line="153" w:lineRule="exact"/>
        <w:rPr>
          <w:sz w:val="20"/>
          <w:szCs w:val="20"/>
          <w:color w:val="auto"/>
        </w:rPr>
      </w:pPr>
    </w:p>
    <w:p>
      <w:pPr>
        <w:jc w:val="both"/>
        <w:ind w:firstLine="59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Overnight Bank Funding Rate</w:t>
      </w:r>
      <w:r>
        <w:rPr>
          <w:rFonts w:ascii="Arial" w:cs="Arial" w:eastAsia="Arial" w:hAnsi="Arial"/>
          <w:sz w:val="19"/>
          <w:szCs w:val="19"/>
          <w:color w:val="auto"/>
        </w:rPr>
        <w:t>” means, for any day, the rate per annum comprised of both overnight federal funds and overnight Eurodollar borrowings by U.S.-managed banking offices of depository institutions (as such composite rate shall be determined by the FRBNY as set forth on its public website from time to time) and published on the next succeeding Business Day by the FRBNY as an overnight bank funding rate (from and after such date as the FRBNY shall commence to publish such composite rate).</w:t>
      </w:r>
    </w:p>
    <w:p>
      <w:pPr>
        <w:spacing w:after="0" w:line="155" w:lineRule="exact"/>
        <w:rPr>
          <w:sz w:val="20"/>
          <w:szCs w:val="20"/>
          <w:color w:val="auto"/>
        </w:rPr>
      </w:pPr>
    </w:p>
    <w:p>
      <w:pPr>
        <w:jc w:val="both"/>
        <w:ind w:firstLine="599"/>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 Passu Obligations</w:t>
      </w:r>
      <w:r>
        <w:rPr>
          <w:rFonts w:ascii="Arial" w:cs="Arial" w:eastAsia="Arial" w:hAnsi="Arial"/>
          <w:sz w:val="18"/>
          <w:szCs w:val="18"/>
          <w:color w:val="auto"/>
        </w:rPr>
        <w:t>” means Unsecured Indebtedness (without giving effect to the proviso in the definition thereof and exclusive of the Obligations) of any member of the Consolidated Group owing to a Person that is not a member of the Consolidated Group.</w:t>
      </w:r>
    </w:p>
    <w:p>
      <w:pPr>
        <w:spacing w:after="0" w:line="1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10.06(d)</w:t>
      </w:r>
      <w:r>
        <w:rPr>
          <w:rFonts w:ascii="Arial" w:cs="Arial" w:eastAsia="Arial" w:hAnsi="Arial"/>
          <w:sz w:val="20"/>
          <w:szCs w:val="20"/>
          <w:color w:val="auto"/>
        </w:rPr>
        <w: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10.06(d)</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means the USA PATRIOT Act (Title III of Pub. L. 107-56 (signed into law October 26, 2001)), as amended from time to time, and any successor statute.</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w:t>
      </w:r>
    </w:p>
    <w:p>
      <w:pPr>
        <w:spacing w:after="0" w:line="207"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Funding Rules</w:t>
      </w:r>
      <w:r>
        <w:rPr>
          <w:rFonts w:ascii="Arial" w:cs="Arial" w:eastAsia="Arial" w:hAnsi="Arial"/>
          <w:sz w:val="20"/>
          <w:szCs w:val="20"/>
          <w:color w:val="auto"/>
        </w:rPr>
        <w:t>” means the rules of the Code and ERISA regarding minimum required contributions (including any installment payment thereof) to Pension Plans, and such related rules, as and set forth in Sections 412, 430, 431, 432 and 436 of the Code and Sections 302, 303, 304 and 305 of ERISA.</w:t>
      </w:r>
    </w:p>
    <w:p>
      <w:pPr>
        <w:spacing w:after="0" w:line="164"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Code.</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Holders</w:t>
      </w:r>
      <w:r>
        <w:rPr>
          <w:rFonts w:ascii="Arial" w:cs="Arial" w:eastAsia="Arial" w:hAnsi="Arial"/>
          <w:sz w:val="20"/>
          <w:szCs w:val="20"/>
          <w:color w:val="auto"/>
        </w:rPr>
        <w:t>” means Ernest S. Rady and the Rady Affiliates.</w:t>
      </w:r>
    </w:p>
    <w:p>
      <w:pPr>
        <w:spacing w:after="0" w:line="207" w:lineRule="exact"/>
        <w:rPr>
          <w:sz w:val="20"/>
          <w:szCs w:val="20"/>
          <w:color w:val="auto"/>
        </w:rPr>
      </w:pPr>
    </w:p>
    <w:p>
      <w:pPr>
        <w:jc w:val="both"/>
        <w:ind w:firstLine="599"/>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Judgment Liens</w:t>
      </w:r>
      <w:r>
        <w:rPr>
          <w:rFonts w:ascii="Arial" w:cs="Arial" w:eastAsia="Arial" w:hAnsi="Arial"/>
          <w:sz w:val="18"/>
          <w:szCs w:val="18"/>
          <w:color w:val="auto"/>
        </w:rPr>
        <w:t xml:space="preserve">” means Liens permitted under </w:t>
      </w:r>
      <w:r>
        <w:rPr>
          <w:rFonts w:ascii="Arial" w:cs="Arial" w:eastAsia="Arial" w:hAnsi="Arial"/>
          <w:sz w:val="18"/>
          <w:szCs w:val="18"/>
          <w:u w:val="single" w:color="auto"/>
          <w:color w:val="auto"/>
        </w:rPr>
        <w:t>Section 7.01(g)</w:t>
      </w:r>
      <w:r>
        <w:rPr>
          <w:rFonts w:ascii="Arial" w:cs="Arial" w:eastAsia="Arial" w:hAnsi="Arial"/>
          <w:sz w:val="18"/>
          <w:szCs w:val="18"/>
          <w:color w:val="auto"/>
        </w:rPr>
        <w:t xml:space="preserve"> (solely to the extent the aggregate amount of the judgments secured by such Liens under </w:t>
      </w:r>
      <w:r>
        <w:rPr>
          <w:rFonts w:ascii="Arial" w:cs="Arial" w:eastAsia="Arial" w:hAnsi="Arial"/>
          <w:sz w:val="18"/>
          <w:szCs w:val="18"/>
          <w:u w:val="single" w:color="auto"/>
          <w:color w:val="auto"/>
        </w:rPr>
        <w:t>Section 7.01(g)</w:t>
      </w:r>
      <w:r>
        <w:rPr>
          <w:rFonts w:ascii="Arial" w:cs="Arial" w:eastAsia="Arial" w:hAnsi="Arial"/>
          <w:sz w:val="18"/>
          <w:szCs w:val="18"/>
          <w:color w:val="auto"/>
        </w:rPr>
        <w:t xml:space="preserve"> encumbering (x) Unencumbered Eligible Properties (and the income therefrom and proceeds thereof) and (y) the Equity Interests of any Subsidiary that owns or ground leases an Unencumbered Eligible Property (and any Subsidiary</w:t>
      </w:r>
    </w:p>
    <w:p>
      <w:pPr>
        <w:spacing w:after="0" w:line="368"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21</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26" w:name="page427"/>
    <w:bookmarkEnd w:id="426"/>
    <w:p>
      <w:pPr>
        <w:jc w:val="both"/>
        <w:spacing w:after="0" w:line="272" w:lineRule="auto"/>
        <w:rPr>
          <w:sz w:val="20"/>
          <w:szCs w:val="20"/>
          <w:color w:val="auto"/>
        </w:rPr>
      </w:pPr>
      <w:r>
        <w:rPr>
          <w:rFonts w:ascii="Arial" w:cs="Arial" w:eastAsia="Arial" w:hAnsi="Arial"/>
          <w:sz w:val="20"/>
          <w:szCs w:val="20"/>
          <w:color w:val="auto"/>
        </w:rPr>
        <w:t>of the Borrower that directly or indirectly owns any Equity Interests in such Subsidiary) (and the income therefrom and proceeds thereof) does not exceed $10,000,000).</w:t>
      </w:r>
    </w:p>
    <w:p>
      <w:pPr>
        <w:spacing w:after="0" w:line="153" w:lineRule="exact"/>
        <w:rPr>
          <w:sz w:val="20"/>
          <w:szCs w:val="20"/>
          <w:color w:val="auto"/>
        </w:rPr>
      </w:pPr>
    </w:p>
    <w:p>
      <w:pPr>
        <w:jc w:val="both"/>
        <w:ind w:firstLine="599"/>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Pari Passu Encumbrances</w:t>
      </w:r>
      <w:r>
        <w:rPr>
          <w:rFonts w:ascii="Arial" w:cs="Arial" w:eastAsia="Arial" w:hAnsi="Arial"/>
          <w:sz w:val="19"/>
          <w:szCs w:val="19"/>
          <w:color w:val="auto"/>
        </w:rPr>
        <w:t>” means encumbrances that are contained in documentation evidencing or governing Pari Passu Obligations which encumbrances are the result of (i) limitations on the ability of the REIT or any Subsidiary thereof to transfer property to the REIT, the Borrower, any Guarantor or any Wholly Owned Subsidiary of the Borrower, (ii) limitations on the ability of the REIT or any Subsidiary thereof to create, incur, assume or suffer to exist Liens on Unencumbered Eligible Properties or the Equity Interests of any Person that owns, or ground leases under an Eligible Ground Lease, an Unencumbered Eligible Property (or the Equity Interest of any Subsidiary of the Borrower that directly or indirectly owns any Equity Interests in such Person) or (iii) any requirement that Pari Passu Obligations be secured on an “equal and ratable basis” to the extent that the Obligations are secured.</w:t>
      </w:r>
    </w:p>
    <w:p>
      <w:pPr>
        <w:spacing w:after="0" w:line="160"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Unencumbered Property Liens</w:t>
      </w:r>
      <w:r>
        <w:rPr>
          <w:rFonts w:ascii="Arial" w:cs="Arial" w:eastAsia="Arial" w:hAnsi="Arial"/>
          <w:sz w:val="20"/>
          <w:szCs w:val="20"/>
          <w:color w:val="auto"/>
        </w:rPr>
        <w:t xml:space="preserve">” means Liens permitted under </w:t>
      </w:r>
      <w:r>
        <w:rPr>
          <w:rFonts w:ascii="Arial" w:cs="Arial" w:eastAsia="Arial" w:hAnsi="Arial"/>
          <w:sz w:val="20"/>
          <w:szCs w:val="20"/>
          <w:u w:val="single" w:color="auto"/>
          <w:color w:val="auto"/>
        </w:rPr>
        <w:t>Section 7.01(a)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w:t>
      </w:r>
      <w:r>
        <w:rPr>
          <w:rFonts w:ascii="Arial" w:cs="Arial" w:eastAsia="Arial" w:hAnsi="Arial"/>
          <w:sz w:val="20"/>
          <w:szCs w:val="20"/>
          <w:u w:val="single" w:color="auto"/>
          <w:color w:val="auto"/>
        </w:rPr>
        <w:t>(f)</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(h)</w:t>
      </w:r>
      <w:r>
        <w:rPr>
          <w:rFonts w:ascii="Arial" w:cs="Arial" w:eastAsia="Arial" w:hAnsi="Arial"/>
          <w:sz w:val="20"/>
          <w:szCs w:val="20"/>
          <w:color w:val="auto"/>
        </w:rPr>
        <w:t>, Permitted Judgment Liens and Permitted Pari Passu Encumbrances.</w:t>
      </w:r>
    </w:p>
    <w:p>
      <w:pPr>
        <w:spacing w:after="0" w:line="153"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53"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Portfolio Property</w:t>
      </w:r>
      <w:r>
        <w:rPr>
          <w:rFonts w:ascii="Arial" w:cs="Arial" w:eastAsia="Arial" w:hAnsi="Arial"/>
          <w:sz w:val="20"/>
          <w:szCs w:val="20"/>
          <w:color w:val="auto"/>
        </w:rPr>
        <w:t>” means any real property owned or ground leased by a Subsidiary of the Borrower.</w:t>
      </w:r>
    </w:p>
    <w:p>
      <w:pPr>
        <w:spacing w:after="0" w:line="207" w:lineRule="exact"/>
        <w:rPr>
          <w:sz w:val="20"/>
          <w:szCs w:val="20"/>
          <w:color w:val="auto"/>
        </w:rPr>
      </w:pPr>
    </w:p>
    <w:p>
      <w:pPr>
        <w:jc w:val="both"/>
        <w:ind w:firstLine="599"/>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Property Net Operating Income</w:t>
      </w:r>
      <w:r>
        <w:rPr>
          <w:rFonts w:ascii="Arial" w:cs="Arial" w:eastAsia="Arial" w:hAnsi="Arial"/>
          <w:sz w:val="18"/>
          <w:szCs w:val="18"/>
          <w:color w:val="auto"/>
        </w:rPr>
        <w:t xml:space="preserve">” means, with respect to any Portfolio Property for any fiscal quarter of the REIT, an amount equal to (i) the aggregate gross revenues from the operation of such Portfolio Property from tenants in occupancy and paying rent during such fiscal quarter (or, in the case of a Hotel Property, from the operation of such Portfolio Property during such fiscal quarter), minus (ii) all expenses and other proper charges incurred during such fiscal quarter in connection with the operation of such Portfolio Property (including accruals for real estate taxes and insurance, but excluding any management fees, debt service charges, income taxes, depreciation, amortization and other non-cash expenses (including, without limitation, non-cash write-offs (including with respect to straight line rents) and mark-to-market adjustments)), which expenses and accruals shall be calculated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 the case of a Hotel Property that has been owned, or ground leased under an Eligible Ground Lease, by one or more Subsidiaries of the Borrower for at least four consecutive full fiscal quarters for which financial statements have been provided to the Administrative Agent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the Portfolio Property Net Operating Income of such Hotel Property shall be, for any fiscal quarter of the REIT, the average quarterly Portfolio Property Net Operating Income for the four consecutive full fiscal quarter period ending on the last day of such fiscal quarter of the REIT (with the Portfolio Property Net Operating Income for each fiscal quarter included in such four fiscal quarter period being determined in accordance with this definition without giving effect to this proviso) and (ii) in the case of a Hotel Property that has not been owned, or ground leased under an Eligible Ground Lease, by one or more Subsidiaries of the Borrower for at least four consecutive full fiscal quarters for which financial statements have been provided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the Portfolio Property Net Operating Income of such Hotel Property shall be, for any fiscal quarter of the REIT, the average quarterly Portfolio Property Net Operating Income for the period consisting of all of the full fiscal quarters commencing after the date such Hotel Property was acquired (or after an Eligible Ground Lease is entered into with respect to such Hotel Property, if applicable) by a</w:t>
      </w:r>
    </w:p>
    <w:p>
      <w:pPr>
        <w:spacing w:after="0" w:line="393"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22</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27" w:name="page428"/>
    <w:bookmarkEnd w:id="427"/>
    <w:p>
      <w:pPr>
        <w:jc w:val="both"/>
        <w:spacing w:after="0" w:line="278" w:lineRule="auto"/>
        <w:rPr>
          <w:sz w:val="20"/>
          <w:szCs w:val="20"/>
          <w:color w:val="auto"/>
        </w:rPr>
      </w:pPr>
      <w:r>
        <w:rPr>
          <w:rFonts w:ascii="Arial" w:cs="Arial" w:eastAsia="Arial" w:hAnsi="Arial"/>
          <w:sz w:val="18"/>
          <w:szCs w:val="18"/>
          <w:color w:val="auto"/>
        </w:rPr>
        <w:t xml:space="preserve">Subsidiary of the Borrower for which financial statements have been provided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(with the Portfolio Property Net Operating Income for each fiscal quarter included in such period being determined in accordance with this definition without giving effect to this proviso). For purposes of this definition, in the case of any Portfolio Property that is owned, or ground leased pursuant to an Eligible Ground Lease, by one or more Subsidiaries of the Borrower for at least one full fiscal month of the REIT but less than one full fiscal quarter for which financial statements have been provided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w:t>
      </w:r>
    </w:p>
    <w:p>
      <w:pPr>
        <w:spacing w:after="0" w:line="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u w:val="single" w:color="auto"/>
          <w:color w:val="auto"/>
        </w:rPr>
        <w:t>(b)</w:t>
      </w:r>
      <w:r>
        <w:rPr>
          <w:rFonts w:ascii="Arial" w:cs="Arial" w:eastAsia="Arial" w:hAnsi="Arial"/>
          <w:sz w:val="19"/>
          <w:szCs w:val="19"/>
          <w:color w:val="auto"/>
        </w:rPr>
        <w:t>, the Portfolio Property Net Operating Income of such Portfolio Property shall equal (x) if such Portfolio Property is owned, or ground leased pursuant to an Eligible Ground Lease, for less than two full fiscal months of the REIT, the Portfolio Property Net Operating Income of such Portfolio Property calculated with respect to the then most recently ended fiscal month of the REIT (instead of on the basis of a fiscal quarter as otherwise contemplated herein), multiplied by 3 and (y) if such Portfolio Property is owned, or ground leased pursuant to an Eligible Ground Lease, for at least two full fiscal months of the REIT, the Portfolio Property Net Operating Income of such Portfolio Property calculated with respect to the then most recently ended two fiscal month period of the REIT (instead of on the basis of a fiscal quarter as otherwise contemplated herein), multiplied by 3/2. For the avoidance of doubt, for purposes of this definition, the Portfolio Property Net Operating Income of any Portfolio Property that is owned, or ground leased pursuant to an Eligible Ground Lease, by one or more Subsidiaries of the Borrower for less than one full fiscal month of the REIT shall be $0.</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Prepayment Premium</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2.05(b)</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Pricing Grid</w:t>
      </w:r>
      <w:r>
        <w:rPr>
          <w:rFonts w:ascii="Arial" w:cs="Arial" w:eastAsia="Arial" w:hAnsi="Arial"/>
          <w:sz w:val="20"/>
          <w:szCs w:val="20"/>
          <w:color w:val="auto"/>
        </w:rPr>
        <w:t>” means (i) prior to the Investment Grade Pricing Effective Date, the pricing grid set forth in the definition of “Leverage-Based Applicable Rate” and (ii) on and after the Investment Grade Pricing Effective Date, the pricing grid set forth in the definition of “Ratings-Based Applicable Rate.”</w:t>
      </w:r>
    </w:p>
    <w:p>
      <w:pPr>
        <w:spacing w:after="0" w:line="164"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Prime Rate</w:t>
      </w:r>
      <w:r>
        <w:rPr>
          <w:rFonts w:ascii="Arial" w:cs="Arial" w:eastAsia="Arial" w:hAnsi="Arial"/>
          <w:sz w:val="20"/>
          <w:szCs w:val="20"/>
          <w:color w:val="auto"/>
        </w:rPr>
        <w:t>” means a rate per annum equal to the prime rate of interest announced from time to time by U.S. Bank or its parent (which is not necessarily the lowest rate charged to any customer), changing when and as said prime rate changes.</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Forma Closing Date Compliance Certificate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4.01(a)(xi)</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Development Property</w:t>
      </w:r>
      <w:r>
        <w:rPr>
          <w:rFonts w:ascii="Arial" w:cs="Arial" w:eastAsia="Arial" w:hAnsi="Arial"/>
          <w:sz w:val="20"/>
          <w:szCs w:val="20"/>
          <w:color w:val="auto"/>
        </w:rPr>
        <w:t xml:space="preserve">” means, as of any date of determination, all or any portion of a Portfolio Property which, on such date, is the subject of ground-up development;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Portfolio Property (or portion thereof) will only constitute a Qualified Development Property (i) if all requisite zoning requirements and land use requirements have been satisfied, and all permits and approvals have been obtained for all grading, offsite and infrastructure work necessary to improve the applicable Portfolio Property (or portion thereof) as intended have been obtained, (ii) if physical site improvement thereto has commenced and is continuing, and (iii) until the date on which all applicable improvements thereto receive a final certificate of occupancy or equivalent certification allowing legal occupancy thereof for its intended purpose.</w:t>
      </w:r>
    </w:p>
    <w:p>
      <w:pPr>
        <w:spacing w:after="0" w:line="177"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Rady Affiliates</w:t>
      </w:r>
      <w:r>
        <w:rPr>
          <w:rFonts w:ascii="Arial" w:cs="Arial" w:eastAsia="Arial" w:hAnsi="Arial"/>
          <w:sz w:val="20"/>
          <w:szCs w:val="20"/>
          <w:color w:val="auto"/>
        </w:rPr>
        <w:t>” shall mean (i) all lineal descendants of Ernest S. Rady and all spouses and adopted children of Ernest S. Rady and such descendants; (ii) all trusts for the benefit of any person described in clause (i) and trustees of such trusts; (iii) all legal representatives of any person or trust described in clause (i) or (ii); and (iv) all partnerships, corporations, limited liability companies or other entities Controlling,</w:t>
      </w:r>
    </w:p>
    <w:p>
      <w:pPr>
        <w:spacing w:after="0" w:line="200" w:lineRule="exact"/>
        <w:rPr>
          <w:sz w:val="20"/>
          <w:szCs w:val="20"/>
          <w:color w:val="auto"/>
        </w:rPr>
      </w:pPr>
    </w:p>
    <w:p>
      <w:pPr>
        <w:spacing w:after="0" w:line="20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23</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28" w:name="page429"/>
    <w:bookmarkEnd w:id="428"/>
    <w:p>
      <w:pPr>
        <w:spacing w:after="0"/>
        <w:rPr>
          <w:sz w:val="20"/>
          <w:szCs w:val="20"/>
          <w:color w:val="auto"/>
        </w:rPr>
      </w:pPr>
      <w:r>
        <w:rPr>
          <w:rFonts w:ascii="Arial" w:cs="Arial" w:eastAsia="Arial" w:hAnsi="Arial"/>
          <w:sz w:val="20"/>
          <w:szCs w:val="20"/>
          <w:color w:val="auto"/>
        </w:rPr>
        <w:t>Controlled by or under common Control with Ernest S. Rady or any person, trust or other entity described in clauses (i), (ii) or (iii).</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Rating Agency</w:t>
      </w:r>
      <w:r>
        <w:rPr>
          <w:rFonts w:ascii="Arial" w:cs="Arial" w:eastAsia="Arial" w:hAnsi="Arial"/>
          <w:sz w:val="20"/>
          <w:szCs w:val="20"/>
          <w:color w:val="auto"/>
        </w:rPr>
        <w:t>” means any of S&amp;P, Moody’s or Fitch.</w:t>
      </w:r>
    </w:p>
    <w:p>
      <w:pPr>
        <w:spacing w:after="0" w:line="20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Ratings-Based Applicable Rate</w:t>
      </w:r>
      <w:r>
        <w:rPr>
          <w:rFonts w:ascii="Arial" w:cs="Arial" w:eastAsia="Arial" w:hAnsi="Arial"/>
          <w:sz w:val="20"/>
          <w:szCs w:val="20"/>
          <w:color w:val="auto"/>
        </w:rPr>
        <w:t>” means the applicable percentages per annum determined, at any time, based on the range into which the Debt Ratings then fall, in accordance with the following table:</w:t>
      </w:r>
    </w:p>
    <w:p>
      <w:pPr>
        <w:spacing w:after="0" w:line="265" w:lineRule="exact"/>
        <w:rPr>
          <w:sz w:val="20"/>
          <w:szCs w:val="20"/>
          <w:color w:val="auto"/>
        </w:rPr>
      </w:pPr>
    </w:p>
    <w:tbl>
      <w:tblPr>
        <w:tblLayout w:type="fixed"/>
        <w:tblInd w:w="610" w:type="dxa"/>
        <w:tblCellMar>
          <w:top w:w="0" w:type="dxa"/>
          <w:left w:w="0" w:type="dxa"/>
          <w:bottom w:w="0" w:type="dxa"/>
          <w:right w:w="0" w:type="dxa"/>
        </w:tblCellMar>
      </w:tblPr>
      <w:tr>
        <w:trPr>
          <w:trHeight w:val="280"/>
        </w:trPr>
        <w:tc>
          <w:tcPr>
            <w:tcW w:w="21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Pricing Level</w:t>
            </w:r>
          </w:p>
        </w:tc>
        <w:tc>
          <w:tcPr>
            <w:tcW w:w="39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Debt Ratings (S&amp;P and Fitch/Moody’s)</w:t>
            </w:r>
          </w:p>
        </w:tc>
        <w:tc>
          <w:tcPr>
            <w:tcW w:w="23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b w:val="1"/>
                <w:bCs w:val="1"/>
                <w:color w:val="auto"/>
              </w:rPr>
              <w:t>Eurodollar Rate Loans</w:t>
            </w:r>
          </w:p>
        </w:tc>
        <w:tc>
          <w:tcPr>
            <w:tcW w:w="18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Base Rate Loans</w:t>
            </w:r>
          </w:p>
        </w:tc>
      </w:tr>
      <w:tr>
        <w:trPr>
          <w:trHeight w:val="267"/>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 A- / A3</w:t>
            </w:r>
          </w:p>
        </w:tc>
        <w:tc>
          <w:tcPr>
            <w:tcW w:w="2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1.50 %</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0.50 %</w:t>
            </w:r>
          </w:p>
        </w:tc>
      </w:tr>
      <w:tr>
        <w:trPr>
          <w:trHeight w:val="267"/>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II</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BBB+ / Baa1</w:t>
            </w:r>
          </w:p>
        </w:tc>
        <w:tc>
          <w:tcPr>
            <w:tcW w:w="2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1.55 %</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0.55 %</w:t>
            </w:r>
          </w:p>
        </w:tc>
      </w:tr>
      <w:tr>
        <w:trPr>
          <w:trHeight w:val="267"/>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III</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BBB / Baa2</w:t>
            </w:r>
          </w:p>
        </w:tc>
        <w:tc>
          <w:tcPr>
            <w:tcW w:w="2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1.65 %</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0.65 %</w:t>
            </w:r>
          </w:p>
        </w:tc>
      </w:tr>
      <w:tr>
        <w:trPr>
          <w:trHeight w:val="267"/>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IV</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BBB- / Baa3</w:t>
            </w:r>
          </w:p>
        </w:tc>
        <w:tc>
          <w:tcPr>
            <w:tcW w:w="2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1.90 %</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0.90 %</w:t>
            </w:r>
          </w:p>
        </w:tc>
      </w:tr>
      <w:tr>
        <w:trPr>
          <w:trHeight w:val="267"/>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&lt;BBB-/Baa3</w:t>
            </w:r>
          </w:p>
        </w:tc>
        <w:tc>
          <w:tcPr>
            <w:tcW w:w="2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2.45%</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1.45%</w:t>
            </w:r>
          </w:p>
        </w:tc>
      </w:tr>
    </w:tbl>
    <w:p>
      <w:pPr>
        <w:spacing w:after="0" w:line="193" w:lineRule="exact"/>
        <w:rPr>
          <w:sz w:val="20"/>
          <w:szCs w:val="20"/>
          <w:color w:val="auto"/>
        </w:rPr>
      </w:pPr>
    </w:p>
    <w:p>
      <w:pPr>
        <w:jc w:val="both"/>
        <w:ind w:firstLine="599"/>
        <w:spacing w:after="0" w:line="250" w:lineRule="auto"/>
        <w:rPr>
          <w:sz w:val="20"/>
          <w:szCs w:val="20"/>
          <w:color w:val="auto"/>
        </w:rPr>
      </w:pPr>
      <w:r>
        <w:rPr>
          <w:rFonts w:ascii="Arial" w:cs="Arial" w:eastAsia="Arial" w:hAnsi="Arial"/>
          <w:sz w:val="20"/>
          <w:szCs w:val="20"/>
          <w:color w:val="auto"/>
        </w:rPr>
        <w:t>If at any time the Borrower has only a Debt Rating either from S&amp;P or Moody’s, then the Ratings-Based Applicable Rate shall be the rate per annum that would be applicable in the above Pricing Grid to such Debt Rating. If at any time the Borrower has at least two (2) Debt Ratings, and such Debt Ratings are split, then: (A) if the difference between the highest of such Debt Ratings and the lowest of such Debt Ratings is one ratings category (e.g. Baa2 by Moody’s and BBB- by S&amp;P or Fitch), the Ratings-Based Applicable Rate shall be the rate per annum that would be applicable in the above Pricing Grid if the highest of the Debt Ratings were used; and (B) if the difference between the highest of such Debt Ratings and the lowest of such Debt Ratings is two ratings categories (e.g. Baa1 by Moody’s and BBB- by S&amp;P) or more, the Ratings-Based Applicable Rate shall be the rate per annum that would be applicable in the above Pricing Grid if the rating that is one lower than the highest of the applicable Debt Ratings were used. If at any time the Borrower has no Debt Rating or has only a Debt Rating from Fitch, then the Ratings-Based Applicable Rate shall be the rate per annum that would be applicable to Pricing Level V in the above Pricing Grid.</w:t>
      </w:r>
    </w:p>
    <w:p>
      <w:pPr>
        <w:spacing w:after="0" w:line="177" w:lineRule="exact"/>
        <w:rPr>
          <w:sz w:val="20"/>
          <w:szCs w:val="20"/>
          <w:color w:val="auto"/>
        </w:rPr>
      </w:pPr>
    </w:p>
    <w:p>
      <w:pPr>
        <w:jc w:val="both"/>
        <w:ind w:firstLine="599"/>
        <w:spacing w:after="0" w:line="286" w:lineRule="auto"/>
        <w:rPr>
          <w:sz w:val="20"/>
          <w:szCs w:val="20"/>
          <w:color w:val="auto"/>
        </w:rPr>
      </w:pPr>
      <w:r>
        <w:rPr>
          <w:rFonts w:ascii="Arial" w:cs="Arial" w:eastAsia="Arial" w:hAnsi="Arial"/>
          <w:sz w:val="18"/>
          <w:szCs w:val="18"/>
          <w:color w:val="auto"/>
        </w:rPr>
        <w:t xml:space="preserve">Initially, the Ratings-Based Applicable Rate shall be determined based upon the Debt Ratings specified in the certificate delivered pursuant to clause (ii) of the definition of “Investment Grade Pricing Effective Date.” Thereafter, each change in the Ratings-Based Applicable Rate resulting from a publicly announced change in a Debt Rating shall be effective, in the case of an upgrade, during the period commencing on the date of delivery by the REIT to the Administrative Agent of notice thereof pursuant to </w:t>
      </w:r>
      <w:r>
        <w:rPr>
          <w:rFonts w:ascii="Arial" w:cs="Arial" w:eastAsia="Arial" w:hAnsi="Arial"/>
          <w:sz w:val="18"/>
          <w:szCs w:val="18"/>
          <w:u w:val="single" w:color="auto"/>
          <w:color w:val="auto"/>
        </w:rPr>
        <w:t>Section 6.03(e)</w:t>
      </w:r>
      <w:r>
        <w:rPr>
          <w:rFonts w:ascii="Arial" w:cs="Arial" w:eastAsia="Arial" w:hAnsi="Arial"/>
          <w:sz w:val="18"/>
          <w:szCs w:val="18"/>
          <w:color w:val="auto"/>
        </w:rPr>
        <w:t xml:space="preserve">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Estate Investment Trust</w:t>
      </w:r>
      <w:r>
        <w:rPr>
          <w:rFonts w:ascii="Arial" w:cs="Arial" w:eastAsia="Arial" w:hAnsi="Arial"/>
          <w:sz w:val="18"/>
          <w:szCs w:val="18"/>
          <w:color w:val="auto"/>
        </w:rPr>
        <w:t>” means any Person that qualifies as a real estate investment trust under Sections 856 through 860 of the</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Code.</w:t>
      </w:r>
    </w:p>
    <w:p>
      <w:pPr>
        <w:spacing w:after="0" w:line="191"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the Administrative Agent, any Lender or any other recipient of any payment to be made by or on account of any obligation of any Loan Party hereunder.</w:t>
      </w:r>
    </w:p>
    <w:p>
      <w:pPr>
        <w:spacing w:after="0" w:line="153"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Recourse Indebtedness</w:t>
      </w:r>
      <w:r>
        <w:rPr>
          <w:rFonts w:ascii="Arial" w:cs="Arial" w:eastAsia="Arial" w:hAnsi="Arial"/>
          <w:sz w:val="20"/>
          <w:szCs w:val="20"/>
          <w:color w:val="auto"/>
        </w:rPr>
        <w:t>” means, with respect to any Person, Indebtedness owed by such Person other than (a) Nonrecourse Indebtedness owed by such Person and (b) Indebtedness under the Loan Documents.</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10.06(c)</w:t>
      </w:r>
      <w:r>
        <w:rPr>
          <w:rFonts w:ascii="Arial" w:cs="Arial" w:eastAsia="Arial" w:hAnsi="Arial"/>
          <w:sz w:val="20"/>
          <w:szCs w:val="20"/>
          <w:color w:val="auto"/>
        </w:rPr>
        <w: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Indemnified Person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10.04(b)</w:t>
      </w:r>
      <w:r>
        <w:rPr>
          <w:rFonts w:ascii="Arial" w:cs="Arial" w:eastAsia="Arial" w:hAnsi="Arial"/>
          <w:sz w:val="20"/>
          <w:szCs w:val="20"/>
          <w:color w:val="auto"/>
        </w:rPr>
        <w:t>.</w:t>
      </w:r>
    </w:p>
    <w:p>
      <w:pPr>
        <w:spacing w:after="0" w:line="200" w:lineRule="exact"/>
        <w:rPr>
          <w:sz w:val="20"/>
          <w:szCs w:val="20"/>
          <w:color w:val="auto"/>
        </w:rPr>
      </w:pPr>
    </w:p>
    <w:p>
      <w:pPr>
        <w:spacing w:after="0" w:line="244"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24</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29" w:name="page430"/>
    <w:bookmarkEnd w:id="429"/>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Person, such Person’s Affiliates and the partners, directors, officers, employees, agents, trustees and advisors of such Person and of such Person’s Affiliates.</w:t>
      </w:r>
    </w:p>
    <w:p>
      <w:pPr>
        <w:spacing w:after="0" w:line="153"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Release</w:t>
      </w:r>
      <w:r>
        <w:rPr>
          <w:rFonts w:ascii="Arial" w:cs="Arial" w:eastAsia="Arial" w:hAnsi="Arial"/>
          <w:sz w:val="20"/>
          <w:szCs w:val="20"/>
          <w:color w:val="auto"/>
        </w:rPr>
        <w:t>” means any release, spill, emission, discharge, deposit, disposal, leaking, pumping, pouring, dumping, emptying, injection or leaching into the Environment, or into, from or through any building, structure or facility.</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Removal Effective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9.06(b)</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means any of the events set forth in Section 4043(c) of ERISA, other than events for which the 30 day notice period has been waived.</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Request for Credit Extension</w:t>
      </w:r>
      <w:r>
        <w:rPr>
          <w:rFonts w:ascii="Arial" w:cs="Arial" w:eastAsia="Arial" w:hAnsi="Arial"/>
          <w:sz w:val="19"/>
          <w:szCs w:val="19"/>
          <w:color w:val="auto"/>
        </w:rPr>
        <w:t>” means with respect to a Borrowing, conversion or continuation of Term Loans, a Loan Notice.</w:t>
      </w:r>
    </w:p>
    <w:p>
      <w:pPr>
        <w:spacing w:after="0" w:line="219" w:lineRule="exact"/>
        <w:rPr>
          <w:sz w:val="20"/>
          <w:szCs w:val="20"/>
          <w:color w:val="auto"/>
        </w:rPr>
      </w:pPr>
    </w:p>
    <w:p>
      <w:pPr>
        <w:jc w:val="both"/>
        <w:ind w:firstLine="599"/>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xml:space="preserve">” means, as of any date of determination, Lenders holding more than 50% of the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portion of the Facility held by any Defaulting Lender shall be excluded for purposes of making a determination of Required Lenders.</w:t>
      </w:r>
    </w:p>
    <w:p>
      <w:pPr>
        <w:spacing w:after="0" w:line="130" w:lineRule="exact"/>
        <w:rPr>
          <w:sz w:val="20"/>
          <w:szCs w:val="20"/>
          <w:color w:val="auto"/>
        </w:rPr>
      </w:pPr>
    </w:p>
    <w:p>
      <w:pPr>
        <w:jc w:val="both"/>
        <w:ind w:firstLine="599"/>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xml:space="preserve">” means the chief executive officer, president, chief financial officer, treasurer, assistant treasurer or controller of a Loan Party or any entity authorized to act on behalf of such Loan Party, solely for purposes of the delivery of incumbency certificates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 the secretary or any assistant secretary of a Loan Party or entity authorized to act on behalf of a Loan Party and, solely for purposes of notices given pursuant to Article II, any other officer or employee of the applicable Loan Party or entity authorized to act on behalf of such Loan Party so designated by any of the foregoing officers in a notice to the Administrative Agent or any other officer or employee of the applicable Loan Party or entity authorized to act on behalf of such Loan Party designated in or pursuant to an agreement between the applicable Loan Party or entity authorized to act on behalf of such Loan Party and the Administrative Agent. Any document delivered hereunder that is signed by a Responsible Officer of a Loan Party, or entity authorized to act on behalf of such Loan Party, shall be conclusively presumed to have been authorized by all necessary corporate, limited liability company, partnership and/or other action on the part of such Loan Party and such Responsible Officer shall be conclusively presumed to have acted on behalf of such Loan Party.</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Resignation Effective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9.06(a)</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w:t>
      </w:r>
      <w:r>
        <w:rPr>
          <w:rFonts w:ascii="Arial" w:cs="Arial" w:eastAsia="Arial" w:hAnsi="Arial"/>
          <w:sz w:val="20"/>
          <w:szCs w:val="20"/>
          <w:color w:val="auto"/>
        </w:rPr>
        <w:t>” means any dividend or other distribution (whether in cash, securities or other property) with respect to any capital stock or other Equity Interest of any Person, or any payment (whether in cash, securities or other property), including any sinking fund or similar deposit, on account of the purchase, redemption, retirement, defeasance, acquisition, cancellation or termination of any such capital stock or other Equity Interest, or on account of any return of capital to any Person’s stockholders, partners or members (or the equivalent of any thereof).</w:t>
      </w:r>
    </w:p>
    <w:p>
      <w:pPr>
        <w:spacing w:after="0" w:line="174"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Agreement</w:t>
      </w:r>
      <w:r>
        <w:rPr>
          <w:rFonts w:ascii="Arial" w:cs="Arial" w:eastAsia="Arial" w:hAnsi="Arial"/>
          <w:sz w:val="20"/>
          <w:szCs w:val="20"/>
          <w:color w:val="auto"/>
        </w:rPr>
        <w:t>” means that certain Second Amended and Restated Credit Agreement, dated as of January 9, 2018, by and among the Borrower, the REIT, the financial institutions parties thereto from time to time as lenders and Bank of America, N.A., as administrative agent, as amended, restated, supplemented, refinanced or replaced from time to time.</w:t>
      </w:r>
    </w:p>
    <w:p>
      <w:pPr>
        <w:spacing w:after="0" w:line="164" w:lineRule="exact"/>
        <w:rPr>
          <w:sz w:val="20"/>
          <w:szCs w:val="20"/>
          <w:color w:val="auto"/>
        </w:rPr>
      </w:pPr>
    </w:p>
    <w:p>
      <w:pPr>
        <w:jc w:val="both"/>
        <w:ind w:firstLine="599"/>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Risk-Based Capital Guidelines</w:t>
      </w:r>
      <w:r>
        <w:rPr>
          <w:rFonts w:ascii="Arial" w:cs="Arial" w:eastAsia="Arial" w:hAnsi="Arial"/>
          <w:sz w:val="19"/>
          <w:szCs w:val="19"/>
          <w:color w:val="auto"/>
        </w:rPr>
        <w:t>” means (i) the risk-based capital guidelines in effect in the United States on the date of this Agreement, including transition rules, and (ii) the corresponding capital regulations promulgated by regulatory authorities outside the United States including transition rules, and any amendments to such regulations adopted prior to the date of this Agreement.</w:t>
      </w:r>
    </w:p>
    <w:p>
      <w:pPr>
        <w:spacing w:after="0" w:line="384"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25</w:t>
      </w:r>
      <w:r>
        <w:rPr>
          <w:rFonts w:ascii="MS PGothic" w:cs="MS PGothic" w:eastAsia="MS PGothic" w:hAnsi="MS PGothic"/>
          <w:sz w:val="20"/>
          <w:szCs w:val="20"/>
          <w:color w:val="auto"/>
        </w:rPr>
        <w:t>‑</w:t>
      </w:r>
    </w:p>
    <w:p>
      <w:pPr>
        <w:sectPr>
          <w:pgSz w:w="11900" w:h="16838" w:orient="portrait"/>
          <w:cols w:equalWidth="0" w:num="1">
            <w:col w:w="11420"/>
          </w:cols>
          <w:pgMar w:left="240" w:top="794" w:right="239" w:bottom="1440" w:gutter="0" w:footer="0" w:header="0"/>
        </w:sectPr>
      </w:pPr>
    </w:p>
    <w:bookmarkStart w:id="430" w:name="page431"/>
    <w:bookmarkEnd w:id="430"/>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any country or territory which is itself the subject or target of any comprehensive Sanctions.</w:t>
      </w:r>
    </w:p>
    <w:p>
      <w:pPr>
        <w:spacing w:after="0" w:line="230" w:lineRule="exact"/>
        <w:rPr>
          <w:sz w:val="20"/>
          <w:szCs w:val="20"/>
          <w:color w:val="auto"/>
        </w:rPr>
      </w:pPr>
    </w:p>
    <w:p>
      <w:pPr>
        <w:jc w:val="both"/>
        <w:ind w:firstLine="599"/>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or group listed in any Sanctions-related list of designated Persons maintained by OFAC or the U.S. Department of State, the United Nations Security Council, the European Union or any EU member state, (b) any Person or group operating, organized or resident in a Sanctioned Country, (c) any agency, political subdivision or instrumentality of the government of a Sanctioned Country, or (d) any Person 50% or more owned, directly or indirectly, by any of the above.</w:t>
      </w:r>
    </w:p>
    <w:p>
      <w:pPr>
        <w:spacing w:after="0" w:line="138"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means any international economic sanction administered or enforced by the United States Government (including, without limitation, OFAC), the United Nations Security Council, the European Union, Her Majesty’s Treasury or other relevant sanctions authority.</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S&amp;P Global Ratings, a division of S&amp;P Global Inc., and any successor to its rating agency business.</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3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Section 2.10(b) Termination Date</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2.10(b)</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3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Indebtedness</w:t>
      </w:r>
      <w:r>
        <w:rPr>
          <w:rFonts w:ascii="Arial" w:cs="Arial" w:eastAsia="Arial" w:hAnsi="Arial"/>
          <w:sz w:val="17"/>
          <w:szCs w:val="17"/>
          <w:color w:val="auto"/>
        </w:rPr>
        <w:t>” means, with respect to any Person, all Indebtedness owed by such Person that is secured by a mortgage, deed of trust, lien, pledge, encumbrance, security interest or other Lien (excluding in any event Indebtedness outstanding under this Agreement).</w:t>
      </w:r>
    </w:p>
    <w:p>
      <w:pPr>
        <w:spacing w:after="0" w:line="83"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Recourse Indebtedness</w:t>
      </w:r>
      <w:r>
        <w:rPr>
          <w:rFonts w:ascii="Arial" w:cs="Arial" w:eastAsia="Arial" w:hAnsi="Arial"/>
          <w:sz w:val="20"/>
          <w:szCs w:val="20"/>
          <w:color w:val="auto"/>
        </w:rPr>
        <w:t>” means, as to any Person, Recourse Indebtedness owed by such Person that constitutes Secured Indebtedness.</w:t>
      </w:r>
    </w:p>
    <w:p>
      <w:pPr>
        <w:spacing w:after="0" w:line="153" w:lineRule="exact"/>
        <w:rPr>
          <w:sz w:val="20"/>
          <w:szCs w:val="20"/>
          <w:color w:val="auto"/>
        </w:rPr>
      </w:pPr>
    </w:p>
    <w:p>
      <w:pPr>
        <w:jc w:val="both"/>
        <w:ind w:firstLine="599"/>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Total Asset Value</w:t>
      </w:r>
      <w:r>
        <w:rPr>
          <w:rFonts w:ascii="Arial" w:cs="Arial" w:eastAsia="Arial" w:hAnsi="Arial"/>
          <w:sz w:val="19"/>
          <w:szCs w:val="19"/>
          <w:color w:val="auto"/>
        </w:rPr>
        <w:t>” means, as of any time for the Consolidated Group, the sum of (i) Total Asset Value and (ii) the Consolidated Group Pro Rata Share of all cash and Cash Equivalents owned by Unconsolidated Affiliates, in each case at such time.</w:t>
      </w:r>
    </w:p>
    <w:p>
      <w:pPr>
        <w:spacing w:after="0" w:line="130"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Significant Subsidiary</w:t>
      </w:r>
      <w:r>
        <w:rPr>
          <w:rFonts w:ascii="Arial" w:cs="Arial" w:eastAsia="Arial" w:hAnsi="Arial"/>
          <w:sz w:val="20"/>
          <w:szCs w:val="20"/>
          <w:color w:val="auto"/>
        </w:rPr>
        <w:t xml:space="preserve">” means, on any date of determination, each Subsidiary of the REIT whose assets have an aggregate book value that is greater than five percent (5.00%) of the aggregate book value of the assets of the Consolidated Group (it being understood that such calculations shall be determined in the aggregate for all Subsidiaries of the REIT subject to any of the events specified in clause (f), (g) or (h) of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168" w:lineRule="exact"/>
        <w:rPr>
          <w:sz w:val="20"/>
          <w:szCs w:val="20"/>
          <w:color w:val="auto"/>
        </w:rPr>
      </w:pPr>
    </w:p>
    <w:p>
      <w:pPr>
        <w:jc w:val="both"/>
        <w:ind w:firstLine="599"/>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Asset Entity</w:t>
      </w:r>
      <w:r>
        <w:rPr>
          <w:rFonts w:ascii="Arial" w:cs="Arial" w:eastAsia="Arial" w:hAnsi="Arial"/>
          <w:sz w:val="18"/>
          <w:szCs w:val="18"/>
          <w:color w:val="auto"/>
        </w:rPr>
        <w:t>” means a Person (other than an individual) that (a) only owns a single real property and/or cash and other assets of nominal value incidental to such Person’s ownership of such real property; (b) is engaged only in the business of owning, developing and/or leasing such real property and activities incidental thereto; and (c) receives substantially all of its gross revenues from such real property. In addition, if the assets of a Person consist solely of (i) Equity Interests in one or more other Single Asset Entities and (ii) cash and other assets of nominal value incidental to such Person’s ownership of the other Single Asset Entities, such Person shall also be deemed to be a Single Asset Entity for purposes of this Agreement (such an entity, a “Single Asset Holding Company”).</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Single Asset Holding Company</w:t>
      </w:r>
      <w:r>
        <w:rPr>
          <w:rFonts w:ascii="Arial" w:cs="Arial" w:eastAsia="Arial" w:hAnsi="Arial"/>
          <w:sz w:val="20"/>
          <w:szCs w:val="20"/>
          <w:color w:val="auto"/>
        </w:rPr>
        <w:t>” has the meaning specified in the definition of “Single Asset Entity.”</w:t>
      </w:r>
    </w:p>
    <w:p>
      <w:pPr>
        <w:spacing w:after="0" w:line="207"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Solvent</w:t>
      </w:r>
      <w:r>
        <w:rPr>
          <w:rFonts w:ascii="Arial" w:cs="Arial" w:eastAsia="Arial" w:hAnsi="Arial"/>
          <w:sz w:val="20"/>
          <w:szCs w:val="20"/>
          <w:color w:val="auto"/>
        </w:rPr>
        <w:t>” and “</w:t>
      </w:r>
      <w:r>
        <w:rPr>
          <w:rFonts w:ascii="Arial" w:cs="Arial" w:eastAsia="Arial" w:hAnsi="Arial"/>
          <w:sz w:val="20"/>
          <w:szCs w:val="20"/>
          <w:u w:val="single" w:color="auto"/>
          <w:color w:val="auto"/>
        </w:rPr>
        <w:t>Solvency</w:t>
      </w:r>
      <w:r>
        <w:rPr>
          <w:rFonts w:ascii="Arial" w:cs="Arial" w:eastAsia="Arial" w:hAnsi="Arial"/>
          <w:sz w:val="20"/>
          <w:szCs w:val="20"/>
          <w:color w:val="auto"/>
        </w:rPr>
        <w:t>” mean, with respect to any Person on any date of determination, that on such date (a) the fair value of the property of such Person is greater than the total amount of liabilities,</w:t>
      </w:r>
    </w:p>
    <w:p>
      <w:pPr>
        <w:spacing w:after="0" w:line="390"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26</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31" w:name="page432"/>
    <w:bookmarkEnd w:id="431"/>
    <w:p>
      <w:pPr>
        <w:jc w:val="both"/>
        <w:spacing w:after="0" w:line="266" w:lineRule="auto"/>
        <w:rPr>
          <w:sz w:val="20"/>
          <w:szCs w:val="20"/>
          <w:color w:val="auto"/>
        </w:rPr>
      </w:pPr>
      <w:r>
        <w:rPr>
          <w:rFonts w:ascii="Arial" w:cs="Arial" w:eastAsia="Arial" w:hAnsi="Arial"/>
          <w:sz w:val="19"/>
          <w:szCs w:val="19"/>
          <w:color w:val="auto"/>
        </w:rPr>
        <w:t>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Solvency Certificate</w:t>
      </w:r>
      <w:r>
        <w:rPr>
          <w:rFonts w:ascii="Arial" w:cs="Arial" w:eastAsia="Arial" w:hAnsi="Arial"/>
          <w:sz w:val="19"/>
          <w:szCs w:val="19"/>
          <w:color w:val="auto"/>
        </w:rPr>
        <w:t xml:space="preserve">” means a Solvency Certificate of the chief financial officer of the REIT substantially in the form of </w:t>
      </w:r>
      <w:r>
        <w:rPr>
          <w:rFonts w:ascii="Arial" w:cs="Arial" w:eastAsia="Arial" w:hAnsi="Arial"/>
          <w:sz w:val="19"/>
          <w:szCs w:val="19"/>
          <w:u w:val="single" w:color="auto"/>
          <w:color w:val="auto"/>
        </w:rPr>
        <w:t>Exhibit G</w:t>
      </w:r>
      <w:r>
        <w:rPr>
          <w:rFonts w:ascii="Arial" w:cs="Arial" w:eastAsia="Arial" w:hAnsi="Arial"/>
          <w:sz w:val="19"/>
          <w:szCs w:val="19"/>
          <w:color w:val="auto"/>
        </w:rPr>
        <w:t>.</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Event of Default</w:t>
      </w:r>
      <w:r>
        <w:rPr>
          <w:rFonts w:ascii="Arial" w:cs="Arial" w:eastAsia="Arial" w:hAnsi="Arial"/>
          <w:sz w:val="20"/>
          <w:szCs w:val="20"/>
          <w:color w:val="auto"/>
        </w:rPr>
        <w:t xml:space="preserve">” means an Event of Default arising under </w:t>
      </w:r>
      <w:r>
        <w:rPr>
          <w:rFonts w:ascii="Arial" w:cs="Arial" w:eastAsia="Arial" w:hAnsi="Arial"/>
          <w:sz w:val="20"/>
          <w:szCs w:val="20"/>
          <w:u w:val="single" w:color="auto"/>
          <w:color w:val="auto"/>
        </w:rPr>
        <w:t>Section 8.01(a)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(f)</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Investments</w:t>
      </w:r>
      <w:r>
        <w:rPr>
          <w:rFonts w:ascii="Arial" w:cs="Arial" w:eastAsia="Arial" w:hAnsi="Arial"/>
          <w:sz w:val="20"/>
          <w:szCs w:val="20"/>
          <w:color w:val="auto"/>
        </w:rPr>
        <w:t>” means Investments by the REIT, the Borrower or any of their respective Subsidiaries in or in respect of (a) costs to construct Portfolio Properties (i.e., construction-in-progress) and real property assets under development (a “</w:t>
      </w:r>
      <w:r>
        <w:rPr>
          <w:rFonts w:ascii="Arial" w:cs="Arial" w:eastAsia="Arial" w:hAnsi="Arial"/>
          <w:sz w:val="20"/>
          <w:szCs w:val="20"/>
          <w:u w:val="single" w:color="auto"/>
          <w:color w:val="auto"/>
        </w:rPr>
        <w:t>Development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Investment</w:t>
      </w:r>
      <w:r>
        <w:rPr>
          <w:rFonts w:ascii="Arial" w:cs="Arial" w:eastAsia="Arial" w:hAnsi="Arial"/>
          <w:sz w:val="20"/>
          <w:szCs w:val="20"/>
          <w:color w:val="auto"/>
        </w:rPr>
        <w:t>”), (b) Unconsolidated Affiliates, (c) unimproved land holdings and (d) commercial mortgage loans and commercial real estate-related mezzanine loans.</w:t>
      </w:r>
    </w:p>
    <w:p>
      <w:pPr>
        <w:spacing w:after="0" w:line="168"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Stabilization Date</w:t>
      </w:r>
      <w:r>
        <w:rPr>
          <w:rFonts w:ascii="Arial" w:cs="Arial" w:eastAsia="Arial" w:hAnsi="Arial"/>
          <w:sz w:val="20"/>
          <w:szCs w:val="20"/>
          <w:color w:val="auto"/>
        </w:rPr>
        <w:t xml:space="preserve">” means, with respect to any Portfolio Property under development in which a Development Investment was made by the REIT or a Subsidiary thereof and subsequent to such Investment the construction of such Portfolio Property has been substantially completed, the date that is the earlier of (i) the last day of the first full fiscal quarter of the REIT following substantial completion of such construction for which financial statements have been provided to the Administrative Agent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and in which Portfolio Property Net Operating Income of such Portfolio Property for such fiscal quarter is greater than $0 and (ii) the last day of the second full fiscal quarter of the REIT following substantial completion of such construction in which financial statements have been provided to the Administrative Agent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w:t>
      </w:r>
    </w:p>
    <w:p>
      <w:pPr>
        <w:spacing w:after="0" w:line="177"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Stabilized Portfolio Property</w:t>
      </w:r>
      <w:r>
        <w:rPr>
          <w:rFonts w:ascii="Arial" w:cs="Arial" w:eastAsia="Arial" w:hAnsi="Arial"/>
          <w:sz w:val="20"/>
          <w:szCs w:val="20"/>
          <w:color w:val="auto"/>
        </w:rPr>
        <w:t>” means, as of any date of determination, any Portfolio Property (i) that was previously (but is no longer) under development and in which a Development Investment was made by the REIT or a Subsidiary thereof after the Third Amendment Effective Date and (ii) in respect of which the Stabilization Date has occurred on or prior to such date.</w:t>
      </w:r>
    </w:p>
    <w:p>
      <w:pPr>
        <w:spacing w:after="0" w:line="164" w:lineRule="exact"/>
        <w:rPr>
          <w:sz w:val="20"/>
          <w:szCs w:val="20"/>
          <w:color w:val="auto"/>
        </w:rPr>
      </w:pPr>
    </w:p>
    <w:p>
      <w:pPr>
        <w:jc w:val="both"/>
        <w:ind w:firstLine="599"/>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Arial" w:cs="Arial" w:eastAsia="Arial" w:hAnsi="Arial"/>
          <w:sz w:val="18"/>
          <w:szCs w:val="18"/>
          <w:u w:val="single" w:color="auto"/>
          <w:color w:val="auto"/>
        </w:rPr>
        <w:t>Subsidiary</w:t>
      </w:r>
      <w:r>
        <w:rPr>
          <w:rFonts w:ascii="Arial" w:cs="Arial" w:eastAsia="Arial" w:hAnsi="Arial"/>
          <w:sz w:val="18"/>
          <w:szCs w:val="18"/>
          <w:color w:val="auto"/>
        </w:rPr>
        <w:t>” or to “</w:t>
      </w:r>
      <w:r>
        <w:rPr>
          <w:rFonts w:ascii="Arial" w:cs="Arial" w:eastAsia="Arial" w:hAnsi="Arial"/>
          <w:sz w:val="18"/>
          <w:szCs w:val="18"/>
          <w:u w:val="single" w:color="auto"/>
          <w:color w:val="auto"/>
        </w:rPr>
        <w:t>Subsidiaries</w:t>
      </w:r>
      <w:r>
        <w:rPr>
          <w:rFonts w:ascii="Arial" w:cs="Arial" w:eastAsia="Arial" w:hAnsi="Arial"/>
          <w:sz w:val="18"/>
          <w:szCs w:val="18"/>
          <w:color w:val="auto"/>
        </w:rPr>
        <w:t>” shall refer to a Subsidiary or Subsidiaries of the REIT.</w:t>
      </w:r>
    </w:p>
    <w:p>
      <w:pPr>
        <w:spacing w:after="0" w:line="144" w:lineRule="exact"/>
        <w:rPr>
          <w:sz w:val="20"/>
          <w:szCs w:val="20"/>
          <w:color w:val="auto"/>
        </w:rPr>
      </w:pPr>
    </w:p>
    <w:p>
      <w:pPr>
        <w:jc w:val="both"/>
        <w:ind w:firstLine="599"/>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Contract</w:t>
      </w:r>
      <w:r>
        <w:rPr>
          <w:rFonts w:ascii="Arial" w:cs="Arial" w:eastAsia="Arial" w:hAnsi="Arial"/>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w:t>
      </w:r>
    </w:p>
    <w:p>
      <w:pPr>
        <w:spacing w:after="0" w:line="376"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27</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32" w:name="page433"/>
    <w:bookmarkEnd w:id="432"/>
    <w:p>
      <w:pPr>
        <w:jc w:val="both"/>
        <w:spacing w:after="0" w:line="268" w:lineRule="auto"/>
        <w:rPr>
          <w:sz w:val="20"/>
          <w:szCs w:val="20"/>
          <w:color w:val="auto"/>
        </w:rPr>
      </w:pPr>
      <w:r>
        <w:rPr>
          <w:rFonts w:ascii="Arial" w:cs="Arial" w:eastAsia="Arial" w:hAnsi="Arial"/>
          <w:sz w:val="19"/>
          <w:szCs w:val="19"/>
          <w:color w:val="auto"/>
        </w:rPr>
        <w:t>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u w:val="single" w:color="auto"/>
          <w:color w:val="auto"/>
        </w:rPr>
        <w:t>Master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including any such obligations or liabilities under any Master Agreement.</w:t>
      </w:r>
    </w:p>
    <w:p>
      <w:pPr>
        <w:spacing w:after="0" w:line="160" w:lineRule="exact"/>
        <w:rPr>
          <w:sz w:val="20"/>
          <w:szCs w:val="20"/>
          <w:color w:val="auto"/>
        </w:rPr>
      </w:pPr>
    </w:p>
    <w:p>
      <w:pPr>
        <w:jc w:val="both"/>
        <w:ind w:firstLine="59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Termination Value</w:t>
      </w:r>
      <w:r>
        <w:rPr>
          <w:rFonts w:ascii="Arial" w:cs="Arial" w:eastAsia="Arial" w:hAnsi="Arial"/>
          <w:sz w:val="20"/>
          <w:szCs w:val="20"/>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5"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Synthetic Debt</w:t>
      </w:r>
      <w:r>
        <w:rPr>
          <w:rFonts w:ascii="Arial" w:cs="Arial" w:eastAsia="Arial" w:hAnsi="Arial"/>
          <w:sz w:val="20"/>
          <w:szCs w:val="20"/>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“Indebtedness” or as a liability on the consolidated balance sheet of such Person and its Subsidiaries in accordance with GAAP.</w:t>
      </w:r>
    </w:p>
    <w:p>
      <w:pPr>
        <w:spacing w:after="0" w:line="168" w:lineRule="exact"/>
        <w:rPr>
          <w:sz w:val="20"/>
          <w:szCs w:val="20"/>
          <w:color w:val="auto"/>
        </w:rPr>
      </w:pPr>
    </w:p>
    <w:p>
      <w:pPr>
        <w:jc w:val="both"/>
        <w:ind w:firstLine="59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Synthetic Lease Obligation</w:t>
      </w:r>
      <w:r>
        <w:rPr>
          <w:rFonts w:ascii="Arial" w:cs="Arial" w:eastAsia="Arial" w:hAnsi="Arial"/>
          <w:sz w:val="19"/>
          <w:szCs w:val="19"/>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Indebtedness owed by such Person (without regard to accounting treatment).</w:t>
      </w:r>
    </w:p>
    <w:p>
      <w:pPr>
        <w:spacing w:after="0" w:line="155"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shall, unless otherwise specified, include each Incremental Term Loan.</w:t>
      </w:r>
    </w:p>
    <w:p>
      <w:pPr>
        <w:spacing w:after="0" w:line="230" w:lineRule="exact"/>
        <w:rPr>
          <w:sz w:val="20"/>
          <w:szCs w:val="20"/>
          <w:color w:val="auto"/>
        </w:rPr>
      </w:pPr>
    </w:p>
    <w:p>
      <w:pPr>
        <w:jc w:val="both"/>
        <w:ind w:firstLine="599"/>
        <w:spacing w:after="0" w:line="246"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Note</w:t>
      </w:r>
      <w:r>
        <w:rPr>
          <w:rFonts w:ascii="Arial" w:cs="Arial" w:eastAsia="Arial" w:hAnsi="Arial"/>
          <w:sz w:val="20"/>
          <w:szCs w:val="20"/>
          <w:color w:val="auto"/>
        </w:rPr>
        <w:t xml:space="preserve">” means a promissory note made by the Borrower in favor of a Lender evidencing Term Loans made by such Lender, substantially in the form of </w:t>
      </w:r>
      <w:r>
        <w:rPr>
          <w:rFonts w:ascii="Arial" w:cs="Arial" w:eastAsia="Arial" w:hAnsi="Arial"/>
          <w:sz w:val="20"/>
          <w:szCs w:val="20"/>
          <w:u w:val="single" w:color="auto"/>
          <w:color w:val="auto"/>
        </w:rPr>
        <w:t>Exhibit C</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2</w:t>
      </w:r>
      <w:r>
        <w:rPr>
          <w:rFonts w:ascii="Arial" w:cs="Arial" w:eastAsia="Arial" w:hAnsi="Arial"/>
          <w:sz w:val="20"/>
          <w:szCs w:val="20"/>
          <w:color w:val="auto"/>
        </w:rPr>
        <w:t>.</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Amendment Effective Date</w:t>
      </w:r>
      <w:r>
        <w:rPr>
          <w:rFonts w:ascii="Arial" w:cs="Arial" w:eastAsia="Arial" w:hAnsi="Arial"/>
          <w:sz w:val="20"/>
          <w:szCs w:val="20"/>
          <w:color w:val="auto"/>
        </w:rPr>
        <w:t>” means January 9, 2018.</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Threshold Amount</w:t>
      </w:r>
      <w:r>
        <w:rPr>
          <w:rFonts w:ascii="Arial" w:cs="Arial" w:eastAsia="Arial" w:hAnsi="Arial"/>
          <w:sz w:val="20"/>
          <w:szCs w:val="20"/>
          <w:color w:val="auto"/>
        </w:rPr>
        <w:t>” means $35,000,000.</w:t>
      </w:r>
    </w:p>
    <w:p>
      <w:pPr>
        <w:spacing w:after="0" w:line="207" w:lineRule="exact"/>
        <w:rPr>
          <w:sz w:val="20"/>
          <w:szCs w:val="20"/>
          <w:color w:val="auto"/>
        </w:rPr>
      </w:pPr>
    </w:p>
    <w:p>
      <w:pPr>
        <w:jc w:val="both"/>
        <w:ind w:firstLine="59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Asset Value</w:t>
      </w:r>
      <w:r>
        <w:rPr>
          <w:rFonts w:ascii="Arial" w:cs="Arial" w:eastAsia="Arial" w:hAnsi="Arial"/>
          <w:sz w:val="20"/>
          <w:szCs w:val="20"/>
          <w:color w:val="auto"/>
        </w:rPr>
        <w:t xml:space="preserve">” means, as of any time for the Consolidated Group, without duplication, (a) an amount equal (i) to the sum of the Portfolio Property Net Operating Income of each Portfolio Property owned, or ground leased pursuant to an Eligible Ground Lease, by the Consolidated Group for the then most recently ended fiscal quarter of the REIT for which financial statements have been provided to the Administrative Agent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(excluding each Disposed Portfolio Property, each Newly-Acquired Portfolio Property, each Qualified Development Property and each Non-Stabilized Portfolio Property), </w:t>
      </w:r>
      <w:r>
        <w:rPr>
          <w:rFonts w:ascii="Arial" w:cs="Arial" w:eastAsia="Arial" w:hAnsi="Arial"/>
          <w:sz w:val="20"/>
          <w:szCs w:val="20"/>
          <w:i w:val="1"/>
          <w:iCs w:val="1"/>
          <w:color w:val="auto"/>
        </w:rPr>
        <w:t>divided by</w:t>
      </w:r>
      <w:r>
        <w:rPr>
          <w:rFonts w:ascii="Arial" w:cs="Arial" w:eastAsia="Arial" w:hAnsi="Arial"/>
          <w:sz w:val="20"/>
          <w:szCs w:val="20"/>
          <w:color w:val="auto"/>
        </w:rPr>
        <w:t xml:space="preserve"> the Applicable Capitalization Rate for each such Portfolio Property, </w:t>
      </w:r>
      <w:r>
        <w:rPr>
          <w:rFonts w:ascii="Arial" w:cs="Arial" w:eastAsia="Arial" w:hAnsi="Arial"/>
          <w:sz w:val="20"/>
          <w:szCs w:val="20"/>
          <w:i w:val="1"/>
          <w:iCs w:val="1"/>
          <w:color w:val="auto"/>
        </w:rPr>
        <w:t>multiplied by</w:t>
      </w:r>
      <w:r>
        <w:rPr>
          <w:rFonts w:ascii="Arial" w:cs="Arial" w:eastAsia="Arial" w:hAnsi="Arial"/>
          <w:sz w:val="20"/>
          <w:szCs w:val="20"/>
          <w:color w:val="auto"/>
        </w:rPr>
        <w:t xml:space="preserve"> (ii) four, </w:t>
      </w:r>
      <w:r>
        <w:rPr>
          <w:rFonts w:ascii="Arial" w:cs="Arial" w:eastAsia="Arial" w:hAnsi="Arial"/>
          <w:sz w:val="20"/>
          <w:szCs w:val="20"/>
          <w:i w:val="1"/>
          <w:iCs w:val="1"/>
          <w:color w:val="auto"/>
        </w:rPr>
        <w:t>plus</w:t>
      </w:r>
    </w:p>
    <w:p>
      <w:pPr>
        <w:spacing w:after="0" w:line="200" w:lineRule="exact"/>
        <w:rPr>
          <w:sz w:val="20"/>
          <w:szCs w:val="20"/>
          <w:color w:val="auto"/>
        </w:rPr>
      </w:pPr>
    </w:p>
    <w:p>
      <w:pPr>
        <w:spacing w:after="0" w:line="21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28</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33" w:name="page434"/>
    <w:bookmarkEnd w:id="433"/>
    <w:p>
      <w:pPr>
        <w:jc w:val="both"/>
        <w:spacing w:after="0" w:line="280" w:lineRule="auto"/>
        <w:tabs>
          <w:tab w:leader="none" w:pos="289" w:val="left"/>
        </w:tabs>
        <w:numPr>
          <w:ilvl w:val="0"/>
          <w:numId w:val="488"/>
        </w:numPr>
        <w:rPr>
          <w:rFonts w:ascii="Arial" w:cs="Arial" w:eastAsia="Arial" w:hAnsi="Arial"/>
          <w:sz w:val="18"/>
          <w:szCs w:val="18"/>
          <w:color w:val="auto"/>
        </w:rPr>
      </w:pPr>
      <w:r>
        <w:rPr>
          <w:rFonts w:ascii="Arial" w:cs="Arial" w:eastAsia="Arial" w:hAnsi="Arial"/>
          <w:sz w:val="18"/>
          <w:szCs w:val="18"/>
          <w:color w:val="auto"/>
        </w:rPr>
        <w:t xml:space="preserve">the acquisition cost paid by the applicable member(s) of the Consolidated Group for each Newly-Acquired Portfolio Property, </w:t>
      </w:r>
      <w:r>
        <w:rPr>
          <w:rFonts w:ascii="Arial" w:cs="Arial" w:eastAsia="Arial" w:hAnsi="Arial"/>
          <w:sz w:val="18"/>
          <w:szCs w:val="18"/>
          <w:i w:val="1"/>
          <w:iCs w:val="1"/>
          <w:color w:val="auto"/>
        </w:rPr>
        <w:t>plus</w:t>
      </w:r>
      <w:r>
        <w:rPr>
          <w:rFonts w:ascii="Arial" w:cs="Arial" w:eastAsia="Arial" w:hAnsi="Arial"/>
          <w:sz w:val="18"/>
          <w:szCs w:val="18"/>
          <w:color w:val="auto"/>
        </w:rPr>
        <w:t xml:space="preserve"> (c) the aggregate book value of all Specified Investments owned by the Consolidated Group at such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(d) the aggregate undepreciated book value of all Qualified Development Properties and all Non-Stabilized Portfolio Properties at such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(e) the Consolidated Group Pro Rata Share of each of the items referenced in clauses (a) through (d) of this definition (and the components thereof) to the extent relating to Portfolio Properties, Specified Investments, Qualified Development Properties or Non-Stabilized Portfolio Properties, as applicable, owned by Unconsolidated Affiliates, which Portfolio Property, Specified Investment, Qualified Development Property or Non-Stabilized Portfolio Property would if owned or ground leased by a member of the Consolidated Group constitute a Portfolio Property, Specified Investment, Qualified Development Property or Non-Stabilized Portfolio Property described in one of the clauses above, will be included in the calculation of Total Asset Value on a basis consistent with the above described treatment for Properties owned or ground leased by Consolidated Parties, </w:t>
      </w:r>
      <w:r>
        <w:rPr>
          <w:rFonts w:ascii="Arial" w:cs="Arial" w:eastAsia="Arial" w:hAnsi="Arial"/>
          <w:sz w:val="18"/>
          <w:szCs w:val="18"/>
          <w:i w:val="1"/>
          <w:iCs w:val="1"/>
          <w:color w:val="auto"/>
        </w:rPr>
        <w:t>plus</w:t>
      </w:r>
      <w:r>
        <w:rPr>
          <w:rFonts w:ascii="Arial" w:cs="Arial" w:eastAsia="Arial" w:hAnsi="Arial"/>
          <w:sz w:val="18"/>
          <w:szCs w:val="18"/>
          <w:color w:val="auto"/>
        </w:rPr>
        <w:t xml:space="preserve"> (f) all cash and Cash Equivalents owned by members of the Consolidated Group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the foregoing, for purposes of calculating Total Asset Value at any time:</w:t>
      </w:r>
    </w:p>
    <w:p>
      <w:pPr>
        <w:spacing w:after="0" w:line="153" w:lineRule="exact"/>
        <w:rPr>
          <w:rFonts w:ascii="Arial" w:cs="Arial" w:eastAsia="Arial" w:hAnsi="Arial"/>
          <w:sz w:val="18"/>
          <w:szCs w:val="18"/>
          <w:color w:val="auto"/>
        </w:rPr>
      </w:pPr>
    </w:p>
    <w:p>
      <w:pPr>
        <w:jc w:val="both"/>
        <w:ind w:left="300" w:firstLine="899"/>
        <w:spacing w:after="0" w:line="260" w:lineRule="auto"/>
        <w:tabs>
          <w:tab w:leader="none" w:pos="1987" w:val="left"/>
        </w:tabs>
        <w:numPr>
          <w:ilvl w:val="1"/>
          <w:numId w:val="488"/>
        </w:numPr>
        <w:rPr>
          <w:rFonts w:ascii="Arial" w:cs="Arial" w:eastAsia="Arial" w:hAnsi="Arial"/>
          <w:sz w:val="20"/>
          <w:szCs w:val="20"/>
          <w:color w:val="auto"/>
        </w:rPr>
      </w:pPr>
      <w:r>
        <w:rPr>
          <w:rFonts w:ascii="Arial" w:cs="Arial" w:eastAsia="Arial" w:hAnsi="Arial"/>
          <w:sz w:val="20"/>
          <w:szCs w:val="20"/>
          <w:color w:val="auto"/>
        </w:rPr>
        <w:t>not more than twenty percent (25%) of the Total Asset Value at any time may be attributable to costs to construct Portfolio Properties (i.e., construction-in-progress) and real property assets under development, with any excess over the foregoing limit being excluded from Total Asset Value;</w:t>
      </w:r>
    </w:p>
    <w:p>
      <w:pPr>
        <w:spacing w:after="0" w:line="201" w:lineRule="exact"/>
        <w:rPr>
          <w:rFonts w:ascii="Arial" w:cs="Arial" w:eastAsia="Arial" w:hAnsi="Arial"/>
          <w:sz w:val="20"/>
          <w:szCs w:val="20"/>
          <w:color w:val="auto"/>
        </w:rPr>
      </w:pPr>
    </w:p>
    <w:p>
      <w:pPr>
        <w:jc w:val="both"/>
        <w:ind w:left="300" w:firstLine="899"/>
        <w:spacing w:after="0" w:line="260" w:lineRule="auto"/>
        <w:tabs>
          <w:tab w:leader="none" w:pos="2043" w:val="left"/>
        </w:tabs>
        <w:numPr>
          <w:ilvl w:val="1"/>
          <w:numId w:val="488"/>
        </w:numPr>
        <w:rPr>
          <w:rFonts w:ascii="Arial" w:cs="Arial" w:eastAsia="Arial" w:hAnsi="Arial"/>
          <w:sz w:val="20"/>
          <w:szCs w:val="20"/>
          <w:color w:val="auto"/>
        </w:rPr>
      </w:pPr>
      <w:r>
        <w:rPr>
          <w:rFonts w:ascii="Arial" w:cs="Arial" w:eastAsia="Arial" w:hAnsi="Arial"/>
          <w:sz w:val="20"/>
          <w:szCs w:val="20"/>
          <w:color w:val="auto"/>
        </w:rPr>
        <w:t xml:space="preserve">not more than five percent (5%) of the Total Asset Value at any time may be attributable to unimproved land holdings (excluding, for the avoidance of doubt, Investments accounted for under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 with any excess over the foregoing limit being excluded from Total Asset Value;</w:t>
      </w:r>
    </w:p>
    <w:p>
      <w:pPr>
        <w:spacing w:after="0" w:line="201" w:lineRule="exact"/>
        <w:rPr>
          <w:rFonts w:ascii="Arial" w:cs="Arial" w:eastAsia="Arial" w:hAnsi="Arial"/>
          <w:sz w:val="20"/>
          <w:szCs w:val="20"/>
          <w:color w:val="auto"/>
        </w:rPr>
      </w:pPr>
    </w:p>
    <w:p>
      <w:pPr>
        <w:jc w:val="both"/>
        <w:ind w:left="300" w:firstLine="899"/>
        <w:spacing w:after="0" w:line="329" w:lineRule="auto"/>
        <w:tabs>
          <w:tab w:leader="none" w:pos="2098" w:val="left"/>
        </w:tabs>
        <w:numPr>
          <w:ilvl w:val="1"/>
          <w:numId w:val="488"/>
        </w:numPr>
        <w:rPr>
          <w:rFonts w:ascii="Arial" w:cs="Arial" w:eastAsia="Arial" w:hAnsi="Arial"/>
          <w:sz w:val="18"/>
          <w:szCs w:val="18"/>
          <w:color w:val="auto"/>
        </w:rPr>
      </w:pPr>
      <w:r>
        <w:rPr>
          <w:rFonts w:ascii="Arial" w:cs="Arial" w:eastAsia="Arial" w:hAnsi="Arial"/>
          <w:sz w:val="18"/>
          <w:szCs w:val="18"/>
          <w:color w:val="auto"/>
        </w:rPr>
        <w:t>not more than ten percent (10%) of the Total Asset Value at any time may be attributable to commercial mortgage loans and commercial real estate-related mezzanine loans, with any excess over the foregoing limit being excluded from Total Asset Value;</w:t>
      </w:r>
    </w:p>
    <w:p>
      <w:pPr>
        <w:spacing w:after="0" w:line="144" w:lineRule="exact"/>
        <w:rPr>
          <w:rFonts w:ascii="Arial" w:cs="Arial" w:eastAsia="Arial" w:hAnsi="Arial"/>
          <w:sz w:val="18"/>
          <w:szCs w:val="18"/>
          <w:color w:val="auto"/>
        </w:rPr>
      </w:pPr>
    </w:p>
    <w:p>
      <w:pPr>
        <w:ind w:left="300" w:firstLine="899"/>
        <w:spacing w:after="0" w:line="272" w:lineRule="auto"/>
        <w:tabs>
          <w:tab w:leader="none" w:pos="2087" w:val="left"/>
        </w:tabs>
        <w:numPr>
          <w:ilvl w:val="1"/>
          <w:numId w:val="488"/>
        </w:numPr>
        <w:rPr>
          <w:rFonts w:ascii="Arial" w:cs="Arial" w:eastAsia="Arial" w:hAnsi="Arial"/>
          <w:sz w:val="20"/>
          <w:szCs w:val="20"/>
          <w:color w:val="auto"/>
        </w:rPr>
      </w:pPr>
      <w:r>
        <w:rPr>
          <w:rFonts w:ascii="Arial" w:cs="Arial" w:eastAsia="Arial" w:hAnsi="Arial"/>
          <w:sz w:val="20"/>
          <w:szCs w:val="20"/>
          <w:color w:val="auto"/>
        </w:rPr>
        <w:t>not more than twenty percent (20%) of the Total Asset Value at any time may be attributable to Investments in Unconsolidated Affiliates, with any excess over the foregoing limit being excluded from Total Asset Value; and</w:t>
      </w:r>
    </w:p>
    <w:p>
      <w:pPr>
        <w:spacing w:after="0" w:line="190" w:lineRule="exact"/>
        <w:rPr>
          <w:rFonts w:ascii="Arial" w:cs="Arial" w:eastAsia="Arial" w:hAnsi="Arial"/>
          <w:sz w:val="20"/>
          <w:szCs w:val="20"/>
          <w:color w:val="auto"/>
        </w:rPr>
      </w:pPr>
    </w:p>
    <w:p>
      <w:pPr>
        <w:ind w:left="300" w:firstLine="899"/>
        <w:spacing w:after="0" w:line="272" w:lineRule="auto"/>
        <w:tabs>
          <w:tab w:leader="none" w:pos="2032" w:val="left"/>
        </w:tabs>
        <w:numPr>
          <w:ilvl w:val="1"/>
          <w:numId w:val="488"/>
        </w:numPr>
        <w:rPr>
          <w:rFonts w:ascii="Arial" w:cs="Arial" w:eastAsia="Arial" w:hAnsi="Arial"/>
          <w:sz w:val="20"/>
          <w:szCs w:val="20"/>
          <w:color w:val="auto"/>
        </w:rPr>
      </w:pPr>
      <w:r>
        <w:rPr>
          <w:rFonts w:ascii="Arial" w:cs="Arial" w:eastAsia="Arial" w:hAnsi="Arial"/>
          <w:sz w:val="20"/>
          <w:szCs w:val="20"/>
          <w:color w:val="auto"/>
        </w:rPr>
        <w:t>not more than twenty-five percent (25%) of the Total Asset Value at any time may be attributable to Specified Investments, with any excess over the foregoing limit being excluded from Total Asset Value.</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Outstandings</w:t>
      </w:r>
      <w:r>
        <w:rPr>
          <w:rFonts w:ascii="Arial" w:cs="Arial" w:eastAsia="Arial" w:hAnsi="Arial"/>
          <w:sz w:val="20"/>
          <w:szCs w:val="20"/>
          <w:color w:val="auto"/>
        </w:rPr>
        <w:t>” means the aggregate Outstanding Amount of all Loans.</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TRS Subsidiary</w:t>
      </w:r>
      <w:r>
        <w:rPr>
          <w:rFonts w:ascii="Arial" w:cs="Arial" w:eastAsia="Arial" w:hAnsi="Arial"/>
          <w:sz w:val="19"/>
          <w:szCs w:val="19"/>
          <w:color w:val="auto"/>
        </w:rPr>
        <w:t>” means a Wholly Owned Subsidiary of the REIT that is a “taxable REIT subsidiary” under Section 856(l) of the</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Code.</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a Loan, its character as a Base Rate Loan or a Eurodollar Rate Loan.</w:t>
      </w:r>
    </w:p>
    <w:p>
      <w:pPr>
        <w:spacing w:after="0" w:line="207" w:lineRule="exact"/>
        <w:rPr>
          <w:sz w:val="20"/>
          <w:szCs w:val="20"/>
          <w:color w:val="auto"/>
        </w:rPr>
      </w:pPr>
    </w:p>
    <w:p>
      <w:pPr>
        <w:jc w:val="both"/>
        <w:ind w:firstLine="599"/>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Unconsolidated Affiliate</w:t>
      </w:r>
      <w:r>
        <w:rPr>
          <w:rFonts w:ascii="Arial" w:cs="Arial" w:eastAsia="Arial" w:hAnsi="Arial"/>
          <w:sz w:val="19"/>
          <w:szCs w:val="19"/>
          <w:color w:val="auto"/>
        </w:rPr>
        <w:t>” means, at any date, any Person (x) in which the Consolidated Group, directly or indirectly, holds an Equity Interest, which investment is accounted for in the consolidated financial statements of the Consolidated Group on an equity basis of accounting and (y) whose financial results are not consolidated with the financial results of the Consolidated Group under GAAP.</w:t>
      </w:r>
    </w:p>
    <w:p>
      <w:pPr>
        <w:spacing w:after="0" w:line="147" w:lineRule="exact"/>
        <w:rPr>
          <w:sz w:val="20"/>
          <w:szCs w:val="20"/>
          <w:color w:val="auto"/>
        </w:rPr>
      </w:pPr>
    </w:p>
    <w:p>
      <w:pPr>
        <w:jc w:val="both"/>
        <w:ind w:left="20" w:firstLine="600"/>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Unencumbered Asset Value</w:t>
      </w:r>
      <w:r>
        <w:rPr>
          <w:rFonts w:ascii="Arial" w:cs="Arial" w:eastAsia="Arial" w:hAnsi="Arial"/>
          <w:sz w:val="20"/>
          <w:szCs w:val="20"/>
          <w:color w:val="auto"/>
        </w:rPr>
        <w:t>” means, as of any time for the Consolidated Group, without duplication, (a) an amount equal to (i) the sum of the Unencumbered Property NOI of each Unencumbered Eligible</w:t>
      </w:r>
    </w:p>
    <w:p>
      <w:pPr>
        <w:spacing w:after="0" w:line="19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29</w:t>
      </w:r>
      <w:r>
        <w:rPr>
          <w:rFonts w:ascii="MS PGothic" w:cs="MS PGothic" w:eastAsia="MS PGothic" w:hAnsi="MS PGothic"/>
          <w:sz w:val="20"/>
          <w:szCs w:val="20"/>
          <w:color w:val="auto"/>
        </w:rPr>
        <w:t>‑</w:t>
      </w:r>
    </w:p>
    <w:p>
      <w:pPr>
        <w:sectPr>
          <w:pgSz w:w="11900" w:h="16838" w:orient="portrait"/>
          <w:cols w:equalWidth="0" w:num="1">
            <w:col w:w="11420"/>
          </w:cols>
          <w:pgMar w:left="240" w:top="794" w:right="239" w:bottom="1440" w:gutter="0" w:footer="0" w:header="0"/>
        </w:sectPr>
      </w:pPr>
    </w:p>
    <w:bookmarkStart w:id="434" w:name="page435"/>
    <w:bookmarkEnd w:id="434"/>
    <w:p>
      <w:pPr>
        <w:jc w:val="both"/>
        <w:ind w:left="20"/>
        <w:spacing w:after="0" w:line="265" w:lineRule="auto"/>
        <w:rPr>
          <w:sz w:val="20"/>
          <w:szCs w:val="20"/>
          <w:color w:val="auto"/>
        </w:rPr>
      </w:pPr>
      <w:r>
        <w:rPr>
          <w:rFonts w:ascii="Arial" w:cs="Arial" w:eastAsia="Arial" w:hAnsi="Arial"/>
          <w:sz w:val="19"/>
          <w:szCs w:val="19"/>
          <w:color w:val="auto"/>
        </w:rPr>
        <w:t xml:space="preserve">Property owned, or ground leased under an Eligible Ground Lease, by the Consolidated Group for the then most recently ended fiscal quarter of the REIT for which financial statements have been provided to the Administrative Agent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(excluding each Unencumbered Eligible Property that is a Disposed Portfolio Property, a Newly-Acquired Portfolio Property, a Qualified Development Property or a Non-Stabilized Portfolio Property), </w:t>
      </w:r>
      <w:r>
        <w:rPr>
          <w:rFonts w:ascii="Arial" w:cs="Arial" w:eastAsia="Arial" w:hAnsi="Arial"/>
          <w:sz w:val="19"/>
          <w:szCs w:val="19"/>
          <w:i w:val="1"/>
          <w:iCs w:val="1"/>
          <w:color w:val="auto"/>
        </w:rPr>
        <w:t>divided by</w:t>
      </w:r>
      <w:r>
        <w:rPr>
          <w:rFonts w:ascii="Arial" w:cs="Arial" w:eastAsia="Arial" w:hAnsi="Arial"/>
          <w:sz w:val="19"/>
          <w:szCs w:val="19"/>
          <w:color w:val="auto"/>
        </w:rPr>
        <w:t xml:space="preserve"> the Applicable Capitalization Rate for each such Unencumbered Eligible Property,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(ii) four, </w:t>
      </w:r>
      <w:r>
        <w:rPr>
          <w:rFonts w:ascii="Arial" w:cs="Arial" w:eastAsia="Arial" w:hAnsi="Arial"/>
          <w:sz w:val="19"/>
          <w:szCs w:val="19"/>
          <w:i w:val="1"/>
          <w:iCs w:val="1"/>
          <w:color w:val="auto"/>
        </w:rPr>
        <w:t>plus</w:t>
      </w:r>
      <w:r>
        <w:rPr>
          <w:rFonts w:ascii="Arial" w:cs="Arial" w:eastAsia="Arial" w:hAnsi="Arial"/>
          <w:sz w:val="19"/>
          <w:szCs w:val="19"/>
          <w:color w:val="auto"/>
        </w:rPr>
        <w:t xml:space="preserve"> (b) the undepreciated book value at such time of each Unencumbered Eligible Property that is a Qualified Development Property or a Non-Stabilized Portfolio Property, </w:t>
      </w:r>
      <w:r>
        <w:rPr>
          <w:rFonts w:ascii="Arial" w:cs="Arial" w:eastAsia="Arial" w:hAnsi="Arial"/>
          <w:sz w:val="19"/>
          <w:szCs w:val="19"/>
          <w:i w:val="1"/>
          <w:iCs w:val="1"/>
          <w:color w:val="auto"/>
        </w:rPr>
        <w:t>plus</w:t>
      </w:r>
      <w:r>
        <w:rPr>
          <w:rFonts w:ascii="Arial" w:cs="Arial" w:eastAsia="Arial" w:hAnsi="Arial"/>
          <w:sz w:val="19"/>
          <w:szCs w:val="19"/>
          <w:color w:val="auto"/>
        </w:rPr>
        <w:t xml:space="preserve"> (c) the acquisition cost paid by the applicable member(s) of the Consolidated Group for each Unencumbered Eligible Property that is a Newly-Acquired Portfolio Property;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the acquisition of any Newly-Acquired Property by a Controlled Joint Venture, only the Loan Party Pro Rata Share of such acquisition cost shall be included in the calculation of Unencumbered Asset Value;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w:t>
      </w:r>
    </w:p>
    <w:p>
      <w:pPr>
        <w:spacing w:after="0" w:line="202" w:lineRule="exact"/>
        <w:rPr>
          <w:sz w:val="20"/>
          <w:szCs w:val="20"/>
          <w:color w:val="auto"/>
        </w:rPr>
      </w:pPr>
    </w:p>
    <w:p>
      <w:pPr>
        <w:jc w:val="both"/>
        <w:ind w:left="600" w:firstLine="599"/>
        <w:spacing w:after="0" w:line="270" w:lineRule="auto"/>
        <w:tabs>
          <w:tab w:leader="none" w:pos="1634" w:val="left"/>
        </w:tabs>
        <w:numPr>
          <w:ilvl w:val="1"/>
          <w:numId w:val="489"/>
        </w:numPr>
        <w:rPr>
          <w:rFonts w:ascii="Arial" w:cs="Arial" w:eastAsia="Arial" w:hAnsi="Arial"/>
          <w:sz w:val="19"/>
          <w:szCs w:val="19"/>
          <w:color w:val="auto"/>
        </w:rPr>
      </w:pPr>
      <w:r>
        <w:rPr>
          <w:rFonts w:ascii="Arial" w:cs="Arial" w:eastAsia="Arial" w:hAnsi="Arial"/>
          <w:sz w:val="19"/>
          <w:szCs w:val="19"/>
          <w:color w:val="auto"/>
        </w:rPr>
        <w:t>not more than 20% of the Unencumbered Asset Value at any time may be in respect of Unencumbered Eligible Properties that are not office, retail or multi-family properties (and, for purposes of determining compliance with such 20% limitation, if an Unencumbered Eligible Property is considered “multi-use”, the Borrower shall be permitted to include the Unencumbered Property NOI of such Unencumbered Eligible Property’s office, retail or multi-family component without limitation under this clause (a)), with any excess over the foregoing limit being excluded from the Unencumbered Asset Value;</w:t>
      </w:r>
    </w:p>
    <w:p>
      <w:pPr>
        <w:spacing w:after="0" w:line="194" w:lineRule="exact"/>
        <w:rPr>
          <w:rFonts w:ascii="Arial" w:cs="Arial" w:eastAsia="Arial" w:hAnsi="Arial"/>
          <w:sz w:val="19"/>
          <w:szCs w:val="19"/>
          <w:color w:val="auto"/>
        </w:rPr>
      </w:pPr>
    </w:p>
    <w:p>
      <w:pPr>
        <w:jc w:val="both"/>
        <w:ind w:left="620" w:firstLine="554"/>
        <w:spacing w:after="0" w:line="260" w:lineRule="auto"/>
        <w:tabs>
          <w:tab w:leader="none" w:pos="1630" w:val="left"/>
        </w:tabs>
        <w:numPr>
          <w:ilvl w:val="0"/>
          <w:numId w:val="490"/>
        </w:numPr>
        <w:rPr>
          <w:rFonts w:ascii="Arial" w:cs="Arial" w:eastAsia="Arial" w:hAnsi="Arial"/>
          <w:sz w:val="20"/>
          <w:szCs w:val="20"/>
          <w:color w:val="auto"/>
        </w:rPr>
      </w:pPr>
      <w:r>
        <w:rPr>
          <w:rFonts w:ascii="Arial" w:cs="Arial" w:eastAsia="Arial" w:hAnsi="Arial"/>
          <w:sz w:val="20"/>
          <w:szCs w:val="20"/>
          <w:color w:val="auto"/>
        </w:rPr>
        <w:t>not more than 20% of the Unencumbered Asset Value at any time may be in respect of Unencumbered Eligible Properties that are either owned by a Controlled Joint Venture or ground leased under an Eligible Ground Lease, with any excess over the foregoing limit being excluded from the Unencumbered Asset Value;</w:t>
      </w:r>
    </w:p>
    <w:p>
      <w:pPr>
        <w:spacing w:after="0" w:line="201" w:lineRule="exact"/>
        <w:rPr>
          <w:rFonts w:ascii="Arial" w:cs="Arial" w:eastAsia="Arial" w:hAnsi="Arial"/>
          <w:sz w:val="20"/>
          <w:szCs w:val="20"/>
          <w:color w:val="auto"/>
        </w:rPr>
      </w:pPr>
    </w:p>
    <w:p>
      <w:pPr>
        <w:jc w:val="both"/>
        <w:ind w:left="600" w:firstLine="599"/>
        <w:spacing w:after="0" w:line="260" w:lineRule="auto"/>
        <w:tabs>
          <w:tab w:leader="none" w:pos="1634" w:val="left"/>
        </w:tabs>
        <w:numPr>
          <w:ilvl w:val="1"/>
          <w:numId w:val="490"/>
        </w:numPr>
        <w:rPr>
          <w:rFonts w:ascii="Arial" w:cs="Arial" w:eastAsia="Arial" w:hAnsi="Arial"/>
          <w:sz w:val="20"/>
          <w:szCs w:val="20"/>
          <w:color w:val="auto"/>
        </w:rPr>
      </w:pPr>
      <w:r>
        <w:rPr>
          <w:rFonts w:ascii="Arial" w:cs="Arial" w:eastAsia="Arial" w:hAnsi="Arial"/>
          <w:sz w:val="20"/>
          <w:szCs w:val="20"/>
          <w:color w:val="auto"/>
        </w:rPr>
        <w:t>not more than 10% of the Unencumbered Asset Value at any time may be in respect of Unencumbered Eligible Properties that constitute Qualified Development Properties, with any excess over the foregoing limit being excluded from the Unencumbered Asset Value; and</w:t>
      </w:r>
    </w:p>
    <w:p>
      <w:pPr>
        <w:spacing w:after="0" w:line="200" w:lineRule="exact"/>
        <w:rPr>
          <w:rFonts w:ascii="Arial" w:cs="Arial" w:eastAsia="Arial" w:hAnsi="Arial"/>
          <w:sz w:val="20"/>
          <w:szCs w:val="20"/>
          <w:color w:val="auto"/>
        </w:rPr>
      </w:pPr>
    </w:p>
    <w:p>
      <w:pPr>
        <w:spacing w:after="0" w:line="201" w:lineRule="exact"/>
        <w:rPr>
          <w:rFonts w:ascii="Arial" w:cs="Arial" w:eastAsia="Arial" w:hAnsi="Arial"/>
          <w:sz w:val="20"/>
          <w:szCs w:val="20"/>
          <w:color w:val="auto"/>
        </w:rPr>
      </w:pPr>
    </w:p>
    <w:p>
      <w:pPr>
        <w:jc w:val="both"/>
        <w:ind w:left="600" w:firstLine="599"/>
        <w:spacing w:after="0" w:line="260" w:lineRule="auto"/>
        <w:tabs>
          <w:tab w:leader="none" w:pos="1643" w:val="left"/>
        </w:tabs>
        <w:numPr>
          <w:ilvl w:val="1"/>
          <w:numId w:val="490"/>
        </w:numPr>
        <w:rPr>
          <w:rFonts w:ascii="Arial" w:cs="Arial" w:eastAsia="Arial" w:hAnsi="Arial"/>
          <w:sz w:val="20"/>
          <w:szCs w:val="20"/>
          <w:color w:val="auto"/>
        </w:rPr>
      </w:pPr>
      <w:r>
        <w:rPr>
          <w:rFonts w:ascii="Arial" w:cs="Arial" w:eastAsia="Arial" w:hAnsi="Arial"/>
          <w:sz w:val="20"/>
          <w:szCs w:val="20"/>
          <w:color w:val="auto"/>
        </w:rPr>
        <w:t>not more than 20% of the Unencumbered Asset Value at any time may be in respect of Unencumbered Eligible Properties that are referenced in clauses (b) and (c) above, with any excess over the foregoing limit being excluded from the Unencumbered Asset Value.</w:t>
      </w:r>
    </w:p>
    <w:p>
      <w:pPr>
        <w:spacing w:after="0" w:line="164" w:lineRule="exact"/>
        <w:rPr>
          <w:sz w:val="20"/>
          <w:szCs w:val="20"/>
          <w:color w:val="auto"/>
        </w:rPr>
      </w:pPr>
    </w:p>
    <w:p>
      <w:pPr>
        <w:ind w:firstLine="59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Unencumbered Eligible Property</w:t>
      </w:r>
      <w:r>
        <w:rPr>
          <w:rFonts w:ascii="Arial" w:cs="Arial" w:eastAsia="Arial" w:hAnsi="Arial"/>
          <w:sz w:val="20"/>
          <w:szCs w:val="20"/>
          <w:color w:val="auto"/>
        </w:rPr>
        <w:t>” means, at any time, an Unencumbered Portfolio Property that meets each of the following criteria at such time:</w:t>
      </w:r>
    </w:p>
    <w:p>
      <w:pPr>
        <w:spacing w:after="0" w:line="153" w:lineRule="exact"/>
        <w:rPr>
          <w:sz w:val="20"/>
          <w:szCs w:val="20"/>
          <w:color w:val="auto"/>
        </w:rPr>
      </w:pPr>
    </w:p>
    <w:p>
      <w:pPr>
        <w:jc w:val="both"/>
        <w:ind w:left="620" w:firstLine="554"/>
        <w:spacing w:after="0" w:line="256" w:lineRule="auto"/>
        <w:tabs>
          <w:tab w:leader="none" w:pos="1661" w:val="left"/>
        </w:tabs>
        <w:numPr>
          <w:ilvl w:val="0"/>
          <w:numId w:val="491"/>
        </w:numPr>
        <w:rPr>
          <w:rFonts w:ascii="Arial" w:cs="Arial" w:eastAsia="Arial" w:hAnsi="Arial"/>
          <w:sz w:val="20"/>
          <w:szCs w:val="20"/>
          <w:color w:val="auto"/>
        </w:rPr>
      </w:pPr>
      <w:r>
        <w:rPr>
          <w:rFonts w:ascii="Arial" w:cs="Arial" w:eastAsia="Arial" w:hAnsi="Arial"/>
          <w:sz w:val="20"/>
          <w:szCs w:val="20"/>
          <w:color w:val="auto"/>
        </w:rPr>
        <w:t>each Direct Owner and Indirect Owner of such Unencumbered Portfolio Property is a Wholly Owned Subsidiary of the Borrower or a Controlled Joint Venture, in each case, that is organized in the District of Columbia or a state within the United States of America, and such Unencumbered Portfolio Property is located in the District of Columbia or a state within the United States of America;</w:t>
      </w:r>
    </w:p>
    <w:p>
      <w:pPr>
        <w:spacing w:after="0" w:line="205" w:lineRule="exact"/>
        <w:rPr>
          <w:rFonts w:ascii="Arial" w:cs="Arial" w:eastAsia="Arial" w:hAnsi="Arial"/>
          <w:sz w:val="20"/>
          <w:szCs w:val="20"/>
          <w:color w:val="auto"/>
        </w:rPr>
      </w:pPr>
    </w:p>
    <w:p>
      <w:pPr>
        <w:jc w:val="both"/>
        <w:ind w:left="620" w:firstLine="554"/>
        <w:spacing w:after="0" w:line="256" w:lineRule="auto"/>
        <w:tabs>
          <w:tab w:leader="none" w:pos="1684" w:val="left"/>
        </w:tabs>
        <w:numPr>
          <w:ilvl w:val="0"/>
          <w:numId w:val="491"/>
        </w:numPr>
        <w:rPr>
          <w:rFonts w:ascii="Arial" w:cs="Arial" w:eastAsia="Arial" w:hAnsi="Arial"/>
          <w:sz w:val="20"/>
          <w:szCs w:val="20"/>
          <w:color w:val="auto"/>
        </w:rPr>
      </w:pPr>
      <w:r>
        <w:rPr>
          <w:rFonts w:ascii="Arial" w:cs="Arial" w:eastAsia="Arial" w:hAnsi="Arial"/>
          <w:sz w:val="20"/>
          <w:szCs w:val="20"/>
          <w:color w:val="auto"/>
        </w:rPr>
        <w:t>such Unencumbered Portfolio Property (and the income therefrom and proceeds thereof) is not subject to any Liens or other encumbrances (other than Permitted Unencumbered Property Liens), and such Unencumbered Portfolio Property is in good order and condition and is free of all title, survey and other defects (other than defects constituting Permitted Unencumbered Property Liens);</w:t>
      </w:r>
    </w:p>
    <w:p>
      <w:pPr>
        <w:spacing w:after="0" w:line="20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30</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35" w:name="page436"/>
    <w:bookmarkEnd w:id="435"/>
    <w:p>
      <w:pPr>
        <w:jc w:val="both"/>
        <w:ind w:left="620" w:firstLine="554"/>
        <w:spacing w:after="0" w:line="260" w:lineRule="auto"/>
        <w:tabs>
          <w:tab w:leader="none" w:pos="1646" w:val="left"/>
        </w:tabs>
        <w:numPr>
          <w:ilvl w:val="0"/>
          <w:numId w:val="492"/>
        </w:numPr>
        <w:rPr>
          <w:rFonts w:ascii="Arial" w:cs="Arial" w:eastAsia="Arial" w:hAnsi="Arial"/>
          <w:sz w:val="20"/>
          <w:szCs w:val="20"/>
          <w:color w:val="auto"/>
        </w:rPr>
      </w:pPr>
      <w:r>
        <w:rPr>
          <w:rFonts w:ascii="Arial" w:cs="Arial" w:eastAsia="Arial" w:hAnsi="Arial"/>
          <w:sz w:val="20"/>
          <w:szCs w:val="20"/>
          <w:color w:val="auto"/>
        </w:rPr>
        <w:t xml:space="preserve">the Equity Interests of each Direct Owner, and those of each Indirect Owner of any such Direct Owner, are not junior in any manner to any other class of Equity Interests in such Person or subject to any Liens or other encumbrances (other than Liens permitted under </w:t>
      </w:r>
      <w:r>
        <w:rPr>
          <w:rFonts w:ascii="Arial" w:cs="Arial" w:eastAsia="Arial" w:hAnsi="Arial"/>
          <w:sz w:val="20"/>
          <w:szCs w:val="20"/>
          <w:u w:val="single" w:color="auto"/>
          <w:color w:val="auto"/>
        </w:rPr>
        <w:t>Section 7.01(a)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(c) or </w:t>
      </w:r>
      <w:r>
        <w:rPr>
          <w:rFonts w:ascii="Arial" w:cs="Arial" w:eastAsia="Arial" w:hAnsi="Arial"/>
          <w:sz w:val="20"/>
          <w:szCs w:val="20"/>
          <w:u w:val="single" w:color="auto"/>
          <w:color w:val="auto"/>
        </w:rPr>
        <w:t>(l)</w:t>
      </w:r>
      <w:r>
        <w:rPr>
          <w:rFonts w:ascii="Arial" w:cs="Arial" w:eastAsia="Arial" w:hAnsi="Arial"/>
          <w:sz w:val="20"/>
          <w:szCs w:val="20"/>
          <w:color w:val="auto"/>
        </w:rPr>
        <w:t xml:space="preserve"> and Permitted Pari Passu Encumbrances);</w:t>
      </w:r>
    </w:p>
    <w:p>
      <w:pPr>
        <w:spacing w:after="0" w:line="201" w:lineRule="exact"/>
        <w:rPr>
          <w:rFonts w:ascii="Arial" w:cs="Arial" w:eastAsia="Arial" w:hAnsi="Arial"/>
          <w:sz w:val="20"/>
          <w:szCs w:val="20"/>
          <w:color w:val="auto"/>
        </w:rPr>
      </w:pPr>
    </w:p>
    <w:p>
      <w:pPr>
        <w:jc w:val="both"/>
        <w:ind w:left="600" w:firstLine="599"/>
        <w:spacing w:after="0" w:line="260" w:lineRule="auto"/>
        <w:tabs>
          <w:tab w:leader="none" w:pos="1644" w:val="left"/>
        </w:tabs>
        <w:numPr>
          <w:ilvl w:val="1"/>
          <w:numId w:val="492"/>
        </w:numPr>
        <w:rPr>
          <w:rFonts w:ascii="Arial" w:cs="Arial" w:eastAsia="Arial" w:hAnsi="Arial"/>
          <w:sz w:val="20"/>
          <w:szCs w:val="20"/>
          <w:color w:val="auto"/>
        </w:rPr>
      </w:pPr>
      <w:r>
        <w:rPr>
          <w:rFonts w:ascii="Arial" w:cs="Arial" w:eastAsia="Arial" w:hAnsi="Arial"/>
          <w:sz w:val="20"/>
          <w:szCs w:val="20"/>
          <w:color w:val="auto"/>
        </w:rPr>
        <w:t xml:space="preserve">no Direct Owner or Indirect Owner of such Unencumbered Portfolio Property shall have any Indebtedness (other than the Obligations and other Indebtedness permitted under </w:t>
      </w:r>
      <w:r>
        <w:rPr>
          <w:rFonts w:ascii="Arial" w:cs="Arial" w:eastAsia="Arial" w:hAnsi="Arial"/>
          <w:sz w:val="20"/>
          <w:szCs w:val="20"/>
          <w:u w:val="single" w:color="auto"/>
          <w:color w:val="auto"/>
        </w:rPr>
        <w:t>Section 7.02</w:t>
      </w:r>
      <w:r>
        <w:rPr>
          <w:rFonts w:ascii="Arial" w:cs="Arial" w:eastAsia="Arial" w:hAnsi="Arial"/>
          <w:sz w:val="20"/>
          <w:szCs w:val="20"/>
          <w:color w:val="auto"/>
        </w:rPr>
        <w:t>) and shall not be subject to any proceedings under any Debtor Relief Law;</w:t>
      </w:r>
    </w:p>
    <w:p>
      <w:pPr>
        <w:spacing w:after="0" w:line="202" w:lineRule="exact"/>
        <w:rPr>
          <w:sz w:val="20"/>
          <w:szCs w:val="20"/>
          <w:color w:val="auto"/>
        </w:rPr>
      </w:pPr>
    </w:p>
    <w:p>
      <w:pPr>
        <w:ind w:left="620" w:firstLine="554"/>
        <w:spacing w:after="0" w:line="272" w:lineRule="auto"/>
        <w:tabs>
          <w:tab w:leader="none" w:pos="1646" w:val="left"/>
        </w:tabs>
        <w:numPr>
          <w:ilvl w:val="0"/>
          <w:numId w:val="493"/>
        </w:numPr>
        <w:rPr>
          <w:rFonts w:ascii="Arial" w:cs="Arial" w:eastAsia="Arial" w:hAnsi="Arial"/>
          <w:sz w:val="20"/>
          <w:szCs w:val="20"/>
          <w:color w:val="auto"/>
        </w:rPr>
      </w:pPr>
      <w:r>
        <w:rPr>
          <w:rFonts w:ascii="Arial" w:cs="Arial" w:eastAsia="Arial" w:hAnsi="Arial"/>
          <w:sz w:val="20"/>
          <w:szCs w:val="20"/>
          <w:color w:val="auto"/>
        </w:rPr>
        <w:t>such Unencumbered Portfolio Property is free of Hazardous Materials except as would not materially affect the value of such Unencumbered Portfolio Property;</w:t>
      </w:r>
    </w:p>
    <w:p>
      <w:pPr>
        <w:spacing w:after="0" w:line="190" w:lineRule="exact"/>
        <w:rPr>
          <w:rFonts w:ascii="Arial" w:cs="Arial" w:eastAsia="Arial" w:hAnsi="Arial"/>
          <w:sz w:val="20"/>
          <w:szCs w:val="20"/>
          <w:color w:val="auto"/>
        </w:rPr>
      </w:pPr>
    </w:p>
    <w:p>
      <w:pPr>
        <w:jc w:val="both"/>
        <w:ind w:left="620" w:firstLine="554"/>
        <w:spacing w:after="0" w:line="265" w:lineRule="auto"/>
        <w:tabs>
          <w:tab w:leader="none" w:pos="1657" w:val="left"/>
        </w:tabs>
        <w:numPr>
          <w:ilvl w:val="0"/>
          <w:numId w:val="493"/>
        </w:numPr>
        <w:rPr>
          <w:rFonts w:ascii="Arial" w:cs="Arial" w:eastAsia="Arial" w:hAnsi="Arial"/>
          <w:sz w:val="19"/>
          <w:szCs w:val="19"/>
          <w:color w:val="auto"/>
        </w:rPr>
      </w:pPr>
      <w:r>
        <w:rPr>
          <w:rFonts w:ascii="Arial" w:cs="Arial" w:eastAsia="Arial" w:hAnsi="Arial"/>
          <w:sz w:val="19"/>
          <w:szCs w:val="19"/>
          <w:color w:val="auto"/>
        </w:rPr>
        <w:t>such Unencumbered Portfolio Property is free and clear of all negative pledges or any restrictions on the ability of the Subsidiary of the Borrower that owns or ground leases such Unencumbered Portfolio Property to transfer or encumber such Unencumbered Portfolio Property, except for (1) Permitted Pari Passu Encumbrances and (2) customary restrictions on Liens, assignments and transfers of assets contained in leases, licenses and other Contractual Obligations entered into in the ordinary course of business that (x) do not prevent the grant of a Lien on such Unencumbered Portfolio Property to secure the Obligations, (y) would not prevent a mortgagee of such Unencumbered Portfolio Property from transferring such Unencumbered Portfolio Property in the event such mortgagee were to foreclose on its Lien on such Unencumbered Portfolio Property and (z) do not materially impair or interfere in the use or operations of such Unencumbered Portfolio Property or the Administrative Agent’s and the Lenders’ rights and remedies under the Loan Documents; and</w:t>
      </w:r>
    </w:p>
    <w:p>
      <w:pPr>
        <w:spacing w:after="0" w:line="202" w:lineRule="exact"/>
        <w:rPr>
          <w:sz w:val="20"/>
          <w:szCs w:val="20"/>
          <w:color w:val="auto"/>
        </w:rPr>
      </w:pPr>
    </w:p>
    <w:p>
      <w:pPr>
        <w:jc w:val="both"/>
        <w:ind w:left="600" w:firstLine="599"/>
        <w:spacing w:after="0" w:line="256" w:lineRule="auto"/>
        <w:tabs>
          <w:tab w:leader="none" w:pos="1670" w:val="left"/>
        </w:tabs>
        <w:numPr>
          <w:ilvl w:val="0"/>
          <w:numId w:val="494"/>
        </w:numPr>
        <w:rPr>
          <w:rFonts w:ascii="Arial" w:cs="Arial" w:eastAsia="Arial" w:hAnsi="Arial"/>
          <w:sz w:val="20"/>
          <w:szCs w:val="20"/>
          <w:color w:val="auto"/>
        </w:rPr>
      </w:pPr>
      <w:r>
        <w:rPr>
          <w:rFonts w:ascii="Arial" w:cs="Arial" w:eastAsia="Arial" w:hAnsi="Arial"/>
          <w:sz w:val="20"/>
          <w:szCs w:val="20"/>
          <w:color w:val="auto"/>
        </w:rPr>
        <w:t>in the case of an Unencumbered Portfolio Property other than a Qualified Development Property, after giving pro forma effect to the inclusion of such Unencumbered Portfolio Property as an Unencumbered Eligible Property, the aggregate minimum occupancy for all Unencumbered Portfolio Properties (other than Hotel Properties) included in the calculation of Unencumbered Asset Value shall be at least 80%;</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 Unencumbered Portfolio Property shall not constitute an Unencumbered Eligible Property unless and until the Borrower has delivered to the Administrative Agent a certificate signed by a Responsible Officer of the Borrower designating such Unencumbered Portfolio Property as an “Unencumbered Eligible Property” and certifying that such Unencumbered Portfolio Property satisfies each of the eligibility criteria set forth in clauses (a) through (g) above (or, in the case an Unencumbered Portfolio Property that satisfies each of the eligibility criteria set forth in clauses (a) through (g) above on the Third Amendment Effective Date, is listed on </w:t>
      </w:r>
      <w:r>
        <w:rPr>
          <w:rFonts w:ascii="Arial" w:cs="Arial" w:eastAsia="Arial" w:hAnsi="Arial"/>
          <w:sz w:val="19"/>
          <w:szCs w:val="19"/>
          <w:u w:val="single" w:color="auto"/>
          <w:color w:val="auto"/>
        </w:rPr>
        <w:t>Schedule III</w:t>
      </w:r>
      <w:r>
        <w:rPr>
          <w:rFonts w:ascii="Arial" w:cs="Arial" w:eastAsia="Arial" w:hAnsi="Arial"/>
          <w:sz w:val="19"/>
          <w:szCs w:val="19"/>
          <w:color w:val="auto"/>
        </w:rPr>
        <w:t xml:space="preserve"> hereto), (ii) if at any time any Unencumbered Portfolio Property that is included as an “Unencumbered Eligible Property” (whether on the Closing Date or at any thereafter) ceases to satisfy any of the eligibility criteria set forth in clauses (a) through (g) above, such Unencumbered Portfolio Property shall automatically cease to be an Unencumbered Eligible Property at such time and the Borrower shall promptly notify the Lender in writing thereof and (iii) the Borrower may rescind the designation of any Unencumbered Portfolio Property as an “Unencumbered Eligible Property” at any time by providing written notice thereof to the Administrative Agent so long as (x) no Default or Event of Default has occurred and is continuing or would result therefrom and (y) the Loan Parties are in pro forma compliance with the covenants contained in </w:t>
      </w:r>
      <w:r>
        <w:rPr>
          <w:rFonts w:ascii="Arial" w:cs="Arial" w:eastAsia="Arial" w:hAnsi="Arial"/>
          <w:sz w:val="19"/>
          <w:szCs w:val="19"/>
          <w:u w:val="single" w:color="auto"/>
          <w:color w:val="auto"/>
        </w:rPr>
        <w:t>Section 7.02(b)</w:t>
      </w:r>
      <w:r>
        <w:rPr>
          <w:rFonts w:ascii="Arial" w:cs="Arial" w:eastAsia="Arial" w:hAnsi="Arial"/>
          <w:sz w:val="19"/>
          <w:szCs w:val="19"/>
          <w:color w:val="auto"/>
        </w:rPr>
        <w:t xml:space="preserve"> </w:t>
      </w:r>
      <w:r>
        <w:rPr>
          <w:rFonts w:ascii="Arial" w:cs="Arial" w:eastAsia="Arial" w:hAnsi="Arial"/>
          <w:sz w:val="19"/>
          <w:szCs w:val="19"/>
          <w:u w:val="single" w:color="auto"/>
          <w:color w:val="auto"/>
        </w:rPr>
        <w:t>and Section 7.11</w:t>
      </w:r>
      <w:r>
        <w:rPr>
          <w:rFonts w:ascii="Arial" w:cs="Arial" w:eastAsia="Arial" w:hAnsi="Arial"/>
          <w:sz w:val="19"/>
          <w:szCs w:val="19"/>
          <w:color w:val="auto"/>
        </w:rPr>
        <w:t xml:space="preserve"> after giving effect thereto.</w:t>
      </w:r>
    </w:p>
    <w:p>
      <w:pPr>
        <w:spacing w:after="0" w:line="200" w:lineRule="exact"/>
        <w:rPr>
          <w:sz w:val="20"/>
          <w:szCs w:val="20"/>
          <w:color w:val="auto"/>
        </w:rPr>
      </w:pPr>
    </w:p>
    <w:p>
      <w:pPr>
        <w:spacing w:after="0" w:line="20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31</w:t>
      </w:r>
      <w:r>
        <w:rPr>
          <w:rFonts w:ascii="MS PGothic" w:cs="MS PGothic" w:eastAsia="MS PGothic" w:hAnsi="MS PGothic"/>
          <w:sz w:val="20"/>
          <w:szCs w:val="20"/>
          <w:color w:val="auto"/>
        </w:rPr>
        <w:t>‑</w:t>
      </w:r>
    </w:p>
    <w:p>
      <w:pPr>
        <w:sectPr>
          <w:pgSz w:w="11900" w:h="16838" w:orient="portrait"/>
          <w:cols w:equalWidth="0" w:num="1">
            <w:col w:w="11420"/>
          </w:cols>
          <w:pgMar w:left="240" w:top="1032" w:right="239" w:bottom="1440" w:gutter="0" w:footer="0" w:header="0"/>
        </w:sectPr>
      </w:pPr>
    </w:p>
    <w:bookmarkStart w:id="436" w:name="page437"/>
    <w:bookmarkEnd w:id="436"/>
    <w:p>
      <w:pPr>
        <w:jc w:val="both"/>
        <w:spacing w:after="0" w:line="260" w:lineRule="auto"/>
        <w:rPr>
          <w:sz w:val="20"/>
          <w:szCs w:val="20"/>
          <w:color w:val="auto"/>
        </w:rPr>
      </w:pPr>
      <w:r>
        <w:rPr>
          <w:rFonts w:ascii="Arial" w:cs="Arial" w:eastAsia="Arial" w:hAnsi="Arial"/>
          <w:sz w:val="20"/>
          <w:szCs w:val="20"/>
          <w:color w:val="auto"/>
        </w:rPr>
        <w:t>Notwithstanding anything to the contrary contained herein, an Unencumbered Portfolio Property shall not be deemed an Unencumbered Eligible Property if any Direct Owner or Indirect Owner thereof that is not a Guarantor is obligated in respect of any outstanding Indebtedness for borrowed money that constitutes Recourse Indebtedness.</w:t>
      </w:r>
    </w:p>
    <w:p>
      <w:pPr>
        <w:spacing w:after="0" w:line="164" w:lineRule="exact"/>
        <w:rPr>
          <w:sz w:val="20"/>
          <w:szCs w:val="20"/>
          <w:color w:val="auto"/>
        </w:rPr>
      </w:pPr>
    </w:p>
    <w:p>
      <w:pPr>
        <w:jc w:val="both"/>
        <w:ind w:firstLine="599"/>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Unencumbered Portfolio Property</w:t>
      </w:r>
      <w:r>
        <w:rPr>
          <w:rFonts w:ascii="Arial" w:cs="Arial" w:eastAsia="Arial" w:hAnsi="Arial"/>
          <w:sz w:val="18"/>
          <w:szCs w:val="18"/>
          <w:color w:val="auto"/>
        </w:rPr>
        <w:t xml:space="preserve">” means any real property (i) that is 100% directly owned by one or more Wholly Owned Subsidiaries of the Borrower that are Guarantors; (ii) that is 100% owned directly by a Controlled Joint Venture or (iii) in which one or more Wholly Owned Subsidiaries of the Borrower that are Guarantors or a Controlled Joint Venture, as applicable, holds a 100% ground leasehold interest under an Eligible Ground Lease;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case of clauses (i) and (iii) of this definition, if the Exemption Condition exists at any time with respect to a Wholly Owned Subsidiary of the Borrower that owns or ground leases all or any portion of such real property, the requirement that such Wholly Owned Subsidiary be a Guarantor shall not apply to such Wholly Owned Subsidiary.</w:t>
      </w:r>
    </w:p>
    <w:p>
      <w:pPr>
        <w:spacing w:after="0" w:line="144" w:lineRule="exact"/>
        <w:rPr>
          <w:sz w:val="20"/>
          <w:szCs w:val="20"/>
          <w:color w:val="auto"/>
        </w:rPr>
      </w:pPr>
    </w:p>
    <w:p>
      <w:pPr>
        <w:jc w:val="both"/>
        <w:ind w:firstLine="59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Unencumbered Property NOI</w:t>
      </w:r>
      <w:r>
        <w:rPr>
          <w:rFonts w:ascii="Arial" w:cs="Arial" w:eastAsia="Arial" w:hAnsi="Arial"/>
          <w:sz w:val="20"/>
          <w:szCs w:val="20"/>
          <w:color w:val="auto"/>
        </w:rPr>
        <w:t xml:space="preserve">” means, with respect to any Unencumbered Eligible Property for any fiscal quarter of the REIT, an amount equal to (a) the Portfolio Property Net Operating Income of such Unencumbered Eligible Property for such fiscal quarter,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(b) the Annual Capital Expenditure Adjustment with respect to such Unencumbered Eligible Property for such fiscal quarter; </w:t>
      </w:r>
      <w:r>
        <w:rPr>
          <w:rFonts w:ascii="Arial" w:cs="Arial" w:eastAsia="Arial" w:hAnsi="Arial"/>
          <w:sz w:val="20"/>
          <w:szCs w:val="20"/>
          <w:u w:val="single" w:color="auto"/>
          <w:color w:val="auto"/>
        </w:rPr>
        <w:t>provided</w:t>
      </w:r>
      <w:r>
        <w:rPr>
          <w:rFonts w:ascii="Arial" w:cs="Arial" w:eastAsia="Arial" w:hAnsi="Arial"/>
          <w:sz w:val="20"/>
          <w:szCs w:val="20"/>
          <w:color w:val="auto"/>
        </w:rPr>
        <w:t>, that if an Unencumbered Eligible Property is owned, or ground leased under an Eligible Ground Lease, by a Controlled Joint Venture, the Unencumbered Property NOI of such Unencumbered Eligible Property shall, for such period, be the Loan Party Pro Rata Share of such Unencumbered Property NOI.</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 the United States of America.</w:t>
      </w:r>
    </w:p>
    <w:p>
      <w:pPr>
        <w:spacing w:after="0" w:line="207"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Unrestricted Cash Amount</w:t>
      </w:r>
      <w:r>
        <w:rPr>
          <w:rFonts w:ascii="Arial" w:cs="Arial" w:eastAsia="Arial" w:hAnsi="Arial"/>
          <w:sz w:val="20"/>
          <w:szCs w:val="20"/>
          <w:color w:val="auto"/>
        </w:rPr>
        <w:t>” means, as of any date, an amount equal to the greater of (a) the excess of (i) the aggregate amount of cash and Cash Equivalents of the Consolidated Group on such date that are not subject to any pledge, Lien or control agreement (excluding statutory Liens in favor of any depositary bank where such cash is maintained), minus (ii) the sum of (x) $15,000,000, plus (y) amounts included in the foregoing clause (i) that are held in the name of, or in the possession or control of a Person (other than any possession or control by such Person arising solely from such Person acting in its capacity as a depository or financial intermediary for, or on behalf of, a member of the Consolidated Group) that is not the REIT, the Borrower or any their respective Subsidiaries as deposits or security for contractual obligations plus (z) the “Total Revolving Credit Outstandings” (or similar defined term) under the Revolving Credit Agreement on such date and (b) $0.</w:t>
      </w:r>
    </w:p>
    <w:p>
      <w:pPr>
        <w:spacing w:after="0" w:line="174" w:lineRule="exact"/>
        <w:rPr>
          <w:sz w:val="20"/>
          <w:szCs w:val="20"/>
          <w:color w:val="auto"/>
        </w:rPr>
      </w:pPr>
    </w:p>
    <w:p>
      <w:pPr>
        <w:jc w:val="both"/>
        <w:ind w:firstLine="599"/>
        <w:spacing w:after="0" w:line="3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Unsecured Indebtedness</w:t>
      </w:r>
      <w:r>
        <w:rPr>
          <w:rFonts w:ascii="Arial" w:cs="Arial" w:eastAsia="Arial" w:hAnsi="Arial"/>
          <w:sz w:val="17"/>
          <w:szCs w:val="17"/>
          <w:color w:val="auto"/>
        </w:rPr>
        <w:t xml:space="preserve">” means, with respect to any Person, all Indebtedness owed by such Person that is not Secured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any Indebtedness that is secured only by a pledge of Equity Interests shall be deemed to be Unsecured Indebtedness.</w:t>
      </w:r>
    </w:p>
    <w:p>
      <w:pPr>
        <w:spacing w:after="0" w:line="8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Unused Fee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2.09(a)</w:t>
      </w:r>
      <w:r>
        <w:rPr>
          <w:rFonts w:ascii="Arial" w:cs="Arial" w:eastAsia="Arial" w:hAnsi="Arial"/>
          <w:sz w:val="20"/>
          <w:szCs w:val="20"/>
          <w:color w:val="auto"/>
        </w:rPr>
        <w: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Bank</w:t>
      </w:r>
      <w:r>
        <w:rPr>
          <w:rFonts w:ascii="Arial" w:cs="Arial" w:eastAsia="Arial" w:hAnsi="Arial"/>
          <w:sz w:val="20"/>
          <w:szCs w:val="20"/>
          <w:color w:val="auto"/>
        </w:rPr>
        <w:t>” means U.S. Bank National Association.</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any Person that is a “United States Person” as defined in Section 7701(a)(30) of the Code.</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3.01(e)(ii)(B)(III)</w:t>
      </w:r>
      <w:r>
        <w:rPr>
          <w:rFonts w:ascii="Arial" w:cs="Arial" w:eastAsia="Arial" w:hAnsi="Arial"/>
          <w:sz w:val="20"/>
          <w:szCs w:val="20"/>
          <w:color w:val="auto"/>
        </w:rPr>
        <w:t>.</w:t>
      </w:r>
    </w:p>
    <w:p>
      <w:pPr>
        <w:spacing w:after="0" w:line="207"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Wholly Owned Subsidiary</w:t>
      </w:r>
      <w:r>
        <w:rPr>
          <w:rFonts w:ascii="Arial" w:cs="Arial" w:eastAsia="Arial" w:hAnsi="Arial"/>
          <w:sz w:val="20"/>
          <w:szCs w:val="20"/>
          <w:color w:val="auto"/>
        </w:rPr>
        <w:t>” shall mean, as to any Person, (a) any corporation 100% of whose Equity Interests (other than directors’ qualifying shares) is at the time owned by such Person and/or one or more Wholly Owned Subsidiaries of such Person and (b) any partnership, association, joint venture, limited liability</w:t>
      </w:r>
    </w:p>
    <w:p>
      <w:pPr>
        <w:spacing w:after="0" w:line="200" w:lineRule="exact"/>
        <w:rPr>
          <w:sz w:val="20"/>
          <w:szCs w:val="20"/>
          <w:color w:val="auto"/>
        </w:rPr>
      </w:pPr>
    </w:p>
    <w:p>
      <w:pPr>
        <w:spacing w:after="0" w:line="20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32</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37" w:name="page438"/>
    <w:bookmarkEnd w:id="437"/>
    <w:p>
      <w:pPr>
        <w:jc w:val="both"/>
        <w:spacing w:after="0" w:line="260" w:lineRule="auto"/>
        <w:rPr>
          <w:sz w:val="20"/>
          <w:szCs w:val="20"/>
          <w:color w:val="auto"/>
        </w:rPr>
      </w:pPr>
      <w:r>
        <w:rPr>
          <w:rFonts w:ascii="Arial" w:cs="Arial" w:eastAsia="Arial" w:hAnsi="Arial"/>
          <w:sz w:val="20"/>
          <w:szCs w:val="20"/>
          <w:color w:val="auto"/>
        </w:rPr>
        <w:t>company or other entity in which such Person and/or one or more Wholly Owned Subsidiaries of such Person have a 100% equity interest at such time. For purposes hereof, so long as the Borrower remains a Subsidiary of the REIT, the Borrower and its Wholly Owned Subsidiaries shall be deemed to be Wholly Owned Subsidiaries of the REIT.</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Agent</w:t>
      </w:r>
      <w:r>
        <w:rPr>
          <w:rFonts w:ascii="Arial" w:cs="Arial" w:eastAsia="Arial" w:hAnsi="Arial"/>
          <w:sz w:val="20"/>
          <w:szCs w:val="20"/>
          <w:color w:val="auto"/>
        </w:rPr>
        <w:t>” means any Loan Party and the Administrative Agent.</w:t>
      </w:r>
    </w:p>
    <w:p>
      <w:pPr>
        <w:spacing w:after="0" w:line="207"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64"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 xml:space="preserve">2.02. </w:t>
      </w:r>
      <w:r>
        <w:rPr>
          <w:rFonts w:ascii="Arial" w:cs="Arial" w:eastAsia="Arial" w:hAnsi="Arial"/>
          <w:sz w:val="20"/>
          <w:szCs w:val="20"/>
          <w:u w:val="single" w:color="auto"/>
          <w:color w:val="auto"/>
        </w:rPr>
        <w:t>Other Interpretive Provisions</w:t>
      </w:r>
      <w:r>
        <w:rPr>
          <w:rFonts w:ascii="Arial" w:cs="Arial" w:eastAsia="Arial" w:hAnsi="Arial"/>
          <w:sz w:val="20"/>
          <w:szCs w:val="20"/>
          <w:color w:val="auto"/>
        </w:rPr>
        <w:t>. With reference to this Agreement and each other Loan Document, unless otherwise specified herein or in such other Loan Document:</w:t>
      </w:r>
    </w:p>
    <w:p>
      <w:pPr>
        <w:spacing w:after="0" w:line="191" w:lineRule="exact"/>
        <w:rPr>
          <w:sz w:val="20"/>
          <w:szCs w:val="20"/>
          <w:color w:val="auto"/>
        </w:rPr>
      </w:pPr>
    </w:p>
    <w:p>
      <w:pPr>
        <w:ind w:right="20" w:firstLine="599"/>
        <w:spacing w:after="0" w:line="279" w:lineRule="auto"/>
        <w:tabs>
          <w:tab w:leader="none" w:pos="1421"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8"/>
          <w:szCs w:val="18"/>
          <w:u w:val="single" w:color="auto"/>
          <w:color w:val="auto"/>
        </w:rPr>
        <w:t>asset</w:t>
      </w:r>
      <w:r>
        <w:rPr>
          <w:rFonts w:ascii="Arial" w:cs="Arial" w:eastAsia="Arial" w:hAnsi="Arial"/>
          <w:sz w:val="18"/>
          <w:szCs w:val="18"/>
          <w:color w:val="auto"/>
        </w:rPr>
        <w:t>” and “</w:t>
      </w:r>
      <w:r>
        <w:rPr>
          <w:rFonts w:ascii="Arial" w:cs="Arial" w:eastAsia="Arial" w:hAnsi="Arial"/>
          <w:sz w:val="18"/>
          <w:szCs w:val="18"/>
          <w:u w:val="single" w:color="auto"/>
          <w:color w:val="auto"/>
        </w:rPr>
        <w:t>property</w:t>
      </w:r>
      <w:r>
        <w:rPr>
          <w:rFonts w:ascii="Arial" w:cs="Arial" w:eastAsia="Arial" w:hAnsi="Arial"/>
          <w:sz w:val="18"/>
          <w:szCs w:val="18"/>
          <w:color w:val="auto"/>
        </w:rPr>
        <w:t>” shall be construed to have the same meaning and effect and to refer to any and all tangible and intangible assets and properties, including cash, securities, accounts and contract rights.</w:t>
      </w:r>
    </w:p>
    <w:p>
      <w:pPr>
        <w:spacing w:after="0" w:line="187" w:lineRule="exact"/>
        <w:rPr>
          <w:rFonts w:ascii="Arial" w:cs="Arial" w:eastAsia="Arial" w:hAnsi="Arial"/>
          <w:sz w:val="18"/>
          <w:szCs w:val="18"/>
          <w:color w:val="auto"/>
        </w:rPr>
      </w:pPr>
    </w:p>
    <w:p>
      <w:pPr>
        <w:ind w:right="520" w:firstLine="599"/>
        <w:spacing w:after="0" w:line="299" w:lineRule="auto"/>
        <w:tabs>
          <w:tab w:leader="none" w:pos="1432" w:val="left"/>
        </w:tabs>
        <w:numPr>
          <w:ilvl w:val="0"/>
          <w:numId w:val="495"/>
        </w:numPr>
        <w:rPr>
          <w:rFonts w:ascii="Arial" w:cs="Arial" w:eastAsia="Arial" w:hAnsi="Arial"/>
          <w:sz w:val="19"/>
          <w:szCs w:val="19"/>
          <w:color w:val="auto"/>
        </w:rPr>
      </w:pPr>
      <w:r>
        <w:rPr>
          <w:rFonts w:ascii="Arial" w:cs="Arial" w:eastAsia="Arial" w:hAnsi="Arial"/>
          <w:sz w:val="19"/>
          <w:szCs w:val="19"/>
          <w:color w:val="auto"/>
        </w:rPr>
        <w:t>In the computation of periods of time from a specified date to a later specified date, the word “</w:t>
      </w:r>
      <w:r>
        <w:rPr>
          <w:rFonts w:ascii="Arial" w:cs="Arial" w:eastAsia="Arial" w:hAnsi="Arial"/>
          <w:sz w:val="19"/>
          <w:szCs w:val="19"/>
          <w:u w:val="single" w:color="auto"/>
          <w:color w:val="auto"/>
        </w:rPr>
        <w:t>from</w:t>
      </w:r>
      <w:r>
        <w:rPr>
          <w:rFonts w:ascii="Arial" w:cs="Arial" w:eastAsia="Arial" w:hAnsi="Arial"/>
          <w:sz w:val="19"/>
          <w:szCs w:val="19"/>
          <w:color w:val="auto"/>
        </w:rPr>
        <w:t>” means “</w:t>
      </w:r>
      <w:r>
        <w:rPr>
          <w:rFonts w:ascii="Arial" w:cs="Arial" w:eastAsia="Arial" w:hAnsi="Arial"/>
          <w:sz w:val="19"/>
          <w:szCs w:val="19"/>
          <w:u w:val="single" w:color="auto"/>
          <w:color w:val="auto"/>
        </w:rPr>
        <w:t>from 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including</w:t>
      </w:r>
      <w:r>
        <w:rPr>
          <w:rFonts w:ascii="Arial" w:cs="Arial" w:eastAsia="Arial" w:hAnsi="Arial"/>
          <w:sz w:val="19"/>
          <w:szCs w:val="19"/>
          <w:color w:val="auto"/>
        </w:rPr>
        <w:t>;” the words “</w:t>
      </w:r>
      <w:r>
        <w:rPr>
          <w:rFonts w:ascii="Arial" w:cs="Arial" w:eastAsia="Arial" w:hAnsi="Arial"/>
          <w:sz w:val="19"/>
          <w:szCs w:val="19"/>
          <w:u w:val="single" w:color="auto"/>
          <w:color w:val="auto"/>
        </w:rPr>
        <w:t>to</w:t>
      </w:r>
      <w:r>
        <w:rPr>
          <w:rFonts w:ascii="Arial" w:cs="Arial" w:eastAsia="Arial" w:hAnsi="Arial"/>
          <w:sz w:val="19"/>
          <w:szCs w:val="19"/>
          <w:color w:val="auto"/>
        </w:rPr>
        <w:t>” and “</w:t>
      </w:r>
      <w:r>
        <w:rPr>
          <w:rFonts w:ascii="Arial" w:cs="Arial" w:eastAsia="Arial" w:hAnsi="Arial"/>
          <w:sz w:val="19"/>
          <w:szCs w:val="19"/>
          <w:u w:val="single" w:color="auto"/>
          <w:color w:val="auto"/>
        </w:rPr>
        <w:t>until</w:t>
      </w:r>
      <w:r>
        <w:rPr>
          <w:rFonts w:ascii="Arial" w:cs="Arial" w:eastAsia="Arial" w:hAnsi="Arial"/>
          <w:sz w:val="19"/>
          <w:szCs w:val="19"/>
          <w:color w:val="auto"/>
        </w:rPr>
        <w:t>” each mean “</w:t>
      </w:r>
      <w:r>
        <w:rPr>
          <w:rFonts w:ascii="Arial" w:cs="Arial" w:eastAsia="Arial" w:hAnsi="Arial"/>
          <w:sz w:val="19"/>
          <w:szCs w:val="19"/>
          <w:u w:val="single" w:color="auto"/>
          <w:color w:val="auto"/>
        </w:rPr>
        <w:t>to but excluding</w:t>
      </w:r>
      <w:r>
        <w:rPr>
          <w:rFonts w:ascii="Arial" w:cs="Arial" w:eastAsia="Arial" w:hAnsi="Arial"/>
          <w:sz w:val="19"/>
          <w:szCs w:val="19"/>
          <w:color w:val="auto"/>
        </w:rPr>
        <w:t>;” and the word “</w:t>
      </w:r>
      <w:r>
        <w:rPr>
          <w:rFonts w:ascii="Arial" w:cs="Arial" w:eastAsia="Arial" w:hAnsi="Arial"/>
          <w:sz w:val="19"/>
          <w:szCs w:val="19"/>
          <w:u w:val="single" w:color="auto"/>
          <w:color w:val="auto"/>
        </w:rPr>
        <w:t>through</w:t>
      </w:r>
      <w:r>
        <w:rPr>
          <w:rFonts w:ascii="Arial" w:cs="Arial" w:eastAsia="Arial" w:hAnsi="Arial"/>
          <w:sz w:val="19"/>
          <w:szCs w:val="19"/>
          <w:color w:val="auto"/>
        </w:rPr>
        <w:t>” means “</w:t>
      </w:r>
      <w:r>
        <w:rPr>
          <w:rFonts w:ascii="Arial" w:cs="Arial" w:eastAsia="Arial" w:hAnsi="Arial"/>
          <w:sz w:val="19"/>
          <w:szCs w:val="19"/>
          <w:u w:val="single" w:color="auto"/>
          <w:color w:val="auto"/>
        </w:rPr>
        <w:t>to and including</w:t>
      </w:r>
      <w:r>
        <w:rPr>
          <w:rFonts w:ascii="Arial" w:cs="Arial" w:eastAsia="Arial" w:hAnsi="Arial"/>
          <w:sz w:val="19"/>
          <w:szCs w:val="19"/>
          <w:color w:val="auto"/>
        </w:rPr>
        <w:t>.”</w:t>
      </w:r>
    </w:p>
    <w:p>
      <w:pPr>
        <w:spacing w:after="0" w:line="167" w:lineRule="exact"/>
        <w:rPr>
          <w:rFonts w:ascii="Arial" w:cs="Arial" w:eastAsia="Arial" w:hAnsi="Arial"/>
          <w:sz w:val="19"/>
          <w:szCs w:val="19"/>
          <w:color w:val="auto"/>
        </w:rPr>
      </w:pPr>
    </w:p>
    <w:p>
      <w:pPr>
        <w:ind w:right="20" w:firstLine="599"/>
        <w:spacing w:after="0" w:line="272" w:lineRule="auto"/>
        <w:tabs>
          <w:tab w:leader="none" w:pos="1421" w:val="left"/>
        </w:tabs>
        <w:numPr>
          <w:ilvl w:val="0"/>
          <w:numId w:val="495"/>
        </w:numPr>
        <w:rPr>
          <w:rFonts w:ascii="Arial" w:cs="Arial" w:eastAsia="Arial" w:hAnsi="Arial"/>
          <w:sz w:val="20"/>
          <w:szCs w:val="20"/>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191"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18"/>
          <w:szCs w:val="18"/>
          <w:u w:val="single" w:color="auto"/>
          <w:color w:val="auto"/>
        </w:rPr>
        <w:t>Accounting Terms</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56" w:lineRule="auto"/>
        <w:tabs>
          <w:tab w:leader="none" w:pos="1421" w:val="left"/>
        </w:tabs>
        <w:numPr>
          <w:ilvl w:val="0"/>
          <w:numId w:val="496"/>
        </w:numPr>
        <w:rPr>
          <w:rFonts w:ascii="Arial" w:cs="Arial" w:eastAsia="Arial" w:hAnsi="Arial"/>
          <w:sz w:val="20"/>
          <w:szCs w:val="20"/>
          <w:color w:val="auto"/>
        </w:rPr>
      </w:pPr>
      <w:r>
        <w:rPr>
          <w:rFonts w:ascii="Arial" w:cs="Arial" w:eastAsia="Arial" w:hAnsi="Arial"/>
          <w:sz w:val="20"/>
          <w:szCs w:val="20"/>
          <w:u w:val="single" w:color="auto"/>
          <w:color w:val="auto"/>
        </w:rPr>
        <w:t>Generally</w:t>
      </w:r>
      <w:r>
        <w:rPr>
          <w:rFonts w:ascii="Arial" w:cs="Arial" w:eastAsia="Arial" w:hAnsi="Arial"/>
          <w:sz w:val="20"/>
          <w:szCs w:val="20"/>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w:t>
      </w:r>
    </w:p>
    <w:p>
      <w:pPr>
        <w:spacing w:after="0" w:line="20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33</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38" w:name="page439"/>
    <w:bookmarkEnd w:id="438"/>
    <w:p>
      <w:pPr>
        <w:jc w:val="both"/>
        <w:spacing w:after="0" w:line="256" w:lineRule="auto"/>
        <w:rPr>
          <w:sz w:val="20"/>
          <w:szCs w:val="20"/>
          <w:color w:val="auto"/>
        </w:rPr>
      </w:pPr>
      <w:r>
        <w:rPr>
          <w:rFonts w:ascii="Arial" w:cs="Arial" w:eastAsia="Arial" w:hAnsi="Arial"/>
          <w:sz w:val="20"/>
          <w:szCs w:val="20"/>
          <w:color w:val="auto"/>
        </w:rPr>
        <w:t xml:space="preserve">the Audited Financial Statements, </w:t>
      </w:r>
      <w:r>
        <w:rPr>
          <w:rFonts w:ascii="Arial" w:cs="Arial" w:eastAsia="Arial" w:hAnsi="Arial"/>
          <w:sz w:val="20"/>
          <w:szCs w:val="20"/>
          <w:u w:val="single" w:color="auto"/>
          <w:color w:val="auto"/>
        </w:rPr>
        <w:t>except</w:t>
      </w:r>
      <w:r>
        <w:rPr>
          <w:rFonts w:ascii="Arial" w:cs="Arial" w:eastAsia="Arial" w:hAnsi="Arial"/>
          <w:sz w:val="20"/>
          <w:szCs w:val="20"/>
          <w:color w:val="auto"/>
        </w:rPr>
        <w:t xml:space="preserve"> as otherwise specifically prescribed herein. Notwithstanding the foregoing, for purposes of determining compliance with any covenant (including the computation of any financial covenant) contained herein, Indebtedness owed by the Consolidated Group shall be deemed to be carried at 100% of the outstanding principal amount thereof, and the effects of FASB ASC 825 and FASB ASC 470-20 on financial liabilities shall be disregarded.</w:t>
      </w:r>
    </w:p>
    <w:p>
      <w:pPr>
        <w:spacing w:after="0" w:line="205" w:lineRule="exact"/>
        <w:rPr>
          <w:sz w:val="20"/>
          <w:szCs w:val="20"/>
          <w:color w:val="auto"/>
        </w:rPr>
      </w:pPr>
    </w:p>
    <w:p>
      <w:pPr>
        <w:jc w:val="both"/>
        <w:ind w:firstLine="599"/>
        <w:spacing w:after="0" w:line="265" w:lineRule="auto"/>
        <w:tabs>
          <w:tab w:leader="none" w:pos="1432" w:val="left"/>
        </w:tabs>
        <w:numPr>
          <w:ilvl w:val="0"/>
          <w:numId w:val="497"/>
        </w:numPr>
        <w:rPr>
          <w:rFonts w:ascii="Arial" w:cs="Arial" w:eastAsia="Arial" w:hAnsi="Arial"/>
          <w:sz w:val="19"/>
          <w:szCs w:val="19"/>
          <w:color w:val="auto"/>
        </w:rPr>
      </w:pPr>
      <w:r>
        <w:rPr>
          <w:rFonts w:ascii="Arial" w:cs="Arial" w:eastAsia="Arial" w:hAnsi="Arial"/>
          <w:sz w:val="19"/>
          <w:szCs w:val="19"/>
          <w:u w:val="single" w:color="auto"/>
          <w:color w:val="auto"/>
        </w:rPr>
        <w:t>Changes in GAAP</w:t>
      </w:r>
      <w:r>
        <w:rPr>
          <w:rFonts w:ascii="Arial" w:cs="Arial" w:eastAsia="Arial" w:hAnsi="Arial"/>
          <w:sz w:val="19"/>
          <w:szCs w:val="19"/>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197" w:lineRule="exact"/>
        <w:rPr>
          <w:rFonts w:ascii="Arial" w:cs="Arial" w:eastAsia="Arial" w:hAnsi="Arial"/>
          <w:sz w:val="19"/>
          <w:szCs w:val="19"/>
          <w:color w:val="auto"/>
        </w:rPr>
      </w:pPr>
    </w:p>
    <w:p>
      <w:pPr>
        <w:jc w:val="both"/>
        <w:ind w:firstLine="599"/>
        <w:spacing w:after="0" w:line="253" w:lineRule="auto"/>
        <w:tabs>
          <w:tab w:leader="none" w:pos="1421" w:val="left"/>
        </w:tabs>
        <w:numPr>
          <w:ilvl w:val="0"/>
          <w:numId w:val="497"/>
        </w:numPr>
        <w:rPr>
          <w:rFonts w:ascii="Arial" w:cs="Arial" w:eastAsia="Arial" w:hAnsi="Arial"/>
          <w:sz w:val="20"/>
          <w:szCs w:val="20"/>
          <w:color w:val="auto"/>
        </w:rPr>
      </w:pPr>
      <w:r>
        <w:rPr>
          <w:rFonts w:ascii="Arial" w:cs="Arial" w:eastAsia="Arial" w:hAnsi="Arial"/>
          <w:sz w:val="20"/>
          <w:szCs w:val="20"/>
          <w:u w:val="single" w:color="auto"/>
          <w:color w:val="auto"/>
        </w:rPr>
        <w:t>Consolidation of Variable Interest Entities</w:t>
      </w:r>
      <w:r>
        <w:rPr>
          <w:rFonts w:ascii="Arial" w:cs="Arial" w:eastAsia="Arial" w:hAnsi="Arial"/>
          <w:sz w:val="20"/>
          <w:szCs w:val="20"/>
          <w:color w:val="auto"/>
        </w:rPr>
        <w:t>. All references herein to consolidated financial statements of the REIT and its Subsidiaries or the Consolidated Group or to the determination of any amount for the REIT and its Subsidiaries or the Consolidated Group on a consolidated basis or any similar reference shall, in each case, be deemed to include each variable interest entity that the REIT or the Consolidated Group, as applicable, is required to consolidate pursuant to FASB ASC 810 as if such variable interest entity were a Subsidiary as defined herein.</w:t>
      </w:r>
    </w:p>
    <w:p>
      <w:pPr>
        <w:spacing w:after="0" w:line="212" w:lineRule="exact"/>
        <w:rPr>
          <w:sz w:val="20"/>
          <w:szCs w:val="20"/>
          <w:color w:val="auto"/>
        </w:rPr>
      </w:pPr>
    </w:p>
    <w:p>
      <w:pPr>
        <w:jc w:val="both"/>
        <w:ind w:firstLine="599"/>
        <w:spacing w:after="0" w:line="302" w:lineRule="auto"/>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68"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 xml:space="preserve">2.05. </w:t>
      </w:r>
      <w:r>
        <w:rPr>
          <w:rFonts w:ascii="Arial" w:cs="Arial" w:eastAsia="Arial" w:hAnsi="Arial"/>
          <w:sz w:val="20"/>
          <w:szCs w:val="20"/>
          <w:u w:val="single" w:color="auto"/>
          <w:color w:val="auto"/>
        </w:rPr>
        <w:t>Times of Day; Rates</w:t>
      </w:r>
      <w:r>
        <w:rPr>
          <w:rFonts w:ascii="Arial" w:cs="Arial" w:eastAsia="Arial" w:hAnsi="Arial"/>
          <w:sz w:val="20"/>
          <w:szCs w:val="20"/>
          <w:color w:val="auto"/>
        </w:rPr>
        <w:t>. Unless otherwise specified, all references herein to times of day shall be references to Eastern time (daylight or standard, as applicable). The Administrative Agent does not warrant, nor accept responsibility, nor shall the Administrative Agent have any liability with respect to the administration, submission or any other matter related to the rates in the definition of “Eurodollar Rate” or with respect to any comparable or successor rate thereto or to LIBOR.</w:t>
      </w:r>
    </w:p>
    <w:p>
      <w:pPr>
        <w:spacing w:after="0" w:line="205"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2.06.</w:t>
      </w:r>
      <w:r>
        <w:rPr>
          <w:sz w:val="20"/>
          <w:szCs w:val="20"/>
          <w:color w:val="auto"/>
        </w:rPr>
        <w:tab/>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45"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 xml:space="preserve">2.07. </w:t>
      </w:r>
      <w:r>
        <w:rPr>
          <w:rFonts w:ascii="Arial" w:cs="Arial" w:eastAsia="Arial" w:hAnsi="Arial"/>
          <w:sz w:val="20"/>
          <w:szCs w:val="20"/>
          <w:u w:val="single" w:color="auto"/>
          <w:color w:val="auto"/>
        </w:rPr>
        <w:t>GNMA Securities</w:t>
      </w:r>
      <w:r>
        <w:rPr>
          <w:rFonts w:ascii="Arial" w:cs="Arial" w:eastAsia="Arial" w:hAnsi="Arial"/>
          <w:sz w:val="20"/>
          <w:szCs w:val="20"/>
          <w:color w:val="auto"/>
        </w:rPr>
        <w:t>. For purposes of determining the value of Cash Equivalents as of any date, the value of GNMA Securities that are included as Cash Equivalents on such date shall be 95% of the marked-to-market value of such GNMA Securities determined in accordance with GAAP as of the last day of the then most recently ended fiscal quarter of the REIT.</w:t>
      </w:r>
    </w:p>
    <w:p>
      <w:pPr>
        <w:spacing w:after="0" w:line="200" w:lineRule="exact"/>
        <w:rPr>
          <w:sz w:val="20"/>
          <w:szCs w:val="20"/>
          <w:color w:val="auto"/>
        </w:rPr>
      </w:pPr>
    </w:p>
    <w:p>
      <w:pPr>
        <w:spacing w:after="0" w:line="239"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34</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39" w:name="page440"/>
    <w:bookmarkEnd w:id="439"/>
    <w:p>
      <w:pPr>
        <w:ind w:left="5500"/>
        <w:spacing w:after="0"/>
        <w:rPr>
          <w:sz w:val="20"/>
          <w:szCs w:val="20"/>
          <w:color w:val="auto"/>
        </w:rPr>
      </w:pPr>
      <w:r>
        <w:rPr>
          <w:rFonts w:ascii="Arial" w:cs="Arial" w:eastAsia="Arial" w:hAnsi="Arial"/>
          <w:sz w:val="20"/>
          <w:szCs w:val="20"/>
          <w:color w:val="auto"/>
        </w:rPr>
        <w:t>ARTICLE II</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THE COMMITMENTS AND CREDIT EXTENSIONS</w:t>
      </w:r>
    </w:p>
    <w:p>
      <w:pPr>
        <w:spacing w:after="0" w:line="229" w:lineRule="exact"/>
        <w:rPr>
          <w:sz w:val="20"/>
          <w:szCs w:val="20"/>
          <w:color w:val="auto"/>
        </w:rPr>
      </w:pPr>
    </w:p>
    <w:p>
      <w:pPr>
        <w:jc w:val="both"/>
        <w:ind w:firstLine="599"/>
        <w:spacing w:after="0" w:line="282"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The Term Loans</w:t>
      </w:r>
      <w:r>
        <w:rPr>
          <w:rFonts w:ascii="Arial" w:cs="Arial" w:eastAsia="Arial" w:hAnsi="Arial"/>
          <w:sz w:val="18"/>
          <w:szCs w:val="18"/>
          <w:color w:val="auto"/>
        </w:rPr>
        <w:t>. Subject to the terms and conditions set forth herein, each Lender severally agrees to make term loans to the Borrower from time to time in Dollars (each such advance a “</w:t>
      </w:r>
      <w:r>
        <w:rPr>
          <w:rFonts w:ascii="Arial" w:cs="Arial" w:eastAsia="Arial" w:hAnsi="Arial"/>
          <w:sz w:val="18"/>
          <w:szCs w:val="18"/>
          <w:u w:val="single" w:color="auto"/>
          <w:color w:val="auto"/>
        </w:rPr>
        <w:t>Term Loan</w:t>
      </w:r>
      <w:r>
        <w:rPr>
          <w:rFonts w:ascii="Arial" w:cs="Arial" w:eastAsia="Arial" w:hAnsi="Arial"/>
          <w:sz w:val="18"/>
          <w:szCs w:val="18"/>
          <w:color w:val="auto"/>
        </w:rPr>
        <w:t>”) on any Business Day during the period commencing on the Closing Date and ending on the date that is six months after the Closing Date (such period, the “</w:t>
      </w:r>
      <w:r>
        <w:rPr>
          <w:rFonts w:ascii="Arial" w:cs="Arial" w:eastAsia="Arial" w:hAnsi="Arial"/>
          <w:sz w:val="18"/>
          <w:szCs w:val="18"/>
          <w:u w:val="single" w:color="auto"/>
          <w:color w:val="auto"/>
        </w:rPr>
        <w:t>Availability Period</w:t>
      </w:r>
      <w:r>
        <w:rPr>
          <w:rFonts w:ascii="Arial" w:cs="Arial" w:eastAsia="Arial" w:hAnsi="Arial"/>
          <w:sz w:val="18"/>
          <w:szCs w:val="18"/>
          <w:color w:val="auto"/>
        </w:rPr>
        <w:t xml:space="preserve">”) in an aggregate principal amount not to exceed the Commitments for all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Lender shall be required to make any Term Loan in excess of its Commitment, (ii) the Borrower may not request more than four (4) advances and (iii) each advance must be in an integral multiple $25,000,000. Once advanced, each Term Loan shall be aggregated with all prior Term Loans. Each such Borrowing shall consist of Term Loans made simultaneously by the Lenders in accordance with their respective Commitments. Amounts borrowed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repaid or prepaid may not reborrowed. Term Loans may be Base Rate Loans or Eurodollar Rate Loans, as further provided herein.</w:t>
      </w:r>
    </w:p>
    <w:p>
      <w:pPr>
        <w:spacing w:after="0" w:line="190"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8"/>
          <w:szCs w:val="18"/>
          <w:u w:val="single" w:color="auto"/>
          <w:color w:val="auto"/>
        </w:rPr>
        <w:t>Borrowings, Conversions and Continuations of Loans</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62" w:lineRule="auto"/>
        <w:tabs>
          <w:tab w:leader="none" w:pos="1421" w:val="left"/>
        </w:tabs>
        <w:numPr>
          <w:ilvl w:val="0"/>
          <w:numId w:val="498"/>
        </w:numPr>
        <w:rPr>
          <w:rFonts w:ascii="Arial" w:cs="Arial" w:eastAsia="Arial" w:hAnsi="Arial"/>
          <w:sz w:val="19"/>
          <w:szCs w:val="19"/>
          <w:color w:val="auto"/>
        </w:rPr>
      </w:pPr>
      <w:r>
        <w:rPr>
          <w:rFonts w:ascii="Arial" w:cs="Arial" w:eastAsia="Arial" w:hAnsi="Arial"/>
          <w:sz w:val="19"/>
          <w:szCs w:val="19"/>
          <w:color w:val="auto"/>
        </w:rPr>
        <w:t xml:space="preserve">Each Borrowing, each conversion of Term Loans from one Type to the other, and each continuation of Eurodollar Rate Loans shall be made upon the Borrower’s irrevocable notice to the Administrative Agent, which may be given by telephone. Each such notice must be received by the Administrative Agent not later than 11:00 a.m. (i) three Business Days prior to the requested date of any Borrowing of, conversion to or continuation of Eurodollar Rate Loans or of any conversion of Eurodollar Rate Loans to Base Rate Loans, and (ii) on the requested date of any Borrowing of Base Rate Loans. Each telephonic notice by the Borrower pursuant to this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must be confirmed promptly by delivery to the Administrative Agent of a written Loan Notice, appropriately completed and signed by a Responsible Officer of the Borrower. Each Borrowing of, conversion to or continuation of Eurodollar Rate Loans shall be in a principal amount of $3,000,000 or a whole multiple of $1,000,000 in excess thereof. Each Borrowing of or conversion to Base Rate Loans shall be in a principal amount of $300,000 or a whole multiple of $100,000 in excess thereof. Each Loan Notice (whether telephonic or written) shall specify (i) whether the Borrower is requesting a Borrowing, a conversion of Term Loans from one Type to the other, or a continuation of Eurodollar Rate Loans, (ii) the requested date of the Borrowing, conversion or continuation, as the case may be (which shall be a Business Day), (iii) the principal amount of Loans to be borrowed, converted or continued, (iv) the Type of Loans to be borrowed or to which existing Term Loans are to be converted, and (v) if applicable, the duration of the Interest Period with respect thereto. If the Borrower fails to specify a Type of Loan in a Loan Notice or if the Borrower fails to give a timely notice requesting a conversion or continuation, then the applicable Term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such Loan Notice, but fails to specify an Interest Period, it will be deemed to have specified an Interest Period of one month.</w:t>
      </w:r>
    </w:p>
    <w:p>
      <w:pPr>
        <w:spacing w:after="0" w:line="215" w:lineRule="exact"/>
        <w:rPr>
          <w:rFonts w:ascii="Arial" w:cs="Arial" w:eastAsia="Arial" w:hAnsi="Arial"/>
          <w:sz w:val="19"/>
          <w:szCs w:val="19"/>
          <w:color w:val="auto"/>
        </w:rPr>
      </w:pPr>
    </w:p>
    <w:p>
      <w:pPr>
        <w:jc w:val="both"/>
        <w:ind w:firstLine="599"/>
        <w:spacing w:after="0" w:line="251" w:lineRule="auto"/>
        <w:tabs>
          <w:tab w:leader="none" w:pos="1432" w:val="left"/>
        </w:tabs>
        <w:numPr>
          <w:ilvl w:val="0"/>
          <w:numId w:val="498"/>
        </w:numPr>
        <w:rPr>
          <w:rFonts w:ascii="Arial" w:cs="Arial" w:eastAsia="Arial" w:hAnsi="Arial"/>
          <w:sz w:val="20"/>
          <w:szCs w:val="20"/>
          <w:color w:val="auto"/>
        </w:rPr>
      </w:pPr>
      <w:r>
        <w:rPr>
          <w:rFonts w:ascii="Arial" w:cs="Arial" w:eastAsia="Arial" w:hAnsi="Arial"/>
          <w:sz w:val="20"/>
          <w:szCs w:val="20"/>
          <w:color w:val="auto"/>
        </w:rPr>
        <w:t xml:space="preserve">Following receipt of a Loan Notice, the Administrative Agent shall promptly notify each Lender of the amount of its Applicable Percentage of the applicable Term Loans, and if no timely notice of a conversion or continuation is provided by the Borrower, the Administrative Agent shall notify each Lender of the details of any automatic conversion to Base Rate Loans described in </w:t>
      </w:r>
      <w:r>
        <w:rPr>
          <w:rFonts w:ascii="Arial" w:cs="Arial" w:eastAsia="Arial" w:hAnsi="Arial"/>
          <w:sz w:val="20"/>
          <w:szCs w:val="20"/>
          <w:u w:val="single" w:color="auto"/>
          <w:color w:val="auto"/>
        </w:rPr>
        <w:t>Section 2.02(a)</w:t>
      </w:r>
      <w:r>
        <w:rPr>
          <w:rFonts w:ascii="Arial" w:cs="Arial" w:eastAsia="Arial" w:hAnsi="Arial"/>
          <w:sz w:val="20"/>
          <w:szCs w:val="20"/>
          <w:color w:val="auto"/>
        </w:rPr>
        <w:t xml:space="preserve">. In the case of a Borrowing, each Appropriate Lender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the Administrative Agent shall make all funds so received available to the Borrower</w:t>
      </w:r>
    </w:p>
    <w:p>
      <w:pPr>
        <w:spacing w:after="0" w:line="21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35</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40" w:name="page441"/>
    <w:bookmarkEnd w:id="440"/>
    <w:p>
      <w:pPr>
        <w:jc w:val="both"/>
        <w:spacing w:after="0" w:line="260" w:lineRule="auto"/>
        <w:rPr>
          <w:sz w:val="20"/>
          <w:szCs w:val="20"/>
          <w:color w:val="auto"/>
        </w:rPr>
      </w:pPr>
      <w:r>
        <w:rPr>
          <w:rFonts w:ascii="Arial" w:cs="Arial" w:eastAsia="Arial" w:hAnsi="Arial"/>
          <w:sz w:val="20"/>
          <w:szCs w:val="20"/>
          <w:color w:val="auto"/>
        </w:rPr>
        <w:t>in like funds as received by the Administrative Agent either by (i) crediting the account of the Borrower on the books of U.S. Bank with the amount of such funds or (ii) wire transfer of such funds, in each case in accordance with instructions provided to (and reasonably acceptable to) the Administrative Agent by the Borrower.</w:t>
      </w:r>
    </w:p>
    <w:p>
      <w:pPr>
        <w:spacing w:after="0" w:line="202" w:lineRule="exact"/>
        <w:rPr>
          <w:sz w:val="20"/>
          <w:szCs w:val="20"/>
          <w:color w:val="auto"/>
        </w:rPr>
      </w:pPr>
    </w:p>
    <w:p>
      <w:pPr>
        <w:jc w:val="both"/>
        <w:ind w:firstLine="599"/>
        <w:spacing w:after="0" w:line="260" w:lineRule="auto"/>
        <w:tabs>
          <w:tab w:leader="none" w:pos="1421" w:val="left"/>
        </w:tabs>
        <w:numPr>
          <w:ilvl w:val="0"/>
          <w:numId w:val="499"/>
        </w:numPr>
        <w:rPr>
          <w:rFonts w:ascii="Arial" w:cs="Arial" w:eastAsia="Arial" w:hAnsi="Arial"/>
          <w:sz w:val="20"/>
          <w:szCs w:val="20"/>
          <w:color w:val="auto"/>
        </w:rPr>
      </w:pPr>
      <w:r>
        <w:rPr>
          <w:rFonts w:ascii="Arial" w:cs="Arial" w:eastAsia="Arial" w:hAnsi="Arial"/>
          <w:sz w:val="20"/>
          <w:szCs w:val="20"/>
          <w:color w:val="auto"/>
        </w:rPr>
        <w:t>Except as otherwise provided herein, a Eurodollar Rate Loan may be continued or converted only on the last day of an Interest Period for such Eurodollar Rate Loan. During the existence of a Default, no Loans may be requested as, converted to or continued as Eurodollar Rate Loans without the consent of the Required Lenders.</w:t>
      </w:r>
    </w:p>
    <w:p>
      <w:pPr>
        <w:spacing w:after="0" w:line="201" w:lineRule="exact"/>
        <w:rPr>
          <w:rFonts w:ascii="Arial" w:cs="Arial" w:eastAsia="Arial" w:hAnsi="Arial"/>
          <w:sz w:val="20"/>
          <w:szCs w:val="20"/>
          <w:color w:val="auto"/>
        </w:rPr>
      </w:pPr>
    </w:p>
    <w:p>
      <w:pPr>
        <w:jc w:val="both"/>
        <w:ind w:firstLine="599"/>
        <w:spacing w:after="0" w:line="256" w:lineRule="auto"/>
        <w:tabs>
          <w:tab w:leader="none" w:pos="1432" w:val="left"/>
        </w:tabs>
        <w:numPr>
          <w:ilvl w:val="0"/>
          <w:numId w:val="499"/>
        </w:numPr>
        <w:rPr>
          <w:rFonts w:ascii="Arial" w:cs="Arial" w:eastAsia="Arial" w:hAnsi="Arial"/>
          <w:sz w:val="20"/>
          <w:szCs w:val="20"/>
          <w:color w:val="auto"/>
        </w:rPr>
      </w:pPr>
      <w:r>
        <w:rPr>
          <w:rFonts w:ascii="Arial" w:cs="Arial" w:eastAsia="Arial" w:hAnsi="Arial"/>
          <w:sz w:val="20"/>
          <w:szCs w:val="20"/>
          <w:color w:val="auto"/>
        </w:rPr>
        <w:t>The Administrative Agent shall promptly notify the Borrower and the Lenders of the interest rate applicable to any Interest Period for Eurodollar Rate Loans upon determination of such interest rate. At any time that Base Rate Loans are outstanding, the Administrative Agent shall notify the Borrower and the Lenders of any change in U.S. Bank’s prime rate used in determining the Base Rate promptly following the public announcement of such change.</w:t>
      </w:r>
    </w:p>
    <w:p>
      <w:pPr>
        <w:spacing w:after="0" w:line="205" w:lineRule="exact"/>
        <w:rPr>
          <w:rFonts w:ascii="Arial" w:cs="Arial" w:eastAsia="Arial" w:hAnsi="Arial"/>
          <w:sz w:val="20"/>
          <w:szCs w:val="20"/>
          <w:color w:val="auto"/>
        </w:rPr>
      </w:pPr>
    </w:p>
    <w:p>
      <w:pPr>
        <w:ind w:firstLine="599"/>
        <w:spacing w:after="0" w:line="272" w:lineRule="auto"/>
        <w:tabs>
          <w:tab w:leader="none" w:pos="1421" w:val="left"/>
        </w:tabs>
        <w:numPr>
          <w:ilvl w:val="0"/>
          <w:numId w:val="499"/>
        </w:numPr>
        <w:rPr>
          <w:rFonts w:ascii="Arial" w:cs="Arial" w:eastAsia="Arial" w:hAnsi="Arial"/>
          <w:sz w:val="20"/>
          <w:szCs w:val="20"/>
          <w:color w:val="auto"/>
        </w:rPr>
      </w:pPr>
      <w:r>
        <w:rPr>
          <w:rFonts w:ascii="Arial" w:cs="Arial" w:eastAsia="Arial" w:hAnsi="Arial"/>
          <w:sz w:val="20"/>
          <w:szCs w:val="20"/>
          <w:color w:val="auto"/>
        </w:rPr>
        <w:t>After giving effect to a Borrowing, all conversions of Term Loans from one Type to the other, and all continuations of Term Loans as the same Type, there shall not be more than five (5) Interest Periods in effect.</w:t>
      </w:r>
    </w:p>
    <w:p>
      <w:pPr>
        <w:spacing w:after="0" w:line="191"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45"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2.04.</w:t>
      </w:r>
      <w:r>
        <w:rPr>
          <w:sz w:val="20"/>
          <w:szCs w:val="20"/>
          <w:color w:val="auto"/>
        </w:rPr>
        <w:tab/>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45"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2.05.</w:t>
      </w:r>
      <w:r>
        <w:rPr>
          <w:sz w:val="20"/>
          <w:szCs w:val="20"/>
          <w:color w:val="auto"/>
        </w:rPr>
        <w:tab/>
      </w:r>
      <w:r>
        <w:rPr>
          <w:rFonts w:ascii="Arial" w:cs="Arial" w:eastAsia="Arial" w:hAnsi="Arial"/>
          <w:sz w:val="17"/>
          <w:szCs w:val="17"/>
          <w:u w:val="single" w:color="auto"/>
          <w:color w:val="auto"/>
        </w:rPr>
        <w:t>Prepayments; Prepayment Premium</w:t>
      </w:r>
      <w:r>
        <w:rPr>
          <w:rFonts w:ascii="Arial" w:cs="Arial" w:eastAsia="Arial" w:hAnsi="Arial"/>
          <w:sz w:val="17"/>
          <w:szCs w:val="17"/>
          <w:color w:val="auto"/>
        </w:rPr>
        <w:t>.</w:t>
      </w:r>
    </w:p>
    <w:p>
      <w:pPr>
        <w:spacing w:after="0" w:line="245" w:lineRule="exact"/>
        <w:rPr>
          <w:sz w:val="20"/>
          <w:szCs w:val="20"/>
          <w:color w:val="auto"/>
        </w:rPr>
      </w:pPr>
    </w:p>
    <w:p>
      <w:pPr>
        <w:jc w:val="both"/>
        <w:ind w:firstLine="599"/>
        <w:spacing w:after="0" w:line="277" w:lineRule="auto"/>
        <w:tabs>
          <w:tab w:leader="none" w:pos="1421" w:val="left"/>
        </w:tabs>
        <w:numPr>
          <w:ilvl w:val="1"/>
          <w:numId w:val="500"/>
        </w:numPr>
        <w:rPr>
          <w:rFonts w:ascii="Arial" w:cs="Arial" w:eastAsia="Arial" w:hAnsi="Arial"/>
          <w:sz w:val="18"/>
          <w:szCs w:val="18"/>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Section 2.05(b)</w:t>
      </w:r>
      <w:r>
        <w:rPr>
          <w:rFonts w:ascii="Arial" w:cs="Arial" w:eastAsia="Arial" w:hAnsi="Arial"/>
          <w:sz w:val="18"/>
          <w:szCs w:val="18"/>
          <w:color w:val="auto"/>
        </w:rPr>
        <w:t>, the Borrower may, upon notice to the Administrative Agent (which notice, in the case of a termination of the full amount of the Facility and prepayment of all Loans in connection therewith, may state that it is conditioned on the Borrower receiving proceeds of other financing, in which case such notice may be revoked by the Borrower (by providing notice to the Administrative Agent) if such financing is not received by the Borrower on or prior to the proposed termination date of the Facility and prepayment of all Loans in connection therewith), at any time or from time to time voluntarily prepay Term Loans in whole or in part without premium or penalty; provided that (A) such notice must be received by the Administrative Agent not later than 11:00 a.m. (1) three Business Days prior to any date of prepayment of Eurodollar Rate Loans and (2) on the date of prepayment of Base Rate Loans; (B) any prepayment of Eurodollar Rate Loans shall be in a principal amount of $3,000,000 or a whole multiple of $1,000,000 in excess thereof; and</w:t>
      </w:r>
    </w:p>
    <w:p>
      <w:pPr>
        <w:spacing w:after="0" w:line="3" w:lineRule="exact"/>
        <w:rPr>
          <w:rFonts w:ascii="Arial" w:cs="Arial" w:eastAsia="Arial" w:hAnsi="Arial"/>
          <w:sz w:val="18"/>
          <w:szCs w:val="18"/>
          <w:color w:val="auto"/>
        </w:rPr>
      </w:pPr>
    </w:p>
    <w:p>
      <w:pPr>
        <w:jc w:val="both"/>
        <w:spacing w:after="0" w:line="279" w:lineRule="auto"/>
        <w:tabs>
          <w:tab w:leader="none" w:pos="328" w:val="left"/>
        </w:tabs>
        <w:numPr>
          <w:ilvl w:val="0"/>
          <w:numId w:val="501"/>
        </w:numPr>
        <w:rPr>
          <w:rFonts w:ascii="Arial" w:cs="Arial" w:eastAsia="Arial" w:hAnsi="Arial"/>
          <w:sz w:val="18"/>
          <w:szCs w:val="18"/>
          <w:color w:val="auto"/>
        </w:rPr>
      </w:pPr>
      <w:r>
        <w:rPr>
          <w:rFonts w:ascii="Arial" w:cs="Arial" w:eastAsia="Arial" w:hAnsi="Arial"/>
          <w:sz w:val="18"/>
          <w:szCs w:val="18"/>
          <w:color w:val="auto"/>
        </w:rPr>
        <w:t xml:space="preserve">any prepayment of Base Rate Loans shall be in a principal amount of $300,000 or a whole multiple of $100,000 in excess thereof or, in each case, if less, the entire principal amount thereof then outstanding. Each such notice shall specify the date and amount of such prepayment and the Type(s) of Loans to be prepaid and, if Eurodollar Rate Loans are to be prepaid, the Interest Period(s) of such Loans and each Facility to which such prepayment shall apply. The Administrative Agent will promptly notify each Lender of its receipt of each such notice, and of the amount of such Lender’s ratable portion of such prepayment (based on such Lender’s Applicable Percentage in respect of the Facility). If such notice is given by the Borrower, the Borrower shall make such prepayment and the payment amount specified in such notice shall be due and payable on the date specified therein. Any prepayment of a Eurodollar Rate Loan shall be accompanied by all accrued interest on the amount prepaid, together with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2.19</w:t>
      </w:r>
      <w:r>
        <w:rPr>
          <w:rFonts w:ascii="Arial" w:cs="Arial" w:eastAsia="Arial" w:hAnsi="Arial"/>
          <w:sz w:val="18"/>
          <w:szCs w:val="18"/>
          <w:color w:val="auto"/>
        </w:rPr>
        <w:t>, each such prepayment shall be paid to the Lenders in accordance with their respective Applicable Percentages in respect of the Facility.</w:t>
      </w:r>
    </w:p>
    <w:p>
      <w:pPr>
        <w:spacing w:after="0" w:line="19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36</w:t>
      </w:r>
      <w:r>
        <w:rPr>
          <w:rFonts w:ascii="MS PGothic" w:cs="MS PGothic" w:eastAsia="MS PGothic" w:hAnsi="MS PGothic"/>
          <w:sz w:val="20"/>
          <w:szCs w:val="20"/>
          <w:color w:val="auto"/>
        </w:rPr>
        <w:t>‑</w:t>
      </w:r>
    </w:p>
    <w:p>
      <w:pPr>
        <w:sectPr>
          <w:pgSz w:w="11900" w:h="16838" w:orient="portrait"/>
          <w:cols w:equalWidth="0" w:num="1">
            <w:col w:w="11420"/>
          </w:cols>
          <w:pgMar w:left="240" w:top="794" w:right="239" w:bottom="1440" w:gutter="0" w:footer="0" w:header="0"/>
        </w:sectPr>
      </w:pPr>
    </w:p>
    <w:bookmarkStart w:id="441" w:name="page442"/>
    <w:bookmarkEnd w:id="441"/>
    <w:p>
      <w:pPr>
        <w:jc w:val="both"/>
        <w:ind w:firstLine="599"/>
        <w:spacing w:after="0" w:line="286" w:lineRule="auto"/>
        <w:tabs>
          <w:tab w:leader="none" w:pos="1432" w:val="left"/>
        </w:tabs>
        <w:numPr>
          <w:ilvl w:val="0"/>
          <w:numId w:val="502"/>
        </w:numPr>
        <w:rPr>
          <w:rFonts w:ascii="Arial" w:cs="Arial" w:eastAsia="Arial" w:hAnsi="Arial"/>
          <w:sz w:val="18"/>
          <w:szCs w:val="18"/>
          <w:color w:val="auto"/>
        </w:rPr>
      </w:pPr>
      <w:r>
        <w:rPr>
          <w:rFonts w:ascii="Arial" w:cs="Arial" w:eastAsia="Arial" w:hAnsi="Arial"/>
          <w:sz w:val="18"/>
          <w:szCs w:val="18"/>
          <w:u w:val="single" w:color="auto"/>
          <w:color w:val="auto"/>
        </w:rPr>
        <w:t>Prepayment Premium</w:t>
      </w:r>
      <w:r>
        <w:rPr>
          <w:rFonts w:ascii="Arial" w:cs="Arial" w:eastAsia="Arial" w:hAnsi="Arial"/>
          <w:sz w:val="18"/>
          <w:szCs w:val="18"/>
          <w:color w:val="auto"/>
        </w:rPr>
        <w:t>. Any payment (whether voluntary or otherwise) of the Term Loans which occurs on or prior to the second anniversary of the Closing Date shall be subject to, and the Borrower agrees to pay to the Administrative Agent for the ratable account of the Lenders, a prepayment premium (the “</w:t>
      </w:r>
      <w:r>
        <w:rPr>
          <w:rFonts w:ascii="Arial" w:cs="Arial" w:eastAsia="Arial" w:hAnsi="Arial"/>
          <w:sz w:val="18"/>
          <w:szCs w:val="18"/>
          <w:u w:val="single" w:color="auto"/>
          <w:color w:val="auto"/>
        </w:rPr>
        <w:t>Prepayment Premium</w:t>
      </w:r>
      <w:r>
        <w:rPr>
          <w:rFonts w:ascii="Arial" w:cs="Arial" w:eastAsia="Arial" w:hAnsi="Arial"/>
          <w:sz w:val="18"/>
          <w:szCs w:val="18"/>
          <w:color w:val="auto"/>
        </w:rPr>
        <w:t>”) equal to (x) if such prepayment occurs on or prior to the first anniversary of the Closing Date, 2.00% of the principal amount of the Term Loans so repaid, and (y) if such prepayment occurs after the first anniversary of the Closing Date but on or prior to the second anniversary of the Closing Date, 1.00% of the principal amount of the Term Loans so repaid. The Prepayment Premium shall be due and payable on the date of any applicable prepayment.</w:t>
      </w:r>
    </w:p>
    <w:p>
      <w:pPr>
        <w:spacing w:after="0" w:line="181"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 xml:space="preserve">2.06. </w:t>
      </w:r>
      <w:r>
        <w:rPr>
          <w:rFonts w:ascii="Arial" w:cs="Arial" w:eastAsia="Arial" w:hAnsi="Arial"/>
          <w:sz w:val="20"/>
          <w:szCs w:val="20"/>
          <w:u w:val="single" w:color="auto"/>
          <w:color w:val="auto"/>
        </w:rPr>
        <w:t>Termination or Reduction of Commitments</w:t>
      </w:r>
      <w:r>
        <w:rPr>
          <w:rFonts w:ascii="Arial" w:cs="Arial" w:eastAsia="Arial" w:hAnsi="Arial"/>
          <w:sz w:val="20"/>
          <w:szCs w:val="20"/>
          <w:color w:val="auto"/>
        </w:rPr>
        <w:t>. Each Lender’s Commitment shall be (a) reduced to zero automatically and permanently on the last day of the Availability Period (after giving effect to any Term Loans to be advanced on such date), or, if earlier, concurrently with the funding of all of such Lender’s unadvanced Commitment (such date of termination, the “</w:t>
      </w:r>
      <w:r>
        <w:rPr>
          <w:rFonts w:ascii="Arial" w:cs="Arial" w:eastAsia="Arial" w:hAnsi="Arial"/>
          <w:sz w:val="20"/>
          <w:szCs w:val="20"/>
          <w:u w:val="single" w:color="auto"/>
          <w:color w:val="auto"/>
        </w:rPr>
        <w:t>Availability Termination Date</w:t>
      </w:r>
      <w:r>
        <w:rPr>
          <w:rFonts w:ascii="Arial" w:cs="Arial" w:eastAsia="Arial" w:hAnsi="Arial"/>
          <w:sz w:val="20"/>
          <w:szCs w:val="20"/>
          <w:color w:val="auto"/>
        </w:rPr>
        <w:t>”) and (b) reduced in an amount equal to such Lender’s Applicable Percentage of each Term Loan concurrently with the funding thereof by such Lender.</w:t>
      </w:r>
    </w:p>
    <w:p>
      <w:pPr>
        <w:spacing w:after="0" w:line="212"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2.07. Repayment of Loans. The Borrower shall repay to the Lenders on the Maturity Date the aggregate principal amount of Term Loans outstanding on such date.</w:t>
      </w:r>
    </w:p>
    <w:p>
      <w:pPr>
        <w:spacing w:after="0" w:line="191"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2.08.</w:t>
      </w:r>
      <w:r>
        <w:rPr>
          <w:sz w:val="20"/>
          <w:szCs w:val="20"/>
          <w:color w:val="auto"/>
        </w:rPr>
        <w:tab/>
      </w:r>
      <w:r>
        <w:rPr>
          <w:rFonts w:ascii="Arial" w:cs="Arial" w:eastAsia="Arial" w:hAnsi="Arial"/>
          <w:sz w:val="17"/>
          <w:szCs w:val="17"/>
          <w:u w:val="single" w:color="auto"/>
          <w:color w:val="auto"/>
        </w:rPr>
        <w:t>Interest</w:t>
      </w:r>
      <w:r>
        <w:rPr>
          <w:rFonts w:ascii="Arial" w:cs="Arial" w:eastAsia="Arial" w:hAnsi="Arial"/>
          <w:sz w:val="17"/>
          <w:szCs w:val="17"/>
          <w:color w:val="auto"/>
        </w:rPr>
        <w:t>.</w:t>
      </w:r>
    </w:p>
    <w:p>
      <w:pPr>
        <w:spacing w:after="0" w:line="245" w:lineRule="exact"/>
        <w:rPr>
          <w:sz w:val="20"/>
          <w:szCs w:val="20"/>
          <w:color w:val="auto"/>
        </w:rPr>
      </w:pPr>
    </w:p>
    <w:p>
      <w:pPr>
        <w:jc w:val="both"/>
        <w:ind w:firstLine="599"/>
        <w:spacing w:after="0" w:line="293" w:lineRule="auto"/>
        <w:tabs>
          <w:tab w:leader="none" w:pos="1421" w:val="left"/>
        </w:tabs>
        <w:numPr>
          <w:ilvl w:val="0"/>
          <w:numId w:val="503"/>
        </w:numPr>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 2.08(b)</w:t>
      </w:r>
      <w:r>
        <w:rPr>
          <w:rFonts w:ascii="Arial" w:cs="Arial" w:eastAsia="Arial" w:hAnsi="Arial"/>
          <w:sz w:val="18"/>
          <w:szCs w:val="18"/>
          <w:color w:val="auto"/>
        </w:rPr>
        <w:t xml:space="preserve">, (i) each Eurodollar Rate Loan shall bear interest on the outstanding principal amount thereof for each Interest Period at a rate per annum equal to the Eurodollar Rate for such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then applicable to Eurodollar Rate Loans and (ii) each Base Rate Loan shall bear interest on the outstanding principal amount thereof from the applicable borrowing date at a rate per annum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then applicable to Base Rate Loans.</w:t>
      </w:r>
    </w:p>
    <w:p>
      <w:pPr>
        <w:spacing w:after="0" w:line="175" w:lineRule="exact"/>
        <w:rPr>
          <w:rFonts w:ascii="Arial" w:cs="Arial" w:eastAsia="Arial" w:hAnsi="Arial"/>
          <w:sz w:val="18"/>
          <w:szCs w:val="18"/>
          <w:color w:val="auto"/>
        </w:rPr>
      </w:pPr>
    </w:p>
    <w:p>
      <w:pPr>
        <w:jc w:val="both"/>
        <w:ind w:firstLine="599"/>
        <w:spacing w:after="0" w:line="280" w:lineRule="auto"/>
        <w:tabs>
          <w:tab w:leader="none" w:pos="1432" w:val="left"/>
        </w:tabs>
        <w:numPr>
          <w:ilvl w:val="0"/>
          <w:numId w:val="503"/>
        </w:numPr>
        <w:rPr>
          <w:rFonts w:ascii="Arial" w:cs="Arial" w:eastAsia="Arial" w:hAnsi="Arial"/>
          <w:sz w:val="19"/>
          <w:szCs w:val="19"/>
          <w:color w:val="auto"/>
        </w:rPr>
      </w:pPr>
      <w:r>
        <w:rPr>
          <w:rFonts w:ascii="Arial" w:cs="Arial" w:eastAsia="Arial" w:hAnsi="Arial"/>
          <w:sz w:val="19"/>
          <w:szCs w:val="19"/>
          <w:color w:val="auto"/>
        </w:rPr>
        <w:t>(i) While any Specified Event of Default exists, or upon the request of the Required Lenders while any Financial Covenant Event of Default exists, the Borrower shall pay interest on the principal amount of all outstanding Obligations hereunder at a fluctuating interest rate per annum at all times equal to the Default Rate to the fullest extent permitted by applicable Laws.</w:t>
      </w:r>
    </w:p>
    <w:p>
      <w:pPr>
        <w:spacing w:after="0" w:line="184" w:lineRule="exact"/>
        <w:rPr>
          <w:rFonts w:ascii="Arial" w:cs="Arial" w:eastAsia="Arial" w:hAnsi="Arial"/>
          <w:sz w:val="19"/>
          <w:szCs w:val="19"/>
          <w:color w:val="auto"/>
        </w:rPr>
      </w:pPr>
    </w:p>
    <w:p>
      <w:pPr>
        <w:ind w:left="2040" w:hanging="841"/>
        <w:spacing w:after="0"/>
        <w:tabs>
          <w:tab w:leader="none" w:pos="204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Accrued and unpaid interest on past due amounts (including interest on past due interest) shall be due and payable</w:t>
      </w:r>
    </w:p>
    <w:p>
      <w:pPr>
        <w:spacing w:after="0" w:line="4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upon demand.</w:t>
      </w:r>
    </w:p>
    <w:p>
      <w:pPr>
        <w:spacing w:after="0" w:line="228" w:lineRule="exact"/>
        <w:rPr>
          <w:rFonts w:ascii="Arial" w:cs="Arial" w:eastAsia="Arial" w:hAnsi="Arial"/>
          <w:sz w:val="18"/>
          <w:szCs w:val="18"/>
          <w:color w:val="auto"/>
        </w:rPr>
      </w:pPr>
    </w:p>
    <w:p>
      <w:pPr>
        <w:jc w:val="both"/>
        <w:ind w:firstLine="599"/>
        <w:spacing w:after="0" w:line="260" w:lineRule="auto"/>
        <w:tabs>
          <w:tab w:leader="none" w:pos="1421" w:val="left"/>
        </w:tabs>
        <w:numPr>
          <w:ilvl w:val="0"/>
          <w:numId w:val="503"/>
        </w:numPr>
        <w:rPr>
          <w:rFonts w:ascii="Arial" w:cs="Arial" w:eastAsia="Arial" w:hAnsi="Arial"/>
          <w:sz w:val="20"/>
          <w:szCs w:val="20"/>
          <w:color w:val="auto"/>
        </w:rPr>
      </w:pPr>
      <w:r>
        <w:rPr>
          <w:rFonts w:ascii="Arial" w:cs="Arial" w:eastAsia="Arial" w:hAnsi="Arial"/>
          <w:sz w:val="20"/>
          <w:szCs w:val="20"/>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202"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2.09.</w:t>
      </w:r>
      <w:r>
        <w:rPr>
          <w:sz w:val="20"/>
          <w:szCs w:val="20"/>
          <w:color w:val="auto"/>
        </w:rPr>
        <w:tab/>
      </w:r>
      <w:r>
        <w:rPr>
          <w:rFonts w:ascii="Arial" w:cs="Arial" w:eastAsia="Arial" w:hAnsi="Arial"/>
          <w:sz w:val="16"/>
          <w:szCs w:val="16"/>
          <w:u w:val="single" w:color="auto"/>
          <w:color w:val="auto"/>
        </w:rPr>
        <w:t>Fees</w:t>
      </w:r>
      <w:r>
        <w:rPr>
          <w:rFonts w:ascii="Arial" w:cs="Arial" w:eastAsia="Arial" w:hAnsi="Arial"/>
          <w:sz w:val="16"/>
          <w:szCs w:val="16"/>
          <w:color w:val="auto"/>
        </w:rPr>
        <w:t>.</w:t>
      </w:r>
    </w:p>
    <w:p>
      <w:pPr>
        <w:spacing w:after="0" w:line="245" w:lineRule="exact"/>
        <w:rPr>
          <w:sz w:val="20"/>
          <w:szCs w:val="20"/>
          <w:color w:val="auto"/>
        </w:rPr>
      </w:pPr>
    </w:p>
    <w:p>
      <w:pPr>
        <w:ind w:right="80" w:firstLine="599"/>
        <w:spacing w:after="0" w:line="253" w:lineRule="auto"/>
        <w:tabs>
          <w:tab w:leader="none" w:pos="1421" w:val="left"/>
        </w:tabs>
        <w:numPr>
          <w:ilvl w:val="0"/>
          <w:numId w:val="504"/>
        </w:numPr>
        <w:rPr>
          <w:rFonts w:ascii="Arial" w:cs="Arial" w:eastAsia="Arial" w:hAnsi="Arial"/>
          <w:sz w:val="20"/>
          <w:szCs w:val="20"/>
          <w:color w:val="auto"/>
        </w:rPr>
      </w:pPr>
      <w:r>
        <w:rPr>
          <w:rFonts w:ascii="Arial" w:cs="Arial" w:eastAsia="Arial" w:hAnsi="Arial"/>
          <w:sz w:val="20"/>
          <w:szCs w:val="20"/>
          <w:u w:val="single" w:color="auto"/>
          <w:color w:val="auto"/>
        </w:rPr>
        <w:t>Unused Fee</w:t>
      </w:r>
      <w:r>
        <w:rPr>
          <w:rFonts w:ascii="Arial" w:cs="Arial" w:eastAsia="Arial" w:hAnsi="Arial"/>
          <w:sz w:val="20"/>
          <w:szCs w:val="20"/>
          <w:color w:val="auto"/>
        </w:rPr>
        <w:t>. The Borrower shall pay to the Administrative Agent for the account of each Lender in accordance with its Applicable Percentage, an unused line fee (the “</w:t>
      </w:r>
      <w:r>
        <w:rPr>
          <w:rFonts w:ascii="Arial" w:cs="Arial" w:eastAsia="Arial" w:hAnsi="Arial"/>
          <w:sz w:val="20"/>
          <w:szCs w:val="20"/>
          <w:u w:val="single" w:color="auto"/>
          <w:color w:val="auto"/>
        </w:rPr>
        <w:t>Unused Fee</w:t>
      </w:r>
      <w:r>
        <w:rPr>
          <w:rFonts w:ascii="Arial" w:cs="Arial" w:eastAsia="Arial" w:hAnsi="Arial"/>
          <w:sz w:val="20"/>
          <w:szCs w:val="20"/>
          <w:color w:val="auto"/>
        </w:rPr>
        <w:t xml:space="preserve">”) equal to 0.20% per annum times the average daily unused Commitments. The Unused Fee shall accrue at all times from the first day of the Availability Period until, but excluding, the Availability Termination Date, including at any time during which one or more of the conditions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is not met, and shall be due and payable quarterly in arrears on the last Business Day of each March, June, September and December,</w:t>
      </w:r>
    </w:p>
    <w:p>
      <w:pPr>
        <w:spacing w:after="0" w:line="21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37</w:t>
      </w:r>
      <w:r>
        <w:rPr>
          <w:rFonts w:ascii="MS PGothic" w:cs="MS PGothic" w:eastAsia="MS PGothic" w:hAnsi="MS PGothic"/>
          <w:sz w:val="20"/>
          <w:szCs w:val="20"/>
          <w:color w:val="auto"/>
        </w:rPr>
        <w:t>‑</w:t>
      </w:r>
    </w:p>
    <w:p>
      <w:pPr>
        <w:sectPr>
          <w:pgSz w:w="11900" w:h="16838" w:orient="portrait"/>
          <w:cols w:equalWidth="0" w:num="1">
            <w:col w:w="11420"/>
          </w:cols>
          <w:pgMar w:left="240" w:top="794" w:right="239" w:bottom="1440" w:gutter="0" w:footer="0" w:header="0"/>
        </w:sectPr>
      </w:pPr>
    </w:p>
    <w:bookmarkStart w:id="442" w:name="page443"/>
    <w:bookmarkEnd w:id="442"/>
    <w:p>
      <w:pPr>
        <w:ind w:right="560"/>
        <w:spacing w:after="0" w:line="272" w:lineRule="auto"/>
        <w:rPr>
          <w:sz w:val="20"/>
          <w:szCs w:val="20"/>
          <w:color w:val="auto"/>
        </w:rPr>
      </w:pPr>
      <w:r>
        <w:rPr>
          <w:rFonts w:ascii="Arial" w:cs="Arial" w:eastAsia="Arial" w:hAnsi="Arial"/>
          <w:sz w:val="20"/>
          <w:szCs w:val="20"/>
          <w:color w:val="auto"/>
        </w:rPr>
        <w:t>commencing with the first such date to occur after the Closing Date, and on the Availability Termination Date. The Unused Fee shall be calculated quarterly in arrears.</w:t>
      </w:r>
    </w:p>
    <w:p>
      <w:pPr>
        <w:spacing w:after="0" w:line="191" w:lineRule="exact"/>
        <w:rPr>
          <w:sz w:val="20"/>
          <w:szCs w:val="20"/>
          <w:color w:val="auto"/>
        </w:rPr>
      </w:pPr>
    </w:p>
    <w:p>
      <w:pPr>
        <w:ind w:right="40" w:firstLine="599"/>
        <w:spacing w:after="0" w:line="260" w:lineRule="auto"/>
        <w:tabs>
          <w:tab w:leader="none" w:pos="1432" w:val="left"/>
        </w:tabs>
        <w:numPr>
          <w:ilvl w:val="0"/>
          <w:numId w:val="505"/>
        </w:numPr>
        <w:rPr>
          <w:rFonts w:ascii="Arial" w:cs="Arial" w:eastAsia="Arial" w:hAnsi="Arial"/>
          <w:sz w:val="20"/>
          <w:szCs w:val="20"/>
          <w:color w:val="auto"/>
        </w:rPr>
      </w:pPr>
      <w:r>
        <w:rPr>
          <w:rFonts w:ascii="Arial" w:cs="Arial" w:eastAsia="Arial" w:hAnsi="Arial"/>
          <w:sz w:val="20"/>
          <w:szCs w:val="20"/>
          <w:u w:val="single" w:color="auto"/>
          <w:color w:val="auto"/>
        </w:rPr>
        <w:t>Other Fees</w:t>
      </w:r>
      <w:r>
        <w:rPr>
          <w:rFonts w:ascii="Arial" w:cs="Arial" w:eastAsia="Arial" w:hAnsi="Arial"/>
          <w:sz w:val="20"/>
          <w:szCs w:val="20"/>
          <w:color w:val="auto"/>
        </w:rPr>
        <w:t>. (i) The Borrower shall pay to the Arrangers and the Administrative Agent for their own respective accounts fees in the amounts and at the times specified in the Fee Letter. Such fees shall be fully earned when paid and shall not be refundable for any reason whatsoever.</w:t>
      </w:r>
    </w:p>
    <w:p>
      <w:pPr>
        <w:spacing w:after="0" w:line="202" w:lineRule="exact"/>
        <w:rPr>
          <w:sz w:val="20"/>
          <w:szCs w:val="20"/>
          <w:color w:val="auto"/>
        </w:rPr>
      </w:pPr>
    </w:p>
    <w:p>
      <w:pPr>
        <w:ind w:left="600" w:right="180" w:hanging="1"/>
        <w:spacing w:after="0" w:line="329" w:lineRule="auto"/>
        <w:tabs>
          <w:tab w:leader="none" w:pos="109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The Borrower shall pay to the Lenders such fees as shall have been separately agreed upon in writing in the amounts and at the times so specified. Such fees shall be fully earned when paid and shall not be refundable for any reason whatsoever.</w:t>
      </w:r>
    </w:p>
    <w:p>
      <w:pPr>
        <w:spacing w:after="0" w:line="107"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8"/>
          <w:szCs w:val="18"/>
          <w:u w:val="single" w:color="auto"/>
          <w:color w:val="auto"/>
        </w:rPr>
        <w:t>Computation of Interest and Fees; Retroactive Adjustments of Applicable Rate</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84" w:lineRule="auto"/>
        <w:tabs>
          <w:tab w:leader="none" w:pos="1076" w:val="left"/>
        </w:tabs>
        <w:numPr>
          <w:ilvl w:val="0"/>
          <w:numId w:val="507"/>
        </w:numPr>
        <w:rPr>
          <w:rFonts w:ascii="Arial" w:cs="Arial" w:eastAsia="Arial" w:hAnsi="Arial"/>
          <w:sz w:val="18"/>
          <w:szCs w:val="18"/>
          <w:color w:val="auto"/>
        </w:rPr>
      </w:pPr>
      <w:r>
        <w:rPr>
          <w:rFonts w:ascii="Arial" w:cs="Arial" w:eastAsia="Arial" w:hAnsi="Arial"/>
          <w:sz w:val="18"/>
          <w:szCs w:val="18"/>
          <w:color w:val="auto"/>
        </w:rPr>
        <w:t xml:space="preserve">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(which may result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 </w:t>
      </w:r>
      <w:r>
        <w:rPr>
          <w:rFonts w:ascii="Arial" w:cs="Arial" w:eastAsia="Arial" w:hAnsi="Arial"/>
          <w:sz w:val="18"/>
          <w:szCs w:val="18"/>
          <w:u w:val="single" w:color="auto"/>
          <w:color w:val="auto"/>
        </w:rPr>
        <w:t>Section 2.12(a)</w:t>
      </w:r>
      <w:r>
        <w:rPr>
          <w:rFonts w:ascii="Arial" w:cs="Arial" w:eastAsia="Arial" w:hAnsi="Arial"/>
          <w:sz w:val="18"/>
          <w:szCs w:val="18"/>
          <w:color w:val="auto"/>
        </w:rPr>
        <w:t>, bear interest for one day. Each determination by the Administrative Agent of an interest rate or fee hereunder shall be conclusive and binding for all purposes, absent manifest error.</w:t>
      </w:r>
    </w:p>
    <w:p>
      <w:pPr>
        <w:spacing w:after="0" w:line="146" w:lineRule="exact"/>
        <w:rPr>
          <w:rFonts w:ascii="Arial" w:cs="Arial" w:eastAsia="Arial" w:hAnsi="Arial"/>
          <w:sz w:val="18"/>
          <w:szCs w:val="18"/>
          <w:color w:val="auto"/>
        </w:rPr>
      </w:pPr>
    </w:p>
    <w:p>
      <w:pPr>
        <w:jc w:val="both"/>
        <w:ind w:firstLine="599"/>
        <w:spacing w:after="0" w:line="263" w:lineRule="auto"/>
        <w:tabs>
          <w:tab w:leader="none" w:pos="1094" w:val="left"/>
        </w:tabs>
        <w:numPr>
          <w:ilvl w:val="0"/>
          <w:numId w:val="507"/>
        </w:numPr>
        <w:rPr>
          <w:rFonts w:ascii="Arial" w:cs="Arial" w:eastAsia="Arial" w:hAnsi="Arial"/>
          <w:sz w:val="19"/>
          <w:szCs w:val="19"/>
          <w:color w:val="auto"/>
        </w:rPr>
      </w:pPr>
      <w:r>
        <w:rPr>
          <w:rFonts w:ascii="Arial" w:cs="Arial" w:eastAsia="Arial" w:hAnsi="Arial"/>
          <w:sz w:val="19"/>
          <w:szCs w:val="19"/>
          <w:color w:val="auto"/>
        </w:rPr>
        <w:t xml:space="preserve">If, as a result of any restatement of or other adjustment to the financial statements of the Consolidated Group or for any other reason, the Borrower or the Lenders determine that (i) the Consolidated Total Leverage Ratio as calculated by the REIT as of any applicable date was inaccurate and (ii) a proper calculation of the Consolidated Total Leverage Ratio would have resulted in higher pricing for such period, the Borrower shall immediately and retroactively be obligated to pay to the Administrative Agent for the account of the applicable Lenders promptly on demand by the Administrative Agent (or, after the occurrence of an actual or deemed entry of an order for relief with respect to the Borrower under the Bankruptcy Code of the United States, automatically and without further action by the Administrative Agent or any Lender), an amount equal to the excess of the amount of interest and fees that should have been paid for such period over the amount of interest and fees actually paid for such period. This paragraph shall not limit the rights of the Administrative Agent or any Lender, as the case may be, under </w:t>
      </w:r>
      <w:r>
        <w:rPr>
          <w:rFonts w:ascii="Arial" w:cs="Arial" w:eastAsia="Arial" w:hAnsi="Arial"/>
          <w:sz w:val="19"/>
          <w:szCs w:val="19"/>
          <w:u w:val="single" w:color="auto"/>
          <w:color w:val="auto"/>
        </w:rPr>
        <w:t>Section 2.08(b)</w:t>
      </w:r>
      <w:r>
        <w:rPr>
          <w:rFonts w:ascii="Arial" w:cs="Arial" w:eastAsia="Arial" w:hAnsi="Arial"/>
          <w:sz w:val="19"/>
          <w:szCs w:val="19"/>
          <w:color w:val="auto"/>
        </w:rPr>
        <w:t xml:space="preserve"> or under </w:t>
      </w:r>
      <w:r>
        <w:rPr>
          <w:rFonts w:ascii="Arial" w:cs="Arial" w:eastAsia="Arial" w:hAnsi="Arial"/>
          <w:sz w:val="19"/>
          <w:szCs w:val="19"/>
          <w:u w:val="single" w:color="auto"/>
          <w:color w:val="auto"/>
        </w:rPr>
        <w:t>Article VIII</w:t>
      </w:r>
      <w:r>
        <w:rPr>
          <w:rFonts w:ascii="Arial" w:cs="Arial" w:eastAsia="Arial" w:hAnsi="Arial"/>
          <w:sz w:val="19"/>
          <w:szCs w:val="19"/>
          <w:color w:val="auto"/>
        </w:rPr>
        <w:t>. The Borrower’s obligations under this paragraph shall survive for a period of nine (9) months following the termination of the Facility and the repayment of all other Obligations hereunder (the last day of such nine-month period being referred to herein as the “</w:t>
      </w:r>
      <w:r>
        <w:rPr>
          <w:rFonts w:ascii="Arial" w:cs="Arial" w:eastAsia="Arial" w:hAnsi="Arial"/>
          <w:sz w:val="19"/>
          <w:szCs w:val="19"/>
          <w:u w:val="single" w:color="auto"/>
          <w:color w:val="auto"/>
        </w:rPr>
        <w:t>Section 2.10(b) Termination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after the </w:t>
      </w:r>
      <w:r>
        <w:rPr>
          <w:rFonts w:ascii="Arial" w:cs="Arial" w:eastAsia="Arial" w:hAnsi="Arial"/>
          <w:sz w:val="19"/>
          <w:szCs w:val="19"/>
          <w:u w:val="single" w:color="auto"/>
          <w:color w:val="auto"/>
        </w:rPr>
        <w:t>Section 2.10(b)</w:t>
      </w:r>
      <w:r>
        <w:rPr>
          <w:rFonts w:ascii="Arial" w:cs="Arial" w:eastAsia="Arial" w:hAnsi="Arial"/>
          <w:sz w:val="19"/>
          <w:szCs w:val="19"/>
          <w:color w:val="auto"/>
        </w:rPr>
        <w:t xml:space="preserve"> Termination Date it is discovered that there was an inaccuracy in the calculation of the Consolidated Total Leverage Ratio for a period ending prior to the termination of the Facility and repayment in full of the Obligations, and such inaccuracy (x) resulted from the gross negligence, willful misconduct or fraud of the REIT and (y) gives rise to obligations under this </w:t>
      </w:r>
      <w:r>
        <w:rPr>
          <w:rFonts w:ascii="Arial" w:cs="Arial" w:eastAsia="Arial" w:hAnsi="Arial"/>
          <w:sz w:val="19"/>
          <w:szCs w:val="19"/>
          <w:u w:val="single" w:color="auto"/>
          <w:color w:val="auto"/>
        </w:rPr>
        <w:t>Section 2.10(b</w:t>
      </w:r>
      <w:r>
        <w:rPr>
          <w:rFonts w:ascii="Arial" w:cs="Arial" w:eastAsia="Arial" w:hAnsi="Arial"/>
          <w:sz w:val="19"/>
          <w:szCs w:val="19"/>
          <w:color w:val="auto"/>
        </w:rPr>
        <w:t>), then such obligations of the Borrower under this paragraph shall nevertheless survive the Section 2.10(b) Termination Date and shall be due and payable by the Borrower on the date of discovery of such inaccuracy.</w:t>
      </w:r>
    </w:p>
    <w:p>
      <w:pPr>
        <w:spacing w:after="0" w:line="166"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8"/>
          <w:szCs w:val="18"/>
          <w:u w:val="single" w:color="auto"/>
          <w:color w:val="auto"/>
        </w:rPr>
        <w:t>Evidence of Debt</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60" w:lineRule="auto"/>
        <w:tabs>
          <w:tab w:leader="none" w:pos="1421" w:val="left"/>
        </w:tabs>
        <w:numPr>
          <w:ilvl w:val="0"/>
          <w:numId w:val="508"/>
        </w:numPr>
        <w:rPr>
          <w:rFonts w:ascii="Arial" w:cs="Arial" w:eastAsia="Arial" w:hAnsi="Arial"/>
          <w:sz w:val="20"/>
          <w:szCs w:val="20"/>
          <w:color w:val="auto"/>
        </w:rPr>
      </w:pPr>
      <w:r>
        <w:rPr>
          <w:rFonts w:ascii="Arial" w:cs="Arial" w:eastAsia="Arial" w:hAnsi="Arial"/>
          <w:sz w:val="20"/>
          <w:szCs w:val="20"/>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w:t>
      </w:r>
    </w:p>
    <w:p>
      <w:pPr>
        <w:spacing w:after="0" w:line="20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38</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43" w:name="page444"/>
    <w:bookmarkEnd w:id="443"/>
    <w:p>
      <w:pPr>
        <w:jc w:val="both"/>
        <w:spacing w:after="0" w:line="266" w:lineRule="auto"/>
        <w:rPr>
          <w:sz w:val="20"/>
          <w:szCs w:val="20"/>
          <w:color w:val="auto"/>
        </w:rPr>
      </w:pPr>
      <w:r>
        <w:rPr>
          <w:rFonts w:ascii="Arial" w:cs="Arial" w:eastAsia="Arial" w:hAnsi="Arial"/>
          <w:sz w:val="19"/>
          <w:szCs w:val="19"/>
          <w:color w:val="auto"/>
        </w:rPr>
        <w:t>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written request of any Lender made through the Administrative Agent, the Borrower shall execute and deliver to such Lender (through the Administrative Agent) a Term Note, which shall evidence such Lender’s Loans in addition to such accounts or records. Each Lender may attach schedules to its Term Note and endorse thereon the date, Type (if applicable), amount and maturity of its Loans and payments with respect thereto.</w:t>
      </w:r>
    </w:p>
    <w:p>
      <w:pPr>
        <w:spacing w:after="0" w:line="199"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8"/>
          <w:szCs w:val="18"/>
          <w:u w:val="single" w:color="auto"/>
          <w:color w:val="auto"/>
        </w:rPr>
        <w:t>Payments Generally; Administrative Agent’s Clawback</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65" w:lineRule="auto"/>
        <w:tabs>
          <w:tab w:leader="none" w:pos="1421" w:val="left"/>
        </w:tabs>
        <w:numPr>
          <w:ilvl w:val="0"/>
          <w:numId w:val="509"/>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201" w:lineRule="exact"/>
        <w:rPr>
          <w:rFonts w:ascii="Arial" w:cs="Arial" w:eastAsia="Arial" w:hAnsi="Arial"/>
          <w:sz w:val="19"/>
          <w:szCs w:val="19"/>
          <w:color w:val="auto"/>
        </w:rPr>
      </w:pPr>
    </w:p>
    <w:p>
      <w:pPr>
        <w:jc w:val="both"/>
        <w:ind w:firstLine="599"/>
        <w:spacing w:after="0" w:line="262" w:lineRule="auto"/>
        <w:tabs>
          <w:tab w:leader="none" w:pos="1432" w:val="left"/>
        </w:tabs>
        <w:numPr>
          <w:ilvl w:val="0"/>
          <w:numId w:val="509"/>
        </w:numPr>
        <w:rPr>
          <w:rFonts w:ascii="Arial" w:cs="Arial" w:eastAsia="Arial" w:hAnsi="Arial"/>
          <w:sz w:val="19"/>
          <w:szCs w:val="19"/>
          <w:color w:val="auto"/>
        </w:rPr>
      </w:pPr>
      <w:r>
        <w:rPr>
          <w:rFonts w:ascii="Arial" w:cs="Arial" w:eastAsia="Arial" w:hAnsi="Arial"/>
          <w:sz w:val="19"/>
          <w:szCs w:val="19"/>
          <w:color w:val="auto"/>
        </w:rPr>
        <w:t xml:space="preserve">(i) </w:t>
      </w:r>
      <w:r>
        <w:rPr>
          <w:rFonts w:ascii="Arial" w:cs="Arial" w:eastAsia="Arial" w:hAnsi="Arial"/>
          <w:sz w:val="19"/>
          <w:szCs w:val="19"/>
          <w:u w:val="single" w:color="auto"/>
          <w:color w:val="auto"/>
        </w:rPr>
        <w:t>Funding by Lenders; Presumption by Administrative Agent</w:t>
      </w:r>
      <w:r>
        <w:rPr>
          <w:rFonts w:ascii="Arial" w:cs="Arial" w:eastAsia="Arial" w:hAnsi="Arial"/>
          <w:sz w:val="19"/>
          <w:szCs w:val="19"/>
          <w:color w:val="auto"/>
        </w:rPr>
        <w:t xml:space="preserve">. Unless the Administrative Agent shall have received notice from a Lender prior to the proposed date of any Borrowing of Eurodollar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(or, in the case of a Borrowing of Base Rate Loans, that such Lender has made such share available in accordance with and at the time required by </w:t>
      </w:r>
      <w:r>
        <w:rPr>
          <w:rFonts w:ascii="Arial" w:cs="Arial" w:eastAsia="Arial" w:hAnsi="Arial"/>
          <w:sz w:val="19"/>
          <w:szCs w:val="19"/>
          <w:u w:val="single" w:color="auto"/>
          <w:color w:val="auto"/>
        </w:rPr>
        <w:t>Section 2.02</w:t>
      </w:r>
      <w:r>
        <w:rPr>
          <w:rFonts w:ascii="Arial" w:cs="Arial" w:eastAsia="Arial" w:hAnsi="Arial"/>
          <w:sz w:val="19"/>
          <w:szCs w:val="19"/>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216"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39</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44" w:name="page445"/>
    <w:bookmarkEnd w:id="444"/>
    <w:p>
      <w:pPr>
        <w:jc w:val="both"/>
        <w:ind w:firstLine="1199"/>
        <w:spacing w:after="0" w:line="282" w:lineRule="auto"/>
        <w:tabs>
          <w:tab w:leader="none" w:pos="2043" w:val="left"/>
        </w:tabs>
        <w:numPr>
          <w:ilvl w:val="0"/>
          <w:numId w:val="510"/>
        </w:numPr>
        <w:rPr>
          <w:rFonts w:ascii="Arial" w:cs="Arial" w:eastAsia="Arial" w:hAnsi="Arial"/>
          <w:sz w:val="18"/>
          <w:szCs w:val="18"/>
          <w:color w:val="auto"/>
        </w:rPr>
      </w:pPr>
      <w:r>
        <w:rPr>
          <w:rFonts w:ascii="Arial" w:cs="Arial" w:eastAsia="Arial" w:hAnsi="Arial"/>
          <w:sz w:val="18"/>
          <w:szCs w:val="18"/>
          <w:u w:val="single" w:color="auto"/>
          <w:color w:val="auto"/>
        </w:rPr>
        <w:t>Payments by Borrower; Presumptions by Administrative Agent</w:t>
      </w:r>
      <w:r>
        <w:rPr>
          <w:rFonts w:ascii="Arial" w:cs="Arial" w:eastAsia="Arial" w:hAnsi="Arial"/>
          <w:sz w:val="18"/>
          <w:szCs w:val="18"/>
          <w:color w:val="auto"/>
        </w:rPr>
        <w:t>. Unless the Administrative Agent shall have received notice from the Borrower prior to the time at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Appropriate Lenders the amount due. In such event, if the Borrower has not in fact made such payment, then each of the Appropriate Lenders severally agrees to repay to the Administrative Agent forthwith on demand the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90" w:lineRule="exact"/>
        <w:rPr>
          <w:sz w:val="20"/>
          <w:szCs w:val="20"/>
          <w:color w:val="auto"/>
        </w:rPr>
      </w:pPr>
    </w:p>
    <w:p>
      <w:pPr>
        <w:ind w:firstLine="599"/>
        <w:spacing w:after="0" w:line="272" w:lineRule="auto"/>
        <w:rPr>
          <w:sz w:val="20"/>
          <w:szCs w:val="20"/>
          <w:color w:val="auto"/>
        </w:rPr>
      </w:pPr>
      <w:r>
        <w:rPr>
          <w:rFonts w:ascii="Arial" w:cs="Arial" w:eastAsia="Arial" w:hAnsi="Arial"/>
          <w:sz w:val="20"/>
          <w:szCs w:val="20"/>
          <w:color w:val="auto"/>
        </w:rPr>
        <w:t>A notice of the Administrative Agent to any Lender or the Borrower with respect to any amount owing under this subsection (b) shall be conclusive, absent manifest error.</w:t>
      </w:r>
    </w:p>
    <w:p>
      <w:pPr>
        <w:spacing w:after="0" w:line="153" w:lineRule="exact"/>
        <w:rPr>
          <w:sz w:val="20"/>
          <w:szCs w:val="20"/>
          <w:color w:val="auto"/>
        </w:rPr>
      </w:pPr>
    </w:p>
    <w:p>
      <w:pPr>
        <w:jc w:val="both"/>
        <w:ind w:firstLine="599"/>
        <w:spacing w:after="0" w:line="253" w:lineRule="auto"/>
        <w:tabs>
          <w:tab w:leader="none" w:pos="1421" w:val="left"/>
        </w:tabs>
        <w:numPr>
          <w:ilvl w:val="0"/>
          <w:numId w:val="511"/>
        </w:numPr>
        <w:rPr>
          <w:rFonts w:ascii="Arial" w:cs="Arial" w:eastAsia="Arial" w:hAnsi="Arial"/>
          <w:sz w:val="20"/>
          <w:szCs w:val="20"/>
          <w:color w:val="auto"/>
        </w:rPr>
      </w:pPr>
      <w:r>
        <w:rPr>
          <w:rFonts w:ascii="Arial" w:cs="Arial" w:eastAsia="Arial" w:hAnsi="Arial"/>
          <w:sz w:val="20"/>
          <w:szCs w:val="20"/>
          <w:u w:val="single" w:color="auto"/>
          <w:color w:val="auto"/>
        </w:rPr>
        <w:t>Failure to Satisfy Conditions Precedent</w:t>
      </w:r>
      <w:r>
        <w:rPr>
          <w:rFonts w:ascii="Arial" w:cs="Arial" w:eastAsia="Arial" w:hAnsi="Arial"/>
          <w:sz w:val="20"/>
          <w:szCs w:val="20"/>
          <w:color w:val="auto"/>
        </w:rPr>
        <w:t xml:space="preserve">. If any Lender makes available to the Administrative Agent funds for any Loan to be made by such Lender as provided in the foregoing provisions of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and such funds are not made available to the Borrower by the Administrative Agent because the conditions to the applicable Credit Extension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211" w:lineRule="exact"/>
        <w:rPr>
          <w:rFonts w:ascii="Arial" w:cs="Arial" w:eastAsia="Arial" w:hAnsi="Arial"/>
          <w:sz w:val="20"/>
          <w:szCs w:val="20"/>
          <w:color w:val="auto"/>
        </w:rPr>
      </w:pPr>
    </w:p>
    <w:p>
      <w:pPr>
        <w:jc w:val="both"/>
        <w:ind w:firstLine="599"/>
        <w:spacing w:after="0" w:line="253" w:lineRule="auto"/>
        <w:tabs>
          <w:tab w:leader="none" w:pos="1432" w:val="left"/>
        </w:tabs>
        <w:numPr>
          <w:ilvl w:val="0"/>
          <w:numId w:val="511"/>
        </w:numPr>
        <w:rPr>
          <w:rFonts w:ascii="Arial" w:cs="Arial" w:eastAsia="Arial" w:hAnsi="Arial"/>
          <w:sz w:val="20"/>
          <w:szCs w:val="20"/>
          <w:color w:val="auto"/>
        </w:rPr>
      </w:pPr>
      <w:r>
        <w:rPr>
          <w:rFonts w:ascii="Arial" w:cs="Arial" w:eastAsia="Arial" w:hAnsi="Arial"/>
          <w:sz w:val="20"/>
          <w:szCs w:val="20"/>
          <w:u w:val="single" w:color="auto"/>
          <w:color w:val="auto"/>
        </w:rPr>
        <w:t>Obligations of Lenders Several</w:t>
      </w:r>
      <w:r>
        <w:rPr>
          <w:rFonts w:ascii="Arial" w:cs="Arial" w:eastAsia="Arial" w:hAnsi="Arial"/>
          <w:sz w:val="20"/>
          <w:szCs w:val="20"/>
          <w:color w:val="auto"/>
        </w:rPr>
        <w:t xml:space="preserve">. The obligations of the Lenders hereunder to make Term Loans and to make payments pursuant to </w:t>
      </w:r>
      <w:r>
        <w:rPr>
          <w:rFonts w:ascii="Arial" w:cs="Arial" w:eastAsia="Arial" w:hAnsi="Arial"/>
          <w:sz w:val="20"/>
          <w:szCs w:val="20"/>
          <w:u w:val="single" w:color="auto"/>
          <w:color w:val="auto"/>
        </w:rPr>
        <w:t>Section 10.04(c)</w:t>
      </w:r>
      <w:r>
        <w:rPr>
          <w:rFonts w:ascii="Arial" w:cs="Arial" w:eastAsia="Arial" w:hAnsi="Arial"/>
          <w:sz w:val="20"/>
          <w:szCs w:val="20"/>
          <w:color w:val="auto"/>
        </w:rPr>
        <w:t xml:space="preserve"> are several and not joint. The failure of any Lender to make any Loan, to fund any such participation or to make any payment under </w:t>
      </w:r>
      <w:r>
        <w:rPr>
          <w:rFonts w:ascii="Arial" w:cs="Arial" w:eastAsia="Arial" w:hAnsi="Arial"/>
          <w:sz w:val="20"/>
          <w:szCs w:val="20"/>
          <w:u w:val="single" w:color="auto"/>
          <w:color w:val="auto"/>
        </w:rPr>
        <w:t>Section 10.04(c)</w:t>
      </w:r>
      <w:r>
        <w:rPr>
          <w:rFonts w:ascii="Arial" w:cs="Arial" w:eastAsia="Arial" w:hAnsi="Arial"/>
          <w:sz w:val="20"/>
          <w:szCs w:val="20"/>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20"/>
          <w:szCs w:val="20"/>
          <w:u w:val="single" w:color="auto"/>
          <w:color w:val="auto"/>
        </w:rPr>
        <w:t>Section 10.04(c)</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jc w:val="both"/>
        <w:ind w:firstLine="599"/>
        <w:spacing w:after="0" w:line="260" w:lineRule="auto"/>
        <w:tabs>
          <w:tab w:leader="none" w:pos="1421" w:val="left"/>
        </w:tabs>
        <w:numPr>
          <w:ilvl w:val="0"/>
          <w:numId w:val="511"/>
        </w:numPr>
        <w:rPr>
          <w:rFonts w:ascii="Arial" w:cs="Arial" w:eastAsia="Arial" w:hAnsi="Arial"/>
          <w:sz w:val="20"/>
          <w:szCs w:val="20"/>
          <w:color w:val="auto"/>
        </w:rPr>
      </w:pPr>
      <w:r>
        <w:rPr>
          <w:rFonts w:ascii="Arial" w:cs="Arial" w:eastAsia="Arial" w:hAnsi="Arial"/>
          <w:sz w:val="20"/>
          <w:szCs w:val="20"/>
          <w:u w:val="single" w:color="auto"/>
          <w:color w:val="auto"/>
        </w:rPr>
        <w:t>Funding Source</w:t>
      </w:r>
      <w:r>
        <w:rPr>
          <w:rFonts w:ascii="Arial" w:cs="Arial" w:eastAsia="Arial" w:hAnsi="Arial"/>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201" w:lineRule="exact"/>
        <w:rPr>
          <w:rFonts w:ascii="Arial" w:cs="Arial" w:eastAsia="Arial" w:hAnsi="Arial"/>
          <w:sz w:val="20"/>
          <w:szCs w:val="20"/>
          <w:color w:val="auto"/>
        </w:rPr>
      </w:pPr>
    </w:p>
    <w:p>
      <w:pPr>
        <w:jc w:val="both"/>
        <w:ind w:firstLine="599"/>
        <w:spacing w:after="0" w:line="253" w:lineRule="auto"/>
        <w:tabs>
          <w:tab w:leader="none" w:pos="1399" w:val="left"/>
        </w:tabs>
        <w:numPr>
          <w:ilvl w:val="0"/>
          <w:numId w:val="511"/>
        </w:numPr>
        <w:rPr>
          <w:rFonts w:ascii="Arial" w:cs="Arial" w:eastAsia="Arial" w:hAnsi="Arial"/>
          <w:sz w:val="20"/>
          <w:szCs w:val="20"/>
          <w:color w:val="auto"/>
        </w:rPr>
      </w:pPr>
      <w:r>
        <w:rPr>
          <w:rFonts w:ascii="Arial" w:cs="Arial" w:eastAsia="Arial" w:hAnsi="Arial"/>
          <w:sz w:val="20"/>
          <w:szCs w:val="20"/>
          <w:u w:val="single" w:color="auto"/>
          <w:color w:val="auto"/>
        </w:rPr>
        <w:t>Insufficient Funds</w:t>
      </w:r>
      <w:r>
        <w:rPr>
          <w:rFonts w:ascii="Arial" w:cs="Arial" w:eastAsia="Arial" w:hAnsi="Arial"/>
          <w:sz w:val="20"/>
          <w:szCs w:val="20"/>
          <w:color w:val="auto"/>
        </w:rPr>
        <w:t xml:space="preserve">. If at any time insufficient funds are received by and available to the Administrative Agent to pay fully all amounts of principal, interest and fees then due hereunder, such funds shall be applied (i)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20"/>
          <w:szCs w:val="20"/>
          <w:u w:val="single" w:color="auto"/>
          <w:color w:val="auto"/>
        </w:rPr>
        <w:t>second</w:t>
      </w:r>
      <w:r>
        <w:rPr>
          <w:rFonts w:ascii="Arial" w:cs="Arial" w:eastAsia="Arial" w:hAnsi="Arial"/>
          <w:sz w:val="20"/>
          <w:szCs w:val="20"/>
          <w:color w:val="auto"/>
        </w:rPr>
        <w:t>, toward payment of principal then due hereunder, ratably among the parties entitled thereto in accordance with the amounts of principal then due to such parties.</w:t>
      </w:r>
    </w:p>
    <w:p>
      <w:pPr>
        <w:spacing w:after="0" w:line="212" w:lineRule="exact"/>
        <w:rPr>
          <w:sz w:val="20"/>
          <w:szCs w:val="20"/>
          <w:color w:val="auto"/>
        </w:rPr>
      </w:pPr>
    </w:p>
    <w:p>
      <w:pPr>
        <w:jc w:val="both"/>
        <w:ind w:firstLine="599"/>
        <w:spacing w:after="0" w:line="281"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Sharing of Payments by Lenders</w:t>
      </w:r>
      <w:r>
        <w:rPr>
          <w:rFonts w:ascii="Arial" w:cs="Arial" w:eastAsia="Arial" w:hAnsi="Arial"/>
          <w:sz w:val="18"/>
          <w:szCs w:val="18"/>
          <w:color w:val="auto"/>
        </w:rPr>
        <w:t>. If any Lender shall, by exercising any right of setoff or counterclaim or otherwise, obtain payment in respect of (a) Obligations due and payable to such Lender hereunder and under the other Loan Documents at such time in excess of its ratable share (according to the proportion of (i) the amount of such Obligations due and payable to such Lender at such time to</w:t>
      </w:r>
    </w:p>
    <w:p>
      <w:pPr>
        <w:spacing w:after="0" w:line="1" w:lineRule="exact"/>
        <w:rPr>
          <w:sz w:val="20"/>
          <w:szCs w:val="20"/>
          <w:color w:val="auto"/>
        </w:rPr>
      </w:pPr>
    </w:p>
    <w:p>
      <w:pPr>
        <w:jc w:val="both"/>
        <w:spacing w:after="0" w:line="287" w:lineRule="auto"/>
        <w:tabs>
          <w:tab w:leader="none" w:pos="305"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w:t>
      </w:r>
    </w:p>
    <w:p>
      <w:pPr>
        <w:spacing w:after="0" w:line="180"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40</w:t>
      </w:r>
      <w:r>
        <w:rPr>
          <w:rFonts w:ascii="MS PGothic" w:cs="MS PGothic" w:eastAsia="MS PGothic" w:hAnsi="MS PGothic"/>
          <w:sz w:val="20"/>
          <w:szCs w:val="20"/>
          <w:color w:val="auto"/>
        </w:rPr>
        <w:t>‑</w:t>
      </w:r>
    </w:p>
    <w:p>
      <w:pPr>
        <w:sectPr>
          <w:pgSz w:w="11900" w:h="16838" w:orient="portrait"/>
          <w:cols w:equalWidth="0" w:num="1">
            <w:col w:w="11420"/>
          </w:cols>
          <w:pgMar w:left="240" w:top="794" w:right="239" w:bottom="1440" w:gutter="0" w:footer="0" w:header="0"/>
        </w:sectPr>
      </w:pPr>
    </w:p>
    <w:bookmarkStart w:id="445" w:name="page446"/>
    <w:bookmarkEnd w:id="445"/>
    <w:p>
      <w:pPr>
        <w:jc w:val="both"/>
        <w:spacing w:after="0" w:line="267" w:lineRule="auto"/>
        <w:rPr>
          <w:sz w:val="20"/>
          <w:szCs w:val="20"/>
          <w:color w:val="auto"/>
        </w:rPr>
      </w:pPr>
      <w:r>
        <w:rPr>
          <w:rFonts w:ascii="Arial" w:cs="Arial" w:eastAsia="Arial" w:hAnsi="Arial"/>
          <w:sz w:val="19"/>
          <w:szCs w:val="19"/>
          <w:color w:val="auto"/>
        </w:rPr>
        <w:t xml:space="preserve">not due and payable) to such Lender at such time to (ii) the aggregate amount of the Obligations owing (but not due and payable) to all Lenders hereunder and under the other Loan Documents at such time) of payment on account of the Obligations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97" w:lineRule="exact"/>
        <w:rPr>
          <w:sz w:val="20"/>
          <w:szCs w:val="20"/>
          <w:color w:val="auto"/>
        </w:rPr>
      </w:pPr>
    </w:p>
    <w:p>
      <w:pPr>
        <w:ind w:firstLine="1199"/>
        <w:spacing w:after="0" w:line="299" w:lineRule="auto"/>
        <w:tabs>
          <w:tab w:leader="none" w:pos="1987" w:val="left"/>
        </w:tabs>
        <w:numPr>
          <w:ilvl w:val="0"/>
          <w:numId w:val="513"/>
        </w:numPr>
        <w:rPr>
          <w:rFonts w:ascii="Arial" w:cs="Arial" w:eastAsia="Arial" w:hAnsi="Arial"/>
          <w:sz w:val="19"/>
          <w:szCs w:val="19"/>
          <w:color w:val="auto"/>
        </w:rPr>
      </w:pPr>
      <w:r>
        <w:rPr>
          <w:rFonts w:ascii="Arial" w:cs="Arial" w:eastAsia="Arial" w:hAnsi="Arial"/>
          <w:sz w:val="19"/>
          <w:szCs w:val="19"/>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67" w:lineRule="exact"/>
        <w:rPr>
          <w:rFonts w:ascii="Arial" w:cs="Arial" w:eastAsia="Arial" w:hAnsi="Arial"/>
          <w:sz w:val="19"/>
          <w:szCs w:val="19"/>
          <w:color w:val="auto"/>
        </w:rPr>
      </w:pPr>
    </w:p>
    <w:p>
      <w:pPr>
        <w:jc w:val="both"/>
        <w:ind w:firstLine="1199"/>
        <w:spacing w:after="0" w:line="253" w:lineRule="auto"/>
        <w:tabs>
          <w:tab w:leader="none" w:pos="2043" w:val="left"/>
        </w:tabs>
        <w:numPr>
          <w:ilvl w:val="0"/>
          <w:numId w:val="513"/>
        </w:numPr>
        <w:rPr>
          <w:rFonts w:ascii="Arial" w:cs="Arial" w:eastAsia="Arial" w:hAnsi="Arial"/>
          <w:sz w:val="20"/>
          <w:szCs w:val="20"/>
          <w:color w:val="auto"/>
        </w:rPr>
      </w:pPr>
      <w:r>
        <w:rPr>
          <w:rFonts w:ascii="Arial" w:cs="Arial" w:eastAsia="Arial" w:hAnsi="Arial"/>
          <w:sz w:val="20"/>
          <w:szCs w:val="20"/>
          <w:color w:val="auto"/>
        </w:rPr>
        <w:t>the provisions of this Section shall not be construed to apply to (x) any payment made by or on behalf of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Loans to any assignee or participant, other than an assignment to the REIT, the Borrower or any Affiliate thereof (as to which the provisions of this Section shall apply).</w:t>
      </w:r>
    </w:p>
    <w:p>
      <w:pPr>
        <w:spacing w:after="0" w:line="212" w:lineRule="exact"/>
        <w:rPr>
          <w:sz w:val="20"/>
          <w:szCs w:val="20"/>
          <w:color w:val="auto"/>
        </w:rPr>
      </w:pPr>
    </w:p>
    <w:p>
      <w:pPr>
        <w:jc w:val="both"/>
        <w:ind w:firstLine="599"/>
        <w:spacing w:after="0" w:line="280" w:lineRule="auto"/>
        <w:rPr>
          <w:sz w:val="20"/>
          <w:szCs w:val="20"/>
          <w:color w:val="auto"/>
        </w:rPr>
      </w:pPr>
      <w:r>
        <w:rPr>
          <w:rFonts w:ascii="Arial" w:cs="Arial" w:eastAsia="Arial" w:hAnsi="Arial"/>
          <w:sz w:val="19"/>
          <w:szCs w:val="19"/>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47"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45"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45"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45"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2.17.</w:t>
      </w:r>
      <w:r>
        <w:rPr>
          <w:sz w:val="20"/>
          <w:szCs w:val="20"/>
          <w:color w:val="auto"/>
        </w:rPr>
        <w:tab/>
      </w:r>
      <w:r>
        <w:rPr>
          <w:rFonts w:ascii="Arial" w:cs="Arial" w:eastAsia="Arial" w:hAnsi="Arial"/>
          <w:sz w:val="18"/>
          <w:szCs w:val="18"/>
          <w:u w:val="single" w:color="auto"/>
          <w:color w:val="auto"/>
        </w:rPr>
        <w:t>Increase in Facility</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79" w:lineRule="auto"/>
        <w:tabs>
          <w:tab w:leader="none" w:pos="1046" w:val="left"/>
        </w:tabs>
        <w:numPr>
          <w:ilvl w:val="1"/>
          <w:numId w:val="514"/>
        </w:numPr>
        <w:rPr>
          <w:rFonts w:ascii="Arial" w:cs="Arial" w:eastAsia="Arial" w:hAnsi="Arial"/>
          <w:sz w:val="18"/>
          <w:szCs w:val="18"/>
          <w:color w:val="auto"/>
        </w:rPr>
      </w:pPr>
      <w:r>
        <w:rPr>
          <w:rFonts w:ascii="Arial" w:cs="Arial" w:eastAsia="Arial" w:hAnsi="Arial"/>
          <w:sz w:val="18"/>
          <w:szCs w:val="18"/>
          <w:u w:val="single" w:color="auto"/>
          <w:color w:val="auto"/>
        </w:rPr>
        <w:t>Request for Increase</w:t>
      </w:r>
      <w:r>
        <w:rPr>
          <w:rFonts w:ascii="Arial" w:cs="Arial" w:eastAsia="Arial" w:hAnsi="Arial"/>
          <w:sz w:val="18"/>
          <w:szCs w:val="18"/>
          <w:color w:val="auto"/>
        </w:rPr>
        <w:t xml:space="preserve">. Provided there exists no Default, upon written notice to the Administrative Agent, the Borrower may from time to time request an increase in the Facility by an amount (in the aggregate for all such requests) not exceeding (x) for the period prior to January 9, 2018, $50,000,000 and (y) for the period from and after January 9, 2018, $150,000,000;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request for an increase shall be in a minimum amount of $25,000,000 (or such lesser amount as the Borrower and the Administrative Agent may agree), and</w:t>
      </w:r>
    </w:p>
    <w:p>
      <w:pPr>
        <w:spacing w:after="0" w:line="2" w:lineRule="exact"/>
        <w:rPr>
          <w:rFonts w:ascii="Arial" w:cs="Arial" w:eastAsia="Arial" w:hAnsi="Arial"/>
          <w:sz w:val="18"/>
          <w:szCs w:val="18"/>
          <w:color w:val="auto"/>
        </w:rPr>
      </w:pPr>
    </w:p>
    <w:p>
      <w:pPr>
        <w:jc w:val="both"/>
        <w:spacing w:after="0" w:line="263" w:lineRule="auto"/>
        <w:tabs>
          <w:tab w:leader="none" w:pos="327" w:val="left"/>
        </w:tabs>
        <w:numPr>
          <w:ilvl w:val="0"/>
          <w:numId w:val="515"/>
        </w:numPr>
        <w:rPr>
          <w:rFonts w:ascii="Arial" w:cs="Arial" w:eastAsia="Arial" w:hAnsi="Arial"/>
          <w:sz w:val="19"/>
          <w:szCs w:val="19"/>
          <w:color w:val="auto"/>
        </w:rPr>
      </w:pPr>
      <w:r>
        <w:rPr>
          <w:rFonts w:ascii="Arial" w:cs="Arial" w:eastAsia="Arial" w:hAnsi="Arial"/>
          <w:sz w:val="19"/>
          <w:szCs w:val="19"/>
          <w:color w:val="auto"/>
        </w:rPr>
        <w:t xml:space="preserve">the Borrower may make a maximum of two such requests from and after January 9, 2018. At the time of sending such notice, the Borrower shall specify the identity of each Lender and each Eligible Assignee to whom the Borrower proposes any portion of such increase in the Facility be allocated;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 any existing Lender approached to provide all or a portion of such increase in the Facility may elect or decline, in its sole discretion, to provide all or a portion of such increase in the Facility offered to it (and any Lender that has failed to respond to any such request shall be deemed to have declined to participate in such increase in the Facility), (ii) no Lender or Eligible Assignee providing such increase shall be an Ineligible Institution, (iii) each Lender and Eligible Assignee providing such increase shall be subject to the consent of the Administrative Agent (not to be unreasonably withheld) to the extent an assignment of Term Loans to such Person would require consent of the Administrative Agent under </w:t>
      </w:r>
      <w:r>
        <w:rPr>
          <w:rFonts w:ascii="Arial" w:cs="Arial" w:eastAsia="Arial" w:hAnsi="Arial"/>
          <w:sz w:val="19"/>
          <w:szCs w:val="19"/>
          <w:u w:val="single" w:color="auto"/>
          <w:color w:val="auto"/>
        </w:rPr>
        <w:t>Section</w:t>
      </w:r>
    </w:p>
    <w:p>
      <w:pPr>
        <w:spacing w:after="0" w:line="200" w:lineRule="exact"/>
        <w:rPr>
          <w:sz w:val="20"/>
          <w:szCs w:val="20"/>
          <w:color w:val="auto"/>
        </w:rPr>
      </w:pPr>
    </w:p>
    <w:p>
      <w:pPr>
        <w:spacing w:after="0" w:line="204"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41</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46" w:name="page447"/>
    <w:bookmarkEnd w:id="446"/>
    <w:p>
      <w:pPr>
        <w:jc w:val="both"/>
        <w:spacing w:after="0" w:line="293" w:lineRule="auto"/>
        <w:rPr>
          <w:sz w:val="20"/>
          <w:szCs w:val="20"/>
          <w:color w:val="auto"/>
        </w:rPr>
      </w:pPr>
      <w:r>
        <w:rPr>
          <w:rFonts w:ascii="Arial" w:cs="Arial" w:eastAsia="Arial" w:hAnsi="Arial"/>
          <w:sz w:val="18"/>
          <w:szCs w:val="18"/>
          <w:u w:val="single" w:color="auto"/>
          <w:color w:val="auto"/>
        </w:rPr>
        <w:t>10.06</w:t>
      </w:r>
      <w:r>
        <w:rPr>
          <w:rFonts w:ascii="Arial" w:cs="Arial" w:eastAsia="Arial" w:hAnsi="Arial"/>
          <w:sz w:val="18"/>
          <w:szCs w:val="18"/>
          <w:color w:val="auto"/>
        </w:rPr>
        <w:t xml:space="preserve"> and (iv) any Eligible Assignee providing any portion of such increase in the Facility that is not an existing Lender (such Eligible Assignee, a “</w:t>
      </w:r>
      <w:r>
        <w:rPr>
          <w:rFonts w:ascii="Arial" w:cs="Arial" w:eastAsia="Arial" w:hAnsi="Arial"/>
          <w:sz w:val="18"/>
          <w:szCs w:val="18"/>
          <w:u w:val="single" w:color="auto"/>
          <w:color w:val="auto"/>
        </w:rPr>
        <w:t>New Lender</w:t>
      </w:r>
      <w:r>
        <w:rPr>
          <w:rFonts w:ascii="Arial" w:cs="Arial" w:eastAsia="Arial" w:hAnsi="Arial"/>
          <w:sz w:val="18"/>
          <w:szCs w:val="18"/>
          <w:color w:val="auto"/>
        </w:rPr>
        <w:t>”) shall become a Lender pursuant to a joinder agreement in form and substance reasonably satisfactory to the Administrative Agent and its counsel (a “</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Any increase in the Facility pursuant to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shall be in the form of one or more additional term loans made to the Borrower (any such term loan being referred to herein as an “</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w:t>
      </w:r>
    </w:p>
    <w:p>
      <w:pPr>
        <w:spacing w:after="0" w:line="138" w:lineRule="exact"/>
        <w:rPr>
          <w:sz w:val="20"/>
          <w:szCs w:val="20"/>
          <w:color w:val="auto"/>
        </w:rPr>
      </w:pPr>
    </w:p>
    <w:p>
      <w:pPr>
        <w:jc w:val="both"/>
        <w:ind w:firstLine="599"/>
        <w:spacing w:after="0" w:line="302" w:lineRule="auto"/>
        <w:tabs>
          <w:tab w:leader="none" w:pos="1432" w:val="left"/>
        </w:tabs>
        <w:numPr>
          <w:ilvl w:val="1"/>
          <w:numId w:val="516"/>
        </w:numPr>
        <w:rPr>
          <w:rFonts w:ascii="Arial" w:cs="Arial" w:eastAsia="Arial" w:hAnsi="Arial"/>
          <w:sz w:val="18"/>
          <w:szCs w:val="18"/>
          <w:color w:val="auto"/>
        </w:rPr>
      </w:pPr>
      <w:r>
        <w:rPr>
          <w:rFonts w:ascii="Arial" w:cs="Arial" w:eastAsia="Arial" w:hAnsi="Arial"/>
          <w:sz w:val="18"/>
          <w:szCs w:val="18"/>
          <w:u w:val="single" w:color="auto"/>
          <w:color w:val="auto"/>
        </w:rPr>
        <w:t>Effective Date and Allocations</w:t>
      </w:r>
      <w:r>
        <w:rPr>
          <w:rFonts w:ascii="Arial" w:cs="Arial" w:eastAsia="Arial" w:hAnsi="Arial"/>
          <w:sz w:val="18"/>
          <w:szCs w:val="18"/>
          <w:color w:val="auto"/>
        </w:rPr>
        <w:t>. If the Facility is increased in accordance with this Section, the Administrative Agent and the Borrower shall determine the effective date (the “</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and the final allocation of such increase. The Administrative Agent shall promptly notify the Borrower and the Lenders of the final allocation of such increase and the Increase Effective Date.</w:t>
      </w:r>
    </w:p>
    <w:p>
      <w:pPr>
        <w:spacing w:after="0" w:line="167" w:lineRule="exact"/>
        <w:rPr>
          <w:rFonts w:ascii="Arial" w:cs="Arial" w:eastAsia="Arial" w:hAnsi="Arial"/>
          <w:sz w:val="18"/>
          <w:szCs w:val="18"/>
          <w:color w:val="auto"/>
        </w:rPr>
      </w:pPr>
    </w:p>
    <w:p>
      <w:pPr>
        <w:jc w:val="both"/>
        <w:ind w:firstLine="624"/>
        <w:spacing w:after="0" w:line="276" w:lineRule="auto"/>
        <w:tabs>
          <w:tab w:leader="none" w:pos="1408" w:val="left"/>
        </w:tabs>
        <w:numPr>
          <w:ilvl w:val="2"/>
          <w:numId w:val="516"/>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 of Increase</w:t>
      </w:r>
      <w:r>
        <w:rPr>
          <w:rFonts w:ascii="Arial" w:cs="Arial" w:eastAsia="Arial" w:hAnsi="Arial"/>
          <w:sz w:val="18"/>
          <w:szCs w:val="18"/>
          <w:color w:val="auto"/>
        </w:rPr>
        <w:t xml:space="preserve">. As conditions precedent to such increase, (i) the Borrower shall deliver to the Administrative Agent a certificate of each Loan Party dated as of the Increase Effective Date (in sufficient copies for each Lender) signed by a Responsible Officer of such Loan Party (x) (1) certifying and attaching the resolutions adopted by such Loan Party approving or consenting to such increase or (2) certifying that, as of such Increase Effective Date, the resolutions delivered to the Administrative Agent on the Third Amendment Effective Date included approval to increase the maximum aggregate principal amount of all commitments and outstanding loans under this Agreement to an amount at least equal to $300,000,000 and remain in full force and effect and have not been modified, rescinded or superseded since the date of adoption, and (y) in the case of the Borrower, certifying that, before and after giving effect to such increase, (A) the representations and warranties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the other Loan Documents are true and correct in all material respects on and as of the Increase Effective Date, except to the extent that (1) such representations and warranties specifically refer to an earlier date, in which case they are true and correct in all material respects as of such earlier date, (2) any representation or warranty that is already by its terms qualified as to “materiality”, “Material Adverse Effect” or similar language shall be true and correct in all respects as of such date after giving effect to such qualification and (3) for purposes of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the representations and warranties contained in subsections (a) and (b) of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shall be deemed to refer to the most recent statements furnished pursuant to clauses (a) and (b), respectively,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w:t>
      </w:r>
    </w:p>
    <w:p>
      <w:pPr>
        <w:spacing w:after="0" w:line="6" w:lineRule="exact"/>
        <w:rPr>
          <w:rFonts w:ascii="Arial" w:cs="Arial" w:eastAsia="Arial" w:hAnsi="Arial"/>
          <w:sz w:val="18"/>
          <w:szCs w:val="18"/>
          <w:color w:val="auto"/>
        </w:rPr>
      </w:pPr>
    </w:p>
    <w:p>
      <w:pPr>
        <w:jc w:val="both"/>
        <w:spacing w:after="0" w:line="279" w:lineRule="auto"/>
        <w:tabs>
          <w:tab w:leader="none" w:pos="323" w:val="left"/>
        </w:tabs>
        <w:numPr>
          <w:ilvl w:val="0"/>
          <w:numId w:val="517"/>
        </w:numPr>
        <w:rPr>
          <w:rFonts w:ascii="Arial" w:cs="Arial" w:eastAsia="Arial" w:hAnsi="Arial"/>
          <w:sz w:val="18"/>
          <w:szCs w:val="18"/>
          <w:color w:val="auto"/>
        </w:rPr>
      </w:pPr>
      <w:r>
        <w:rPr>
          <w:rFonts w:ascii="Arial" w:cs="Arial" w:eastAsia="Arial" w:hAnsi="Arial"/>
          <w:sz w:val="18"/>
          <w:szCs w:val="18"/>
          <w:color w:val="auto"/>
        </w:rPr>
        <w:t xml:space="preserve">no Default exists, (ii) the Administrative Agent shall have received (x) a Joinder Agreement for each New Lender, if any, participating in such increase in the Facility, which Joinder Agreement shall be duly executed by the Borrower and such New Lender and acknowledged and consented to (if required) in writing by the Administrative Agent, (y) written confirmation from each existing Lender, if any, participating in such increase of the amount of the Incremental Term Loan that it has committed to make and (z) all fees agreed to by the Borrower and the Administrative Agent with respect to such Incremental Term Loan and required to be paid on or before the Increase Effective Date, (iii) the Administrative Agent shall have received a written notice setting forth the Type of Incremental Term Loans being requested not later than 11:00 a.m. three Business Days prior to the Increase Effective Date (if the Incremental Term Loans requested are Eurodollar Rate Loans), or on the Increase Effective Date (if the Incremental Term Loans requested are Base Rate Loans) and (iv) all of the conditions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shall be satisfied with respect to the funding of such Incremental Term Loans.</w:t>
      </w:r>
    </w:p>
    <w:p>
      <w:pPr>
        <w:spacing w:after="0" w:line="191" w:lineRule="exact"/>
        <w:rPr>
          <w:rFonts w:ascii="Arial" w:cs="Arial" w:eastAsia="Arial" w:hAnsi="Arial"/>
          <w:sz w:val="18"/>
          <w:szCs w:val="18"/>
          <w:color w:val="auto"/>
        </w:rPr>
      </w:pPr>
    </w:p>
    <w:p>
      <w:pPr>
        <w:jc w:val="both"/>
        <w:ind w:firstLine="624"/>
        <w:spacing w:after="0" w:line="253" w:lineRule="auto"/>
        <w:tabs>
          <w:tab w:leader="none" w:pos="1419" w:val="left"/>
        </w:tabs>
        <w:numPr>
          <w:ilvl w:val="2"/>
          <w:numId w:val="517"/>
        </w:numPr>
        <w:rPr>
          <w:rFonts w:ascii="Arial" w:cs="Arial" w:eastAsia="Arial" w:hAnsi="Arial"/>
          <w:sz w:val="20"/>
          <w:szCs w:val="20"/>
          <w:color w:val="auto"/>
        </w:rPr>
      </w:pPr>
      <w:r>
        <w:rPr>
          <w:rFonts w:ascii="Arial" w:cs="Arial" w:eastAsia="Arial" w:hAnsi="Arial"/>
          <w:sz w:val="20"/>
          <w:szCs w:val="20"/>
          <w:u w:val="single" w:color="auto"/>
          <w:color w:val="auto"/>
        </w:rPr>
        <w:t>Funding of Incremental Term Loans</w:t>
      </w:r>
      <w:r>
        <w:rPr>
          <w:rFonts w:ascii="Arial" w:cs="Arial" w:eastAsia="Arial" w:hAnsi="Arial"/>
          <w:sz w:val="20"/>
          <w:szCs w:val="20"/>
          <w:color w:val="auto"/>
        </w:rPr>
        <w:t>. On the Increase Effective Date, each existing Lender participating in such increase and each New Lender shall, subject to the satisfaction of the foregoing terms and conditions, make its Incremental Term Loan to the Borrower. All terms and provisions of the Incremental Term Loans shall be identical to the Term Loans and, unless otherwise expressly provided herein or in the other Loan Documents, all references herein and in the other Loan Documents to “Term Loans” and “Loans” shall include the Incremental Term Loans.</w:t>
      </w:r>
    </w:p>
    <w:p>
      <w:pPr>
        <w:spacing w:after="0" w:line="21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42</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47" w:name="page448"/>
    <w:bookmarkEnd w:id="447"/>
    <w:p>
      <w:pPr>
        <w:ind w:left="1420" w:hanging="821"/>
        <w:spacing w:after="0"/>
        <w:tabs>
          <w:tab w:leader="none" w:pos="1420" w:val="left"/>
        </w:tabs>
        <w:numPr>
          <w:ilvl w:val="0"/>
          <w:numId w:val="518"/>
        </w:numPr>
        <w:rPr>
          <w:rFonts w:ascii="Arial" w:cs="Arial" w:eastAsia="Arial" w:hAnsi="Arial"/>
          <w:sz w:val="20"/>
          <w:szCs w:val="20"/>
          <w:color w:val="auto"/>
        </w:rPr>
      </w:pPr>
      <w:r>
        <w:rPr>
          <w:rFonts w:ascii="Arial" w:cs="Arial" w:eastAsia="Arial" w:hAnsi="Arial"/>
          <w:sz w:val="20"/>
          <w:szCs w:val="20"/>
          <w:u w:val="single" w:color="auto"/>
          <w:color w:val="auto"/>
        </w:rPr>
        <w:t>Conflicting Provisions</w:t>
      </w:r>
      <w:r>
        <w:rPr>
          <w:rFonts w:ascii="Arial" w:cs="Arial" w:eastAsia="Arial" w:hAnsi="Arial"/>
          <w:sz w:val="20"/>
          <w:szCs w:val="20"/>
          <w:color w:val="auto"/>
        </w:rPr>
        <w:t xml:space="preserve">. This Section shall supersede any provisions in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10.01</w:t>
      </w:r>
      <w:r>
        <w:rPr>
          <w:rFonts w:ascii="Arial" w:cs="Arial" w:eastAsia="Arial" w:hAnsi="Arial"/>
          <w:sz w:val="20"/>
          <w:szCs w:val="20"/>
          <w:color w:val="auto"/>
        </w:rPr>
        <w:t xml:space="preserve"> to the contrary.</w:t>
      </w:r>
    </w:p>
    <w:p>
      <w:pPr>
        <w:spacing w:after="0" w:line="244" w:lineRule="exact"/>
        <w:rPr>
          <w:rFonts w:ascii="Arial" w:cs="Arial" w:eastAsia="Arial" w:hAnsi="Arial"/>
          <w:sz w:val="20"/>
          <w:szCs w:val="20"/>
          <w:color w:val="auto"/>
        </w:rPr>
      </w:pPr>
    </w:p>
    <w:p>
      <w:pPr>
        <w:ind w:left="600"/>
        <w:spacing w:after="0"/>
        <w:rPr>
          <w:rFonts w:ascii="Arial" w:cs="Arial" w:eastAsia="Arial" w:hAnsi="Arial"/>
          <w:sz w:val="20"/>
          <w:szCs w:val="20"/>
          <w:color w:val="auto"/>
        </w:rPr>
      </w:pPr>
      <w:r>
        <w:rPr>
          <w:rFonts w:ascii="Arial" w:cs="Arial" w:eastAsia="Arial" w:hAnsi="Arial"/>
          <w:sz w:val="20"/>
          <w:szCs w:val="20"/>
          <w:color w:val="auto"/>
        </w:rPr>
        <w:t>2.18.</w:t>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44" w:lineRule="exact"/>
        <w:rPr>
          <w:rFonts w:ascii="Arial" w:cs="Arial" w:eastAsia="Arial" w:hAnsi="Arial"/>
          <w:sz w:val="20"/>
          <w:szCs w:val="20"/>
          <w:color w:val="auto"/>
        </w:rPr>
      </w:pPr>
    </w:p>
    <w:p>
      <w:pPr>
        <w:ind w:left="600"/>
        <w:spacing w:after="0"/>
        <w:rPr>
          <w:rFonts w:ascii="Arial" w:cs="Arial" w:eastAsia="Arial" w:hAnsi="Arial"/>
          <w:sz w:val="20"/>
          <w:szCs w:val="20"/>
          <w:color w:val="auto"/>
        </w:rPr>
      </w:pPr>
      <w:r>
        <w:rPr>
          <w:rFonts w:ascii="Arial" w:cs="Arial" w:eastAsia="Arial" w:hAnsi="Arial"/>
          <w:sz w:val="20"/>
          <w:szCs w:val="20"/>
          <w:color w:val="auto"/>
        </w:rPr>
        <w:t>2.19.</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245" w:lineRule="exact"/>
        <w:rPr>
          <w:sz w:val="20"/>
          <w:szCs w:val="20"/>
          <w:color w:val="auto"/>
        </w:rPr>
      </w:pPr>
    </w:p>
    <w:p>
      <w:pPr>
        <w:ind w:firstLine="599"/>
        <w:spacing w:after="0" w:line="299" w:lineRule="auto"/>
        <w:tabs>
          <w:tab w:leader="none" w:pos="1421" w:val="left"/>
        </w:tabs>
        <w:numPr>
          <w:ilvl w:val="0"/>
          <w:numId w:val="519"/>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67" w:lineRule="exact"/>
        <w:rPr>
          <w:rFonts w:ascii="Arial" w:cs="Arial" w:eastAsia="Arial" w:hAnsi="Arial"/>
          <w:sz w:val="19"/>
          <w:szCs w:val="19"/>
          <w:color w:val="auto"/>
        </w:rPr>
      </w:pPr>
    </w:p>
    <w:p>
      <w:pPr>
        <w:ind w:firstLine="1199"/>
        <w:spacing w:after="0" w:line="299" w:lineRule="auto"/>
        <w:tabs>
          <w:tab w:leader="none" w:pos="1987" w:val="left"/>
        </w:tabs>
        <w:numPr>
          <w:ilvl w:val="1"/>
          <w:numId w:val="519"/>
        </w:numPr>
        <w:rPr>
          <w:rFonts w:ascii="Arial" w:cs="Arial" w:eastAsia="Arial" w:hAnsi="Arial"/>
          <w:sz w:val="19"/>
          <w:szCs w:val="19"/>
          <w:color w:val="auto"/>
        </w:rPr>
      </w:pPr>
      <w:r>
        <w:rPr>
          <w:rFonts w:ascii="Arial" w:cs="Arial" w:eastAsia="Arial" w:hAnsi="Arial"/>
          <w:sz w:val="19"/>
          <w:szCs w:val="19"/>
          <w:u w:val="single" w:color="auto"/>
          <w:color w:val="auto"/>
        </w:rPr>
        <w:t>Waivers and Amendments</w:t>
      </w:r>
      <w:r>
        <w:rPr>
          <w:rFonts w:ascii="Arial" w:cs="Arial" w:eastAsia="Arial" w:hAnsi="Arial"/>
          <w:sz w:val="19"/>
          <w:szCs w:val="19"/>
          <w:color w:val="auto"/>
        </w:rPr>
        <w:t xml:space="preserve">. That Defaulting Lender’s right to approve or disapprove any amendment, waiver or consent with respect to this Agreement shall be restricted as set forth in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and in the definition of “Required Lenders.”</w:t>
      </w:r>
    </w:p>
    <w:p>
      <w:pPr>
        <w:spacing w:after="0" w:line="167" w:lineRule="exact"/>
        <w:rPr>
          <w:rFonts w:ascii="Arial" w:cs="Arial" w:eastAsia="Arial" w:hAnsi="Arial"/>
          <w:sz w:val="19"/>
          <w:szCs w:val="19"/>
          <w:color w:val="auto"/>
        </w:rPr>
      </w:pPr>
    </w:p>
    <w:p>
      <w:pPr>
        <w:jc w:val="both"/>
        <w:ind w:firstLine="1199"/>
        <w:spacing w:after="0" w:line="278" w:lineRule="auto"/>
        <w:tabs>
          <w:tab w:leader="none" w:pos="2043" w:val="left"/>
        </w:tabs>
        <w:numPr>
          <w:ilvl w:val="1"/>
          <w:numId w:val="519"/>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 or received by the Administrative Agent from a Defaulting Lender pursuant to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shall be applied at such time or times as may be determined by the Administrative Agent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i w:val="1"/>
          <w:iCs w:val="1"/>
          <w:color w:val="auto"/>
        </w:rPr>
        <w:t>second</w:t>
      </w:r>
      <w:r>
        <w:rPr>
          <w:rFonts w:ascii="Arial" w:cs="Arial" w:eastAsia="Arial" w:hAnsi="Arial"/>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8"/>
          <w:szCs w:val="18"/>
          <w:i w:val="1"/>
          <w:iCs w:val="1"/>
          <w:color w:val="auto"/>
        </w:rPr>
        <w:t>third</w:t>
      </w:r>
      <w:r>
        <w:rPr>
          <w:rFonts w:ascii="Arial" w:cs="Arial" w:eastAsia="Arial" w:hAnsi="Arial"/>
          <w:sz w:val="18"/>
          <w:szCs w:val="18"/>
          <w:color w:val="auto"/>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Arial" w:cs="Arial" w:eastAsia="Arial" w:hAnsi="Arial"/>
          <w:sz w:val="18"/>
          <w:szCs w:val="18"/>
          <w:i w:val="1"/>
          <w:iCs w:val="1"/>
          <w:color w:val="auto"/>
        </w:rPr>
        <w:t>fourth</w:t>
      </w:r>
      <w:r>
        <w:rPr>
          <w:rFonts w:ascii="Arial" w:cs="Arial" w:eastAsia="Arial" w:hAnsi="Arial"/>
          <w:sz w:val="18"/>
          <w:szCs w:val="18"/>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8"/>
          <w:szCs w:val="18"/>
          <w:i w:val="1"/>
          <w:iCs w:val="1"/>
          <w:color w:val="auto"/>
        </w:rPr>
        <w:t>fifth</w:t>
      </w:r>
      <w:r>
        <w:rPr>
          <w:rFonts w:ascii="Arial" w:cs="Arial" w:eastAsia="Arial" w:hAnsi="Arial"/>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8"/>
          <w:szCs w:val="18"/>
          <w:i w:val="1"/>
          <w:iCs w:val="1"/>
          <w:color w:val="auto"/>
        </w:rPr>
        <w:t>sixth</w:t>
      </w:r>
      <w:r>
        <w:rPr>
          <w:rFonts w:ascii="Arial" w:cs="Arial" w:eastAsia="Arial" w:hAnsi="Arial"/>
          <w:sz w:val="18"/>
          <w:szCs w:val="18"/>
          <w:color w:val="auto"/>
        </w:rPr>
        <w:t xml:space="preserve">, to such Defaulting Lender or as otherwise directed by a court of competent jurisdiction; provided that if such payment is a payment of the principal amount of any Loans in respect of which such Defaulting Lender has not fully funded its appropriate share, such payment shall be applied solely to pay the Loans of all Non-Defaulting Lenders on a pro rata basis prior to being applied to the payment of any Loans of such Defaulting Lender until such time as all Loans are held by the Appropriate Lenders pro rata in accordance with the applicable Commitments hereunder. Any payments, prepayments or other amounts paid or payable to a Defaulting Lender that are applied (or held) to pay amounts owed by a Defaulting Lender pursuant to this </w:t>
      </w:r>
      <w:r>
        <w:rPr>
          <w:rFonts w:ascii="Arial" w:cs="Arial" w:eastAsia="Arial" w:hAnsi="Arial"/>
          <w:sz w:val="18"/>
          <w:szCs w:val="18"/>
          <w:u w:val="single" w:color="auto"/>
          <w:color w:val="auto"/>
        </w:rPr>
        <w:t>Section 2.19(a)(ii)</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190" w:lineRule="exact"/>
        <w:rPr>
          <w:rFonts w:ascii="Arial" w:cs="Arial" w:eastAsia="Arial" w:hAnsi="Arial"/>
          <w:sz w:val="18"/>
          <w:szCs w:val="18"/>
          <w:color w:val="auto"/>
        </w:rPr>
      </w:pPr>
    </w:p>
    <w:p>
      <w:pPr>
        <w:ind w:left="2100" w:hanging="901"/>
        <w:spacing w:after="0"/>
        <w:tabs>
          <w:tab w:leader="none" w:pos="2100" w:val="left"/>
        </w:tabs>
        <w:numPr>
          <w:ilvl w:val="1"/>
          <w:numId w:val="519"/>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w:t>
      </w:r>
    </w:p>
    <w:p>
      <w:pPr>
        <w:spacing w:after="0" w:line="245" w:lineRule="exact"/>
        <w:rPr>
          <w:sz w:val="20"/>
          <w:szCs w:val="20"/>
          <w:color w:val="auto"/>
        </w:rPr>
      </w:pPr>
    </w:p>
    <w:p>
      <w:pPr>
        <w:jc w:val="both"/>
        <w:ind w:left="600" w:firstLine="599"/>
        <w:spacing w:after="0" w:line="260" w:lineRule="auto"/>
        <w:tabs>
          <w:tab w:leader="none" w:pos="2076" w:val="left"/>
        </w:tabs>
        <w:numPr>
          <w:ilvl w:val="0"/>
          <w:numId w:val="520"/>
        </w:numPr>
        <w:rPr>
          <w:rFonts w:ascii="Arial" w:cs="Arial" w:eastAsia="Arial" w:hAnsi="Arial"/>
          <w:sz w:val="20"/>
          <w:szCs w:val="20"/>
          <w:color w:val="auto"/>
        </w:rPr>
      </w:pPr>
      <w:r>
        <w:rPr>
          <w:rFonts w:ascii="Arial" w:cs="Arial" w:eastAsia="Arial" w:hAnsi="Arial"/>
          <w:sz w:val="20"/>
          <w:szCs w:val="20"/>
          <w:color w:val="auto"/>
        </w:rPr>
        <w:t xml:space="preserve">No Lender that is a Defaulting Lender shall be entitled to receive any fee payable under </w:t>
      </w:r>
      <w:r>
        <w:rPr>
          <w:rFonts w:ascii="Arial" w:cs="Arial" w:eastAsia="Arial" w:hAnsi="Arial"/>
          <w:sz w:val="20"/>
          <w:szCs w:val="20"/>
          <w:u w:val="single" w:color="auto"/>
          <w:color w:val="auto"/>
        </w:rPr>
        <w:t>Section 2.09(a)</w:t>
      </w:r>
      <w:r>
        <w:rPr>
          <w:rFonts w:ascii="Arial" w:cs="Arial" w:eastAsia="Arial" w:hAnsi="Arial"/>
          <w:sz w:val="20"/>
          <w:szCs w:val="20"/>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200" w:lineRule="exact"/>
        <w:rPr>
          <w:sz w:val="20"/>
          <w:szCs w:val="20"/>
          <w:color w:val="auto"/>
        </w:rPr>
      </w:pPr>
    </w:p>
    <w:p>
      <w:pPr>
        <w:spacing w:after="0" w:line="239"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43</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48" w:name="page449"/>
    <w:bookmarkEnd w:id="448"/>
    <w:p>
      <w:pPr>
        <w:ind w:left="600" w:firstLine="599"/>
        <w:spacing w:after="0" w:line="272" w:lineRule="auto"/>
        <w:tabs>
          <w:tab w:leader="none" w:pos="2065" w:val="left"/>
        </w:tabs>
        <w:numPr>
          <w:ilvl w:val="1"/>
          <w:numId w:val="521"/>
        </w:numPr>
        <w:rPr>
          <w:rFonts w:ascii="Arial" w:cs="Arial" w:eastAsia="Arial" w:hAnsi="Arial"/>
          <w:sz w:val="20"/>
          <w:szCs w:val="20"/>
          <w:color w:val="auto"/>
        </w:rPr>
      </w:pPr>
      <w:r>
        <w:rPr>
          <w:rFonts w:ascii="Arial" w:cs="Arial" w:eastAsia="Arial" w:hAnsi="Arial"/>
          <w:sz w:val="20"/>
          <w:szCs w:val="20"/>
          <w:color w:val="auto"/>
        </w:rPr>
        <w:t xml:space="preserve">With respect to any fee payable under </w:t>
      </w:r>
      <w:r>
        <w:rPr>
          <w:rFonts w:ascii="Arial" w:cs="Arial" w:eastAsia="Arial" w:hAnsi="Arial"/>
          <w:sz w:val="20"/>
          <w:szCs w:val="20"/>
          <w:u w:val="single" w:color="auto"/>
          <w:color w:val="auto"/>
        </w:rPr>
        <w:t>Section 2.09(a)</w:t>
      </w:r>
      <w:r>
        <w:rPr>
          <w:rFonts w:ascii="Arial" w:cs="Arial" w:eastAsia="Arial" w:hAnsi="Arial"/>
          <w:sz w:val="20"/>
          <w:szCs w:val="20"/>
          <w:color w:val="auto"/>
        </w:rPr>
        <w:t xml:space="preserve"> not required to be paid to any Defaulting Lender pursuant to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above, the Borrower shall not be required to pay the remaining amount of any such fee.</w:t>
      </w:r>
    </w:p>
    <w:p>
      <w:pPr>
        <w:spacing w:after="0" w:line="190" w:lineRule="exact"/>
        <w:rPr>
          <w:rFonts w:ascii="Arial" w:cs="Arial" w:eastAsia="Arial" w:hAnsi="Arial"/>
          <w:sz w:val="20"/>
          <w:szCs w:val="20"/>
          <w:color w:val="auto"/>
        </w:rPr>
      </w:pPr>
    </w:p>
    <w:p>
      <w:pPr>
        <w:jc w:val="both"/>
        <w:ind w:firstLine="599"/>
        <w:spacing w:after="0" w:line="251" w:lineRule="auto"/>
        <w:tabs>
          <w:tab w:leader="none" w:pos="1432" w:val="left"/>
        </w:tabs>
        <w:numPr>
          <w:ilvl w:val="0"/>
          <w:numId w:val="522"/>
        </w:numPr>
        <w:rPr>
          <w:rFonts w:ascii="Arial" w:cs="Arial" w:eastAsia="Arial" w:hAnsi="Arial"/>
          <w:sz w:val="20"/>
          <w:szCs w:val="20"/>
          <w:color w:val="auto"/>
        </w:rPr>
      </w:pPr>
      <w:r>
        <w:rPr>
          <w:rFonts w:ascii="Arial" w:cs="Arial" w:eastAsia="Arial" w:hAnsi="Arial"/>
          <w:sz w:val="20"/>
          <w:szCs w:val="20"/>
          <w:u w:val="single" w:color="auto"/>
          <w:color w:val="auto"/>
        </w:rPr>
        <w:t>Defaulting Lender Cure</w:t>
      </w:r>
      <w:r>
        <w:rPr>
          <w:rFonts w:ascii="Arial" w:cs="Arial" w:eastAsia="Arial" w:hAnsi="Arial"/>
          <w:sz w:val="20"/>
          <w:szCs w:val="20"/>
          <w:color w:val="auto"/>
        </w:rPr>
        <w:t xml:space="preserve">. If the Borrower and the Administrative Agent agree in writing in their sole discretion that a Lender is no longer a Defaulting Lender, the Administrative Agent will so notify the parties hereto, whereupon as of the effective date specified in such notice and subject to any conditions set forth therein, such Lender shall no longer be a Defaulting Lender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TAXES, YIELD PROTECTION AND ILLEGALITY</w:t>
      </w:r>
    </w:p>
    <w:p>
      <w:pPr>
        <w:spacing w:after="0" w:line="229"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3.01.</w:t>
      </w:r>
      <w:r>
        <w:rPr>
          <w:sz w:val="20"/>
          <w:szCs w:val="20"/>
          <w:color w:val="auto"/>
        </w:rPr>
        <w:tab/>
      </w:r>
      <w:r>
        <w:rPr>
          <w:rFonts w:ascii="Arial" w:cs="Arial" w:eastAsia="Arial" w:hAnsi="Arial"/>
          <w:sz w:val="16"/>
          <w:szCs w:val="16"/>
          <w:u w:val="single" w:color="auto"/>
          <w:color w:val="auto"/>
        </w:rPr>
        <w:t>Taxes</w:t>
      </w:r>
    </w:p>
    <w:p>
      <w:pPr>
        <w:spacing w:after="0" w:line="245" w:lineRule="exact"/>
        <w:rPr>
          <w:sz w:val="20"/>
          <w:szCs w:val="20"/>
          <w:color w:val="auto"/>
        </w:rPr>
      </w:pPr>
    </w:p>
    <w:p>
      <w:pPr>
        <w:jc w:val="both"/>
        <w:ind w:firstLine="599"/>
        <w:spacing w:after="0" w:line="252" w:lineRule="auto"/>
        <w:tabs>
          <w:tab w:leader="none" w:pos="1421" w:val="left"/>
        </w:tabs>
        <w:numPr>
          <w:ilvl w:val="0"/>
          <w:numId w:val="523"/>
        </w:numPr>
        <w:rPr>
          <w:rFonts w:ascii="Arial" w:cs="Arial" w:eastAsia="Arial" w:hAnsi="Arial"/>
          <w:sz w:val="20"/>
          <w:szCs w:val="20"/>
          <w:color w:val="auto"/>
        </w:rPr>
      </w:pPr>
      <w:r>
        <w:rPr>
          <w:rFonts w:ascii="Arial" w:cs="Arial" w:eastAsia="Arial" w:hAnsi="Arial"/>
          <w:sz w:val="20"/>
          <w:szCs w:val="20"/>
          <w:u w:val="single" w:color="auto"/>
          <w:color w:val="auto"/>
        </w:rPr>
        <w:t>Payments Free of Taxes; Obligation to Withhold; Payments on Account of Taxes</w:t>
      </w:r>
      <w:r>
        <w:rPr>
          <w:rFonts w:ascii="Arial" w:cs="Arial" w:eastAsia="Arial" w:hAnsi="Arial"/>
          <w:sz w:val="20"/>
          <w:szCs w:val="20"/>
          <w:color w:val="auto"/>
        </w:rPr>
        <w:t xml:space="preserve">. (i) Any and all payments by or on account of any obligation of any Loan Party hereunder or under any Loan Document shall be made without deduction or withholding for any Taxes, except as required by applicable Laws. If any applicable Laws (as determined in the good faith discretion of the Withholding Agent) require the deduction or withholding of any Tax from any such payment by the Withholding Agent, then such Withholding Agent shall be entitled to make such deduction or withholding in accordance with applicable law and upon the basis of the information and documentation to be delivered pursuant to </w:t>
      </w:r>
      <w:r>
        <w:rPr>
          <w:rFonts w:ascii="Arial" w:cs="Arial" w:eastAsia="Arial" w:hAnsi="Arial"/>
          <w:sz w:val="20"/>
          <w:szCs w:val="20"/>
          <w:u w:val="single" w:color="auto"/>
          <w:color w:val="auto"/>
        </w:rPr>
        <w:t>subsection (e)</w:t>
      </w:r>
      <w:r>
        <w:rPr>
          <w:rFonts w:ascii="Arial" w:cs="Arial" w:eastAsia="Arial" w:hAnsi="Arial"/>
          <w:sz w:val="20"/>
          <w:szCs w:val="20"/>
          <w:color w:val="auto"/>
        </w:rPr>
        <w:t xml:space="preserve"> below.</w:t>
      </w:r>
    </w:p>
    <w:p>
      <w:pPr>
        <w:spacing w:after="0" w:line="212" w:lineRule="exact"/>
        <w:rPr>
          <w:rFonts w:ascii="Arial" w:cs="Arial" w:eastAsia="Arial" w:hAnsi="Arial"/>
          <w:sz w:val="20"/>
          <w:szCs w:val="20"/>
          <w:color w:val="auto"/>
        </w:rPr>
      </w:pPr>
    </w:p>
    <w:p>
      <w:pPr>
        <w:jc w:val="both"/>
        <w:ind w:firstLine="1199"/>
        <w:spacing w:after="0" w:line="282" w:lineRule="auto"/>
        <w:tabs>
          <w:tab w:leader="none" w:pos="1987" w:val="left"/>
        </w:tabs>
        <w:numPr>
          <w:ilvl w:val="1"/>
          <w:numId w:val="523"/>
        </w:numPr>
        <w:rPr>
          <w:rFonts w:ascii="Arial" w:cs="Arial" w:eastAsia="Arial" w:hAnsi="Arial"/>
          <w:sz w:val="18"/>
          <w:szCs w:val="18"/>
          <w:color w:val="auto"/>
        </w:rPr>
      </w:pPr>
      <w:r>
        <w:rPr>
          <w:rFonts w:ascii="Arial" w:cs="Arial" w:eastAsia="Arial" w:hAnsi="Arial"/>
          <w:sz w:val="18"/>
          <w:szCs w:val="18"/>
          <w:color w:val="auto"/>
        </w:rPr>
        <w:t xml:space="preserve">If any Withholding Agent shall be required by any applicable Laws to withhold or deduct any Taxes from any payment, then (A) such Withholding Agent, as required by such Laws, shall withhold or make such deductions as are determined by it to be required in accordance with applicable Law and based upon the information and documentation it has received pursuant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below, (B) such Withholding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applicable Recipient receives an amount equal to the sum it would have received had no such withholding or deduction been made.</w:t>
      </w:r>
    </w:p>
    <w:p>
      <w:pPr>
        <w:spacing w:after="0" w:line="190" w:lineRule="exact"/>
        <w:rPr>
          <w:rFonts w:ascii="Arial" w:cs="Arial" w:eastAsia="Arial" w:hAnsi="Arial"/>
          <w:sz w:val="18"/>
          <w:szCs w:val="18"/>
          <w:color w:val="auto"/>
        </w:rPr>
      </w:pPr>
    </w:p>
    <w:p>
      <w:pPr>
        <w:jc w:val="both"/>
        <w:ind w:firstLine="599"/>
        <w:spacing w:after="0" w:line="260" w:lineRule="auto"/>
        <w:tabs>
          <w:tab w:leader="none" w:pos="1432" w:val="left"/>
        </w:tabs>
        <w:numPr>
          <w:ilvl w:val="0"/>
          <w:numId w:val="523"/>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Loan Parties</w:t>
      </w:r>
      <w:r>
        <w:rPr>
          <w:rFonts w:ascii="Arial" w:cs="Arial" w:eastAsia="Arial" w:hAnsi="Arial"/>
          <w:sz w:val="20"/>
          <w:szCs w:val="20"/>
          <w:color w:val="auto"/>
        </w:rPr>
        <w:t xml:space="preserve">. Without limiting the provisions of </w:t>
      </w:r>
      <w:r>
        <w:rPr>
          <w:rFonts w:ascii="Arial" w:cs="Arial" w:eastAsia="Arial" w:hAnsi="Arial"/>
          <w:sz w:val="20"/>
          <w:szCs w:val="20"/>
          <w:u w:val="single" w:color="auto"/>
          <w:color w:val="auto"/>
        </w:rPr>
        <w:t>subsection (a)</w:t>
      </w:r>
      <w:r>
        <w:rPr>
          <w:rFonts w:ascii="Arial" w:cs="Arial" w:eastAsia="Arial" w:hAnsi="Arial"/>
          <w:sz w:val="20"/>
          <w:szCs w:val="20"/>
          <w:color w:val="auto"/>
        </w:rPr>
        <w:t xml:space="preserve"> above, the relevant Loan Party shall timely pay to the relevant Governmental Authority in accordance with applicable law, or at the option of the Administrative Agent timely reimburse it for the payment of, any Other Taxes.</w:t>
      </w:r>
    </w:p>
    <w:p>
      <w:pPr>
        <w:spacing w:after="0" w:line="201" w:lineRule="exact"/>
        <w:rPr>
          <w:rFonts w:ascii="Arial" w:cs="Arial" w:eastAsia="Arial" w:hAnsi="Arial"/>
          <w:sz w:val="20"/>
          <w:szCs w:val="20"/>
          <w:color w:val="auto"/>
        </w:rPr>
      </w:pPr>
    </w:p>
    <w:p>
      <w:pPr>
        <w:jc w:val="both"/>
        <w:ind w:firstLine="599"/>
        <w:spacing w:after="0" w:line="270" w:lineRule="auto"/>
        <w:tabs>
          <w:tab w:leader="none" w:pos="1421" w:val="left"/>
        </w:tabs>
        <w:numPr>
          <w:ilvl w:val="0"/>
          <w:numId w:val="523"/>
        </w:numPr>
        <w:rPr>
          <w:rFonts w:ascii="Arial" w:cs="Arial" w:eastAsia="Arial" w:hAnsi="Arial"/>
          <w:sz w:val="19"/>
          <w:szCs w:val="19"/>
          <w:color w:val="auto"/>
        </w:rPr>
      </w:pPr>
      <w:r>
        <w:rPr>
          <w:rFonts w:ascii="Arial" w:cs="Arial" w:eastAsia="Arial" w:hAnsi="Arial"/>
          <w:sz w:val="19"/>
          <w:szCs w:val="19"/>
          <w:u w:val="single" w:color="auto"/>
          <w:color w:val="auto"/>
        </w:rPr>
        <w:t>Tax Indemnifications</w:t>
      </w:r>
      <w:r>
        <w:rPr>
          <w:rFonts w:ascii="Arial" w:cs="Arial" w:eastAsia="Arial" w:hAnsi="Arial"/>
          <w:sz w:val="19"/>
          <w:szCs w:val="19"/>
          <w:color w:val="auto"/>
        </w:rPr>
        <w:t xml:space="preserve">. (i) The Borrower shall, and does hereby, indemnify each Recipient, and shall make payment in respect thereof within 10 days after demand therefor, for the full amount of any Indemnified Taxes (including Indemnified Taxes imposed or asserted on or attributable to amounts payable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w:t>
      </w:r>
    </w:p>
    <w:p>
      <w:pPr>
        <w:spacing w:after="0" w:line="19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44</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49" w:name="page450"/>
    <w:bookmarkEnd w:id="449"/>
    <w:p>
      <w:pPr>
        <w:jc w:val="both"/>
        <w:spacing w:after="0" w:line="253" w:lineRule="auto"/>
        <w:rPr>
          <w:sz w:val="20"/>
          <w:szCs w:val="20"/>
          <w:color w:val="auto"/>
        </w:rPr>
      </w:pPr>
      <w:r>
        <w:rPr>
          <w:rFonts w:ascii="Arial" w:cs="Arial" w:eastAsia="Arial" w:hAnsi="Arial"/>
          <w:sz w:val="20"/>
          <w:szCs w:val="20"/>
          <w:color w:val="auto"/>
        </w:rPr>
        <w:t xml:space="preserve">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The Borrower shall, and does hereby, indemnify the Administrative Agent, and shall make payment in respect thereof within 10 days after demand therefor, for any amount which a Lender for any reason fails to pay indefeasibly to the Administrative Agent as required pursuant to </w:t>
      </w:r>
      <w:r>
        <w:rPr>
          <w:rFonts w:ascii="Arial" w:cs="Arial" w:eastAsia="Arial" w:hAnsi="Arial"/>
          <w:sz w:val="20"/>
          <w:szCs w:val="20"/>
          <w:u w:val="single" w:color="auto"/>
          <w:color w:val="auto"/>
        </w:rPr>
        <w:t>Section 3.01(c)(ii)</w:t>
      </w:r>
      <w:r>
        <w:rPr>
          <w:rFonts w:ascii="Arial" w:cs="Arial" w:eastAsia="Arial" w:hAnsi="Arial"/>
          <w:sz w:val="20"/>
          <w:szCs w:val="20"/>
          <w:color w:val="auto"/>
        </w:rPr>
        <w:t xml:space="preserve"> below.</w:t>
      </w:r>
    </w:p>
    <w:p>
      <w:pPr>
        <w:spacing w:after="0" w:line="212" w:lineRule="exact"/>
        <w:rPr>
          <w:sz w:val="20"/>
          <w:szCs w:val="20"/>
          <w:color w:val="auto"/>
        </w:rPr>
      </w:pPr>
    </w:p>
    <w:p>
      <w:pPr>
        <w:jc w:val="both"/>
        <w:ind w:firstLine="1199"/>
        <w:spacing w:after="0" w:line="280" w:lineRule="auto"/>
        <w:tabs>
          <w:tab w:leader="none" w:pos="2043" w:val="left"/>
        </w:tabs>
        <w:numPr>
          <w:ilvl w:val="1"/>
          <w:numId w:val="524"/>
        </w:numPr>
        <w:rPr>
          <w:rFonts w:ascii="Arial" w:cs="Arial" w:eastAsia="Arial" w:hAnsi="Arial"/>
          <w:sz w:val="18"/>
          <w:szCs w:val="18"/>
          <w:color w:val="auto"/>
        </w:rPr>
      </w:pPr>
      <w:r>
        <w:rPr>
          <w:rFonts w:ascii="Arial" w:cs="Arial" w:eastAsia="Arial" w:hAnsi="Arial"/>
          <w:sz w:val="18"/>
          <w:szCs w:val="18"/>
          <w:color w:val="auto"/>
        </w:rPr>
        <w:t xml:space="preserve">Each Lender shall, and does hereby, severally indemnify, and shall make payment in respect thereof within 10 days after demand therefor, (x) the Administrative Agent against any Indemnified Taxes attributable to such Lender (but only to the extent that the Borrower has not already indemnified the Administrative Agent for such Indemnified Taxes and without limiting the obligation of the Borrower to do so), (y) the Administrative Agent and the Borrower, as applicable, against any Taxes attributable to such Lender’s failure to comply with the provisions of </w:t>
      </w:r>
      <w:r>
        <w:rPr>
          <w:rFonts w:ascii="Arial" w:cs="Arial" w:eastAsia="Arial" w:hAnsi="Arial"/>
          <w:sz w:val="18"/>
          <w:szCs w:val="18"/>
          <w:u w:val="single" w:color="auto"/>
          <w:color w:val="auto"/>
        </w:rPr>
        <w:t>Section 10.06(d)</w:t>
      </w:r>
      <w:r>
        <w:rPr>
          <w:rFonts w:ascii="Arial" w:cs="Arial" w:eastAsia="Arial" w:hAnsi="Arial"/>
          <w:sz w:val="18"/>
          <w:szCs w:val="18"/>
          <w:color w:val="auto"/>
        </w:rPr>
        <w:t xml:space="preserve"> relating to the maintenance of a Participant Register and (z) the Administrative Agent and the Borrower, as applicable, against any Excluded Taxes attributable to such Lender that are payable or paid by the Administrative Agent or the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w:t>
      </w:r>
      <w:r>
        <w:rPr>
          <w:rFonts w:ascii="Arial" w:cs="Arial" w:eastAsia="Arial" w:hAnsi="Arial"/>
          <w:sz w:val="18"/>
          <w:szCs w:val="18"/>
          <w:u w:val="single" w:color="auto"/>
          <w:color w:val="auto"/>
        </w:rPr>
        <w:t>clause (ii)</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jc w:val="both"/>
        <w:ind w:firstLine="599"/>
        <w:spacing w:after="0" w:line="288" w:lineRule="auto"/>
        <w:tabs>
          <w:tab w:leader="none" w:pos="1432" w:val="left"/>
        </w:tabs>
        <w:numPr>
          <w:ilvl w:val="0"/>
          <w:numId w:val="525"/>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Upon request by the Borrower or the Administrative Agent, as the case may be, after any payment of Taxes by the Borrower or by the Administrative Agent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81" w:lineRule="exact"/>
        <w:rPr>
          <w:rFonts w:ascii="Arial" w:cs="Arial" w:eastAsia="Arial" w:hAnsi="Arial"/>
          <w:sz w:val="18"/>
          <w:szCs w:val="18"/>
          <w:color w:val="auto"/>
        </w:rPr>
      </w:pPr>
    </w:p>
    <w:p>
      <w:pPr>
        <w:ind w:left="1420" w:hanging="821"/>
        <w:spacing w:after="0"/>
        <w:tabs>
          <w:tab w:leader="none" w:pos="1420" w:val="left"/>
        </w:tabs>
        <w:numPr>
          <w:ilvl w:val="0"/>
          <w:numId w:val="525"/>
        </w:numPr>
        <w:rPr>
          <w:rFonts w:ascii="Arial" w:cs="Arial" w:eastAsia="Arial" w:hAnsi="Arial"/>
          <w:sz w:val="20"/>
          <w:szCs w:val="20"/>
          <w:color w:val="auto"/>
        </w:rPr>
      </w:pPr>
      <w:r>
        <w:rPr>
          <w:rFonts w:ascii="Arial" w:cs="Arial" w:eastAsia="Arial" w:hAnsi="Arial"/>
          <w:sz w:val="20"/>
          <w:szCs w:val="20"/>
          <w:u w:val="single" w:color="auto"/>
          <w:color w:val="auto"/>
        </w:rPr>
        <w:t>Status of Lenders; Tax Documentation.</w:t>
      </w:r>
    </w:p>
    <w:p>
      <w:pPr>
        <w:spacing w:after="0" w:line="244" w:lineRule="exact"/>
        <w:rPr>
          <w:rFonts w:ascii="Arial" w:cs="Arial" w:eastAsia="Arial" w:hAnsi="Arial"/>
          <w:sz w:val="20"/>
          <w:szCs w:val="20"/>
          <w:color w:val="auto"/>
        </w:rPr>
      </w:pPr>
    </w:p>
    <w:p>
      <w:pPr>
        <w:jc w:val="both"/>
        <w:ind w:firstLine="1199"/>
        <w:spacing w:after="0" w:line="264" w:lineRule="auto"/>
        <w:tabs>
          <w:tab w:leader="none" w:pos="1987" w:val="left"/>
        </w:tabs>
        <w:numPr>
          <w:ilvl w:val="1"/>
          <w:numId w:val="525"/>
        </w:numPr>
        <w:rPr>
          <w:rFonts w:ascii="Arial" w:cs="Arial" w:eastAsia="Arial" w:hAnsi="Arial"/>
          <w:sz w:val="19"/>
          <w:szCs w:val="19"/>
          <w:color w:val="auto"/>
        </w:rPr>
      </w:pPr>
      <w:r>
        <w:rPr>
          <w:rFonts w:ascii="Arial" w:cs="Arial" w:eastAsia="Arial" w:hAnsi="Arial"/>
          <w:sz w:val="19"/>
          <w:szCs w:val="19"/>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9"/>
          <w:szCs w:val="19"/>
          <w:u w:val="single" w:color="auto"/>
          <w:color w:val="auto"/>
        </w:rPr>
        <w:t>Section 3.01(e)(ii)(A)</w:t>
      </w:r>
      <w:r>
        <w:rPr>
          <w:rFonts w:ascii="Arial" w:cs="Arial" w:eastAsia="Arial" w:hAnsi="Arial"/>
          <w:sz w:val="19"/>
          <w:szCs w:val="19"/>
          <w:color w:val="auto"/>
        </w:rPr>
        <w:t xml:space="preserve">, </w:t>
      </w:r>
      <w:r>
        <w:rPr>
          <w:rFonts w:ascii="Arial" w:cs="Arial" w:eastAsia="Arial" w:hAnsi="Arial"/>
          <w:sz w:val="19"/>
          <w:szCs w:val="19"/>
          <w:u w:val="single" w:color="auto"/>
          <w:color w:val="auto"/>
        </w:rPr>
        <w:t>(ii)(B)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(ii)(D)</w:t>
      </w:r>
      <w:r>
        <w:rPr>
          <w:rFonts w:ascii="Arial" w:cs="Arial" w:eastAsia="Arial" w:hAnsi="Arial"/>
          <w:sz w:val="19"/>
          <w:szCs w:val="19"/>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04" w:lineRule="exact"/>
        <w:rPr>
          <w:sz w:val="20"/>
          <w:szCs w:val="20"/>
          <w:color w:val="auto"/>
        </w:rPr>
      </w:pPr>
    </w:p>
    <w:p>
      <w:pPr>
        <w:jc w:val="center"/>
        <w:ind w:left="5540" w:right="1700" w:hanging="4341"/>
        <w:spacing w:after="0" w:line="365" w:lineRule="exact"/>
        <w:tabs>
          <w:tab w:leader="none" w:pos="2035" w:val="left"/>
        </w:tabs>
        <w:numPr>
          <w:ilvl w:val="0"/>
          <w:numId w:val="526"/>
        </w:numPr>
        <w:rPr>
          <w:rFonts w:ascii="Arial" w:cs="Arial" w:eastAsia="Arial" w:hAnsi="Arial"/>
          <w:sz w:val="20"/>
          <w:szCs w:val="20"/>
          <w:color w:val="auto"/>
        </w:rPr>
      </w:pPr>
      <w:r>
        <w:rPr>
          <w:rFonts w:ascii="Arial" w:cs="Arial" w:eastAsia="Arial" w:hAnsi="Arial"/>
          <w:sz w:val="20"/>
          <w:szCs w:val="20"/>
          <w:color w:val="auto"/>
        </w:rPr>
        <w:t xml:space="preserve">Without limiting the generality of the foregoing, in the event that the Borrower is a U.S. Person, </w:t>
      </w:r>
      <w:r>
        <w:rPr>
          <w:rFonts w:ascii="MS PGothic" w:cs="MS PGothic" w:eastAsia="MS PGothic" w:hAnsi="MS PGothic"/>
          <w:sz w:val="20"/>
          <w:szCs w:val="20"/>
          <w:color w:val="auto"/>
        </w:rPr>
        <w:t>‑</w:t>
      </w:r>
      <w:r>
        <w:rPr>
          <w:rFonts w:ascii="Arial" w:cs="Arial" w:eastAsia="Arial" w:hAnsi="Arial"/>
          <w:sz w:val="20"/>
          <w:szCs w:val="20"/>
          <w:color w:val="auto"/>
        </w:rPr>
        <w:t>45</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50" w:name="page451"/>
    <w:bookmarkEnd w:id="450"/>
    <w:p>
      <w:pPr>
        <w:jc w:val="both"/>
        <w:ind w:left="-599" w:firstLine="599"/>
        <w:spacing w:after="0" w:line="293" w:lineRule="auto"/>
        <w:tabs>
          <w:tab w:leader="none" w:pos="877"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the Administrative Agent and any Lender that is a U.S. Person shall deliver to the Borrower and the Administrative Agent on or prior to the date on which the Administrative Agent or such Lender becomes the Administrative Agent or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75" w:lineRule="exact"/>
        <w:rPr>
          <w:rFonts w:ascii="Arial" w:cs="Arial" w:eastAsia="Arial" w:hAnsi="Arial"/>
          <w:sz w:val="18"/>
          <w:szCs w:val="18"/>
          <w:color w:val="auto"/>
        </w:rPr>
      </w:pPr>
    </w:p>
    <w:p>
      <w:pPr>
        <w:jc w:val="both"/>
        <w:ind w:left="-599" w:firstLine="599"/>
        <w:spacing w:after="0" w:line="256" w:lineRule="auto"/>
        <w:tabs>
          <w:tab w:leader="none" w:pos="866" w:val="left"/>
        </w:tabs>
        <w:numPr>
          <w:ilvl w:val="0"/>
          <w:numId w:val="527"/>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205" w:lineRule="exact"/>
        <w:rPr>
          <w:sz w:val="20"/>
          <w:szCs w:val="20"/>
          <w:color w:val="auto"/>
        </w:rPr>
      </w:pPr>
    </w:p>
    <w:p>
      <w:pPr>
        <w:jc w:val="both"/>
        <w:ind w:left="601" w:firstLine="598"/>
        <w:spacing w:after="0" w:line="286" w:lineRule="auto"/>
        <w:tabs>
          <w:tab w:leader="none" w:pos="200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81" w:lineRule="exact"/>
        <w:rPr>
          <w:sz w:val="20"/>
          <w:szCs w:val="20"/>
          <w:color w:val="auto"/>
        </w:rPr>
      </w:pPr>
    </w:p>
    <w:p>
      <w:pPr>
        <w:ind w:left="2061" w:hanging="862"/>
        <w:spacing w:after="0"/>
        <w:tabs>
          <w:tab w:leader="none" w:pos="2061" w:val="left"/>
        </w:tabs>
        <w:numPr>
          <w:ilvl w:val="0"/>
          <w:numId w:val="529"/>
        </w:numPr>
        <w:rPr>
          <w:rFonts w:ascii="Arial" w:cs="Arial" w:eastAsia="Arial" w:hAnsi="Arial"/>
          <w:sz w:val="20"/>
          <w:szCs w:val="20"/>
          <w:color w:val="auto"/>
        </w:rPr>
      </w:pPr>
      <w:r>
        <w:rPr>
          <w:rFonts w:ascii="Arial" w:cs="Arial" w:eastAsia="Arial" w:hAnsi="Arial"/>
          <w:sz w:val="20"/>
          <w:szCs w:val="20"/>
          <w:color w:val="auto"/>
        </w:rPr>
        <w:t>executed copies of IRS Form W-8ECI;</w:t>
      </w:r>
    </w:p>
    <w:p>
      <w:pPr>
        <w:spacing w:after="0" w:line="245" w:lineRule="exact"/>
        <w:rPr>
          <w:sz w:val="20"/>
          <w:szCs w:val="20"/>
          <w:color w:val="auto"/>
        </w:rPr>
      </w:pPr>
    </w:p>
    <w:p>
      <w:pPr>
        <w:jc w:val="both"/>
        <w:ind w:left="601" w:firstLine="598"/>
        <w:spacing w:after="0" w:line="252" w:lineRule="auto"/>
        <w:tabs>
          <w:tab w:leader="none" w:pos="2133" w:val="left"/>
        </w:tabs>
        <w:numPr>
          <w:ilvl w:val="0"/>
          <w:numId w:val="530"/>
        </w:numPr>
        <w:rPr>
          <w:rFonts w:ascii="Arial" w:cs="Arial" w:eastAsia="Arial" w:hAnsi="Arial"/>
          <w:sz w:val="20"/>
          <w:szCs w:val="20"/>
          <w:color w:val="auto"/>
        </w:rPr>
      </w:pPr>
      <w:r>
        <w:rPr>
          <w:rFonts w:ascii="Arial" w:cs="Arial" w:eastAsia="Arial" w:hAnsi="Arial"/>
          <w:sz w:val="20"/>
          <w:szCs w:val="20"/>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20"/>
          <w:szCs w:val="20"/>
          <w:u w:val="single" w:color="auto"/>
          <w:color w:val="auto"/>
        </w:rPr>
        <w:t>Exhibit H-1</w:t>
      </w:r>
      <w:r>
        <w:rPr>
          <w:rFonts w:ascii="Arial" w:cs="Arial" w:eastAsia="Arial" w:hAnsi="Arial"/>
          <w:sz w:val="20"/>
          <w:szCs w:val="20"/>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and (y) executed copies of IRS Form W-8BENE (or W-8BEN, as applicable); or</w:t>
      </w:r>
    </w:p>
    <w:p>
      <w:pPr>
        <w:spacing w:after="0" w:line="212" w:lineRule="exact"/>
        <w:rPr>
          <w:sz w:val="20"/>
          <w:szCs w:val="20"/>
          <w:color w:val="auto"/>
        </w:rPr>
      </w:pPr>
    </w:p>
    <w:p>
      <w:pPr>
        <w:jc w:val="both"/>
        <w:ind w:left="601" w:firstLine="600"/>
        <w:spacing w:after="0" w:line="251" w:lineRule="auto"/>
        <w:rPr>
          <w:sz w:val="20"/>
          <w:szCs w:val="20"/>
          <w:color w:val="auto"/>
        </w:rPr>
      </w:pPr>
      <w:r>
        <w:rPr>
          <w:rFonts w:ascii="Arial" w:cs="Arial" w:eastAsia="Arial" w:hAnsi="Arial"/>
          <w:sz w:val="20"/>
          <w:szCs w:val="20"/>
          <w:color w:val="auto"/>
        </w:rPr>
        <w:t xml:space="preserve">(IV) to the extent a Foreign Lender is not the beneficial owner, executed copies of IRS Form W-8IMY, accompanied by IRS Form W-8ECI, IRS Form W-8BENE (or W-8BEN, as applicable), a U.S. Tax Compliance Certificate substantially in the form of </w:t>
      </w:r>
      <w:r>
        <w:rPr>
          <w:rFonts w:ascii="Arial" w:cs="Arial" w:eastAsia="Arial" w:hAnsi="Arial"/>
          <w:sz w:val="20"/>
          <w:szCs w:val="20"/>
          <w:u w:val="single" w:color="auto"/>
          <w:color w:val="auto"/>
        </w:rPr>
        <w:t>Exhibit H-2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Exhibit H-3</w:t>
      </w:r>
      <w:r>
        <w:rPr>
          <w:rFonts w:ascii="Arial" w:cs="Arial" w:eastAsia="Arial" w:hAnsi="Arial"/>
          <w:sz w:val="20"/>
          <w:szCs w:val="20"/>
          <w:color w:val="auto"/>
        </w:rPr>
        <w:t xml:space="preserve">, IRS Form W-9, and/or other certification documents from each beneficial owner, as applicable;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20"/>
          <w:szCs w:val="20"/>
          <w:u w:val="single" w:color="auto"/>
          <w:color w:val="auto"/>
        </w:rPr>
        <w:t>Exhibit H-4</w:t>
      </w:r>
      <w:r>
        <w:rPr>
          <w:rFonts w:ascii="Arial" w:cs="Arial" w:eastAsia="Arial" w:hAnsi="Arial"/>
          <w:sz w:val="20"/>
          <w:szCs w:val="20"/>
          <w:color w:val="auto"/>
        </w:rPr>
        <w:t xml:space="preserve"> on behalf of each such direct and indirect partner;</w:t>
      </w:r>
    </w:p>
    <w:p>
      <w:pPr>
        <w:spacing w:after="0" w:line="215" w:lineRule="exact"/>
        <w:rPr>
          <w:sz w:val="20"/>
          <w:szCs w:val="20"/>
          <w:color w:val="auto"/>
        </w:rPr>
      </w:pPr>
    </w:p>
    <w:p>
      <w:pPr>
        <w:jc w:val="both"/>
        <w:ind w:left="-599" w:firstLine="599"/>
        <w:spacing w:after="0" w:line="273" w:lineRule="auto"/>
        <w:tabs>
          <w:tab w:leader="none" w:pos="866" w:val="left"/>
        </w:tabs>
        <w:numPr>
          <w:ilvl w:val="0"/>
          <w:numId w:val="531"/>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w:t>
      </w:r>
    </w:p>
    <w:p>
      <w:pPr>
        <w:spacing w:after="0" w:line="192" w:lineRule="exact"/>
        <w:rPr>
          <w:sz w:val="20"/>
          <w:szCs w:val="20"/>
          <w:color w:val="auto"/>
        </w:rPr>
      </w:pPr>
    </w:p>
    <w:p>
      <w:pPr>
        <w:ind w:left="4341"/>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46</w:t>
      </w:r>
      <w:r>
        <w:rPr>
          <w:rFonts w:ascii="MS PGothic" w:cs="MS PGothic" w:eastAsia="MS PGothic" w:hAnsi="MS PGothic"/>
          <w:sz w:val="20"/>
          <w:szCs w:val="20"/>
          <w:color w:val="auto"/>
        </w:rPr>
        <w:t>‑</w:t>
      </w:r>
    </w:p>
    <w:p>
      <w:pPr>
        <w:sectPr>
          <w:pgSz w:w="11900" w:h="16838" w:orient="portrait"/>
          <w:cols w:equalWidth="0" w:num="1">
            <w:col w:w="10221"/>
          </w:cols>
          <w:pgMar w:left="1439" w:top="795" w:right="239" w:bottom="1440" w:gutter="0" w:footer="0" w:header="0"/>
        </w:sectPr>
      </w:pPr>
    </w:p>
    <w:bookmarkStart w:id="451" w:name="page452"/>
    <w:bookmarkEnd w:id="451"/>
    <w:p>
      <w:pPr>
        <w:jc w:val="both"/>
        <w:ind w:left="600"/>
        <w:spacing w:after="0" w:line="260" w:lineRule="auto"/>
        <w:rPr>
          <w:sz w:val="20"/>
          <w:szCs w:val="20"/>
          <w:color w:val="auto"/>
        </w:rPr>
      </w:pPr>
      <w:r>
        <w:rPr>
          <w:rFonts w:ascii="Arial" w:cs="Arial" w:eastAsia="Arial" w:hAnsi="Arial"/>
          <w:sz w:val="20"/>
          <w:szCs w:val="20"/>
          <w:color w:val="auto"/>
        </w:rPr>
        <w:t>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202" w:lineRule="exact"/>
        <w:rPr>
          <w:sz w:val="20"/>
          <w:szCs w:val="20"/>
          <w:color w:val="auto"/>
        </w:rPr>
      </w:pPr>
    </w:p>
    <w:p>
      <w:pPr>
        <w:jc w:val="both"/>
        <w:ind w:left="600" w:firstLine="599"/>
        <w:spacing w:after="0" w:line="281" w:lineRule="auto"/>
        <w:tabs>
          <w:tab w:leader="none" w:pos="2076" w:val="left"/>
        </w:tabs>
        <w:numPr>
          <w:ilvl w:val="0"/>
          <w:numId w:val="532"/>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92" w:lineRule="exact"/>
        <w:rPr>
          <w:sz w:val="20"/>
          <w:szCs w:val="20"/>
          <w:color w:val="auto"/>
        </w:rPr>
      </w:pPr>
    </w:p>
    <w:p>
      <w:pPr>
        <w:jc w:val="both"/>
        <w:ind w:firstLine="1199"/>
        <w:spacing w:after="0" w:line="260" w:lineRule="auto"/>
        <w:tabs>
          <w:tab w:leader="none" w:pos="2098" w:val="left"/>
        </w:tabs>
        <w:numPr>
          <w:ilvl w:val="1"/>
          <w:numId w:val="533"/>
        </w:numPr>
        <w:rPr>
          <w:rFonts w:ascii="Arial" w:cs="Arial" w:eastAsia="Arial" w:hAnsi="Arial"/>
          <w:sz w:val="20"/>
          <w:szCs w:val="20"/>
          <w:color w:val="auto"/>
        </w:rPr>
      </w:pPr>
      <w:r>
        <w:rPr>
          <w:rFonts w:ascii="Arial" w:cs="Arial" w:eastAsia="Arial" w:hAnsi="Arial"/>
          <w:sz w:val="20"/>
          <w:szCs w:val="20"/>
          <w:color w:val="auto"/>
        </w:rPr>
        <w:t xml:space="preserve">Each Lender agrees that if any form or certification it previously delivered pursuant to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201" w:lineRule="exact"/>
        <w:rPr>
          <w:rFonts w:ascii="Arial" w:cs="Arial" w:eastAsia="Arial" w:hAnsi="Arial"/>
          <w:sz w:val="20"/>
          <w:szCs w:val="20"/>
          <w:color w:val="auto"/>
        </w:rPr>
      </w:pPr>
    </w:p>
    <w:p>
      <w:pPr>
        <w:jc w:val="both"/>
        <w:ind w:firstLine="599"/>
        <w:spacing w:after="0" w:line="279" w:lineRule="auto"/>
        <w:tabs>
          <w:tab w:leader="none" w:pos="1399" w:val="left"/>
        </w:tabs>
        <w:numPr>
          <w:ilvl w:val="0"/>
          <w:numId w:val="534"/>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 received a refund of any Taxes as to which it has been indemnified by the Borrower or with respect to which the Borrower has paid additional amounts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it shall pay to the Borrower an amount equal to such refund (but only to the extent of indemnity payments made, or additional amounts paid, by the Borrower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upon the request of the Recipient, agrees to repay the amount paid over to the Borrower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Borrower pursuant to this subsection the payment of which would place the Recipient in a less favorable net after-Tax position than such Recipient would have been in if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Borrower or any other Person.</w:t>
      </w:r>
    </w:p>
    <w:p>
      <w:pPr>
        <w:spacing w:after="0" w:line="187" w:lineRule="exact"/>
        <w:rPr>
          <w:rFonts w:ascii="Arial" w:cs="Arial" w:eastAsia="Arial" w:hAnsi="Arial"/>
          <w:sz w:val="18"/>
          <w:szCs w:val="18"/>
          <w:color w:val="auto"/>
        </w:rPr>
      </w:pPr>
    </w:p>
    <w:p>
      <w:pPr>
        <w:jc w:val="both"/>
        <w:ind w:firstLine="599"/>
        <w:spacing w:after="0" w:line="260" w:lineRule="auto"/>
        <w:tabs>
          <w:tab w:leader="none" w:pos="1432" w:val="left"/>
        </w:tabs>
        <w:numPr>
          <w:ilvl w:val="0"/>
          <w:numId w:val="534"/>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spacing w:after="0" w:line="202" w:lineRule="exact"/>
        <w:rPr>
          <w:sz w:val="20"/>
          <w:szCs w:val="20"/>
          <w:color w:val="auto"/>
        </w:rPr>
      </w:pPr>
    </w:p>
    <w:p>
      <w:pPr>
        <w:ind w:firstLine="599"/>
        <w:spacing w:after="0" w:line="272" w:lineRule="auto"/>
        <w:rPr>
          <w:sz w:val="20"/>
          <w:szCs w:val="20"/>
          <w:color w:val="auto"/>
        </w:rPr>
      </w:pPr>
      <w:r>
        <w:rPr>
          <w:rFonts w:ascii="Arial" w:cs="Arial" w:eastAsia="Arial" w:hAnsi="Arial"/>
          <w:sz w:val="20"/>
          <w:szCs w:val="20"/>
          <w:color w:val="auto"/>
        </w:rPr>
        <w:t xml:space="preserve">3.02. </w:t>
      </w:r>
      <w:r>
        <w:rPr>
          <w:rFonts w:ascii="Arial" w:cs="Arial" w:eastAsia="Arial" w:hAnsi="Arial"/>
          <w:sz w:val="20"/>
          <w:szCs w:val="20"/>
          <w:u w:val="single" w:color="auto"/>
          <w:color w:val="auto"/>
        </w:rPr>
        <w:t>Illegality</w:t>
      </w:r>
      <w:r>
        <w:rPr>
          <w:rFonts w:ascii="Arial" w:cs="Arial" w:eastAsia="Arial" w:hAnsi="Arial"/>
          <w:sz w:val="20"/>
          <w:szCs w:val="20"/>
          <w:color w:val="auto"/>
        </w:rPr>
        <w:t>. If any Lender determines that any Law has made it unlawful, or that any Governmental Authority has asserted that it is unlawful, for any Lender or its applicable Lending Office to</w:t>
      </w:r>
    </w:p>
    <w:p>
      <w:pPr>
        <w:spacing w:after="0" w:line="19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47</w:t>
      </w:r>
      <w:r>
        <w:rPr>
          <w:rFonts w:ascii="MS PGothic" w:cs="MS PGothic" w:eastAsia="MS PGothic" w:hAnsi="MS PGothic"/>
          <w:sz w:val="20"/>
          <w:szCs w:val="20"/>
          <w:color w:val="auto"/>
        </w:rPr>
        <w:t>‑</w:t>
      </w:r>
    </w:p>
    <w:p>
      <w:pPr>
        <w:sectPr>
          <w:pgSz w:w="11900" w:h="16838" w:orient="portrait"/>
          <w:cols w:equalWidth="0" w:num="1">
            <w:col w:w="11420"/>
          </w:cols>
          <w:pgMar w:left="240" w:top="794" w:right="239" w:bottom="1440" w:gutter="0" w:footer="0" w:header="0"/>
        </w:sectPr>
      </w:pPr>
    </w:p>
    <w:bookmarkStart w:id="452" w:name="page453"/>
    <w:bookmarkEnd w:id="452"/>
    <w:p>
      <w:pPr>
        <w:jc w:val="both"/>
        <w:spacing w:after="0" w:line="278" w:lineRule="auto"/>
        <w:rPr>
          <w:sz w:val="20"/>
          <w:szCs w:val="20"/>
          <w:color w:val="auto"/>
        </w:rPr>
      </w:pPr>
      <w:r>
        <w:rPr>
          <w:rFonts w:ascii="Arial" w:cs="Arial" w:eastAsia="Arial" w:hAnsi="Arial"/>
          <w:sz w:val="18"/>
          <w:szCs w:val="18"/>
          <w:color w:val="auto"/>
        </w:rPr>
        <w:t>make, maintain or fund Loans whose interest is determined by reference to the Eurodollar Rate,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make or continue Eurodollar Rate Loans or to convert Base Rate Loans to Eurodollar Rate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p>
    <w:p>
      <w:pPr>
        <w:spacing w:after="0" w:line="193"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3.03.</w:t>
      </w:r>
      <w:r>
        <w:rPr>
          <w:sz w:val="20"/>
          <w:szCs w:val="20"/>
          <w:color w:val="auto"/>
        </w:rPr>
        <w:tab/>
      </w:r>
      <w:r>
        <w:rPr>
          <w:rFonts w:ascii="Arial" w:cs="Arial" w:eastAsia="Arial" w:hAnsi="Arial"/>
          <w:sz w:val="18"/>
          <w:szCs w:val="18"/>
          <w:u w:val="single" w:color="auto"/>
          <w:color w:val="auto"/>
        </w:rPr>
        <w:t>Inability to Determine Rates</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79" w:lineRule="auto"/>
        <w:tabs>
          <w:tab w:leader="none" w:pos="1421" w:val="left"/>
        </w:tabs>
        <w:numPr>
          <w:ilvl w:val="0"/>
          <w:numId w:val="535"/>
        </w:numPr>
        <w:rPr>
          <w:rFonts w:ascii="Arial" w:cs="Arial" w:eastAsia="Arial" w:hAnsi="Arial"/>
          <w:sz w:val="18"/>
          <w:szCs w:val="18"/>
          <w:color w:val="auto"/>
        </w:rPr>
      </w:pPr>
      <w:r>
        <w:rPr>
          <w:rFonts w:ascii="Arial" w:cs="Arial" w:eastAsia="Arial" w:hAnsi="Arial"/>
          <w:sz w:val="18"/>
          <w:szCs w:val="18"/>
          <w:color w:val="auto"/>
        </w:rPr>
        <w:t>If in connection with any request for a Eurodollar Rate Loan or a conversion to or continuation thereof, (i) the Administrative Agent determines that (x) Dollar deposits are not being offered to banks in the applicable offshore interbank market for such currency for the applicable amount and Interest Period of such Eurodollar Rate Loan or (y) adequate and reasonable means do not exist for determining the Eurodollar Rate for any requested Interest Period with respect to a proposed Eurodollar Rate Loan or in connection with an existing or proposed Base Rate Loan (in each case with respect to clause (a)(i)(x) above, “</w:t>
      </w:r>
      <w:r>
        <w:rPr>
          <w:rFonts w:ascii="Arial" w:cs="Arial" w:eastAsia="Arial" w:hAnsi="Arial"/>
          <w:sz w:val="18"/>
          <w:szCs w:val="18"/>
          <w:u w:val="single" w:color="auto"/>
          <w:color w:val="auto"/>
        </w:rPr>
        <w:t>Impacted Loans</w:t>
      </w:r>
      <w:r>
        <w:rPr>
          <w:rFonts w:ascii="Arial" w:cs="Arial" w:eastAsia="Arial" w:hAnsi="Arial"/>
          <w:sz w:val="18"/>
          <w:szCs w:val="18"/>
          <w:color w:val="auto"/>
        </w:rPr>
        <w:t>”) or (ii) the Administrative Agent or the Required Lenders determine that for any reason the Eurodollar Rate for any requested Interest Period with respect to a proposed Eurodollar Rate Loan does not adequately and fairly reflect the cost to such Lenders of funding such Eurodollar Rate Loan, the Administrative Agent will promptly so notify the Borrower and each Lender. Thereafter, (A) the obligation of the Lenders to make or maintain Eurodollar Rate Loans shall be suspended, (to the extent of the affected Eurodollar Rate Loans or Interest Periods), and (B)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190" w:lineRule="exact"/>
        <w:rPr>
          <w:rFonts w:ascii="Arial" w:cs="Arial" w:eastAsia="Arial" w:hAnsi="Arial"/>
          <w:sz w:val="18"/>
          <w:szCs w:val="18"/>
          <w:color w:val="auto"/>
        </w:rPr>
      </w:pPr>
    </w:p>
    <w:p>
      <w:pPr>
        <w:jc w:val="both"/>
        <w:ind w:firstLine="599"/>
        <w:spacing w:after="0" w:line="256" w:lineRule="auto"/>
        <w:tabs>
          <w:tab w:leader="none" w:pos="1432" w:val="left"/>
        </w:tabs>
        <w:numPr>
          <w:ilvl w:val="0"/>
          <w:numId w:val="535"/>
        </w:numPr>
        <w:rPr>
          <w:rFonts w:ascii="Arial" w:cs="Arial" w:eastAsia="Arial" w:hAnsi="Arial"/>
          <w:sz w:val="20"/>
          <w:szCs w:val="20"/>
          <w:color w:val="auto"/>
        </w:rPr>
      </w:pPr>
      <w:r>
        <w:rPr>
          <w:rFonts w:ascii="Arial" w:cs="Arial" w:eastAsia="Arial" w:hAnsi="Arial"/>
          <w:sz w:val="20"/>
          <w:szCs w:val="20"/>
          <w:color w:val="auto"/>
        </w:rPr>
        <w:t>Notwithstanding the foregoing, if the Administrative Agent has made the determination described in clause (a)(i)(x) of the first sentence of this section, the Administrative Agent, in consultation with the Borrower and the affected Lenders, may establish an alternative interest rate for the Impacted Loans, in which case, such alternative rate of interest shall apply with respect to the Impacted Loans until (1) the</w:t>
      </w:r>
    </w:p>
    <w:p>
      <w:pPr>
        <w:spacing w:after="0" w:line="20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48</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53" w:name="page454"/>
    <w:bookmarkEnd w:id="453"/>
    <w:p>
      <w:pPr>
        <w:spacing w:after="0"/>
        <w:rPr>
          <w:sz w:val="20"/>
          <w:szCs w:val="20"/>
          <w:color w:val="auto"/>
        </w:rPr>
      </w:pPr>
      <w:r>
        <w:rPr>
          <w:rFonts w:ascii="Arial" w:cs="Arial" w:eastAsia="Arial" w:hAnsi="Arial"/>
          <w:sz w:val="18"/>
          <w:szCs w:val="18"/>
          <w:color w:val="auto"/>
        </w:rPr>
        <w:t>Administrative Agent revokes the notice delivered with respect to the Impacted Loans under clause (a)(i) of the first sentence of this section,</w:t>
      </w:r>
    </w:p>
    <w:p>
      <w:pPr>
        <w:spacing w:after="0" w:line="46" w:lineRule="exact"/>
        <w:rPr>
          <w:sz w:val="20"/>
          <w:szCs w:val="20"/>
          <w:color w:val="auto"/>
        </w:rPr>
      </w:pPr>
    </w:p>
    <w:p>
      <w:pPr>
        <w:jc w:val="both"/>
        <w:spacing w:after="0" w:line="264" w:lineRule="auto"/>
        <w:tabs>
          <w:tab w:leader="none" w:pos="309" w:val="left"/>
        </w:tabs>
        <w:numPr>
          <w:ilvl w:val="0"/>
          <w:numId w:val="536"/>
        </w:numPr>
        <w:rPr>
          <w:rFonts w:ascii="Arial" w:cs="Arial" w:eastAsia="Arial" w:hAnsi="Arial"/>
          <w:sz w:val="19"/>
          <w:szCs w:val="19"/>
          <w:color w:val="auto"/>
        </w:rPr>
      </w:pPr>
      <w:r>
        <w:rPr>
          <w:rFonts w:ascii="Arial" w:cs="Arial" w:eastAsia="Arial" w:hAnsi="Arial"/>
          <w:sz w:val="19"/>
          <w:szCs w:val="19"/>
          <w:color w:val="auto"/>
        </w:rPr>
        <w:t>the Administrative Agent determines, or the affected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203" w:lineRule="exact"/>
        <w:rPr>
          <w:rFonts w:ascii="Arial" w:cs="Arial" w:eastAsia="Arial" w:hAnsi="Arial"/>
          <w:sz w:val="19"/>
          <w:szCs w:val="19"/>
          <w:color w:val="auto"/>
        </w:rPr>
      </w:pPr>
    </w:p>
    <w:p>
      <w:pPr>
        <w:jc w:val="both"/>
        <w:ind w:firstLine="599"/>
        <w:spacing w:after="0" w:line="278" w:lineRule="auto"/>
        <w:tabs>
          <w:tab w:leader="none" w:pos="1421" w:val="left"/>
        </w:tabs>
        <w:numPr>
          <w:ilvl w:val="1"/>
          <w:numId w:val="536"/>
        </w:numPr>
        <w:rPr>
          <w:rFonts w:ascii="Arial" w:cs="Arial" w:eastAsia="Arial" w:hAnsi="Arial"/>
          <w:sz w:val="18"/>
          <w:szCs w:val="18"/>
          <w:color w:val="auto"/>
        </w:rPr>
      </w:pPr>
      <w:r>
        <w:rPr>
          <w:rFonts w:ascii="Arial" w:cs="Arial" w:eastAsia="Arial" w:hAnsi="Arial"/>
          <w:sz w:val="18"/>
          <w:szCs w:val="18"/>
          <w:color w:val="auto"/>
        </w:rPr>
        <w:t xml:space="preserve">Notwithstanding the foregoing, in the event the Administrative Agent determines (which determination shall be conclusive absent manifest error) that (i) the circumstances set forth in </w:t>
      </w:r>
      <w:r>
        <w:rPr>
          <w:rFonts w:ascii="Arial" w:cs="Arial" w:eastAsia="Arial" w:hAnsi="Arial"/>
          <w:sz w:val="18"/>
          <w:szCs w:val="18"/>
          <w:u w:val="single" w:color="auto"/>
          <w:color w:val="auto"/>
        </w:rPr>
        <w:t>Section 3.03(a)(i)(y)</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3.03(b)</w:t>
      </w:r>
      <w:r>
        <w:rPr>
          <w:rFonts w:ascii="Arial" w:cs="Arial" w:eastAsia="Arial" w:hAnsi="Arial"/>
          <w:sz w:val="18"/>
          <w:szCs w:val="18"/>
          <w:color w:val="auto"/>
        </w:rPr>
        <w:t xml:space="preserve"> have arisen and such circumstances are unlikely to be temporary, (ii) ICE Benchmark Administration (or any Person that takes over the administration of such rate) discontinues its administration and publication of interest settlement rates for deposits in Dollars, or (iii) the supervisor for the administrator of the interest settlement rate described in clause (ii) of this </w:t>
      </w:r>
      <w:r>
        <w:rPr>
          <w:rFonts w:ascii="Arial" w:cs="Arial" w:eastAsia="Arial" w:hAnsi="Arial"/>
          <w:sz w:val="18"/>
          <w:szCs w:val="18"/>
          <w:u w:val="single" w:color="auto"/>
          <w:color w:val="auto"/>
        </w:rPr>
        <w:t>Section 3.03(c)</w:t>
      </w:r>
      <w:r>
        <w:rPr>
          <w:rFonts w:ascii="Arial" w:cs="Arial" w:eastAsia="Arial" w:hAnsi="Arial"/>
          <w:sz w:val="18"/>
          <w:szCs w:val="18"/>
          <w:color w:val="auto"/>
        </w:rPr>
        <w:t xml:space="preserve"> or a Governmental Authority having jurisdiction over the Administrative Agent has made a public statement identifying a specific date after which such interest settlement rate shall no longer be used for determining interest rates for loans, then the Administrative Agent and the Borrower shall seek to jointly agree upon an alternate rate of interest to the Eurodollar Rate that gives due consideration to the then prevailing market convention for determining a rate of interest for syndicated loans in the United States at such time, and the Administrative Agent and the Borrower shall enter into an amendment to this Agreement to reflect such alternate rate of interest and such other related changes to this Agreement as may be applicable. Notwithstanding anything to the contrary in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Required Lenders stating that such Required Lenders object to such amendment. Until an alternate rate of interest shall be determined in accordance with this </w:t>
      </w:r>
      <w:r>
        <w:rPr>
          <w:rFonts w:ascii="Arial" w:cs="Arial" w:eastAsia="Arial" w:hAnsi="Arial"/>
          <w:sz w:val="18"/>
          <w:szCs w:val="18"/>
          <w:u w:val="single" w:color="auto"/>
          <w:color w:val="auto"/>
        </w:rPr>
        <w:t>Section 3.03(c)</w:t>
      </w:r>
      <w:r>
        <w:rPr>
          <w:rFonts w:ascii="Arial" w:cs="Arial" w:eastAsia="Arial" w:hAnsi="Arial"/>
          <w:sz w:val="18"/>
          <w:szCs w:val="18"/>
          <w:color w:val="auto"/>
        </w:rPr>
        <w:t xml:space="preserve">, (x) any request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that requests the conversion of any Borrowing to, or continuation of any Borrowing as, a Eurodollar Rate Loan shall be ineffective and any such Borrowing shall be continued as or converted to, as the case may be, a Base Rate Loan, and (y) if any request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requests a Eurodollar Rate Loan, such Borrowing shall be made as a Base Rate Loan. If the alternate rate of interest determined pursuant to this </w:t>
      </w:r>
      <w:r>
        <w:rPr>
          <w:rFonts w:ascii="Arial" w:cs="Arial" w:eastAsia="Arial" w:hAnsi="Arial"/>
          <w:sz w:val="18"/>
          <w:szCs w:val="18"/>
          <w:u w:val="single" w:color="auto"/>
          <w:color w:val="auto"/>
        </w:rPr>
        <w:t>Section 3.03(c)</w:t>
      </w:r>
      <w:r>
        <w:rPr>
          <w:rFonts w:ascii="Arial" w:cs="Arial" w:eastAsia="Arial" w:hAnsi="Arial"/>
          <w:sz w:val="18"/>
          <w:szCs w:val="18"/>
          <w:color w:val="auto"/>
        </w:rPr>
        <w:t xml:space="preserve"> shall be less than zero, such rate shall be deemed to be zero for the purposes of this Agreement.</w:t>
      </w:r>
    </w:p>
    <w:p>
      <w:pPr>
        <w:spacing w:after="0" w:line="193"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3.04.</w:t>
      </w:r>
      <w:r>
        <w:rPr>
          <w:sz w:val="20"/>
          <w:szCs w:val="20"/>
          <w:color w:val="auto"/>
        </w:rPr>
        <w:tab/>
      </w:r>
      <w:r>
        <w:rPr>
          <w:rFonts w:ascii="Arial" w:cs="Arial" w:eastAsia="Arial" w:hAnsi="Arial"/>
          <w:sz w:val="17"/>
          <w:szCs w:val="17"/>
          <w:u w:val="single" w:color="auto"/>
          <w:color w:val="auto"/>
        </w:rPr>
        <w:t>Increased Costs; Reserves on Eurodollar Rate Loans</w:t>
      </w:r>
      <w:r>
        <w:rPr>
          <w:rFonts w:ascii="Arial" w:cs="Arial" w:eastAsia="Arial" w:hAnsi="Arial"/>
          <w:sz w:val="17"/>
          <w:szCs w:val="17"/>
          <w:color w:val="auto"/>
        </w:rPr>
        <w:t>.</w:t>
      </w:r>
    </w:p>
    <w:p>
      <w:pPr>
        <w:spacing w:after="0" w:line="245" w:lineRule="exact"/>
        <w:rPr>
          <w:sz w:val="20"/>
          <w:szCs w:val="20"/>
          <w:color w:val="auto"/>
        </w:rPr>
      </w:pPr>
    </w:p>
    <w:p>
      <w:pPr>
        <w:ind w:left="1420" w:hanging="821"/>
        <w:spacing w:after="0"/>
        <w:tabs>
          <w:tab w:leader="none" w:pos="1420" w:val="left"/>
        </w:tabs>
        <w:numPr>
          <w:ilvl w:val="0"/>
          <w:numId w:val="537"/>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44" w:lineRule="exact"/>
        <w:rPr>
          <w:rFonts w:ascii="Arial" w:cs="Arial" w:eastAsia="Arial" w:hAnsi="Arial"/>
          <w:sz w:val="20"/>
          <w:szCs w:val="20"/>
          <w:color w:val="auto"/>
        </w:rPr>
      </w:pPr>
    </w:p>
    <w:p>
      <w:pPr>
        <w:jc w:val="both"/>
        <w:ind w:firstLine="1199"/>
        <w:spacing w:after="0" w:line="280" w:lineRule="auto"/>
        <w:tabs>
          <w:tab w:leader="none" w:pos="1987" w:val="left"/>
        </w:tabs>
        <w:numPr>
          <w:ilvl w:val="1"/>
          <w:numId w:val="537"/>
        </w:numPr>
        <w:rPr>
          <w:rFonts w:ascii="Arial" w:cs="Arial" w:eastAsia="Arial" w:hAnsi="Arial"/>
          <w:sz w:val="19"/>
          <w:szCs w:val="19"/>
          <w:color w:val="auto"/>
        </w:rPr>
      </w:pPr>
      <w:r>
        <w:rPr>
          <w:rFonts w:ascii="Arial" w:cs="Arial" w:eastAsia="Arial" w:hAnsi="Arial"/>
          <w:sz w:val="19"/>
          <w:szCs w:val="19"/>
          <w:color w:val="auto"/>
        </w:rPr>
        <w:t xml:space="preserve">impose, modify or deem applicable any reserve, special deposit, liquidity or similar requirement (including any compulsory loan requirement, insurance charge or other similar assessment) against assets of, deposits with or for the account of, or credit extended or participated in by, any Lender or Recipient (except any reserve requirement contemplated by </w:t>
      </w:r>
      <w:r>
        <w:rPr>
          <w:rFonts w:ascii="Arial" w:cs="Arial" w:eastAsia="Arial" w:hAnsi="Arial"/>
          <w:sz w:val="19"/>
          <w:szCs w:val="19"/>
          <w:u w:val="single" w:color="auto"/>
          <w:color w:val="auto"/>
        </w:rPr>
        <w:t>Section 3.04(e)</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jc w:val="both"/>
        <w:ind w:firstLine="1199"/>
        <w:spacing w:after="0" w:line="260" w:lineRule="auto"/>
        <w:tabs>
          <w:tab w:leader="none" w:pos="2043" w:val="left"/>
        </w:tabs>
        <w:numPr>
          <w:ilvl w:val="1"/>
          <w:numId w:val="537"/>
        </w:numPr>
        <w:rPr>
          <w:rFonts w:ascii="Arial" w:cs="Arial" w:eastAsia="Arial" w:hAnsi="Arial"/>
          <w:sz w:val="20"/>
          <w:szCs w:val="20"/>
          <w:color w:val="auto"/>
        </w:rPr>
      </w:pPr>
      <w:r>
        <w:rPr>
          <w:rFonts w:ascii="Arial" w:cs="Arial" w:eastAsia="Arial" w:hAnsi="Arial"/>
          <w:sz w:val="20"/>
          <w:szCs w:val="20"/>
          <w:color w:val="auto"/>
        </w:rPr>
        <w:t>subject any Recipient to any Taxes (other than (A) Indemnified Taxes, (B) Taxes described in clauses (b) through (d) of the definition of Excluded Taxes and (C) Connection Income Taxes) on its loans, loan principal, commitments, or other obligations, or its deposits, reserves, other liabilities or capital attributable thereto; or</w:t>
      </w:r>
    </w:p>
    <w:p>
      <w:pPr>
        <w:spacing w:after="0" w:line="200" w:lineRule="exact"/>
        <w:rPr>
          <w:sz w:val="20"/>
          <w:szCs w:val="20"/>
          <w:color w:val="auto"/>
        </w:rPr>
      </w:pPr>
    </w:p>
    <w:p>
      <w:pPr>
        <w:spacing w:after="0" w:line="239"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49</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54" w:name="page455"/>
    <w:bookmarkEnd w:id="454"/>
    <w:p>
      <w:pPr>
        <w:ind w:firstLine="1199"/>
        <w:spacing w:after="0" w:line="255" w:lineRule="auto"/>
        <w:tabs>
          <w:tab w:leader="none" w:pos="2098" w:val="left"/>
        </w:tabs>
        <w:numPr>
          <w:ilvl w:val="1"/>
          <w:numId w:val="538"/>
        </w:numPr>
        <w:rPr>
          <w:rFonts w:ascii="Arial" w:cs="Arial" w:eastAsia="Arial" w:hAnsi="Arial"/>
          <w:sz w:val="20"/>
          <w:szCs w:val="20"/>
          <w:color w:val="auto"/>
        </w:rPr>
      </w:pPr>
      <w:r>
        <w:rPr>
          <w:rFonts w:ascii="Arial" w:cs="Arial" w:eastAsia="Arial" w:hAnsi="Arial"/>
          <w:sz w:val="20"/>
          <w:szCs w:val="20"/>
          <w:color w:val="auto"/>
        </w:rPr>
        <w:t>impose on any Lender or the London interbank market any other condition, cost or expense affecting this Agreement or Eurodollar Rate Loans made by such Lender;</w:t>
      </w:r>
    </w:p>
    <w:p>
      <w:pPr>
        <w:spacing w:after="0" w:line="1" w:lineRule="exact"/>
        <w:rPr>
          <w:rFonts w:ascii="Arial" w:cs="Arial" w:eastAsia="Arial" w:hAnsi="Arial"/>
          <w:sz w:val="20"/>
          <w:szCs w:val="20"/>
          <w:color w:val="auto"/>
        </w:rPr>
      </w:pPr>
    </w:p>
    <w:p>
      <w:pPr>
        <w:jc w:val="both"/>
        <w:spacing w:after="0" w:line="264" w:lineRule="auto"/>
        <w:rPr>
          <w:rFonts w:ascii="Arial" w:cs="Arial" w:eastAsia="Arial" w:hAnsi="Arial"/>
          <w:sz w:val="20"/>
          <w:szCs w:val="20"/>
          <w:color w:val="auto"/>
        </w:rPr>
      </w:pPr>
      <w:r>
        <w:rPr>
          <w:rFonts w:ascii="Arial" w:cs="Arial" w:eastAsia="Arial" w:hAnsi="Arial"/>
          <w:sz w:val="19"/>
          <w:szCs w:val="19"/>
          <w:color w:val="auto"/>
        </w:rPr>
        <w:t>and the result of any of the foregoing shall be to increase the cost to such Lender or Recipient of making, converting to, continuing or maintaining any Loan the interest on which is determined by reference to the Eurodollar Rate (or, in the case of clauses (i) and (ii) above, any Loan), or of maintaining its obligation to make any such Loan, or to increase the cost to such Lender or Recipient or to reduce the amount of any sum received or receivable by such Lender or Recipient hereunder (whether of principal, interest or any other amount) then, upon request of such Lender or Recipient, the Borrower will pay to such Lender or Recipient such additional amount or amounts as will compensate such Lender or Recipient for such additional costs incurred or reduction suffered.</w:t>
      </w:r>
    </w:p>
    <w:p>
      <w:pPr>
        <w:spacing w:after="0" w:line="165" w:lineRule="exact"/>
        <w:rPr>
          <w:rFonts w:ascii="Arial" w:cs="Arial" w:eastAsia="Arial" w:hAnsi="Arial"/>
          <w:sz w:val="20"/>
          <w:szCs w:val="20"/>
          <w:color w:val="auto"/>
        </w:rPr>
      </w:pPr>
    </w:p>
    <w:p>
      <w:pPr>
        <w:jc w:val="both"/>
        <w:ind w:firstLine="599"/>
        <w:spacing w:after="0" w:line="284" w:lineRule="auto"/>
        <w:tabs>
          <w:tab w:leader="none" w:pos="1432" w:val="left"/>
        </w:tabs>
        <w:numPr>
          <w:ilvl w:val="0"/>
          <w:numId w:val="539"/>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Borrower will pay to such Lender such additional amount or amounts as will compensate such Lender or such Lender’s holding company for any such reduction suffered.</w:t>
      </w:r>
    </w:p>
    <w:p>
      <w:pPr>
        <w:spacing w:after="0" w:line="183" w:lineRule="exact"/>
        <w:rPr>
          <w:rFonts w:ascii="Arial" w:cs="Arial" w:eastAsia="Arial" w:hAnsi="Arial"/>
          <w:sz w:val="18"/>
          <w:szCs w:val="18"/>
          <w:color w:val="auto"/>
        </w:rPr>
      </w:pPr>
    </w:p>
    <w:p>
      <w:pPr>
        <w:jc w:val="both"/>
        <w:ind w:firstLine="599"/>
        <w:spacing w:after="0" w:line="302" w:lineRule="auto"/>
        <w:tabs>
          <w:tab w:leader="none" w:pos="1421" w:val="left"/>
        </w:tabs>
        <w:numPr>
          <w:ilvl w:val="0"/>
          <w:numId w:val="539"/>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A certificate of a Lender setting forth the amount or amounts necessary to compensate such Lender or its holding company as specified in subsection (a) or (b) of this Section and delivered to the Borrower shall be conclusive absent manifest error. The Borrower shall pay such Lender the amount shown as due on any such certificate within 10 days after receipt thereof.</w:t>
      </w:r>
    </w:p>
    <w:p>
      <w:pPr>
        <w:spacing w:after="0" w:line="167" w:lineRule="exact"/>
        <w:rPr>
          <w:rFonts w:ascii="Arial" w:cs="Arial" w:eastAsia="Arial" w:hAnsi="Arial"/>
          <w:sz w:val="18"/>
          <w:szCs w:val="18"/>
          <w:color w:val="auto"/>
        </w:rPr>
      </w:pPr>
    </w:p>
    <w:p>
      <w:pPr>
        <w:jc w:val="both"/>
        <w:ind w:firstLine="599"/>
        <w:spacing w:after="0" w:line="286" w:lineRule="auto"/>
        <w:tabs>
          <w:tab w:leader="none" w:pos="1432" w:val="left"/>
        </w:tabs>
        <w:numPr>
          <w:ilvl w:val="0"/>
          <w:numId w:val="539"/>
        </w:numPr>
        <w:rPr>
          <w:rFonts w:ascii="Arial" w:cs="Arial" w:eastAsia="Arial" w:hAnsi="Arial"/>
          <w:sz w:val="18"/>
          <w:szCs w:val="18"/>
          <w:color w:val="auto"/>
        </w:rPr>
      </w:pPr>
      <w:r>
        <w:rPr>
          <w:rFonts w:ascii="Arial" w:cs="Arial" w:eastAsia="Arial" w:hAnsi="Arial"/>
          <w:sz w:val="18"/>
          <w:szCs w:val="18"/>
          <w:u w:val="single" w:color="auto"/>
          <w:color w:val="auto"/>
        </w:rPr>
        <w:t>Delay in Requests</w:t>
      </w:r>
      <w:r>
        <w:rPr>
          <w:rFonts w:ascii="Arial" w:cs="Arial" w:eastAsia="Arial" w:hAnsi="Arial"/>
          <w:sz w:val="18"/>
          <w:szCs w:val="18"/>
          <w:color w:val="auto"/>
        </w:rPr>
        <w:t xml:space="preserve">. Failure or delay on the part of any Lender to demand compensation pursuant to the foregoing provisions of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shall not constitute a waiver of such Lender’s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compensate a Lender pursuant to the foregoing provisions of this Section for any increased costs incurred or reductions suffered more than nine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81" w:lineRule="exact"/>
        <w:rPr>
          <w:rFonts w:ascii="Arial" w:cs="Arial" w:eastAsia="Arial" w:hAnsi="Arial"/>
          <w:sz w:val="18"/>
          <w:szCs w:val="18"/>
          <w:color w:val="auto"/>
        </w:rPr>
      </w:pPr>
    </w:p>
    <w:p>
      <w:pPr>
        <w:jc w:val="both"/>
        <w:ind w:firstLine="599"/>
        <w:spacing w:after="0" w:line="284" w:lineRule="auto"/>
        <w:tabs>
          <w:tab w:leader="none" w:pos="1421" w:val="left"/>
        </w:tabs>
        <w:numPr>
          <w:ilvl w:val="0"/>
          <w:numId w:val="539"/>
        </w:numPr>
        <w:rPr>
          <w:rFonts w:ascii="Arial" w:cs="Arial" w:eastAsia="Arial" w:hAnsi="Arial"/>
          <w:sz w:val="18"/>
          <w:szCs w:val="18"/>
          <w:color w:val="auto"/>
        </w:rPr>
      </w:pPr>
      <w:r>
        <w:rPr>
          <w:rFonts w:ascii="Arial" w:cs="Arial" w:eastAsia="Arial" w:hAnsi="Arial"/>
          <w:sz w:val="18"/>
          <w:szCs w:val="18"/>
          <w:u w:val="single" w:color="auto"/>
          <w:color w:val="auto"/>
        </w:rPr>
        <w:t>Reserves on Eurodollar Rate Loans</w:t>
      </w:r>
      <w:r>
        <w:rPr>
          <w:rFonts w:ascii="Arial" w:cs="Arial" w:eastAsia="Arial" w:hAnsi="Arial"/>
          <w:sz w:val="18"/>
          <w:szCs w:val="18"/>
          <w:color w:val="auto"/>
        </w:rPr>
        <w:t xml:space="preserve">. The Borrower shall pay to each Lender, as long as such Lender shall be required to maintain reserves with respect to liabilities or assets consisting of or including Eurocurrency funds or deposits (currently known as “Eurocurrency liabilities”), additional interest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Borrower shall have received at least 10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184"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 xml:space="preserve">3.05. </w:t>
      </w:r>
      <w:r>
        <w:rPr>
          <w:rFonts w:ascii="Arial" w:cs="Arial" w:eastAsia="Arial" w:hAnsi="Arial"/>
          <w:sz w:val="20"/>
          <w:szCs w:val="20"/>
          <w:u w:val="single" w:color="auto"/>
          <w:color w:val="auto"/>
        </w:rPr>
        <w:t>Compensation for Losses</w:t>
      </w:r>
      <w:r>
        <w:rPr>
          <w:rFonts w:ascii="Arial" w:cs="Arial" w:eastAsia="Arial" w:hAnsi="Arial"/>
          <w:sz w:val="20"/>
          <w:szCs w:val="20"/>
          <w:color w:val="auto"/>
        </w:rPr>
        <w:t>. Upon demand of any Lender (with a copy to the Administrative Agent) from time to time, the Borrower shall promptly compensate such Lender for and hold such Lender harmless from any loss, cost or expense incurred by it as a result of:</w:t>
      </w:r>
    </w:p>
    <w:p>
      <w:pPr>
        <w:spacing w:after="0" w:line="20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50</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55" w:name="page456"/>
    <w:bookmarkEnd w:id="455"/>
    <w:p>
      <w:pPr>
        <w:ind w:right="160" w:firstLine="599"/>
        <w:spacing w:after="0" w:line="299" w:lineRule="auto"/>
        <w:tabs>
          <w:tab w:leader="none" w:pos="1421" w:val="left"/>
        </w:tabs>
        <w:numPr>
          <w:ilvl w:val="0"/>
          <w:numId w:val="540"/>
        </w:numPr>
        <w:rPr>
          <w:rFonts w:ascii="Arial" w:cs="Arial" w:eastAsia="Arial" w:hAnsi="Arial"/>
          <w:sz w:val="19"/>
          <w:szCs w:val="19"/>
          <w:color w:val="auto"/>
        </w:rPr>
      </w:pPr>
      <w:r>
        <w:rPr>
          <w:rFonts w:ascii="Arial" w:cs="Arial" w:eastAsia="Arial" w:hAnsi="Arial"/>
          <w:sz w:val="19"/>
          <w:szCs w:val="19"/>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67" w:lineRule="exact"/>
        <w:rPr>
          <w:rFonts w:ascii="Arial" w:cs="Arial" w:eastAsia="Arial" w:hAnsi="Arial"/>
          <w:sz w:val="19"/>
          <w:szCs w:val="19"/>
          <w:color w:val="auto"/>
        </w:rPr>
      </w:pPr>
    </w:p>
    <w:p>
      <w:pPr>
        <w:ind w:right="140" w:firstLine="599"/>
        <w:spacing w:after="0" w:line="272" w:lineRule="auto"/>
        <w:tabs>
          <w:tab w:leader="none" w:pos="1432" w:val="left"/>
        </w:tabs>
        <w:numPr>
          <w:ilvl w:val="0"/>
          <w:numId w:val="540"/>
        </w:numPr>
        <w:rPr>
          <w:rFonts w:ascii="Arial" w:cs="Arial" w:eastAsia="Arial" w:hAnsi="Arial"/>
          <w:sz w:val="20"/>
          <w:szCs w:val="20"/>
          <w:color w:val="auto"/>
        </w:rPr>
      </w:pPr>
      <w:r>
        <w:rPr>
          <w:rFonts w:ascii="Arial" w:cs="Arial" w:eastAsia="Arial" w:hAnsi="Arial"/>
          <w:sz w:val="20"/>
          <w:szCs w:val="20"/>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90" w:lineRule="exact"/>
        <w:rPr>
          <w:rFonts w:ascii="Arial" w:cs="Arial" w:eastAsia="Arial" w:hAnsi="Arial"/>
          <w:sz w:val="20"/>
          <w:szCs w:val="20"/>
          <w:color w:val="auto"/>
        </w:rPr>
      </w:pPr>
    </w:p>
    <w:p>
      <w:pPr>
        <w:ind w:right="460" w:firstLine="599"/>
        <w:spacing w:after="0" w:line="255" w:lineRule="auto"/>
        <w:tabs>
          <w:tab w:leader="none" w:pos="1421" w:val="left"/>
        </w:tabs>
        <w:numPr>
          <w:ilvl w:val="0"/>
          <w:numId w:val="540"/>
        </w:numPr>
        <w:rPr>
          <w:rFonts w:ascii="Arial" w:cs="Arial" w:eastAsia="Arial" w:hAnsi="Arial"/>
          <w:sz w:val="20"/>
          <w:szCs w:val="20"/>
          <w:color w:val="auto"/>
        </w:rPr>
      </w:pPr>
      <w:r>
        <w:rPr>
          <w:rFonts w:ascii="Arial" w:cs="Arial" w:eastAsia="Arial" w:hAnsi="Arial"/>
          <w:sz w:val="20"/>
          <w:szCs w:val="20"/>
          <w:color w:val="auto"/>
        </w:rPr>
        <w:t xml:space="preserve">any assignment of a Eurodollar Rate Loan on a day other than the last day of the Interest Period therefor as a result of a request by the Borrower pursuant to </w:t>
      </w:r>
      <w:r>
        <w:rPr>
          <w:rFonts w:ascii="Arial" w:cs="Arial" w:eastAsia="Arial" w:hAnsi="Arial"/>
          <w:sz w:val="20"/>
          <w:szCs w:val="20"/>
          <w:u w:val="single" w:color="auto"/>
          <w:color w:val="auto"/>
        </w:rPr>
        <w:t>Section 10.13</w:t>
      </w:r>
      <w:r>
        <w:rPr>
          <w:rFonts w:ascii="Arial" w:cs="Arial" w:eastAsia="Arial" w:hAnsi="Arial"/>
          <w:sz w:val="20"/>
          <w:szCs w:val="20"/>
          <w:color w:val="auto"/>
        </w:rPr>
        <w:t>;</w:t>
      </w:r>
    </w:p>
    <w:p>
      <w:pPr>
        <w:spacing w:after="0" w:line="1" w:lineRule="exact"/>
        <w:rPr>
          <w:rFonts w:ascii="Arial" w:cs="Arial" w:eastAsia="Arial" w:hAnsi="Arial"/>
          <w:sz w:val="20"/>
          <w:szCs w:val="20"/>
          <w:color w:val="auto"/>
        </w:rPr>
      </w:pPr>
    </w:p>
    <w:p>
      <w:pPr>
        <w:jc w:val="both"/>
        <w:spacing w:after="0" w:line="271" w:lineRule="auto"/>
        <w:rPr>
          <w:rFonts w:ascii="Arial" w:cs="Arial" w:eastAsia="Arial" w:hAnsi="Arial"/>
          <w:sz w:val="20"/>
          <w:szCs w:val="20"/>
          <w:color w:val="auto"/>
        </w:rPr>
      </w:pPr>
      <w:r>
        <w:rPr>
          <w:rFonts w:ascii="Arial" w:cs="Arial" w:eastAsia="Arial" w:hAnsi="Arial"/>
          <w:sz w:val="19"/>
          <w:szCs w:val="19"/>
          <w:color w:val="auto"/>
        </w:rPr>
        <w:t>including any loss or expense arising from the liquidation or reemployment of funds obtained by it to maintain such Loan or from fees payable to terminate the deposits from which such funds were obtained (but excluding any lost profit or loss of margin or Applicable Rate). The Borrower shall also pay any customary administrative fees charged by such Lender in connection with the foregoing.</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 xml:space="preserve">For purposes of calculating amounts payable by the Borrower to the Lenders under this </w:t>
      </w:r>
      <w:r>
        <w:rPr>
          <w:rFonts w:ascii="Arial" w:cs="Arial" w:eastAsia="Arial" w:hAnsi="Arial"/>
          <w:sz w:val="20"/>
          <w:szCs w:val="20"/>
          <w:u w:val="single" w:color="auto"/>
          <w:color w:val="auto"/>
        </w:rPr>
        <w:t>Section 3.05</w:t>
      </w:r>
      <w:r>
        <w:rPr>
          <w:rFonts w:ascii="Arial" w:cs="Arial" w:eastAsia="Arial" w:hAnsi="Arial"/>
          <w:sz w:val="20"/>
          <w:szCs w:val="20"/>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168"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3.06.</w:t>
      </w:r>
      <w:r>
        <w:rPr>
          <w:sz w:val="20"/>
          <w:szCs w:val="20"/>
          <w:color w:val="auto"/>
        </w:rPr>
        <w:tab/>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65" w:lineRule="auto"/>
        <w:tabs>
          <w:tab w:leader="none" w:pos="1421" w:val="left"/>
        </w:tabs>
        <w:numPr>
          <w:ilvl w:val="0"/>
          <w:numId w:val="541"/>
        </w:numPr>
        <w:rPr>
          <w:rFonts w:ascii="Arial" w:cs="Arial" w:eastAsia="Arial" w:hAnsi="Arial"/>
          <w:sz w:val="19"/>
          <w:szCs w:val="19"/>
          <w:color w:val="auto"/>
        </w:rPr>
      </w:pPr>
      <w:r>
        <w:rPr>
          <w:rFonts w:ascii="Arial" w:cs="Arial" w:eastAsia="Arial" w:hAnsi="Arial"/>
          <w:sz w:val="19"/>
          <w:szCs w:val="19"/>
          <w:u w:val="single" w:color="auto"/>
          <w:color w:val="auto"/>
        </w:rPr>
        <w:t>Designation of a Different Lending Office</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requires the Borrower to pay any Indemnified Taxes or additional amounts to any Lender or any Governmental Authority for the account of any Lender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if any Lender gives a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then at the request of the Borrower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as the case may be, in the future, or eliminate the need for the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as applicable, and (ii) in each case,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201" w:lineRule="exact"/>
        <w:rPr>
          <w:rFonts w:ascii="Arial" w:cs="Arial" w:eastAsia="Arial" w:hAnsi="Arial"/>
          <w:sz w:val="19"/>
          <w:szCs w:val="19"/>
          <w:color w:val="auto"/>
        </w:rPr>
      </w:pPr>
    </w:p>
    <w:p>
      <w:pPr>
        <w:jc w:val="both"/>
        <w:ind w:firstLine="599"/>
        <w:spacing w:after="0" w:line="256" w:lineRule="auto"/>
        <w:tabs>
          <w:tab w:leader="none" w:pos="1432" w:val="left"/>
        </w:tabs>
        <w:numPr>
          <w:ilvl w:val="0"/>
          <w:numId w:val="541"/>
        </w:numPr>
        <w:rPr>
          <w:rFonts w:ascii="Arial" w:cs="Arial" w:eastAsia="Arial" w:hAnsi="Arial"/>
          <w:sz w:val="20"/>
          <w:szCs w:val="20"/>
          <w:color w:val="auto"/>
        </w:rPr>
      </w:pPr>
      <w:r>
        <w:rPr>
          <w:rFonts w:ascii="Arial" w:cs="Arial" w:eastAsia="Arial" w:hAnsi="Arial"/>
          <w:sz w:val="20"/>
          <w:szCs w:val="20"/>
          <w:u w:val="single" w:color="auto"/>
          <w:color w:val="auto"/>
        </w:rPr>
        <w:t>Replacement of Lenders</w:t>
      </w:r>
      <w:r>
        <w:rPr>
          <w:rFonts w:ascii="Arial" w:cs="Arial" w:eastAsia="Arial" w:hAnsi="Arial"/>
          <w:sz w:val="20"/>
          <w:szCs w:val="20"/>
          <w:color w:val="auto"/>
        </w:rPr>
        <w:t xml:space="preserve">. If any Lender requests compensation under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3.01</w:t>
      </w:r>
      <w:r>
        <w:rPr>
          <w:rFonts w:ascii="Arial" w:cs="Arial" w:eastAsia="Arial" w:hAnsi="Arial"/>
          <w:sz w:val="20"/>
          <w:szCs w:val="20"/>
          <w:color w:val="auto"/>
        </w:rPr>
        <w:t xml:space="preserve">, and in each case, such Lender has declined or is unable to designate a different lending office in accordance with </w:t>
      </w:r>
      <w:r>
        <w:rPr>
          <w:rFonts w:ascii="Arial" w:cs="Arial" w:eastAsia="Arial" w:hAnsi="Arial"/>
          <w:sz w:val="20"/>
          <w:szCs w:val="20"/>
          <w:u w:val="single" w:color="auto"/>
          <w:color w:val="auto"/>
        </w:rPr>
        <w:t>Section 3.06(a)</w:t>
      </w:r>
      <w:r>
        <w:rPr>
          <w:rFonts w:ascii="Arial" w:cs="Arial" w:eastAsia="Arial" w:hAnsi="Arial"/>
          <w:sz w:val="20"/>
          <w:szCs w:val="20"/>
          <w:color w:val="auto"/>
        </w:rPr>
        <w:t xml:space="preserve">, the Borrower may replace such Lender in accordance with </w:t>
      </w:r>
      <w:r>
        <w:rPr>
          <w:rFonts w:ascii="Arial" w:cs="Arial" w:eastAsia="Arial" w:hAnsi="Arial"/>
          <w:sz w:val="20"/>
          <w:szCs w:val="20"/>
          <w:u w:val="single" w:color="auto"/>
          <w:color w:val="auto"/>
        </w:rPr>
        <w:t>Section 10.13</w:t>
      </w:r>
      <w:r>
        <w:rPr>
          <w:rFonts w:ascii="Arial" w:cs="Arial" w:eastAsia="Arial" w:hAnsi="Arial"/>
          <w:sz w:val="20"/>
          <w:szCs w:val="20"/>
          <w:color w:val="auto"/>
        </w:rPr>
        <w:t>.</w:t>
      </w:r>
    </w:p>
    <w:p>
      <w:pPr>
        <w:spacing w:after="0" w:line="205" w:lineRule="exact"/>
        <w:rPr>
          <w:sz w:val="20"/>
          <w:szCs w:val="20"/>
          <w:color w:val="auto"/>
        </w:rPr>
      </w:pPr>
    </w:p>
    <w:p>
      <w:pPr>
        <w:ind w:firstLine="599"/>
        <w:spacing w:after="0" w:line="272" w:lineRule="auto"/>
        <w:rPr>
          <w:sz w:val="20"/>
          <w:szCs w:val="20"/>
          <w:color w:val="auto"/>
        </w:rPr>
      </w:pPr>
      <w:r>
        <w:rPr>
          <w:rFonts w:ascii="Arial" w:cs="Arial" w:eastAsia="Arial" w:hAnsi="Arial"/>
          <w:sz w:val="20"/>
          <w:szCs w:val="20"/>
          <w:color w:val="auto"/>
        </w:rPr>
        <w:t xml:space="preserve">3.07. </w:t>
      </w: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All of the Borrower’s obligations under this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shall survive termination of the Commitments, repayment of all other Obligations hereunder, and resignation of the Administrative Agent.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CONDITIONS PRECEDENT TO CREDIT EXTENSIONS</w:t>
      </w:r>
    </w:p>
    <w:p>
      <w:pPr>
        <w:spacing w:after="0" w:line="229" w:lineRule="exact"/>
        <w:rPr>
          <w:sz w:val="20"/>
          <w:szCs w:val="20"/>
          <w:color w:val="auto"/>
        </w:rPr>
      </w:pPr>
    </w:p>
    <w:p>
      <w:pPr>
        <w:ind w:firstLine="599"/>
        <w:spacing w:after="0" w:line="272" w:lineRule="auto"/>
        <w:rPr>
          <w:sz w:val="20"/>
          <w:szCs w:val="20"/>
          <w:color w:val="auto"/>
        </w:rPr>
      </w:pPr>
      <w:r>
        <w:rPr>
          <w:rFonts w:ascii="Arial" w:cs="Arial" w:eastAsia="Arial" w:hAnsi="Arial"/>
          <w:sz w:val="20"/>
          <w:szCs w:val="20"/>
          <w:color w:val="auto"/>
        </w:rPr>
        <w:t xml:space="preserve">4.01. </w:t>
      </w:r>
      <w:r>
        <w:rPr>
          <w:rFonts w:ascii="Arial" w:cs="Arial" w:eastAsia="Arial" w:hAnsi="Arial"/>
          <w:sz w:val="20"/>
          <w:szCs w:val="20"/>
          <w:u w:val="single" w:color="auto"/>
          <w:color w:val="auto"/>
        </w:rPr>
        <w:t>Conditions of Effectiveness</w:t>
      </w:r>
      <w:r>
        <w:rPr>
          <w:rFonts w:ascii="Arial" w:cs="Arial" w:eastAsia="Arial" w:hAnsi="Arial"/>
          <w:sz w:val="20"/>
          <w:szCs w:val="20"/>
          <w:color w:val="auto"/>
        </w:rPr>
        <w:t>. This Agreement shall become effective on and as of the first date (the “</w:t>
      </w:r>
      <w:r>
        <w:rPr>
          <w:rFonts w:ascii="Arial" w:cs="Arial" w:eastAsia="Arial" w:hAnsi="Arial"/>
          <w:sz w:val="20"/>
          <w:szCs w:val="20"/>
          <w:u w:val="single" w:color="auto"/>
          <w:color w:val="auto"/>
        </w:rPr>
        <w:t>Closing Date</w:t>
      </w:r>
      <w:r>
        <w:rPr>
          <w:rFonts w:ascii="Arial" w:cs="Arial" w:eastAsia="Arial" w:hAnsi="Arial"/>
          <w:sz w:val="20"/>
          <w:szCs w:val="20"/>
          <w:color w:val="auto"/>
        </w:rPr>
        <w:t>”) on which all of the following conditions precedent shall have been satisfied:</w:t>
      </w:r>
    </w:p>
    <w:p>
      <w:pPr>
        <w:spacing w:after="0" w:line="19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51</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56" w:name="page457"/>
    <w:bookmarkEnd w:id="456"/>
    <w:p>
      <w:pPr>
        <w:jc w:val="both"/>
        <w:ind w:firstLine="599"/>
        <w:spacing w:after="0" w:line="256" w:lineRule="auto"/>
        <w:tabs>
          <w:tab w:leader="none" w:pos="1421" w:val="left"/>
        </w:tabs>
        <w:numPr>
          <w:ilvl w:val="0"/>
          <w:numId w:val="542"/>
        </w:numPr>
        <w:rPr>
          <w:rFonts w:ascii="Arial" w:cs="Arial" w:eastAsia="Arial" w:hAnsi="Arial"/>
          <w:sz w:val="20"/>
          <w:szCs w:val="20"/>
          <w:color w:val="auto"/>
        </w:rPr>
      </w:pPr>
      <w:r>
        <w:rPr>
          <w:rFonts w:ascii="Arial" w:cs="Arial" w:eastAsia="Arial" w:hAnsi="Arial"/>
          <w:sz w:val="20"/>
          <w:szCs w:val="20"/>
          <w:color w:val="auto"/>
        </w:rPr>
        <w:t>The Administrative Agent’s receipt of the following, each of which shall be original, or e-mail (in a .pdf format) or telecopies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satisfactory to the Administrative Agent and each of the Lenders:</w:t>
      </w:r>
    </w:p>
    <w:p>
      <w:pPr>
        <w:spacing w:after="0" w:line="205" w:lineRule="exact"/>
        <w:rPr>
          <w:rFonts w:ascii="Arial" w:cs="Arial" w:eastAsia="Arial" w:hAnsi="Arial"/>
          <w:sz w:val="20"/>
          <w:szCs w:val="20"/>
          <w:color w:val="auto"/>
        </w:rPr>
      </w:pPr>
    </w:p>
    <w:p>
      <w:pPr>
        <w:ind w:left="1980" w:hanging="781"/>
        <w:spacing w:after="0"/>
        <w:tabs>
          <w:tab w:leader="none" w:pos="1980" w:val="left"/>
        </w:tabs>
        <w:numPr>
          <w:ilvl w:val="1"/>
          <w:numId w:val="542"/>
        </w:numPr>
        <w:rPr>
          <w:rFonts w:ascii="Arial" w:cs="Arial" w:eastAsia="Arial" w:hAnsi="Arial"/>
          <w:sz w:val="20"/>
          <w:szCs w:val="20"/>
          <w:color w:val="auto"/>
        </w:rPr>
      </w:pPr>
      <w:r>
        <w:rPr>
          <w:rFonts w:ascii="Arial" w:cs="Arial" w:eastAsia="Arial" w:hAnsi="Arial"/>
          <w:sz w:val="20"/>
          <w:szCs w:val="20"/>
          <w:color w:val="auto"/>
        </w:rPr>
        <w:t>executed counterparts of this Agreement and the Guaranty;</w:t>
      </w:r>
    </w:p>
    <w:p>
      <w:pPr>
        <w:spacing w:after="0" w:line="244" w:lineRule="exact"/>
        <w:rPr>
          <w:rFonts w:ascii="Arial" w:cs="Arial" w:eastAsia="Arial" w:hAnsi="Arial"/>
          <w:sz w:val="20"/>
          <w:szCs w:val="20"/>
          <w:color w:val="auto"/>
        </w:rPr>
      </w:pPr>
    </w:p>
    <w:p>
      <w:pPr>
        <w:ind w:left="2040" w:hanging="841"/>
        <w:spacing w:after="0"/>
        <w:tabs>
          <w:tab w:leader="none" w:pos="2040" w:val="left"/>
        </w:tabs>
        <w:numPr>
          <w:ilvl w:val="1"/>
          <w:numId w:val="542"/>
        </w:numPr>
        <w:rPr>
          <w:rFonts w:ascii="Arial" w:cs="Arial" w:eastAsia="Arial" w:hAnsi="Arial"/>
          <w:sz w:val="18"/>
          <w:szCs w:val="18"/>
          <w:color w:val="auto"/>
        </w:rPr>
      </w:pPr>
      <w:r>
        <w:rPr>
          <w:rFonts w:ascii="Arial" w:cs="Arial" w:eastAsia="Arial" w:hAnsi="Arial"/>
          <w:sz w:val="18"/>
          <w:szCs w:val="18"/>
          <w:color w:val="auto"/>
        </w:rPr>
        <w:t>a Term Note executed by the Borrower in favor of each Lender requesting a Term Note prior to the Closing Date;</w:t>
      </w:r>
    </w:p>
    <w:p>
      <w:pPr>
        <w:spacing w:after="0" w:line="267" w:lineRule="exact"/>
        <w:rPr>
          <w:rFonts w:ascii="Arial" w:cs="Arial" w:eastAsia="Arial" w:hAnsi="Arial"/>
          <w:sz w:val="18"/>
          <w:szCs w:val="18"/>
          <w:color w:val="auto"/>
        </w:rPr>
      </w:pPr>
    </w:p>
    <w:p>
      <w:pPr>
        <w:jc w:val="both"/>
        <w:ind w:firstLine="1199"/>
        <w:spacing w:after="0" w:line="256" w:lineRule="auto"/>
        <w:tabs>
          <w:tab w:leader="none" w:pos="2098" w:val="left"/>
        </w:tabs>
        <w:numPr>
          <w:ilvl w:val="1"/>
          <w:numId w:val="542"/>
        </w:numPr>
        <w:rPr>
          <w:rFonts w:ascii="Arial" w:cs="Arial" w:eastAsia="Arial" w:hAnsi="Arial"/>
          <w:sz w:val="20"/>
          <w:szCs w:val="20"/>
          <w:color w:val="auto"/>
        </w:rPr>
      </w:pPr>
      <w:r>
        <w:rPr>
          <w:rFonts w:ascii="Arial" w:cs="Arial" w:eastAsia="Arial" w:hAnsi="Arial"/>
          <w:sz w:val="20"/>
          <w:szCs w:val="20"/>
          <w:color w:val="auto"/>
        </w:rPr>
        <w:t>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w:t>
      </w:r>
    </w:p>
    <w:p>
      <w:pPr>
        <w:spacing w:after="0" w:line="205" w:lineRule="exact"/>
        <w:rPr>
          <w:rFonts w:ascii="Arial" w:cs="Arial" w:eastAsia="Arial" w:hAnsi="Arial"/>
          <w:sz w:val="20"/>
          <w:szCs w:val="20"/>
          <w:color w:val="auto"/>
        </w:rPr>
      </w:pPr>
    </w:p>
    <w:p>
      <w:pPr>
        <w:jc w:val="both"/>
        <w:ind w:firstLine="1199"/>
        <w:spacing w:after="0" w:line="256" w:lineRule="auto"/>
        <w:tabs>
          <w:tab w:leader="none" w:pos="2087" w:val="left"/>
        </w:tabs>
        <w:numPr>
          <w:ilvl w:val="1"/>
          <w:numId w:val="542"/>
        </w:numPr>
        <w:rPr>
          <w:rFonts w:ascii="Arial" w:cs="Arial" w:eastAsia="Arial" w:hAnsi="Arial"/>
          <w:sz w:val="20"/>
          <w:szCs w:val="20"/>
          <w:color w:val="auto"/>
        </w:rPr>
      </w:pPr>
      <w:r>
        <w:rPr>
          <w:rFonts w:ascii="Arial" w:cs="Arial" w:eastAsia="Arial" w:hAnsi="Arial"/>
          <w:sz w:val="20"/>
          <w:szCs w:val="20"/>
          <w:color w:val="auto"/>
        </w:rPr>
        <w:t>such documents and certifications as the Administrative Agent may reasonably require to evidence that each Loan Party is duly organized or formed, and each Loan Party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205" w:lineRule="exact"/>
        <w:rPr>
          <w:rFonts w:ascii="Arial" w:cs="Arial" w:eastAsia="Arial" w:hAnsi="Arial"/>
          <w:sz w:val="20"/>
          <w:szCs w:val="20"/>
          <w:color w:val="auto"/>
        </w:rPr>
      </w:pPr>
    </w:p>
    <w:p>
      <w:pPr>
        <w:jc w:val="both"/>
        <w:ind w:firstLine="1199"/>
        <w:spacing w:after="0" w:line="260" w:lineRule="auto"/>
        <w:tabs>
          <w:tab w:leader="none" w:pos="2031" w:val="left"/>
        </w:tabs>
        <w:numPr>
          <w:ilvl w:val="1"/>
          <w:numId w:val="542"/>
        </w:numPr>
        <w:rPr>
          <w:rFonts w:ascii="Arial" w:cs="Arial" w:eastAsia="Arial" w:hAnsi="Arial"/>
          <w:sz w:val="20"/>
          <w:szCs w:val="20"/>
          <w:color w:val="auto"/>
        </w:rPr>
      </w:pPr>
      <w:r>
        <w:rPr>
          <w:rFonts w:ascii="Arial" w:cs="Arial" w:eastAsia="Arial" w:hAnsi="Arial"/>
          <w:sz w:val="20"/>
          <w:szCs w:val="20"/>
          <w:color w:val="auto"/>
        </w:rPr>
        <w:t>a favorable opinion of Latham &amp; Watkins LLP, counsel to the Loan Parties, addressed to the Administrative Agent and each Lender, as to such matters concerning the Loan Parties and the Loan Documents as the Administrative Agent may reasonably request;</w:t>
      </w:r>
    </w:p>
    <w:p>
      <w:pPr>
        <w:spacing w:after="0" w:line="201" w:lineRule="exact"/>
        <w:rPr>
          <w:rFonts w:ascii="Arial" w:cs="Arial" w:eastAsia="Arial" w:hAnsi="Arial"/>
          <w:sz w:val="20"/>
          <w:szCs w:val="20"/>
          <w:color w:val="auto"/>
        </w:rPr>
      </w:pPr>
    </w:p>
    <w:p>
      <w:pPr>
        <w:ind w:firstLine="1199"/>
        <w:spacing w:after="0" w:line="299" w:lineRule="auto"/>
        <w:tabs>
          <w:tab w:leader="none" w:pos="2087" w:val="left"/>
        </w:tabs>
        <w:numPr>
          <w:ilvl w:val="1"/>
          <w:numId w:val="542"/>
        </w:numPr>
        <w:rPr>
          <w:rFonts w:ascii="Arial" w:cs="Arial" w:eastAsia="Arial" w:hAnsi="Arial"/>
          <w:sz w:val="19"/>
          <w:szCs w:val="19"/>
          <w:color w:val="auto"/>
        </w:rPr>
      </w:pPr>
      <w:r>
        <w:rPr>
          <w:rFonts w:ascii="Arial" w:cs="Arial" w:eastAsia="Arial" w:hAnsi="Arial"/>
          <w:sz w:val="19"/>
          <w:szCs w:val="19"/>
          <w:color w:val="auto"/>
        </w:rPr>
        <w:t>a favorable opinion of in-house counsel to the Loan Parties, addressed to the Administrative Agent and each Lender, as to such matters concerning the Loan Parties and the Loan Documents as the Administrative Agent may reasonably request;</w:t>
      </w:r>
    </w:p>
    <w:p>
      <w:pPr>
        <w:spacing w:after="0" w:line="167" w:lineRule="exact"/>
        <w:rPr>
          <w:rFonts w:ascii="Arial" w:cs="Arial" w:eastAsia="Arial" w:hAnsi="Arial"/>
          <w:sz w:val="19"/>
          <w:szCs w:val="19"/>
          <w:color w:val="auto"/>
        </w:rPr>
      </w:pPr>
    </w:p>
    <w:p>
      <w:pPr>
        <w:jc w:val="both"/>
        <w:ind w:firstLine="1199"/>
        <w:spacing w:after="0" w:line="260" w:lineRule="auto"/>
        <w:tabs>
          <w:tab w:leader="none" w:pos="2143" w:val="left"/>
        </w:tabs>
        <w:numPr>
          <w:ilvl w:val="1"/>
          <w:numId w:val="542"/>
        </w:numPr>
        <w:rPr>
          <w:rFonts w:ascii="Arial" w:cs="Arial" w:eastAsia="Arial" w:hAnsi="Arial"/>
          <w:sz w:val="20"/>
          <w:szCs w:val="20"/>
          <w:color w:val="auto"/>
        </w:rPr>
      </w:pPr>
      <w:r>
        <w:rPr>
          <w:rFonts w:ascii="Arial" w:cs="Arial" w:eastAsia="Arial" w:hAnsi="Arial"/>
          <w:sz w:val="20"/>
          <w:szCs w:val="20"/>
          <w:color w:val="auto"/>
        </w:rPr>
        <w:t>a favorable opinion of Venable LLP, local counsel to the Loan Parties in Maryland, addressed to the Administrative Agent and each Lender, as to such matters concerning the Loan Parties and the Loan Documents as the Administrative Agent may reasonably request;</w:t>
      </w:r>
    </w:p>
    <w:p>
      <w:pPr>
        <w:spacing w:after="0" w:line="201" w:lineRule="exact"/>
        <w:rPr>
          <w:rFonts w:ascii="Arial" w:cs="Arial" w:eastAsia="Arial" w:hAnsi="Arial"/>
          <w:sz w:val="20"/>
          <w:szCs w:val="20"/>
          <w:color w:val="auto"/>
        </w:rPr>
      </w:pPr>
    </w:p>
    <w:p>
      <w:pPr>
        <w:jc w:val="both"/>
        <w:ind w:firstLine="1199"/>
        <w:spacing w:after="0" w:line="256" w:lineRule="auto"/>
        <w:tabs>
          <w:tab w:leader="none" w:pos="2198" w:val="left"/>
        </w:tabs>
        <w:numPr>
          <w:ilvl w:val="1"/>
          <w:numId w:val="542"/>
        </w:numPr>
        <w:rPr>
          <w:rFonts w:ascii="Arial" w:cs="Arial" w:eastAsia="Arial" w:hAnsi="Arial"/>
          <w:sz w:val="20"/>
          <w:szCs w:val="20"/>
          <w:color w:val="auto"/>
        </w:rPr>
      </w:pPr>
      <w:r>
        <w:rPr>
          <w:rFonts w:ascii="Arial" w:cs="Arial" w:eastAsia="Arial" w:hAnsi="Arial"/>
          <w:sz w:val="20"/>
          <w:szCs w:val="20"/>
          <w:color w:val="auto"/>
        </w:rPr>
        <w:t>a certificate of a Responsible Officer of each Loan Party either (A) attaching copies of all consents, licenses and approvals required in connection with the execution, delivery and performance by such Loan Party and the validity against such Loan Party of the Loan Documents to which it is a party, and such consents, licenses and approvals shall be in full force and effect, or (B) stating that no such consents, licenses or approvals are so required;</w:t>
      </w:r>
    </w:p>
    <w:p>
      <w:pPr>
        <w:spacing w:after="0" w:line="205" w:lineRule="exact"/>
        <w:rPr>
          <w:rFonts w:ascii="Arial" w:cs="Arial" w:eastAsia="Arial" w:hAnsi="Arial"/>
          <w:sz w:val="20"/>
          <w:szCs w:val="20"/>
          <w:color w:val="auto"/>
        </w:rPr>
      </w:pPr>
    </w:p>
    <w:p>
      <w:pPr>
        <w:jc w:val="both"/>
        <w:ind w:firstLine="1199"/>
        <w:spacing w:after="0" w:line="270" w:lineRule="auto"/>
        <w:tabs>
          <w:tab w:leader="none" w:pos="2087" w:val="left"/>
        </w:tabs>
        <w:numPr>
          <w:ilvl w:val="1"/>
          <w:numId w:val="542"/>
        </w:numPr>
        <w:rPr>
          <w:rFonts w:ascii="Arial" w:cs="Arial" w:eastAsia="Arial" w:hAnsi="Arial"/>
          <w:sz w:val="19"/>
          <w:szCs w:val="19"/>
          <w:color w:val="auto"/>
        </w:rPr>
      </w:pPr>
      <w:r>
        <w:rPr>
          <w:rFonts w:ascii="Arial" w:cs="Arial" w:eastAsia="Arial" w:hAnsi="Arial"/>
          <w:sz w:val="19"/>
          <w:szCs w:val="19"/>
          <w:color w:val="auto"/>
        </w:rPr>
        <w:t xml:space="preserve">a certificate signed by a Responsible Officer of the Borrower certifying that (1) the conditions specified in this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have been satisfied (other than those conditions contingent upon the satisfaction of the Administrative Agent and/or the Lenders with respect to certain items received by them under this </w:t>
      </w:r>
      <w:r>
        <w:rPr>
          <w:rFonts w:ascii="Arial" w:cs="Arial" w:eastAsia="Arial" w:hAnsi="Arial"/>
          <w:sz w:val="19"/>
          <w:szCs w:val="19"/>
          <w:u w:val="single" w:color="auto"/>
          <w:color w:val="auto"/>
        </w:rPr>
        <w:t>Section 4.01</w:t>
      </w:r>
      <w:r>
        <w:rPr>
          <w:rFonts w:ascii="Arial" w:cs="Arial" w:eastAsia="Arial" w:hAnsi="Arial"/>
          <w:sz w:val="19"/>
          <w:szCs w:val="19"/>
          <w:color w:val="auto"/>
        </w:rPr>
        <w:t>) and (2) no action, suit, investigation or proceeding is pending or, to the knowledge of any Loan Party, threatened in any court or before any arbitrator or Governmental Authority related to the credit facility being provided under this Agreement or that could reasonably be expected to have a Material Adverse Effect;</w:t>
      </w:r>
    </w:p>
    <w:p>
      <w:pPr>
        <w:spacing w:after="0" w:line="19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52</w:t>
      </w:r>
      <w:r>
        <w:rPr>
          <w:rFonts w:ascii="MS PGothic" w:cs="MS PGothic" w:eastAsia="MS PGothic" w:hAnsi="MS PGothic"/>
          <w:sz w:val="20"/>
          <w:szCs w:val="20"/>
          <w:color w:val="auto"/>
        </w:rPr>
        <w:t>‑</w:t>
      </w:r>
    </w:p>
    <w:p>
      <w:pPr>
        <w:sectPr>
          <w:pgSz w:w="11900" w:h="16838" w:orient="portrait"/>
          <w:cols w:equalWidth="0" w:num="1">
            <w:col w:w="11420"/>
          </w:cols>
          <w:pgMar w:left="240" w:top="794" w:right="239" w:bottom="1440" w:gutter="0" w:footer="0" w:header="0"/>
        </w:sectPr>
      </w:pPr>
    </w:p>
    <w:bookmarkStart w:id="457" w:name="page458"/>
    <w:bookmarkEnd w:id="457"/>
    <w:p>
      <w:pPr>
        <w:jc w:val="both"/>
        <w:ind w:firstLine="1199"/>
        <w:spacing w:after="0" w:line="260" w:lineRule="auto"/>
        <w:tabs>
          <w:tab w:leader="none" w:pos="2031" w:val="left"/>
        </w:tabs>
        <w:numPr>
          <w:ilvl w:val="1"/>
          <w:numId w:val="543"/>
        </w:numPr>
        <w:rPr>
          <w:rFonts w:ascii="Arial" w:cs="Arial" w:eastAsia="Arial" w:hAnsi="Arial"/>
          <w:sz w:val="20"/>
          <w:szCs w:val="20"/>
          <w:color w:val="auto"/>
        </w:rPr>
      </w:pPr>
      <w:r>
        <w:rPr>
          <w:rFonts w:ascii="Arial" w:cs="Arial" w:eastAsia="Arial" w:hAnsi="Arial"/>
          <w:sz w:val="20"/>
          <w:szCs w:val="20"/>
          <w:color w:val="auto"/>
        </w:rPr>
        <w:t>a Solvency Certificate from the Loan Parties certifying that, after giving effect to the transactions to occur on the Closing Date (including, without limitation, any Credit Extension to occur on the Closing Date), the REIT and its Consolidated Subsidiaries, on a consolidated basis, are Solvent;</w:t>
      </w:r>
    </w:p>
    <w:p>
      <w:pPr>
        <w:spacing w:after="0" w:line="201" w:lineRule="exact"/>
        <w:rPr>
          <w:rFonts w:ascii="Arial" w:cs="Arial" w:eastAsia="Arial" w:hAnsi="Arial"/>
          <w:sz w:val="20"/>
          <w:szCs w:val="20"/>
          <w:color w:val="auto"/>
        </w:rPr>
      </w:pPr>
    </w:p>
    <w:p>
      <w:pPr>
        <w:jc w:val="both"/>
        <w:ind w:firstLine="1199"/>
        <w:spacing w:after="0" w:line="280" w:lineRule="auto"/>
        <w:tabs>
          <w:tab w:leader="none" w:pos="2087" w:val="left"/>
        </w:tabs>
        <w:numPr>
          <w:ilvl w:val="1"/>
          <w:numId w:val="543"/>
        </w:numPr>
        <w:rPr>
          <w:rFonts w:ascii="Arial" w:cs="Arial" w:eastAsia="Arial" w:hAnsi="Arial"/>
          <w:sz w:val="19"/>
          <w:szCs w:val="19"/>
          <w:color w:val="auto"/>
        </w:rPr>
      </w:pPr>
      <w:r>
        <w:rPr>
          <w:rFonts w:ascii="Arial" w:cs="Arial" w:eastAsia="Arial" w:hAnsi="Arial"/>
          <w:sz w:val="19"/>
          <w:szCs w:val="19"/>
          <w:color w:val="auto"/>
        </w:rPr>
        <w:t>a duly completed Compliance Certificate as of the Closing Date (giving pro forma effect to the transactions to occur on the Closing Date, including, without limitation, all Credit Extensions to occur on the Effective Date), signed by a Responsible Officer of Borrower (such certificate being referred to herein as the “</w:t>
      </w:r>
      <w:r>
        <w:rPr>
          <w:rFonts w:ascii="Arial" w:cs="Arial" w:eastAsia="Arial" w:hAnsi="Arial"/>
          <w:sz w:val="19"/>
          <w:szCs w:val="19"/>
          <w:u w:val="single" w:color="auto"/>
          <w:color w:val="auto"/>
        </w:rPr>
        <w:t>Pro Forma Closing Date Compliance Certificate</w:t>
      </w:r>
      <w:r>
        <w:rPr>
          <w:rFonts w:ascii="Arial" w:cs="Arial" w:eastAsia="Arial" w:hAnsi="Arial"/>
          <w:sz w:val="19"/>
          <w:szCs w:val="19"/>
          <w:color w:val="auto"/>
        </w:rPr>
        <w:t>”); and</w:t>
      </w:r>
    </w:p>
    <w:p>
      <w:pPr>
        <w:spacing w:after="0" w:line="184" w:lineRule="exact"/>
        <w:rPr>
          <w:rFonts w:ascii="Arial" w:cs="Arial" w:eastAsia="Arial" w:hAnsi="Arial"/>
          <w:sz w:val="19"/>
          <w:szCs w:val="19"/>
          <w:color w:val="auto"/>
        </w:rPr>
      </w:pPr>
    </w:p>
    <w:p>
      <w:pPr>
        <w:ind w:left="2140" w:hanging="941"/>
        <w:spacing w:after="0"/>
        <w:tabs>
          <w:tab w:leader="none" w:pos="2140" w:val="left"/>
        </w:tabs>
        <w:numPr>
          <w:ilvl w:val="1"/>
          <w:numId w:val="543"/>
        </w:numPr>
        <w:rPr>
          <w:rFonts w:ascii="Arial" w:cs="Arial" w:eastAsia="Arial" w:hAnsi="Arial"/>
          <w:sz w:val="18"/>
          <w:szCs w:val="18"/>
          <w:color w:val="auto"/>
        </w:rPr>
      </w:pPr>
      <w:r>
        <w:rPr>
          <w:rFonts w:ascii="Arial" w:cs="Arial" w:eastAsia="Arial" w:hAnsi="Arial"/>
          <w:sz w:val="18"/>
          <w:szCs w:val="18"/>
          <w:color w:val="auto"/>
        </w:rPr>
        <w:t>such other assurances, certificates, documents, consents or opinions as the Administrative Agent or any Arranger</w:t>
      </w:r>
    </w:p>
    <w:p>
      <w:pPr>
        <w:spacing w:after="0" w:line="4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reasonably may require.</w:t>
      </w:r>
    </w:p>
    <w:p>
      <w:pPr>
        <w:spacing w:after="0" w:line="228" w:lineRule="exact"/>
        <w:rPr>
          <w:rFonts w:ascii="Arial" w:cs="Arial" w:eastAsia="Arial" w:hAnsi="Arial"/>
          <w:sz w:val="18"/>
          <w:szCs w:val="18"/>
          <w:color w:val="auto"/>
        </w:rPr>
      </w:pPr>
    </w:p>
    <w:p>
      <w:pPr>
        <w:ind w:right="100" w:firstLine="599"/>
        <w:spacing w:after="0" w:line="272" w:lineRule="auto"/>
        <w:tabs>
          <w:tab w:leader="none" w:pos="1432" w:val="left"/>
        </w:tabs>
        <w:numPr>
          <w:ilvl w:val="0"/>
          <w:numId w:val="544"/>
        </w:numPr>
        <w:rPr>
          <w:rFonts w:ascii="Arial" w:cs="Arial" w:eastAsia="Arial" w:hAnsi="Arial"/>
          <w:sz w:val="20"/>
          <w:szCs w:val="20"/>
          <w:color w:val="auto"/>
        </w:rPr>
      </w:pPr>
      <w:r>
        <w:rPr>
          <w:rFonts w:ascii="Arial" w:cs="Arial" w:eastAsia="Arial" w:hAnsi="Arial"/>
          <w:sz w:val="20"/>
          <w:szCs w:val="20"/>
          <w:color w:val="auto"/>
        </w:rPr>
        <w:t>(i) All fees required to be paid to the Administrative Agent and the Arrangers on or before the Closing Date shall have been paid and (ii) all fees required to be paid to the Lenders on or before the Closing Date shall have been paid.</w:t>
      </w:r>
    </w:p>
    <w:p>
      <w:pPr>
        <w:spacing w:after="0" w:line="190" w:lineRule="exact"/>
        <w:rPr>
          <w:rFonts w:ascii="Arial" w:cs="Arial" w:eastAsia="Arial" w:hAnsi="Arial"/>
          <w:sz w:val="20"/>
          <w:szCs w:val="20"/>
          <w:color w:val="auto"/>
        </w:rPr>
      </w:pPr>
    </w:p>
    <w:p>
      <w:pPr>
        <w:ind w:right="560" w:firstLine="599"/>
        <w:spacing w:after="0" w:line="329" w:lineRule="auto"/>
        <w:tabs>
          <w:tab w:leader="none" w:pos="1421" w:val="left"/>
        </w:tabs>
        <w:numPr>
          <w:ilvl w:val="0"/>
          <w:numId w:val="544"/>
        </w:numPr>
        <w:rPr>
          <w:rFonts w:ascii="Arial" w:cs="Arial" w:eastAsia="Arial" w:hAnsi="Arial"/>
          <w:sz w:val="18"/>
          <w:szCs w:val="18"/>
          <w:color w:val="auto"/>
        </w:rPr>
      </w:pPr>
      <w:r>
        <w:rPr>
          <w:rFonts w:ascii="Arial" w:cs="Arial" w:eastAsia="Arial" w:hAnsi="Arial"/>
          <w:sz w:val="18"/>
          <w:szCs w:val="18"/>
          <w:color w:val="auto"/>
        </w:rPr>
        <w:t>All due diligence with respect to the REIT, the Borrower and their respective Subsidiaries, in scope and determination satisfactory to the Administrative Agent, Arrangers and the Lenders in their sole discretion, shall have been completed.</w:t>
      </w:r>
    </w:p>
    <w:p>
      <w:pPr>
        <w:spacing w:after="0" w:line="144" w:lineRule="exact"/>
        <w:rPr>
          <w:rFonts w:ascii="Arial" w:cs="Arial" w:eastAsia="Arial" w:hAnsi="Arial"/>
          <w:sz w:val="18"/>
          <w:szCs w:val="18"/>
          <w:color w:val="auto"/>
        </w:rPr>
      </w:pPr>
    </w:p>
    <w:p>
      <w:pPr>
        <w:ind w:firstLine="599"/>
        <w:spacing w:after="0" w:line="272" w:lineRule="auto"/>
        <w:tabs>
          <w:tab w:leader="none" w:pos="1432" w:val="left"/>
        </w:tabs>
        <w:numPr>
          <w:ilvl w:val="0"/>
          <w:numId w:val="544"/>
        </w:numPr>
        <w:rPr>
          <w:rFonts w:ascii="Arial" w:cs="Arial" w:eastAsia="Arial" w:hAnsi="Arial"/>
          <w:sz w:val="20"/>
          <w:szCs w:val="20"/>
          <w:color w:val="auto"/>
        </w:rPr>
      </w:pPr>
      <w:r>
        <w:rPr>
          <w:rFonts w:ascii="Arial" w:cs="Arial" w:eastAsia="Arial" w:hAnsi="Arial"/>
          <w:sz w:val="20"/>
          <w:szCs w:val="20"/>
          <w:color w:val="auto"/>
        </w:rPr>
        <w:t>There shall not have occurred since December 31, 2015 any event or condition that has had or could reasonably be expected, either individually or in the aggregate, to have a Material Adverse Effect.</w:t>
      </w:r>
    </w:p>
    <w:p>
      <w:pPr>
        <w:spacing w:after="0" w:line="190" w:lineRule="exact"/>
        <w:rPr>
          <w:rFonts w:ascii="Arial" w:cs="Arial" w:eastAsia="Arial" w:hAnsi="Arial"/>
          <w:sz w:val="20"/>
          <w:szCs w:val="20"/>
          <w:color w:val="auto"/>
        </w:rPr>
      </w:pPr>
    </w:p>
    <w:p>
      <w:pPr>
        <w:jc w:val="both"/>
        <w:ind w:firstLine="599"/>
        <w:spacing w:after="0" w:line="251" w:lineRule="auto"/>
        <w:tabs>
          <w:tab w:leader="none" w:pos="1421" w:val="left"/>
        </w:tabs>
        <w:numPr>
          <w:ilvl w:val="0"/>
          <w:numId w:val="544"/>
        </w:numPr>
        <w:rPr>
          <w:rFonts w:ascii="Arial" w:cs="Arial" w:eastAsia="Arial" w:hAnsi="Arial"/>
          <w:sz w:val="20"/>
          <w:szCs w:val="20"/>
          <w:color w:val="auto"/>
        </w:rPr>
      </w:pPr>
      <w:r>
        <w:rPr>
          <w:rFonts w:ascii="Arial" w:cs="Arial" w:eastAsia="Arial" w:hAnsi="Arial"/>
          <w:sz w:val="20"/>
          <w:szCs w:val="20"/>
          <w:color w:val="auto"/>
        </w:rPr>
        <w:t>Unless waived by the Administrative Agent, the Borrower shall have paid all reasonable and documented fees, charges and disbursements of counsel to the Administrative Agent (directly to such counsel if requested by the Administrative Agent) (limited to the fees and expenses of one primary counsel, one specialty counsel in each specialty and one local counsel in each local jurisdiction) to the extent invoiced prior to or on the first Business Day prior to the Closing Date, plus such additional amounts of such fees, charges and disbursements as shall constitute its reasonable estimate of such fees, charges and disbursements incurred or to be incurred by it through the closing proceedings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estimate shall not thereafter preclude a final settling of accounts between the Borrower and the Administrative Agent).</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 xml:space="preserve">Without limiting the generality of the provisions of the last paragraph of </w:t>
      </w:r>
      <w:r>
        <w:rPr>
          <w:rFonts w:ascii="Arial" w:cs="Arial" w:eastAsia="Arial" w:hAnsi="Arial"/>
          <w:sz w:val="20"/>
          <w:szCs w:val="20"/>
          <w:u w:val="single" w:color="auto"/>
          <w:color w:val="auto"/>
        </w:rPr>
        <w:t>Section 9.03</w:t>
      </w:r>
      <w:r>
        <w:rPr>
          <w:rFonts w:ascii="Arial" w:cs="Arial" w:eastAsia="Arial" w:hAnsi="Arial"/>
          <w:sz w:val="20"/>
          <w:szCs w:val="20"/>
          <w:color w:val="auto"/>
        </w:rPr>
        <w:t xml:space="preserve">, for purposes of determining compliance with the conditions specified in this </w:t>
      </w:r>
      <w:r>
        <w:rPr>
          <w:rFonts w:ascii="Arial" w:cs="Arial" w:eastAsia="Arial" w:hAnsi="Arial"/>
          <w:sz w:val="20"/>
          <w:szCs w:val="20"/>
          <w:u w:val="single" w:color="auto"/>
          <w:color w:val="auto"/>
        </w:rPr>
        <w:t>Section 4.01</w:t>
      </w:r>
      <w:r>
        <w:rPr>
          <w:rFonts w:ascii="Arial" w:cs="Arial" w:eastAsia="Arial" w:hAnsi="Arial"/>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written notice from such Lender prior to the proposed Closing Date specifying its objection thereto</w:t>
      </w:r>
      <w:r>
        <w:rPr>
          <w:rFonts w:ascii="Arial" w:cs="Arial" w:eastAsia="Arial" w:hAnsi="Arial"/>
          <w:sz w:val="20"/>
          <w:szCs w:val="20"/>
          <w:b w:val="1"/>
          <w:bCs w:val="1"/>
          <w:color w:val="auto"/>
        </w:rPr>
        <w:t>.</w:t>
      </w:r>
    </w:p>
    <w:p>
      <w:pPr>
        <w:spacing w:after="0" w:line="174"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 xml:space="preserve">4.02. </w:t>
      </w:r>
      <w:r>
        <w:rPr>
          <w:rFonts w:ascii="Arial" w:cs="Arial" w:eastAsia="Arial" w:hAnsi="Arial"/>
          <w:sz w:val="20"/>
          <w:szCs w:val="20"/>
          <w:u w:val="single" w:color="auto"/>
          <w:color w:val="auto"/>
        </w:rPr>
        <w:t>Conditions to All Credit Extensions</w:t>
      </w:r>
      <w:r>
        <w:rPr>
          <w:rFonts w:ascii="Arial" w:cs="Arial" w:eastAsia="Arial" w:hAnsi="Arial"/>
          <w:sz w:val="20"/>
          <w:szCs w:val="20"/>
          <w:color w:val="auto"/>
        </w:rPr>
        <w:t>. The obligation of each Lender to honor any Request for Credit Extension (other than a Loan Notice requesting only a conversion of Term Loans to the other Type, or a continuation of Eurodollar Rate Loans) is subject to the following conditions precedent:</w:t>
      </w:r>
    </w:p>
    <w:p>
      <w:pPr>
        <w:spacing w:after="0" w:line="202" w:lineRule="exact"/>
        <w:rPr>
          <w:sz w:val="20"/>
          <w:szCs w:val="20"/>
          <w:color w:val="auto"/>
        </w:rPr>
      </w:pPr>
    </w:p>
    <w:p>
      <w:pPr>
        <w:jc w:val="both"/>
        <w:ind w:firstLine="599"/>
        <w:spacing w:after="0" w:line="270" w:lineRule="auto"/>
        <w:tabs>
          <w:tab w:leader="none" w:pos="1421" w:val="left"/>
        </w:tabs>
        <w:numPr>
          <w:ilvl w:val="0"/>
          <w:numId w:val="545"/>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the Borrower and each other Loan Party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any other Loan Document, or which are contained in any document furnished at any time under or in connection herewith or therewith, shall be true and correct in all material respects on and as of the date of the proposed Credit Extension, except (i) to the extent that such representations and warranties specifically refer to an earlier date, in which case they shall be true and correct as of such earlier date, (ii) any representation or warranty that is already by its terms qualified as to “materiality”, “Material Adverse Effect” or similar</w:t>
      </w:r>
    </w:p>
    <w:p>
      <w:pPr>
        <w:spacing w:after="0" w:line="19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53</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58" w:name="page459"/>
    <w:bookmarkEnd w:id="458"/>
    <w:p>
      <w:pPr>
        <w:jc w:val="both"/>
        <w:spacing w:after="0" w:line="260" w:lineRule="auto"/>
        <w:rPr>
          <w:sz w:val="20"/>
          <w:szCs w:val="20"/>
          <w:color w:val="auto"/>
        </w:rPr>
      </w:pPr>
      <w:r>
        <w:rPr>
          <w:rFonts w:ascii="Arial" w:cs="Arial" w:eastAsia="Arial" w:hAnsi="Arial"/>
          <w:sz w:val="20"/>
          <w:szCs w:val="20"/>
          <w:color w:val="auto"/>
        </w:rPr>
        <w:t xml:space="preserve">language shall be true and correct in all respects as of such date after giving effect to such qualification and (iii) for purposes of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4.02</w:t>
      </w:r>
      <w:r>
        <w:rPr>
          <w:rFonts w:ascii="Arial" w:cs="Arial" w:eastAsia="Arial" w:hAnsi="Arial"/>
          <w:sz w:val="20"/>
          <w:szCs w:val="20"/>
          <w:color w:val="auto"/>
        </w:rPr>
        <w:t xml:space="preserve">, the representations and warranties contained in subsections (a) and (b) of </w:t>
      </w:r>
      <w:r>
        <w:rPr>
          <w:rFonts w:ascii="Arial" w:cs="Arial" w:eastAsia="Arial" w:hAnsi="Arial"/>
          <w:sz w:val="20"/>
          <w:szCs w:val="20"/>
          <w:u w:val="single" w:color="auto"/>
          <w:color w:val="auto"/>
        </w:rPr>
        <w:t>Section 5.05</w:t>
      </w:r>
      <w:r>
        <w:rPr>
          <w:rFonts w:ascii="Arial" w:cs="Arial" w:eastAsia="Arial" w:hAnsi="Arial"/>
          <w:sz w:val="20"/>
          <w:szCs w:val="20"/>
          <w:color w:val="auto"/>
        </w:rPr>
        <w:t xml:space="preserve"> shall be deemed to refer to the most recent statements furnished pursuant to clauses (a) and (b), respectively, of </w:t>
      </w:r>
      <w:r>
        <w:rPr>
          <w:rFonts w:ascii="Arial" w:cs="Arial" w:eastAsia="Arial" w:hAnsi="Arial"/>
          <w:sz w:val="20"/>
          <w:szCs w:val="20"/>
          <w:u w:val="single" w:color="auto"/>
          <w:color w:val="auto"/>
        </w:rPr>
        <w:t>Section 6.01</w:t>
      </w:r>
      <w:r>
        <w:rPr>
          <w:rFonts w:ascii="Arial" w:cs="Arial" w:eastAsia="Arial" w:hAnsi="Arial"/>
          <w:sz w:val="20"/>
          <w:szCs w:val="20"/>
          <w:color w:val="auto"/>
        </w:rPr>
        <w:t>;</w:t>
      </w:r>
    </w:p>
    <w:p>
      <w:pPr>
        <w:spacing w:after="0" w:line="202" w:lineRule="exact"/>
        <w:rPr>
          <w:sz w:val="20"/>
          <w:szCs w:val="20"/>
          <w:color w:val="auto"/>
        </w:rPr>
      </w:pPr>
    </w:p>
    <w:p>
      <w:pPr>
        <w:ind w:left="1440" w:hanging="841"/>
        <w:spacing w:after="0"/>
        <w:tabs>
          <w:tab w:leader="none" w:pos="144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from the application of the proceeds thereof;</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229" w:lineRule="exact"/>
        <w:rPr>
          <w:sz w:val="20"/>
          <w:szCs w:val="20"/>
          <w:color w:val="auto"/>
        </w:rPr>
      </w:pPr>
    </w:p>
    <w:p>
      <w:pPr>
        <w:ind w:left="1420" w:hanging="821"/>
        <w:spacing w:after="0"/>
        <w:tabs>
          <w:tab w:leader="none" w:pos="142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The Administrative Agent shall have received a Request for Credit Extension in accordance with the requirements hereof.</w:t>
      </w:r>
    </w:p>
    <w:p>
      <w:pPr>
        <w:spacing w:after="0" w:line="268"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 xml:space="preserve">Each Request for Credit Extension (other than a Loan Notice requesting only a conversion of Loans to the other Type or a continuation of Eurodollar Rate Loans) submitted by the Borrower shall be deemed to be a representation and warranty that the conditions specified in </w:t>
      </w:r>
      <w:r>
        <w:rPr>
          <w:rFonts w:ascii="Arial" w:cs="Arial" w:eastAsia="Arial" w:hAnsi="Arial"/>
          <w:sz w:val="20"/>
          <w:szCs w:val="20"/>
          <w:u w:val="single" w:color="auto"/>
          <w:color w:val="auto"/>
        </w:rPr>
        <w:t>Sections 4.02(a)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have been satisfied on and as of the date of the applicable Credit Extension.</w:t>
      </w:r>
    </w:p>
    <w:p>
      <w:pPr>
        <w:spacing w:after="0" w:line="164"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ARTICLE V</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REPRESENTATIONS AND WARRANTIES</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Each of the REIT and the Borrower represents and warrants to the Administrative Agent and the Lenders that:</w:t>
      </w:r>
    </w:p>
    <w:p>
      <w:pPr>
        <w:spacing w:after="0" w:line="191" w:lineRule="exact"/>
        <w:rPr>
          <w:sz w:val="20"/>
          <w:szCs w:val="20"/>
          <w:color w:val="auto"/>
        </w:rPr>
      </w:pPr>
    </w:p>
    <w:p>
      <w:pPr>
        <w:jc w:val="both"/>
        <w:ind w:firstLine="599"/>
        <w:spacing w:after="0" w:line="267" w:lineRule="auto"/>
        <w:rPr>
          <w:sz w:val="20"/>
          <w:szCs w:val="20"/>
          <w:color w:val="auto"/>
        </w:rPr>
      </w:pPr>
      <w:r>
        <w:rPr>
          <w:rFonts w:ascii="Arial" w:cs="Arial" w:eastAsia="Arial" w:hAnsi="Arial"/>
          <w:sz w:val="19"/>
          <w:szCs w:val="19"/>
          <w:color w:val="auto"/>
        </w:rPr>
        <w:t xml:space="preserve">5.01. </w:t>
      </w:r>
      <w:r>
        <w:rPr>
          <w:rFonts w:ascii="Arial" w:cs="Arial" w:eastAsia="Arial" w:hAnsi="Arial"/>
          <w:sz w:val="19"/>
          <w:szCs w:val="19"/>
          <w:u w:val="single" w:color="auto"/>
          <w:color w:val="auto"/>
        </w:rPr>
        <w:t>Existence, Qualification and Power</w:t>
      </w:r>
      <w:r>
        <w:rPr>
          <w:rFonts w:ascii="Arial" w:cs="Arial" w:eastAsia="Arial" w:hAnsi="Arial"/>
          <w:sz w:val="19"/>
          <w:szCs w:val="19"/>
          <w:color w:val="auto"/>
        </w:rPr>
        <w:t>. Each Loan Party and each of its Subsidiaries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w:t>
      </w:r>
    </w:p>
    <w:p>
      <w:pPr>
        <w:spacing w:after="0" w:line="197" w:lineRule="exact"/>
        <w:rPr>
          <w:sz w:val="20"/>
          <w:szCs w:val="20"/>
          <w:color w:val="auto"/>
        </w:rPr>
      </w:pPr>
    </w:p>
    <w:p>
      <w:pPr>
        <w:jc w:val="both"/>
        <w:ind w:firstLine="599"/>
        <w:spacing w:after="0" w:line="267" w:lineRule="auto"/>
        <w:rPr>
          <w:sz w:val="20"/>
          <w:szCs w:val="20"/>
          <w:color w:val="auto"/>
        </w:rPr>
      </w:pPr>
      <w:r>
        <w:rPr>
          <w:rFonts w:ascii="Arial" w:cs="Arial" w:eastAsia="Arial" w:hAnsi="Arial"/>
          <w:sz w:val="19"/>
          <w:szCs w:val="19"/>
          <w:color w:val="auto"/>
        </w:rPr>
        <w:t xml:space="preserve">5.02. </w:t>
      </w:r>
      <w:r>
        <w:rPr>
          <w:rFonts w:ascii="Arial" w:cs="Arial" w:eastAsia="Arial" w:hAnsi="Arial"/>
          <w:sz w:val="19"/>
          <w:szCs w:val="19"/>
          <w:u w:val="single" w:color="auto"/>
          <w:color w:val="auto"/>
        </w:rPr>
        <w:t>Authorization; No Contravention</w:t>
      </w:r>
      <w:r>
        <w:rPr>
          <w:rFonts w:ascii="Arial" w:cs="Arial" w:eastAsia="Arial" w:hAnsi="Arial"/>
          <w:sz w:val="19"/>
          <w:szCs w:val="19"/>
          <w:color w:val="auto"/>
        </w:rPr>
        <w:t>. The execution, delivery and performance by each Loan Party of each Loan Document to which such Person is a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 except in each case referred to in clause (b) or (c) hereof, to the extent the same could not reasonably be expected to have a Material Adverse Effect.</w:t>
      </w:r>
    </w:p>
    <w:p>
      <w:pPr>
        <w:spacing w:after="0" w:line="197" w:lineRule="exact"/>
        <w:rPr>
          <w:sz w:val="20"/>
          <w:szCs w:val="20"/>
          <w:color w:val="auto"/>
        </w:rPr>
      </w:pPr>
    </w:p>
    <w:p>
      <w:pPr>
        <w:jc w:val="both"/>
        <w:ind w:firstLine="599"/>
        <w:spacing w:after="0" w:line="288" w:lineRule="auto"/>
        <w:rPr>
          <w:sz w:val="20"/>
          <w:szCs w:val="20"/>
          <w:color w:val="auto"/>
        </w:rPr>
      </w:pPr>
      <w:r>
        <w:rPr>
          <w:rFonts w:ascii="Arial" w:cs="Arial" w:eastAsia="Arial" w:hAnsi="Arial"/>
          <w:sz w:val="18"/>
          <w:szCs w:val="18"/>
          <w:color w:val="auto"/>
        </w:rPr>
        <w:t xml:space="preserve">5.03. </w:t>
      </w:r>
      <w:r>
        <w:rPr>
          <w:rFonts w:ascii="Arial" w:cs="Arial" w:eastAsia="Arial" w:hAnsi="Arial"/>
          <w:sz w:val="18"/>
          <w:szCs w:val="18"/>
          <w:u w:val="single" w:color="auto"/>
          <w:color w:val="auto"/>
        </w:rPr>
        <w:t>Governmental Authorization; Other Consents</w:t>
      </w:r>
      <w:r>
        <w:rPr>
          <w:rFonts w:ascii="Arial" w:cs="Arial" w:eastAsia="Arial" w:hAnsi="Arial"/>
          <w:sz w:val="18"/>
          <w:szCs w:val="18"/>
          <w:color w:val="auto"/>
        </w:rPr>
        <w:t>. 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or (b) the exercise by the Administrative Agent or any Lender of its rights or remedies under the Loan Documents, except for the approvals, consents, exemptions, authorizations, actions, notices and filings which have been duly obtained, taken, given or made and are in full force and effect.</w:t>
      </w:r>
    </w:p>
    <w:p>
      <w:pPr>
        <w:spacing w:after="0" w:line="200" w:lineRule="exact"/>
        <w:rPr>
          <w:sz w:val="20"/>
          <w:szCs w:val="20"/>
          <w:color w:val="auto"/>
        </w:rPr>
      </w:pPr>
    </w:p>
    <w:p>
      <w:pPr>
        <w:spacing w:after="0" w:line="219"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54</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59" w:name="page460"/>
    <w:bookmarkEnd w:id="459"/>
    <w:p>
      <w:pPr>
        <w:jc w:val="both"/>
        <w:ind w:firstLine="599"/>
        <w:spacing w:after="0" w:line="270" w:lineRule="auto"/>
        <w:rPr>
          <w:sz w:val="20"/>
          <w:szCs w:val="20"/>
          <w:color w:val="auto"/>
        </w:rPr>
      </w:pPr>
      <w:r>
        <w:rPr>
          <w:rFonts w:ascii="Arial" w:cs="Arial" w:eastAsia="Arial" w:hAnsi="Arial"/>
          <w:sz w:val="19"/>
          <w:szCs w:val="19"/>
          <w:color w:val="auto"/>
        </w:rPr>
        <w:t xml:space="preserve">5.04. </w:t>
      </w:r>
      <w:r>
        <w:rPr>
          <w:rFonts w:ascii="Arial" w:cs="Arial" w:eastAsia="Arial" w:hAnsi="Arial"/>
          <w:sz w:val="19"/>
          <w:szCs w:val="19"/>
          <w:u w:val="single" w:color="auto"/>
          <w:color w:val="auto"/>
        </w:rPr>
        <w:t>Binding Effect</w:t>
      </w:r>
      <w:r>
        <w:rPr>
          <w:rFonts w:ascii="Arial" w:cs="Arial" w:eastAsia="Arial" w:hAnsi="Arial"/>
          <w:sz w:val="19"/>
          <w:szCs w:val="19"/>
          <w:color w:val="auto"/>
        </w:rPr>
        <w: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as enforceability may be limited by applicable bankruptcy, insolvency, reorganization, moratorium or other similar laws affecting creditors’ rights generally, or by general equitable principles relating to enforceability.</w:t>
      </w:r>
    </w:p>
    <w:p>
      <w:pPr>
        <w:spacing w:after="0" w:line="195"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5.05.</w:t>
      </w:r>
      <w:r>
        <w:rPr>
          <w:sz w:val="20"/>
          <w:szCs w:val="20"/>
          <w:color w:val="auto"/>
        </w:rPr>
        <w:tab/>
      </w:r>
      <w:r>
        <w:rPr>
          <w:rFonts w:ascii="Arial" w:cs="Arial" w:eastAsia="Arial" w:hAnsi="Arial"/>
          <w:sz w:val="18"/>
          <w:szCs w:val="18"/>
          <w:u w:val="single" w:color="auto"/>
          <w:color w:val="auto"/>
        </w:rPr>
        <w:t>Financial Statements; No Material Adverse Effect</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93" w:lineRule="auto"/>
        <w:tabs>
          <w:tab w:leader="none" w:pos="1421" w:val="left"/>
        </w:tabs>
        <w:numPr>
          <w:ilvl w:val="0"/>
          <w:numId w:val="548"/>
        </w:numPr>
        <w:rPr>
          <w:rFonts w:ascii="Arial" w:cs="Arial" w:eastAsia="Arial" w:hAnsi="Arial"/>
          <w:sz w:val="18"/>
          <w:szCs w:val="18"/>
          <w:color w:val="auto"/>
        </w:rPr>
      </w:pPr>
      <w:r>
        <w:rPr>
          <w:rFonts w:ascii="Arial" w:cs="Arial" w:eastAsia="Arial" w:hAnsi="Arial"/>
          <w:sz w:val="18"/>
          <w:szCs w:val="18"/>
          <w:color w:val="auto"/>
        </w:rPr>
        <w:t>The Audited Financial Statements (i) were prepared in accordance with GAAP consistently applied throughout the period covered thereby, except as otherwise expressly noted therein and (ii) fairly present the financial condition of the Consolidated Group as of the date thereof and its results of operations, cash flows and changes in shareholders’ equity for the period covered thereby in accordance with GAAP consistently applied throughout the period covered thereby, except as otherwise expressly noted therein.</w:t>
      </w:r>
    </w:p>
    <w:p>
      <w:pPr>
        <w:spacing w:after="0" w:line="175" w:lineRule="exact"/>
        <w:rPr>
          <w:rFonts w:ascii="Arial" w:cs="Arial" w:eastAsia="Arial" w:hAnsi="Arial"/>
          <w:sz w:val="18"/>
          <w:szCs w:val="18"/>
          <w:color w:val="auto"/>
        </w:rPr>
      </w:pPr>
    </w:p>
    <w:p>
      <w:pPr>
        <w:jc w:val="both"/>
        <w:ind w:firstLine="599"/>
        <w:spacing w:after="0" w:line="252" w:lineRule="auto"/>
        <w:tabs>
          <w:tab w:leader="none" w:pos="1432" w:val="left"/>
        </w:tabs>
        <w:numPr>
          <w:ilvl w:val="0"/>
          <w:numId w:val="548"/>
        </w:numPr>
        <w:rPr>
          <w:rFonts w:ascii="Arial" w:cs="Arial" w:eastAsia="Arial" w:hAnsi="Arial"/>
          <w:sz w:val="20"/>
          <w:szCs w:val="20"/>
          <w:color w:val="auto"/>
        </w:rPr>
      </w:pPr>
      <w:r>
        <w:rPr>
          <w:rFonts w:ascii="Arial" w:cs="Arial" w:eastAsia="Arial" w:hAnsi="Arial"/>
          <w:sz w:val="20"/>
          <w:szCs w:val="20"/>
          <w:color w:val="auto"/>
        </w:rPr>
        <w:t>The unaudited consolidated balance sheet of the Consolidated Group dated September 30, 2017,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Consolidated Group as of the date thereof and its results of operations, cash flows and changes in shareholders’ equity for the period covered thereby, subject, in the case of clauses (i) and (ii), to the absence of footnotes and to normal year-end audit adjustments.</w:t>
      </w:r>
    </w:p>
    <w:p>
      <w:pPr>
        <w:spacing w:after="0" w:line="206" w:lineRule="exact"/>
        <w:rPr>
          <w:rFonts w:ascii="Arial" w:cs="Arial" w:eastAsia="Arial" w:hAnsi="Arial"/>
          <w:sz w:val="20"/>
          <w:szCs w:val="20"/>
          <w:color w:val="auto"/>
        </w:rPr>
      </w:pPr>
    </w:p>
    <w:p>
      <w:pPr>
        <w:ind w:firstLine="599"/>
        <w:spacing w:after="0" w:line="279" w:lineRule="auto"/>
        <w:tabs>
          <w:tab w:leader="none" w:pos="1421" w:val="left"/>
        </w:tabs>
        <w:numPr>
          <w:ilvl w:val="0"/>
          <w:numId w:val="548"/>
        </w:numPr>
        <w:rPr>
          <w:rFonts w:ascii="Arial" w:cs="Arial" w:eastAsia="Arial" w:hAnsi="Arial"/>
          <w:sz w:val="20"/>
          <w:szCs w:val="20"/>
          <w:color w:val="auto"/>
        </w:rPr>
      </w:pPr>
      <w:r>
        <w:rPr>
          <w:rFonts w:ascii="Arial" w:cs="Arial" w:eastAsia="Arial" w:hAnsi="Arial"/>
          <w:sz w:val="20"/>
          <w:szCs w:val="20"/>
          <w:color w:val="auto"/>
        </w:rPr>
        <w:t>Since December 31, 2016</w:t>
      </w:r>
      <w:r>
        <w:rPr>
          <w:rFonts w:ascii="Arial" w:cs="Arial" w:eastAsia="Arial" w:hAnsi="Arial"/>
          <w:sz w:val="20"/>
          <w:szCs w:val="20"/>
          <w:b w:val="1"/>
          <w:bCs w:val="1"/>
          <w:color w:val="auto"/>
        </w:rPr>
        <w:t>,</w:t>
      </w:r>
      <w:r>
        <w:rPr>
          <w:rFonts w:ascii="Arial" w:cs="Arial" w:eastAsia="Arial" w:hAnsi="Arial"/>
          <w:sz w:val="20"/>
          <w:szCs w:val="20"/>
          <w:color w:val="auto"/>
        </w:rPr>
        <w:t xml:space="preserve"> there has been no event or circumstance, either individually or in the aggregate, that has had or could reasonably be expected to have a Material Adverse Effect.</w:t>
      </w:r>
    </w:p>
    <w:p>
      <w:pPr>
        <w:spacing w:after="0" w:line="183" w:lineRule="exact"/>
        <w:rPr>
          <w:rFonts w:ascii="Arial" w:cs="Arial" w:eastAsia="Arial" w:hAnsi="Arial"/>
          <w:sz w:val="20"/>
          <w:szCs w:val="20"/>
          <w:color w:val="auto"/>
        </w:rPr>
      </w:pPr>
    </w:p>
    <w:p>
      <w:pPr>
        <w:jc w:val="both"/>
        <w:ind w:firstLine="599"/>
        <w:spacing w:after="0" w:line="273" w:lineRule="auto"/>
        <w:tabs>
          <w:tab w:leader="none" w:pos="1432" w:val="left"/>
        </w:tabs>
        <w:numPr>
          <w:ilvl w:val="0"/>
          <w:numId w:val="548"/>
        </w:numPr>
        <w:rPr>
          <w:rFonts w:ascii="Arial" w:cs="Arial" w:eastAsia="Arial" w:hAnsi="Arial"/>
          <w:sz w:val="19"/>
          <w:szCs w:val="19"/>
          <w:color w:val="auto"/>
        </w:rPr>
      </w:pPr>
      <w:r>
        <w:rPr>
          <w:rFonts w:ascii="Arial" w:cs="Arial" w:eastAsia="Arial" w:hAnsi="Arial"/>
          <w:sz w:val="19"/>
          <w:szCs w:val="19"/>
          <w:color w:val="auto"/>
        </w:rPr>
        <w:t xml:space="preserve">The consolidated forecasted balance sheet, statement of income and cash flows of the Consolidated Group delivered pursuant to </w:t>
      </w:r>
      <w:r>
        <w:rPr>
          <w:rFonts w:ascii="Arial" w:cs="Arial" w:eastAsia="Arial" w:hAnsi="Arial"/>
          <w:sz w:val="19"/>
          <w:szCs w:val="19"/>
          <w:u w:val="single" w:color="auto"/>
          <w:color w:val="auto"/>
        </w:rPr>
        <w:t>Section 6.01(c)</w:t>
      </w:r>
      <w:r>
        <w:rPr>
          <w:rFonts w:ascii="Arial" w:cs="Arial" w:eastAsia="Arial" w:hAnsi="Arial"/>
          <w:sz w:val="19"/>
          <w:szCs w:val="19"/>
          <w:color w:val="auto"/>
        </w:rPr>
        <w:t xml:space="preserve"> were prepared in good faith on the basis of the assumptions stated therein, which assumptions the Borrower believed to be reasonable at the time made; </w:t>
      </w:r>
      <w:r>
        <w:rPr>
          <w:rFonts w:ascii="Arial" w:cs="Arial" w:eastAsia="Arial" w:hAnsi="Arial"/>
          <w:sz w:val="19"/>
          <w:szCs w:val="19"/>
          <w:u w:val="single" w:color="auto"/>
          <w:color w:val="auto"/>
        </w:rPr>
        <w:t>provided</w:t>
      </w:r>
      <w:r>
        <w:rPr>
          <w:rFonts w:ascii="Arial" w:cs="Arial" w:eastAsia="Arial" w:hAnsi="Arial"/>
          <w:sz w:val="19"/>
          <w:szCs w:val="19"/>
          <w:color w:val="auto"/>
        </w:rPr>
        <w:t>, such forecasts are not to be viewed as facts and that actual results during the period or periods covered by such forecasts may differ from such forecasts and that the differences may be material.</w:t>
      </w:r>
    </w:p>
    <w:p>
      <w:pPr>
        <w:spacing w:after="0" w:line="192"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 xml:space="preserve">5.06. </w:t>
      </w:r>
      <w:r>
        <w:rPr>
          <w:rFonts w:ascii="Arial" w:cs="Arial" w:eastAsia="Arial" w:hAnsi="Arial"/>
          <w:sz w:val="20"/>
          <w:szCs w:val="20"/>
          <w:u w:val="single" w:color="auto"/>
          <w:color w:val="auto"/>
        </w:rPr>
        <w:t>Litigation</w:t>
      </w:r>
      <w:r>
        <w:rPr>
          <w:rFonts w:ascii="Arial" w:cs="Arial" w:eastAsia="Arial" w:hAnsi="Arial"/>
          <w:sz w:val="20"/>
          <w:szCs w:val="20"/>
          <w:color w:val="auto"/>
        </w:rPr>
        <w:t>. There are no actions, suits, proceedings, claims or disputes pending or, to the knowledge of the Borrower after due and diligent investigation, threatened in writing, at law, in equity, in arbitration or before any Governmental Authority, by or against any Loan Party or any of its Subsidiaries or against any of their properties or revenues that (a) purport to affect or pertain to this Agreement, any other Loan Document, or any of the transactions contemplated hereby, or (b) either individually or in the aggregate could reasonably be expected to have a Material Adverse Effect.</w:t>
      </w:r>
    </w:p>
    <w:p>
      <w:pPr>
        <w:spacing w:after="0" w:line="212"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 xml:space="preserve">5.07. </w:t>
      </w:r>
      <w:r>
        <w:rPr>
          <w:rFonts w:ascii="Arial" w:cs="Arial" w:eastAsia="Arial" w:hAnsi="Arial"/>
          <w:sz w:val="20"/>
          <w:szCs w:val="20"/>
          <w:u w:val="single" w:color="auto"/>
          <w:color w:val="auto"/>
        </w:rPr>
        <w:t>No Default</w:t>
      </w:r>
      <w:r>
        <w:rPr>
          <w:rFonts w:ascii="Arial" w:cs="Arial" w:eastAsia="Arial" w:hAnsi="Arial"/>
          <w:sz w:val="20"/>
          <w:szCs w:val="20"/>
          <w:color w:val="auto"/>
        </w:rPr>
        <w:t>. Neither any Loan Party nor any Subsidiary thereof is in default under or with respect to any 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205"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 xml:space="preserve">5.08. </w:t>
      </w:r>
      <w:r>
        <w:rPr>
          <w:rFonts w:ascii="Arial" w:cs="Arial" w:eastAsia="Arial" w:hAnsi="Arial"/>
          <w:sz w:val="20"/>
          <w:szCs w:val="20"/>
          <w:u w:val="single" w:color="auto"/>
          <w:color w:val="auto"/>
        </w:rPr>
        <w:t>Ownership of Property; Liens</w:t>
      </w:r>
      <w:r>
        <w:rPr>
          <w:rFonts w:ascii="Arial" w:cs="Arial" w:eastAsia="Arial" w:hAnsi="Arial"/>
          <w:sz w:val="20"/>
          <w:szCs w:val="20"/>
          <w:color w:val="auto"/>
        </w:rPr>
        <w:t>. Each Loan Party and each of its Subsidiaries has good record and marketable title in fee simple to, or valid leasehold interests in, all real property necessary or used in the ordinary conduct of its business, except for such defects in title as could not, individually or in the aggregate,</w:t>
      </w:r>
    </w:p>
    <w:p>
      <w:pPr>
        <w:spacing w:after="0" w:line="20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55</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60" w:name="page461"/>
    <w:bookmarkEnd w:id="460"/>
    <w:p>
      <w:pPr>
        <w:spacing w:after="0" w:line="272" w:lineRule="auto"/>
        <w:rPr>
          <w:sz w:val="20"/>
          <w:szCs w:val="20"/>
          <w:color w:val="auto"/>
        </w:rPr>
      </w:pPr>
      <w:r>
        <w:rPr>
          <w:rFonts w:ascii="Arial" w:cs="Arial" w:eastAsia="Arial" w:hAnsi="Arial"/>
          <w:sz w:val="20"/>
          <w:szCs w:val="20"/>
          <w:color w:val="auto"/>
        </w:rPr>
        <w:t xml:space="preserve">reasonably be expected to have a Material Adverse Effect. The property of each Loan Party and its Subsidiaries is subject to no Liens, other than Liens permitted by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191"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5.09.</w:t>
      </w:r>
      <w:r>
        <w:rPr>
          <w:sz w:val="20"/>
          <w:szCs w:val="20"/>
          <w:color w:val="auto"/>
        </w:rPr>
        <w:tab/>
      </w:r>
      <w:r>
        <w:rPr>
          <w:rFonts w:ascii="Arial" w:cs="Arial" w:eastAsia="Arial" w:hAnsi="Arial"/>
          <w:sz w:val="18"/>
          <w:szCs w:val="18"/>
          <w:u w:val="single" w:color="auto"/>
          <w:color w:val="auto"/>
        </w:rPr>
        <w:t>Environmental Compliance</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73" w:lineRule="auto"/>
        <w:tabs>
          <w:tab w:leader="none" w:pos="1421" w:val="left"/>
        </w:tabs>
        <w:numPr>
          <w:ilvl w:val="0"/>
          <w:numId w:val="549"/>
        </w:numPr>
        <w:rPr>
          <w:rFonts w:ascii="Arial" w:cs="Arial" w:eastAsia="Arial" w:hAnsi="Arial"/>
          <w:sz w:val="19"/>
          <w:szCs w:val="19"/>
          <w:color w:val="auto"/>
        </w:rPr>
      </w:pPr>
      <w:r>
        <w:rPr>
          <w:rFonts w:ascii="Arial" w:cs="Arial" w:eastAsia="Arial" w:hAnsi="Arial"/>
          <w:sz w:val="19"/>
          <w:szCs w:val="19"/>
          <w:color w:val="auto"/>
        </w:rPr>
        <w:t>The Loan Parties and their respective Subsidiaries conduct in the ordinary course of business a review of the effect of existing Environmental Laws and claims alleging potential liability or responsibility for violation of any Environmental Law on their respective businesses, operations and properties, and as a result thereof the Borrower has reasonably concluded that such Environmental Laws and claims could not, individually or in the aggregate, reasonably be expected to have a Material Adverse Effect.</w:t>
      </w:r>
    </w:p>
    <w:p>
      <w:pPr>
        <w:spacing w:after="0" w:line="192" w:lineRule="exact"/>
        <w:rPr>
          <w:rFonts w:ascii="Arial" w:cs="Arial" w:eastAsia="Arial" w:hAnsi="Arial"/>
          <w:sz w:val="19"/>
          <w:szCs w:val="19"/>
          <w:color w:val="auto"/>
        </w:rPr>
      </w:pPr>
    </w:p>
    <w:p>
      <w:pPr>
        <w:jc w:val="both"/>
        <w:ind w:firstLine="599"/>
        <w:spacing w:after="0" w:line="264" w:lineRule="auto"/>
        <w:tabs>
          <w:tab w:leader="none" w:pos="1432" w:val="left"/>
        </w:tabs>
        <w:numPr>
          <w:ilvl w:val="0"/>
          <w:numId w:val="549"/>
        </w:numPr>
        <w:rPr>
          <w:rFonts w:ascii="Arial" w:cs="Arial" w:eastAsia="Arial" w:hAnsi="Arial"/>
          <w:sz w:val="19"/>
          <w:szCs w:val="19"/>
          <w:color w:val="auto"/>
        </w:rPr>
      </w:pPr>
      <w:r>
        <w:rPr>
          <w:rFonts w:ascii="Arial" w:cs="Arial" w:eastAsia="Arial" w:hAnsi="Arial"/>
          <w:sz w:val="19"/>
          <w:szCs w:val="19"/>
          <w:color w:val="auto"/>
        </w:rPr>
        <w:t>Except as could not reasonably be expected to have a Material Adverse Effect (i) none of the properties currently or formerly owned or operated by any Loan Party or any of its Subsidiaries, is listed or formally proposed for listing on the NPL or on the CERCLIS or any analogous foreign, state or local list or is adjacent to any such property; (ii) there are no and, to the knowledge of the Loan Parties and their Subsidiaries, have never been any underground or above-ground storage tanks for storage of Hazardous Materials on or at any property currently owned or operated by any Loan Party or any of its Subsidiaries or, to the knowledge of the Loan Parties on any property formerly owned or operated by any Loan Party or any of its Subsidiaries; (iii) there are no and to the knowledge of the Loan Parties and their Subsidiaries after due inquiry never have been any surface impoundments, septic tanks, pits, sumps or lagoons in which Hazardous Materials are being or have been treated, stored or disposed on any property currently owned or operated by any Loan Party or any of its Subsidiaries or, to the knowledge of the Loan Parties after due inquiry, on any property formerly owned or operated by any Loan Party or any of its Subsidiaries; (iv) there is no asbestos or asbestos-containing material on, at or in any property currently owned or operated by any Loan Party or any of its Subsidiaries; and (v) Hazardous Materials have not been Released on, at, under or from any property currently or formerly owned or operated by any Loan Party or any of its Subsidiaries.</w:t>
      </w:r>
    </w:p>
    <w:p>
      <w:pPr>
        <w:spacing w:after="0" w:line="200" w:lineRule="exact"/>
        <w:rPr>
          <w:rFonts w:ascii="Arial" w:cs="Arial" w:eastAsia="Arial" w:hAnsi="Arial"/>
          <w:sz w:val="19"/>
          <w:szCs w:val="19"/>
          <w:color w:val="auto"/>
        </w:rPr>
      </w:pPr>
    </w:p>
    <w:p>
      <w:pPr>
        <w:jc w:val="both"/>
        <w:ind w:firstLine="599"/>
        <w:spacing w:after="0" w:line="282" w:lineRule="auto"/>
        <w:tabs>
          <w:tab w:leader="none" w:pos="1421" w:val="left"/>
        </w:tabs>
        <w:numPr>
          <w:ilvl w:val="0"/>
          <w:numId w:val="549"/>
        </w:numPr>
        <w:rPr>
          <w:rFonts w:ascii="Arial" w:cs="Arial" w:eastAsia="Arial" w:hAnsi="Arial"/>
          <w:sz w:val="18"/>
          <w:szCs w:val="18"/>
          <w:color w:val="auto"/>
        </w:rPr>
      </w:pPr>
      <w:r>
        <w:rPr>
          <w:rFonts w:ascii="Arial" w:cs="Arial" w:eastAsia="Arial" w:hAnsi="Arial"/>
          <w:sz w:val="18"/>
          <w:szCs w:val="18"/>
          <w:color w:val="auto"/>
        </w:rPr>
        <w:t xml:space="preserve">(i) Neither any Loan Party nor any of its Subsidiaries is undertaking, and has not completed, either individually or together with other potentially responsible parties, any investigation or assessment or remedial or response action relating to any actual or threatened Release of Hazardous Materials at, on, under, or from any site, location or operation, either voluntarily or pursuant to the order of any Governmental Authority or the requirements of any Environmental Law, except as set forth on </w:t>
      </w:r>
      <w:r>
        <w:rPr>
          <w:rFonts w:ascii="Arial" w:cs="Arial" w:eastAsia="Arial" w:hAnsi="Arial"/>
          <w:sz w:val="18"/>
          <w:szCs w:val="18"/>
          <w:u w:val="single" w:color="auto"/>
          <w:color w:val="auto"/>
        </w:rPr>
        <w:t>Schedule 5.09(c)</w:t>
      </w:r>
      <w:r>
        <w:rPr>
          <w:rFonts w:ascii="Arial" w:cs="Arial" w:eastAsia="Arial" w:hAnsi="Arial"/>
          <w:sz w:val="18"/>
          <w:szCs w:val="18"/>
          <w:color w:val="auto"/>
        </w:rPr>
        <w:t xml:space="preserve"> or as could not reasonably be expected to result in a Material Adverse Effect, or with respect to any such investigation or assessment or remedial or response action initiated after the Closing Date, as disclosed to the Administrative Agent in writing; and (ii) all Hazardous Materials generated, used, treated, handled or stored at, or transported to or from, any property currently or formerly owned or operated by any Loan Party or any of its Subsidiaries have been disposed of in a manner, either of which could not reasonably expected to result in a Material Adverse Effect.</w:t>
      </w:r>
    </w:p>
    <w:p>
      <w:pPr>
        <w:spacing w:after="0" w:line="190" w:lineRule="exact"/>
        <w:rPr>
          <w:rFonts w:ascii="Arial" w:cs="Arial" w:eastAsia="Arial" w:hAnsi="Arial"/>
          <w:sz w:val="18"/>
          <w:szCs w:val="18"/>
          <w:color w:val="auto"/>
        </w:rPr>
      </w:pPr>
    </w:p>
    <w:p>
      <w:pPr>
        <w:jc w:val="both"/>
        <w:ind w:firstLine="599"/>
        <w:spacing w:after="0" w:line="267" w:lineRule="auto"/>
        <w:tabs>
          <w:tab w:leader="none" w:pos="1432" w:val="left"/>
        </w:tabs>
        <w:numPr>
          <w:ilvl w:val="0"/>
          <w:numId w:val="549"/>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5.09(d)</w:t>
      </w:r>
      <w:r>
        <w:rPr>
          <w:rFonts w:ascii="Arial" w:cs="Arial" w:eastAsia="Arial" w:hAnsi="Arial"/>
          <w:sz w:val="19"/>
          <w:szCs w:val="19"/>
          <w:color w:val="auto"/>
        </w:rPr>
        <w:t>, the Loan Parties and their respective Subsidiaries: (i) are, and within the period of all applicable statutes of limitation have been, in compliance in all respects with all applicable Environmental Laws, except to the extent that the failure to do so could not reasonably be expected to result in a Material Adverse Effect; (ii) hold all Environmental Permits (each of which is in full force and effect) required for any of their current or intended operations or for each property owned, leased, or otherwise operated by any of them, except as could not reasonably be expected to have a Material Adverse Effect; and (iii) are, and within the period of all applicable statutes of limitation have been, in compliance with all of their Environmental Permits that pertain to any of their properties, except as could not reasonably be expected to have a Material Adverse Effect.</w:t>
      </w:r>
    </w:p>
    <w:p>
      <w:pPr>
        <w:spacing w:after="0" w:line="200" w:lineRule="exact"/>
        <w:rPr>
          <w:sz w:val="20"/>
          <w:szCs w:val="20"/>
          <w:color w:val="auto"/>
        </w:rPr>
      </w:pPr>
    </w:p>
    <w:p>
      <w:pPr>
        <w:spacing w:after="0" w:line="234"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56</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61" w:name="page462"/>
    <w:bookmarkEnd w:id="461"/>
    <w:p>
      <w:pPr>
        <w:jc w:val="both"/>
        <w:ind w:firstLine="599"/>
        <w:spacing w:after="0" w:line="256" w:lineRule="auto"/>
        <w:rPr>
          <w:sz w:val="20"/>
          <w:szCs w:val="20"/>
          <w:color w:val="auto"/>
        </w:rPr>
      </w:pPr>
      <w:r>
        <w:rPr>
          <w:rFonts w:ascii="Arial" w:cs="Arial" w:eastAsia="Arial" w:hAnsi="Arial"/>
          <w:sz w:val="20"/>
          <w:szCs w:val="20"/>
          <w:color w:val="auto"/>
        </w:rPr>
        <w:t xml:space="preserve">5.10. </w:t>
      </w:r>
      <w:r>
        <w:rPr>
          <w:rFonts w:ascii="Arial" w:cs="Arial" w:eastAsia="Arial" w:hAnsi="Arial"/>
          <w:sz w:val="20"/>
          <w:szCs w:val="20"/>
          <w:u w:val="single" w:color="auto"/>
          <w:color w:val="auto"/>
        </w:rPr>
        <w:t>Insurance</w:t>
      </w:r>
      <w:r>
        <w:rPr>
          <w:rFonts w:ascii="Arial" w:cs="Arial" w:eastAsia="Arial" w:hAnsi="Arial"/>
          <w:sz w:val="20"/>
          <w:szCs w:val="20"/>
          <w:color w:val="auto"/>
        </w:rPr>
        <w:t>. The properties of each Loan Party and its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such Loan Party or the applicable Subsidiary operates.</w:t>
      </w:r>
    </w:p>
    <w:p>
      <w:pPr>
        <w:spacing w:after="0" w:line="205"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9"/>
          <w:szCs w:val="19"/>
          <w:color w:val="auto"/>
        </w:rPr>
        <w:t xml:space="preserve">5.11. </w:t>
      </w:r>
      <w:r>
        <w:rPr>
          <w:rFonts w:ascii="Arial" w:cs="Arial" w:eastAsia="Arial" w:hAnsi="Arial"/>
          <w:sz w:val="19"/>
          <w:szCs w:val="19"/>
          <w:u w:val="single" w:color="auto"/>
          <w:color w:val="auto"/>
        </w:rPr>
        <w:t>Taxes</w:t>
      </w:r>
      <w:r>
        <w:rPr>
          <w:rFonts w:ascii="Arial" w:cs="Arial" w:eastAsia="Arial" w:hAnsi="Arial"/>
          <w:sz w:val="19"/>
          <w:szCs w:val="19"/>
          <w:color w:val="auto"/>
        </w:rPr>
        <w:t xml:space="preserve">. Each Loan Party and each of its Subsidiaries has timely filed all federal, state and other material tax returns and reports required to be filed, and has timely paid all federal, state and other material Taxes (whether or not shown on a tax return), including in its capacity as a withholding agent, levied or imposed upon it or its properties, income or assets otherwise due and payable, except those Taxes which are being contested in good faith by appropriate proceedings diligently conducted and for which adequate reserves have been provided in accordance with GAAP. There is no proposed material tax assessment against any Loan Party or any Subsidiary thereof. Except as set forth on </w:t>
      </w:r>
      <w:r>
        <w:rPr>
          <w:rFonts w:ascii="Arial" w:cs="Arial" w:eastAsia="Arial" w:hAnsi="Arial"/>
          <w:sz w:val="19"/>
          <w:szCs w:val="19"/>
          <w:u w:val="single" w:color="auto"/>
          <w:color w:val="auto"/>
        </w:rPr>
        <w:t>Schedule 5.11</w:t>
      </w:r>
      <w:r>
        <w:rPr>
          <w:rFonts w:ascii="Arial" w:cs="Arial" w:eastAsia="Arial" w:hAnsi="Arial"/>
          <w:sz w:val="19"/>
          <w:szCs w:val="19"/>
          <w:color w:val="auto"/>
        </w:rPr>
        <w:t>, on the Third Amendment Effective Date, neither any Loan Party nor any Subsidiary thereof is party to any tax sharing, tax indemnification or other similar agreement. Except as could not be reasonably expected to, individually or in the aggregate, result in a Material Adverse Effect, neither any Loan Party nor any of its Subsidiaries has ever “participated” in a “listed transaction” or a “reportable transaction” within the meaning of Treasury Regulation Section 1.6011-4.</w:t>
      </w:r>
    </w:p>
    <w:p>
      <w:pPr>
        <w:spacing w:after="0" w:line="202"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5.12.</w:t>
      </w:r>
      <w:r>
        <w:rPr>
          <w:sz w:val="20"/>
          <w:szCs w:val="20"/>
          <w:color w:val="auto"/>
        </w:rPr>
        <w:tab/>
      </w:r>
      <w:r>
        <w:rPr>
          <w:rFonts w:ascii="Arial" w:cs="Arial" w:eastAsia="Arial" w:hAnsi="Arial"/>
          <w:sz w:val="18"/>
          <w:szCs w:val="18"/>
          <w:u w:val="single" w:color="auto"/>
          <w:color w:val="auto"/>
        </w:rPr>
        <w:t>ERISA Compliance</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68" w:lineRule="auto"/>
        <w:tabs>
          <w:tab w:leader="none" w:pos="1421" w:val="left"/>
        </w:tabs>
        <w:numPr>
          <w:ilvl w:val="0"/>
          <w:numId w:val="550"/>
        </w:numPr>
        <w:rPr>
          <w:rFonts w:ascii="Arial" w:cs="Arial" w:eastAsia="Arial" w:hAnsi="Arial"/>
          <w:sz w:val="19"/>
          <w:szCs w:val="19"/>
          <w:color w:val="auto"/>
        </w:rPr>
      </w:pPr>
      <w:r>
        <w:rPr>
          <w:rFonts w:ascii="Arial" w:cs="Arial" w:eastAsia="Arial" w:hAnsi="Arial"/>
          <w:sz w:val="19"/>
          <w:szCs w:val="19"/>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To the best knowledge of the Borrower, nothing has occurred that would prevent or cause the loss of such tax-qualified status.</w:t>
      </w:r>
    </w:p>
    <w:p>
      <w:pPr>
        <w:spacing w:after="0" w:line="197" w:lineRule="exact"/>
        <w:rPr>
          <w:rFonts w:ascii="Arial" w:cs="Arial" w:eastAsia="Arial" w:hAnsi="Arial"/>
          <w:sz w:val="19"/>
          <w:szCs w:val="19"/>
          <w:color w:val="auto"/>
        </w:rPr>
      </w:pPr>
    </w:p>
    <w:p>
      <w:pPr>
        <w:jc w:val="both"/>
        <w:ind w:firstLine="599"/>
        <w:spacing w:after="0" w:line="256" w:lineRule="auto"/>
        <w:tabs>
          <w:tab w:leader="none" w:pos="1432" w:val="left"/>
        </w:tabs>
        <w:numPr>
          <w:ilvl w:val="0"/>
          <w:numId w:val="550"/>
        </w:numPr>
        <w:rPr>
          <w:rFonts w:ascii="Arial" w:cs="Arial" w:eastAsia="Arial" w:hAnsi="Arial"/>
          <w:sz w:val="20"/>
          <w:szCs w:val="20"/>
          <w:color w:val="auto"/>
        </w:rPr>
      </w:pPr>
      <w:r>
        <w:rPr>
          <w:rFonts w:ascii="Arial" w:cs="Arial" w:eastAsia="Arial" w:hAnsi="Arial"/>
          <w:sz w:val="20"/>
          <w:szCs w:val="20"/>
          <w:color w:val="auto"/>
        </w:rPr>
        <w:t>There are no pending or, to the best knowledge of the Borrower, threatened in writing,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205" w:lineRule="exact"/>
        <w:rPr>
          <w:rFonts w:ascii="Arial" w:cs="Arial" w:eastAsia="Arial" w:hAnsi="Arial"/>
          <w:sz w:val="20"/>
          <w:szCs w:val="20"/>
          <w:color w:val="auto"/>
        </w:rPr>
      </w:pPr>
    </w:p>
    <w:p>
      <w:pPr>
        <w:jc w:val="both"/>
        <w:ind w:firstLine="599"/>
        <w:spacing w:after="0" w:line="281" w:lineRule="auto"/>
        <w:tabs>
          <w:tab w:leader="none" w:pos="1421" w:val="left"/>
        </w:tabs>
        <w:numPr>
          <w:ilvl w:val="0"/>
          <w:numId w:val="550"/>
        </w:numPr>
        <w:rPr>
          <w:rFonts w:ascii="Arial" w:cs="Arial" w:eastAsia="Arial" w:hAnsi="Arial"/>
          <w:sz w:val="18"/>
          <w:szCs w:val="18"/>
          <w:color w:val="auto"/>
        </w:rPr>
      </w:pPr>
      <w:r>
        <w:rPr>
          <w:rFonts w:ascii="Arial" w:cs="Arial" w:eastAsia="Arial" w:hAnsi="Arial"/>
          <w:sz w:val="18"/>
          <w:szCs w:val="18"/>
          <w:color w:val="auto"/>
        </w:rPr>
        <w:t>(i) No ERISA Event has occurred, and neither the Borrower nor any ERISA Affiliate is aware of any fact, event or circumstance that could reasonably be expected to constitute or result in an ERISA Event with respect to any Pension Plan or Multiemployer Plan; (ii) as of the most recent valuation date for any Pension Plan, the funding target attainment percentage (as defined in Section 430(d)(2) of the Code) is 60% or higher and neither the Borrower nor any ERISA Affiliate knows of any facts or circumstances that could reasonably be expected to cause the funding target attainment percentage for any such plan to drop below 60% as of the most recent valuation date; (iii) neither the Borrower nor any ERISA Affiliate has incurred any liability to the PBGC other than for the payment of premiums, and there are no premium payments which have become due that are unpaid; (iv) neither the Borrower nor any ERISA Affiliate has engaged in a transaction that could be subject to Section 4069 or Section 4212(c) of ERISA; and (v)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87"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57</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62" w:name="page463"/>
    <w:bookmarkEnd w:id="462"/>
    <w:p>
      <w:pPr>
        <w:ind w:firstLine="599"/>
        <w:spacing w:after="0" w:line="272" w:lineRule="auto"/>
        <w:tabs>
          <w:tab w:leader="none" w:pos="1432" w:val="left"/>
        </w:tabs>
        <w:numPr>
          <w:ilvl w:val="0"/>
          <w:numId w:val="551"/>
        </w:numPr>
        <w:rPr>
          <w:rFonts w:ascii="Arial" w:cs="Arial" w:eastAsia="Arial" w:hAnsi="Arial"/>
          <w:sz w:val="20"/>
          <w:szCs w:val="20"/>
          <w:color w:val="auto"/>
        </w:rPr>
      </w:pPr>
      <w:r>
        <w:rPr>
          <w:rFonts w:ascii="Arial" w:cs="Arial" w:eastAsia="Arial" w:hAnsi="Arial"/>
          <w:sz w:val="20"/>
          <w:szCs w:val="20"/>
          <w:color w:val="auto"/>
        </w:rPr>
        <w:t xml:space="preserve">Neither the REIT nor any ERISA Affiliate maintains or contributes to, or has any unsatisfied obligation to contribute to, or liability under, any active or terminated Pension Plan other than those listed on </w:t>
      </w:r>
      <w:r>
        <w:rPr>
          <w:rFonts w:ascii="Arial" w:cs="Arial" w:eastAsia="Arial" w:hAnsi="Arial"/>
          <w:sz w:val="20"/>
          <w:szCs w:val="20"/>
          <w:u w:val="single" w:color="auto"/>
          <w:color w:val="auto"/>
        </w:rPr>
        <w:t>Schedule 5.12(d)</w:t>
      </w:r>
      <w:r>
        <w:rPr>
          <w:rFonts w:ascii="Arial" w:cs="Arial" w:eastAsia="Arial" w:hAnsi="Arial"/>
          <w:sz w:val="20"/>
          <w:szCs w:val="20"/>
          <w:color w:val="auto"/>
        </w:rPr>
        <w:t xml:space="preserve"> hereto.</w:t>
      </w:r>
    </w:p>
    <w:p>
      <w:pPr>
        <w:spacing w:after="0" w:line="190" w:lineRule="exact"/>
        <w:rPr>
          <w:rFonts w:ascii="Arial" w:cs="Arial" w:eastAsia="Arial" w:hAnsi="Arial"/>
          <w:sz w:val="20"/>
          <w:szCs w:val="20"/>
          <w:color w:val="auto"/>
        </w:rPr>
      </w:pPr>
    </w:p>
    <w:p>
      <w:pPr>
        <w:ind w:firstLine="599"/>
        <w:spacing w:after="0" w:line="272" w:lineRule="auto"/>
        <w:tabs>
          <w:tab w:leader="none" w:pos="1421" w:val="left"/>
        </w:tabs>
        <w:numPr>
          <w:ilvl w:val="0"/>
          <w:numId w:val="551"/>
        </w:numPr>
        <w:rPr>
          <w:rFonts w:ascii="Arial" w:cs="Arial" w:eastAsia="Arial" w:hAnsi="Arial"/>
          <w:sz w:val="20"/>
          <w:szCs w:val="20"/>
          <w:color w:val="auto"/>
        </w:rPr>
      </w:pPr>
      <w:r>
        <w:rPr>
          <w:rFonts w:ascii="Arial" w:cs="Arial" w:eastAsia="Arial" w:hAnsi="Arial"/>
          <w:sz w:val="20"/>
          <w:szCs w:val="20"/>
          <w:color w:val="auto"/>
        </w:rPr>
        <w:t>No Loan Party is or will be using “plan assets” (within the meaning of 29 CFR § 2510.3-101, as modified by Section 3(42) of ERISA) of one or more Benefit Plans in connection with the Loans.</w:t>
      </w:r>
    </w:p>
    <w:p>
      <w:pPr>
        <w:spacing w:after="0" w:line="191" w:lineRule="exact"/>
        <w:rPr>
          <w:sz w:val="20"/>
          <w:szCs w:val="20"/>
          <w:color w:val="auto"/>
        </w:rPr>
      </w:pPr>
    </w:p>
    <w:p>
      <w:pPr>
        <w:jc w:val="both"/>
        <w:ind w:firstLine="599"/>
        <w:spacing w:after="0" w:line="267" w:lineRule="auto"/>
        <w:rPr>
          <w:sz w:val="20"/>
          <w:szCs w:val="20"/>
          <w:color w:val="auto"/>
        </w:rPr>
      </w:pPr>
      <w:r>
        <w:rPr>
          <w:rFonts w:ascii="Arial" w:cs="Arial" w:eastAsia="Arial" w:hAnsi="Arial"/>
          <w:sz w:val="19"/>
          <w:szCs w:val="19"/>
          <w:color w:val="auto"/>
        </w:rPr>
        <w:t xml:space="preserve">5.13. </w:t>
      </w:r>
      <w:r>
        <w:rPr>
          <w:rFonts w:ascii="Arial" w:cs="Arial" w:eastAsia="Arial" w:hAnsi="Arial"/>
          <w:sz w:val="19"/>
          <w:szCs w:val="19"/>
          <w:u w:val="single" w:color="auto"/>
          <w:color w:val="auto"/>
        </w:rPr>
        <w:t>Subsidiaries; Equity Interests; Loan Parties</w:t>
      </w:r>
      <w:r>
        <w:rPr>
          <w:rFonts w:ascii="Arial" w:cs="Arial" w:eastAsia="Arial" w:hAnsi="Arial"/>
          <w:sz w:val="19"/>
          <w:szCs w:val="19"/>
          <w:color w:val="auto"/>
        </w:rPr>
        <w:t xml:space="preserve">. As of the Third Amendment Effective Date, no Loan Party has any Subsidiaries other than those specifically disclosed in Part (a) of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and all of the outstanding Equity Interests in such Subsidiaries have been validly issued, are fully paid and non-assessable and are owned by the Persons and in the amounts specified on Part (a) of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5.13</w:t>
      </w:r>
      <w:r>
        <w:rPr>
          <w:rFonts w:ascii="Arial" w:cs="Arial" w:eastAsia="Arial" w:hAnsi="Arial"/>
          <w:sz w:val="19"/>
          <w:szCs w:val="19"/>
          <w:color w:val="auto"/>
        </w:rPr>
        <w:t xml:space="preserve">. Set forth on Part (b) of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is, as of the Third Amendment Effective Date, a complete and accurate list of all Loan Parties, showing (as to each Loan Party) the jurisdiction of its incorporation or organization, the address of its principal place of business and its U.S. taxpayer identification number or, in the case of any non-U.S. Loan Party that does not have a U.S. taxpayer identification number, its unique identification number issued to it by the jurisdiction of its incorporation or organization.</w:t>
      </w:r>
    </w:p>
    <w:p>
      <w:pPr>
        <w:spacing w:after="0" w:line="197"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5.14.</w:t>
      </w:r>
      <w:r>
        <w:rPr>
          <w:sz w:val="20"/>
          <w:szCs w:val="20"/>
          <w:color w:val="auto"/>
        </w:rPr>
        <w:tab/>
      </w:r>
      <w:r>
        <w:rPr>
          <w:rFonts w:ascii="Arial" w:cs="Arial" w:eastAsia="Arial" w:hAnsi="Arial"/>
          <w:sz w:val="18"/>
          <w:szCs w:val="18"/>
          <w:u w:val="single" w:color="auto"/>
          <w:color w:val="auto"/>
        </w:rPr>
        <w:t>Margin Regulations; Investment Company Act</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68" w:lineRule="auto"/>
        <w:tabs>
          <w:tab w:leader="none" w:pos="1421" w:val="left"/>
        </w:tabs>
        <w:numPr>
          <w:ilvl w:val="0"/>
          <w:numId w:val="552"/>
        </w:numPr>
        <w:rPr>
          <w:rFonts w:ascii="Arial" w:cs="Arial" w:eastAsia="Arial" w:hAnsi="Arial"/>
          <w:sz w:val="19"/>
          <w:szCs w:val="19"/>
          <w:color w:val="auto"/>
        </w:rPr>
      </w:pPr>
      <w:r>
        <w:rPr>
          <w:rFonts w:ascii="Arial" w:cs="Arial" w:eastAsia="Arial" w:hAnsi="Arial"/>
          <w:sz w:val="19"/>
          <w:szCs w:val="19"/>
          <w:color w:val="auto"/>
        </w:rPr>
        <w:t xml:space="preserve">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not more than 25% of the value of the assets (either of the Borrower only or of the REIT and its Subsidiaries on a consolidated basis) subject to the provisions of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or subject to any restriction contained in any agreement or instrument between the Borrower and any Lender or any Affiliate of any Lender relating to Indebtedness and within the scope of </w:t>
      </w:r>
      <w:r>
        <w:rPr>
          <w:rFonts w:ascii="Arial" w:cs="Arial" w:eastAsia="Arial" w:hAnsi="Arial"/>
          <w:sz w:val="19"/>
          <w:szCs w:val="19"/>
          <w:u w:val="single" w:color="auto"/>
          <w:color w:val="auto"/>
        </w:rPr>
        <w:t>Section 8.01(e)</w:t>
      </w:r>
      <w:r>
        <w:rPr>
          <w:rFonts w:ascii="Arial" w:cs="Arial" w:eastAsia="Arial" w:hAnsi="Arial"/>
          <w:sz w:val="19"/>
          <w:szCs w:val="19"/>
          <w:color w:val="auto"/>
        </w:rPr>
        <w:t xml:space="preserve"> will be margin stock.</w:t>
      </w:r>
    </w:p>
    <w:p>
      <w:pPr>
        <w:spacing w:after="0" w:line="197" w:lineRule="exact"/>
        <w:rPr>
          <w:rFonts w:ascii="Arial" w:cs="Arial" w:eastAsia="Arial" w:hAnsi="Arial"/>
          <w:sz w:val="19"/>
          <w:szCs w:val="19"/>
          <w:color w:val="auto"/>
        </w:rPr>
      </w:pPr>
    </w:p>
    <w:p>
      <w:pPr>
        <w:ind w:left="1440" w:hanging="841"/>
        <w:spacing w:after="0"/>
        <w:tabs>
          <w:tab w:leader="none" w:pos="144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None of the Loan Parties is or is required to be registered as an “investment company” under the Investment Company Act</w:t>
      </w:r>
    </w:p>
    <w:p>
      <w:pPr>
        <w:spacing w:after="0" w:line="4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of 1940.</w:t>
      </w:r>
    </w:p>
    <w:p>
      <w:pPr>
        <w:spacing w:after="0" w:line="229" w:lineRule="exact"/>
        <w:rPr>
          <w:sz w:val="20"/>
          <w:szCs w:val="20"/>
          <w:color w:val="auto"/>
        </w:rPr>
      </w:pPr>
    </w:p>
    <w:p>
      <w:pPr>
        <w:jc w:val="both"/>
        <w:ind w:firstLine="599"/>
        <w:spacing w:after="0" w:line="282"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Disclosure</w:t>
      </w:r>
      <w:r>
        <w:rPr>
          <w:rFonts w:ascii="Arial" w:cs="Arial" w:eastAsia="Arial" w:hAnsi="Arial"/>
          <w:sz w:val="18"/>
          <w:szCs w:val="18"/>
          <w:color w:val="auto"/>
        </w:rPr>
        <w:t xml:space="preserve">. No written report, financial statement, certificate or other written information furnished by or at the direction of any Loan Party to the Administrative Agent or any Lender in connection with the transactions contemplated hereby and the negotiation of this Agreement or delivered hereunder or under any other Loan Document, when taken as a whole, contained at the time of delivery any material misstatement of fact or omitted to state any material fact necessary to make the statements therein, in the light of the circumstances under which they were made, not materially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projections, estimates and other forward-looking information, the Borrower and the REIT represent only that such information was prepared in good faith based upon assumptions believed to be reasonable at the time (it being understood that such projections, estimates and other forward-looking information are not to be viewed as facts or guarantees and that actual results may vary materially from such projections, estimates and forward-looking information).</w:t>
      </w:r>
    </w:p>
    <w:p>
      <w:pPr>
        <w:spacing w:after="0" w:line="190"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 xml:space="preserve">5.16.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 Each Loan Party and each Subsidiary thereof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21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58</w:t>
      </w:r>
      <w:r>
        <w:rPr>
          <w:rFonts w:ascii="MS PGothic" w:cs="MS PGothic" w:eastAsia="MS PGothic" w:hAnsi="MS PGothic"/>
          <w:sz w:val="20"/>
          <w:szCs w:val="20"/>
          <w:color w:val="auto"/>
        </w:rPr>
        <w:t>‑</w:t>
      </w:r>
    </w:p>
    <w:p>
      <w:pPr>
        <w:sectPr>
          <w:pgSz w:w="11900" w:h="16838" w:orient="portrait"/>
          <w:cols w:equalWidth="0" w:num="1">
            <w:col w:w="11420"/>
          </w:cols>
          <w:pgMar w:left="240" w:top="794" w:right="239" w:bottom="1440" w:gutter="0" w:footer="0" w:header="0"/>
        </w:sectPr>
      </w:pPr>
    </w:p>
    <w:bookmarkStart w:id="463" w:name="page464"/>
    <w:bookmarkEnd w:id="463"/>
    <w:p>
      <w:pPr>
        <w:ind w:left="600"/>
        <w:spacing w:after="0"/>
        <w:tabs>
          <w:tab w:leader="none" w:pos="1580" w:val="left"/>
        </w:tabs>
        <w:rPr>
          <w:sz w:val="20"/>
          <w:szCs w:val="20"/>
          <w:color w:val="auto"/>
        </w:rPr>
      </w:pPr>
      <w:r>
        <w:rPr>
          <w:rFonts w:ascii="Arial" w:cs="Arial" w:eastAsia="Arial" w:hAnsi="Arial"/>
          <w:sz w:val="20"/>
          <w:szCs w:val="20"/>
          <w:color w:val="auto"/>
        </w:rPr>
        <w:t>5.17.</w:t>
      </w:r>
      <w:r>
        <w:rPr>
          <w:sz w:val="20"/>
          <w:szCs w:val="20"/>
          <w:color w:val="auto"/>
        </w:rPr>
        <w:tab/>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68" w:lineRule="auto"/>
        <w:rPr>
          <w:sz w:val="20"/>
          <w:szCs w:val="20"/>
          <w:color w:val="auto"/>
        </w:rPr>
      </w:pPr>
      <w:r>
        <w:rPr>
          <w:rFonts w:ascii="Arial" w:cs="Arial" w:eastAsia="Arial" w:hAnsi="Arial"/>
          <w:sz w:val="19"/>
          <w:szCs w:val="19"/>
          <w:color w:val="auto"/>
        </w:rPr>
        <w:t xml:space="preserve">5.18. </w:t>
      </w:r>
      <w:r>
        <w:rPr>
          <w:rFonts w:ascii="Arial" w:cs="Arial" w:eastAsia="Arial" w:hAnsi="Arial"/>
          <w:sz w:val="19"/>
          <w:szCs w:val="19"/>
          <w:u w:val="single" w:color="auto"/>
          <w:color w:val="auto"/>
        </w:rPr>
        <w:t>Intellectual Property; Licenses, Etc</w:t>
      </w:r>
      <w:r>
        <w:rPr>
          <w:rFonts w:ascii="Arial" w:cs="Arial" w:eastAsia="Arial" w:hAnsi="Arial"/>
          <w:sz w:val="19"/>
          <w:szCs w:val="19"/>
          <w:color w:val="auto"/>
        </w:rPr>
        <w:t>. Each Loan Party and each of its Subsidiaries owns, or possesses the right to use, all of the trademarks, service marks, trade names, copyrights, patents, patent rights, franchises, licenses and other intellectual property rights (collectively, “</w:t>
      </w:r>
      <w:r>
        <w:rPr>
          <w:rFonts w:ascii="Arial" w:cs="Arial" w:eastAsia="Arial" w:hAnsi="Arial"/>
          <w:sz w:val="19"/>
          <w:szCs w:val="19"/>
          <w:u w:val="single" w:color="auto"/>
          <w:color w:val="auto"/>
        </w:rPr>
        <w:t>IP Rights</w:t>
      </w:r>
      <w:r>
        <w:rPr>
          <w:rFonts w:ascii="Arial" w:cs="Arial" w:eastAsia="Arial" w:hAnsi="Arial"/>
          <w:sz w:val="19"/>
          <w:szCs w:val="19"/>
          <w:color w:val="auto"/>
        </w:rPr>
        <w:t>”) that are reasonably necessary for the operation of its businesses except to the extent the failure to have such rights could not reasonably be expected to have a Material Adverse Effect. No claim or litigation regarding infringement of the rights held by any other Person is pending or, to the knowledge of the Borrower, threatened in writing, which, either individually or in the aggregate, could reasonably be expected to have a Material Adverse Effect.</w:t>
      </w:r>
    </w:p>
    <w:p>
      <w:pPr>
        <w:spacing w:after="0" w:line="197"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5.19.</w:t>
      </w:r>
      <w:r>
        <w:rPr>
          <w:sz w:val="20"/>
          <w:szCs w:val="20"/>
          <w:color w:val="auto"/>
        </w:rPr>
        <w:tab/>
      </w:r>
      <w:r>
        <w:rPr>
          <w:rFonts w:ascii="Arial" w:cs="Arial" w:eastAsia="Arial" w:hAnsi="Arial"/>
          <w:sz w:val="18"/>
          <w:szCs w:val="18"/>
          <w:u w:val="single" w:color="auto"/>
          <w:color w:val="auto"/>
        </w:rPr>
        <w:t>Solvency</w:t>
      </w:r>
      <w:r>
        <w:rPr>
          <w:rFonts w:ascii="Arial" w:cs="Arial" w:eastAsia="Arial" w:hAnsi="Arial"/>
          <w:sz w:val="18"/>
          <w:szCs w:val="18"/>
          <w:color w:val="auto"/>
        </w:rPr>
        <w:t>. The REIT and its Consolidated Subsidiaries, on a consolidated basis, are Solvent.</w:t>
      </w:r>
    </w:p>
    <w:p>
      <w:pPr>
        <w:spacing w:after="0" w:line="245"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 xml:space="preserve">5.20. </w:t>
      </w:r>
      <w:r>
        <w:rPr>
          <w:rFonts w:ascii="Arial" w:cs="Arial" w:eastAsia="Arial" w:hAnsi="Arial"/>
          <w:sz w:val="20"/>
          <w:szCs w:val="20"/>
          <w:u w:val="single" w:color="auto"/>
          <w:color w:val="auto"/>
        </w:rPr>
        <w:t>Casualty, Etc</w:t>
      </w:r>
      <w:r>
        <w:rPr>
          <w:rFonts w:ascii="Arial" w:cs="Arial" w:eastAsia="Arial" w:hAnsi="Arial"/>
          <w:sz w:val="20"/>
          <w:szCs w:val="20"/>
          <w:color w:val="auto"/>
        </w:rPr>
        <w:t>. Neither the businesses nor the properties of any Loan Party or any of its Subsidiaries are affected by any fire, explosion, accident, strike, lockout or other labor dispute, drought, storm, hail, earthquake, embargo, act of God or of the public enemy or other casualty (whether or not covered by insurance), condemnation or eminent domain proceeding that, either individually or in the aggregate, could reasonably be expected to have a Material Adverse Effect.</w:t>
      </w:r>
    </w:p>
    <w:p>
      <w:pPr>
        <w:spacing w:after="0" w:line="205"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 xml:space="preserve">5.21. </w:t>
      </w:r>
      <w:r>
        <w:rPr>
          <w:rFonts w:ascii="Arial" w:cs="Arial" w:eastAsia="Arial" w:hAnsi="Arial"/>
          <w:sz w:val="20"/>
          <w:szCs w:val="20"/>
          <w:u w:val="single" w:color="auto"/>
          <w:color w:val="auto"/>
        </w:rPr>
        <w:t>Labor Matters</w:t>
      </w:r>
      <w:r>
        <w:rPr>
          <w:rFonts w:ascii="Arial" w:cs="Arial" w:eastAsia="Arial" w:hAnsi="Arial"/>
          <w:sz w:val="20"/>
          <w:szCs w:val="20"/>
          <w:color w:val="auto"/>
        </w:rPr>
        <w:t>. There are no collective bargaining agreements or Multiemployer Plans covering the employees of any Loan Party or any of its Subsidiaries or any ERISA Affiliates as of the Third Amendment Effective Date and neither any Loan Party nor any Subsidiary thereof has suffered any strikes, walkouts, work stoppages or other material labor difficulty within the last five years that, either individually or in the aggregate, could reasonably be expected to have a Material Adverse Effect.</w:t>
      </w:r>
    </w:p>
    <w:p>
      <w:pPr>
        <w:spacing w:after="0" w:line="205"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5.22.</w:t>
      </w:r>
      <w:r>
        <w:rPr>
          <w:sz w:val="20"/>
          <w:szCs w:val="20"/>
          <w:color w:val="auto"/>
        </w:rPr>
        <w:tab/>
      </w:r>
      <w:r>
        <w:rPr>
          <w:rFonts w:ascii="Arial" w:cs="Arial" w:eastAsia="Arial" w:hAnsi="Arial"/>
          <w:sz w:val="18"/>
          <w:szCs w:val="18"/>
          <w:u w:val="single" w:color="auto"/>
          <w:color w:val="auto"/>
        </w:rPr>
        <w:t>Anti-Corruption Laws; Sanctions; Anti-Terrorism Laws</w:t>
      </w:r>
    </w:p>
    <w:p>
      <w:pPr>
        <w:spacing w:after="0" w:line="245" w:lineRule="exact"/>
        <w:rPr>
          <w:sz w:val="20"/>
          <w:szCs w:val="20"/>
          <w:color w:val="auto"/>
        </w:rPr>
      </w:pPr>
    </w:p>
    <w:p>
      <w:pPr>
        <w:ind w:right="20" w:firstLine="599"/>
        <w:spacing w:after="0" w:line="253" w:lineRule="auto"/>
        <w:tabs>
          <w:tab w:leader="none" w:pos="1421" w:val="left"/>
        </w:tabs>
        <w:numPr>
          <w:ilvl w:val="0"/>
          <w:numId w:val="553"/>
        </w:numPr>
        <w:rPr>
          <w:rFonts w:ascii="Arial" w:cs="Arial" w:eastAsia="Arial" w:hAnsi="Arial"/>
          <w:sz w:val="20"/>
          <w:szCs w:val="20"/>
          <w:color w:val="auto"/>
        </w:rPr>
      </w:pPr>
      <w:r>
        <w:rPr>
          <w:rFonts w:ascii="Arial" w:cs="Arial" w:eastAsia="Arial" w:hAnsi="Arial"/>
          <w:sz w:val="20"/>
          <w:szCs w:val="20"/>
          <w:color w:val="auto"/>
        </w:rPr>
        <w:t>The REIT, its Subsidiaries and their respective officers and employees and to the knowledge of the REIT, its directors and agents, are in compliance with Anti-Corruption Laws and applicable Sanctions in all material respects. None of the REIT, any Subsidiary or to the knowledge of the REIT or such Subsidiary any of their respective directors, officers or employees, is a Sanctioned Person. Neither the Term Loan, use of the proceeds of the Term Loans nor the other transactions contemplated hereby will violate Anti-Corruption Laws or applicable Sanctions.</w:t>
      </w:r>
    </w:p>
    <w:p>
      <w:pPr>
        <w:spacing w:after="0" w:line="211" w:lineRule="exact"/>
        <w:rPr>
          <w:rFonts w:ascii="Arial" w:cs="Arial" w:eastAsia="Arial" w:hAnsi="Arial"/>
          <w:sz w:val="20"/>
          <w:szCs w:val="20"/>
          <w:color w:val="auto"/>
        </w:rPr>
      </w:pPr>
    </w:p>
    <w:p>
      <w:pPr>
        <w:jc w:val="both"/>
        <w:ind w:firstLine="599"/>
        <w:spacing w:after="0" w:line="256" w:lineRule="auto"/>
        <w:tabs>
          <w:tab w:leader="none" w:pos="1432" w:val="left"/>
        </w:tabs>
        <w:numPr>
          <w:ilvl w:val="0"/>
          <w:numId w:val="553"/>
        </w:numPr>
        <w:rPr>
          <w:rFonts w:ascii="Arial" w:cs="Arial" w:eastAsia="Arial" w:hAnsi="Arial"/>
          <w:sz w:val="20"/>
          <w:szCs w:val="20"/>
          <w:color w:val="auto"/>
        </w:rPr>
      </w:pPr>
      <w:r>
        <w:rPr>
          <w:rFonts w:ascii="Arial" w:cs="Arial" w:eastAsia="Arial" w:hAnsi="Arial"/>
          <w:sz w:val="20"/>
          <w:szCs w:val="20"/>
          <w:color w:val="auto"/>
        </w:rPr>
        <w:t>Neither the making of the Loans hereunder nor the use of the proceeds thereof will violate the PATRIOT Act, the Trading with the Enemy Act, as amended, or any of the foreign assets control regulations of the United States Treasury Department (31 C.F.R., Subtitle B, Chapter V, as amended) or any enabling legislation or executive order relating thereto or successor statute thereto. The REIT and its Subsidiaries are in compliance in all material respects with the PATRIOT Act.</w:t>
      </w:r>
    </w:p>
    <w:p>
      <w:pPr>
        <w:spacing w:after="0" w:line="205" w:lineRule="exact"/>
        <w:rPr>
          <w:sz w:val="20"/>
          <w:szCs w:val="20"/>
          <w:color w:val="auto"/>
        </w:rPr>
      </w:pPr>
    </w:p>
    <w:p>
      <w:pPr>
        <w:ind w:firstLine="599"/>
        <w:spacing w:after="0" w:line="272" w:lineRule="auto"/>
        <w:rPr>
          <w:sz w:val="20"/>
          <w:szCs w:val="20"/>
          <w:color w:val="auto"/>
        </w:rPr>
      </w:pPr>
      <w:r>
        <w:rPr>
          <w:rFonts w:ascii="Arial" w:cs="Arial" w:eastAsia="Arial" w:hAnsi="Arial"/>
          <w:sz w:val="20"/>
          <w:szCs w:val="20"/>
          <w:color w:val="auto"/>
        </w:rPr>
        <w:t xml:space="preserve">5.23. </w:t>
      </w:r>
      <w:r>
        <w:rPr>
          <w:rFonts w:ascii="Arial" w:cs="Arial" w:eastAsia="Arial" w:hAnsi="Arial"/>
          <w:sz w:val="20"/>
          <w:szCs w:val="20"/>
          <w:u w:val="single" w:color="auto"/>
          <w:color w:val="auto"/>
        </w:rPr>
        <w:t>REIT Status; Stock Exchange Listing</w:t>
      </w:r>
      <w:r>
        <w:rPr>
          <w:rFonts w:ascii="Arial" w:cs="Arial" w:eastAsia="Arial" w:hAnsi="Arial"/>
          <w:sz w:val="20"/>
          <w:szCs w:val="20"/>
          <w:color w:val="auto"/>
        </w:rPr>
        <w:t>. The REIT is qualified as a Real Estate Investment Trust. The shares of common Equity Interests of the REIT are listed on the New York Stock Exchange.</w:t>
      </w:r>
    </w:p>
    <w:p>
      <w:pPr>
        <w:spacing w:after="0" w:line="191"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5.24.</w:t>
      </w:r>
      <w:r>
        <w:rPr>
          <w:sz w:val="20"/>
          <w:szCs w:val="20"/>
          <w:color w:val="auto"/>
        </w:rPr>
        <w:tab/>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No Loan Party is an EEA Financial Institution.</w:t>
      </w:r>
    </w:p>
    <w:p>
      <w:pPr>
        <w:spacing w:after="0" w:line="200" w:lineRule="exact"/>
        <w:rPr>
          <w:sz w:val="20"/>
          <w:szCs w:val="20"/>
          <w:color w:val="auto"/>
        </w:rPr>
      </w:pPr>
    </w:p>
    <w:p>
      <w:pPr>
        <w:spacing w:after="0" w:line="28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59</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64" w:name="page465"/>
    <w:bookmarkEnd w:id="464"/>
    <w:p>
      <w:pPr>
        <w:jc w:val="center"/>
        <w:spacing w:after="0"/>
        <w:rPr>
          <w:sz w:val="20"/>
          <w:szCs w:val="20"/>
          <w:color w:val="auto"/>
        </w:rPr>
      </w:pPr>
      <w:r>
        <w:rPr>
          <w:rFonts w:ascii="Arial" w:cs="Arial" w:eastAsia="Arial" w:hAnsi="Arial"/>
          <w:sz w:val="20"/>
          <w:szCs w:val="20"/>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AFFIRMATIVE COVENANTS</w:t>
      </w:r>
    </w:p>
    <w:p>
      <w:pPr>
        <w:spacing w:after="0" w:line="229"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 xml:space="preserve">So long as any Lender shall have any Commitment hereunder, any Loan or other Obligation hereunder shall remain unpaid or unsatisfied, each of the REIT and the Borrower shall, and shall (except in the case of the covenants set forth in </w:t>
      </w:r>
      <w:r>
        <w:rPr>
          <w:rFonts w:ascii="Arial" w:cs="Arial" w:eastAsia="Arial" w:hAnsi="Arial"/>
          <w:sz w:val="20"/>
          <w:szCs w:val="20"/>
          <w:u w:val="single" w:color="auto"/>
          <w:color w:val="auto"/>
        </w:rPr>
        <w:t>Sections 6.01</w:t>
      </w:r>
      <w:r>
        <w:rPr>
          <w:rFonts w:ascii="Arial" w:cs="Arial" w:eastAsia="Arial" w:hAnsi="Arial"/>
          <w:sz w:val="20"/>
          <w:szCs w:val="20"/>
          <w:color w:val="auto"/>
        </w:rPr>
        <w:t xml:space="preserve">, </w:t>
      </w:r>
      <w:r>
        <w:rPr>
          <w:rFonts w:ascii="Arial" w:cs="Arial" w:eastAsia="Arial" w:hAnsi="Arial"/>
          <w:sz w:val="20"/>
          <w:szCs w:val="20"/>
          <w:u w:val="single" w:color="auto"/>
          <w:color w:val="auto"/>
        </w:rPr>
        <w:t>6.02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6.03</w:t>
      </w:r>
      <w:r>
        <w:rPr>
          <w:rFonts w:ascii="Arial" w:cs="Arial" w:eastAsia="Arial" w:hAnsi="Arial"/>
          <w:sz w:val="20"/>
          <w:szCs w:val="20"/>
          <w:color w:val="auto"/>
        </w:rPr>
        <w:t>) cause each of their respective Subsidiaries to:</w:t>
      </w:r>
    </w:p>
    <w:p>
      <w:pPr>
        <w:spacing w:after="0" w:line="164"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6.01.</w:t>
      </w:r>
      <w:r>
        <w:rPr>
          <w:sz w:val="20"/>
          <w:szCs w:val="20"/>
          <w:color w:val="auto"/>
        </w:rPr>
        <w:tab/>
      </w:r>
      <w:r>
        <w:rPr>
          <w:rFonts w:ascii="Arial" w:cs="Arial" w:eastAsia="Arial" w:hAnsi="Arial"/>
          <w:sz w:val="18"/>
          <w:szCs w:val="18"/>
          <w:u w:val="single" w:color="auto"/>
          <w:color w:val="auto"/>
        </w:rPr>
        <w:t>Financial Statements</w:t>
      </w:r>
      <w:r>
        <w:rPr>
          <w:rFonts w:ascii="Arial" w:cs="Arial" w:eastAsia="Arial" w:hAnsi="Arial"/>
          <w:sz w:val="18"/>
          <w:szCs w:val="18"/>
          <w:color w:val="auto"/>
        </w:rPr>
        <w:t>. Deliver to the Administrative Agent, in form and detail reasonably satisfactory to the Administrative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Agent:</w:t>
      </w:r>
    </w:p>
    <w:p>
      <w:pPr>
        <w:spacing w:after="0" w:line="229" w:lineRule="exact"/>
        <w:rPr>
          <w:sz w:val="20"/>
          <w:szCs w:val="20"/>
          <w:color w:val="auto"/>
        </w:rPr>
      </w:pPr>
    </w:p>
    <w:p>
      <w:pPr>
        <w:jc w:val="both"/>
        <w:ind w:firstLine="599"/>
        <w:spacing w:after="0" w:line="281" w:lineRule="auto"/>
        <w:tabs>
          <w:tab w:leader="none" w:pos="1421" w:val="left"/>
        </w:tabs>
        <w:numPr>
          <w:ilvl w:val="0"/>
          <w:numId w:val="554"/>
        </w:numPr>
        <w:rPr>
          <w:rFonts w:ascii="Arial" w:cs="Arial" w:eastAsia="Arial" w:hAnsi="Arial"/>
          <w:sz w:val="18"/>
          <w:szCs w:val="18"/>
          <w:color w:val="auto"/>
        </w:rPr>
      </w:pPr>
      <w:r>
        <w:rPr>
          <w:rFonts w:ascii="Arial" w:cs="Arial" w:eastAsia="Arial" w:hAnsi="Arial"/>
          <w:sz w:val="18"/>
          <w:szCs w:val="18"/>
          <w:color w:val="auto"/>
        </w:rPr>
        <w:t>as soon as available, but in any event within 90 days after the end of each fiscal year of the REIT (or, if earlier, 15 days after the date required to be filed with the SEC) (commencing with the fiscal year ended December 31, 2015), a consolidated balance sheet of the Consolidated Group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(except for a qualification or an exception to the extent related to the maturity or refinancing of the Loans or any loans or obligations under the Revolving Credit Agreement);</w:t>
      </w:r>
    </w:p>
    <w:p>
      <w:pPr>
        <w:spacing w:after="0" w:line="191" w:lineRule="exact"/>
        <w:rPr>
          <w:rFonts w:ascii="Arial" w:cs="Arial" w:eastAsia="Arial" w:hAnsi="Arial"/>
          <w:sz w:val="18"/>
          <w:szCs w:val="18"/>
          <w:color w:val="auto"/>
        </w:rPr>
      </w:pPr>
    </w:p>
    <w:p>
      <w:pPr>
        <w:jc w:val="both"/>
        <w:ind w:firstLine="599"/>
        <w:spacing w:after="0" w:line="281" w:lineRule="auto"/>
        <w:tabs>
          <w:tab w:leader="none" w:pos="1432" w:val="left"/>
        </w:tabs>
        <w:numPr>
          <w:ilvl w:val="0"/>
          <w:numId w:val="554"/>
        </w:numPr>
        <w:rPr>
          <w:rFonts w:ascii="Arial" w:cs="Arial" w:eastAsia="Arial" w:hAnsi="Arial"/>
          <w:sz w:val="18"/>
          <w:szCs w:val="18"/>
          <w:color w:val="auto"/>
        </w:rPr>
      </w:pPr>
      <w:r>
        <w:rPr>
          <w:rFonts w:ascii="Arial" w:cs="Arial" w:eastAsia="Arial" w:hAnsi="Arial"/>
          <w:sz w:val="18"/>
          <w:szCs w:val="18"/>
          <w:color w:val="auto"/>
        </w:rPr>
        <w:t>as soon as available, but in any event within 45 days after the end of each of the first three fiscal quarters of each fiscal year of the REIT (or, if earlier, 5 days after the date required to be filed with the SEC) (commencing with the fiscal quarter ending March 31, 2016), a consolidated balance sheet of the Consolidated Group as at the end of such fiscal quarter, and the related consolidated statements of income or operations for such fiscal quarter and for the portion of the REIT’s fiscal year then ended, and the related consolidated statements of changes in shareholders’ equity and cash flows for the portion of the REIT’s fiscal year then ended, in each case setting forth in comparative form, as applicable, the figures for the corresponding fiscal quarter of the previous fiscal year and the corresponding portion of the previous fiscal year, all in reasonable detail, certified by the chief executive officer, chief financial officer, treasurer or controller of the REIT as fairly presenting the financial condition, results of operations, shareholders’ equity and cash flows of the Consolidated Group in accordance with GAAP, subject only to customary year-end audit adjustments and the absence of footnotes; and</w:t>
      </w:r>
    </w:p>
    <w:p>
      <w:pPr>
        <w:spacing w:after="0" w:line="191" w:lineRule="exact"/>
        <w:rPr>
          <w:rFonts w:ascii="Arial" w:cs="Arial" w:eastAsia="Arial" w:hAnsi="Arial"/>
          <w:sz w:val="18"/>
          <w:szCs w:val="18"/>
          <w:color w:val="auto"/>
        </w:rPr>
      </w:pPr>
    </w:p>
    <w:p>
      <w:pPr>
        <w:jc w:val="both"/>
        <w:ind w:firstLine="599"/>
        <w:spacing w:after="0" w:line="251" w:lineRule="auto"/>
        <w:tabs>
          <w:tab w:leader="none" w:pos="1421" w:val="left"/>
        </w:tabs>
        <w:numPr>
          <w:ilvl w:val="0"/>
          <w:numId w:val="554"/>
        </w:numPr>
        <w:rPr>
          <w:rFonts w:ascii="Arial" w:cs="Arial" w:eastAsia="Arial" w:hAnsi="Arial"/>
          <w:sz w:val="20"/>
          <w:szCs w:val="20"/>
          <w:color w:val="auto"/>
        </w:rPr>
      </w:pPr>
      <w:r>
        <w:rPr>
          <w:rFonts w:ascii="Arial" w:cs="Arial" w:eastAsia="Arial" w:hAnsi="Arial"/>
          <w:sz w:val="20"/>
          <w:szCs w:val="20"/>
          <w:color w:val="auto"/>
        </w:rPr>
        <w:t>as soon as available, but in any event at least 15 days before the end of each fiscal year of the Consolidated Group on a consolidated basis, including forecasts prepared by management of the REIT, in form reasonably satisfactory to the Administrative Agent, of consolidated balance sheets and statements of income or operations and cash flows of the Consolidated Group on a quarterly basis for the immediately following fiscal year (including the fiscal year in which the Maturity Date occurs).</w:t>
      </w:r>
    </w:p>
    <w:p>
      <w:pPr>
        <w:spacing w:after="0" w:line="3" w:lineRule="exact"/>
        <w:rPr>
          <w:rFonts w:ascii="Arial" w:cs="Arial" w:eastAsia="Arial" w:hAnsi="Arial"/>
          <w:sz w:val="20"/>
          <w:szCs w:val="20"/>
          <w:color w:val="auto"/>
        </w:rPr>
      </w:pPr>
    </w:p>
    <w:p>
      <w:pPr>
        <w:jc w:val="both"/>
        <w:spacing w:after="0" w:line="251" w:lineRule="auto"/>
        <w:rPr>
          <w:rFonts w:ascii="Arial" w:cs="Arial" w:eastAsia="Arial" w:hAnsi="Arial"/>
          <w:sz w:val="20"/>
          <w:szCs w:val="20"/>
          <w:color w:val="auto"/>
        </w:rPr>
      </w:pPr>
      <w:r>
        <w:rPr>
          <w:rFonts w:ascii="Arial" w:cs="Arial" w:eastAsia="Arial" w:hAnsi="Arial"/>
          <w:sz w:val="20"/>
          <w:szCs w:val="20"/>
          <w:color w:val="auto"/>
        </w:rPr>
        <w:t xml:space="preserve">As to any information contained in materials furnished pursuant to </w:t>
      </w:r>
      <w:r>
        <w:rPr>
          <w:rFonts w:ascii="Arial" w:cs="Arial" w:eastAsia="Arial" w:hAnsi="Arial"/>
          <w:sz w:val="20"/>
          <w:szCs w:val="20"/>
          <w:u w:val="single" w:color="auto"/>
          <w:color w:val="auto"/>
        </w:rPr>
        <w:t>Section 6.02(d)</w:t>
      </w:r>
      <w:r>
        <w:rPr>
          <w:rFonts w:ascii="Arial" w:cs="Arial" w:eastAsia="Arial" w:hAnsi="Arial"/>
          <w:sz w:val="20"/>
          <w:szCs w:val="20"/>
          <w:color w:val="auto"/>
        </w:rPr>
        <w:t xml:space="preserve">, the Borrower shall not be separately required to furnish such information under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above, but the foregoing shall not be in derogation of the obligation of the Borrower to furnish the information and materials described in </w:t>
      </w:r>
      <w:r>
        <w:rPr>
          <w:rFonts w:ascii="Arial" w:cs="Arial" w:eastAsia="Arial" w:hAnsi="Arial"/>
          <w:sz w:val="20"/>
          <w:szCs w:val="20"/>
          <w:u w:val="single" w:color="auto"/>
          <w:color w:val="auto"/>
        </w:rPr>
        <w:t>Sections 6.01(a)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above at the times specified therein.</w:t>
      </w:r>
    </w:p>
    <w:p>
      <w:pPr>
        <w:spacing w:after="0" w:line="174"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6.02.</w:t>
      </w:r>
      <w:r>
        <w:rPr>
          <w:sz w:val="20"/>
          <w:szCs w:val="20"/>
          <w:color w:val="auto"/>
        </w:rPr>
        <w:tab/>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 Deliver to the Administrative Agent, in form and detail satisfactory to the Administrative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Agent:</w:t>
      </w:r>
    </w:p>
    <w:p>
      <w:pPr>
        <w:spacing w:after="0" w:line="229"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60</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65" w:name="page466"/>
    <w:bookmarkEnd w:id="465"/>
    <w:p>
      <w:pPr>
        <w:jc w:val="both"/>
        <w:ind w:firstLine="599"/>
        <w:spacing w:after="0" w:line="273" w:lineRule="auto"/>
        <w:tabs>
          <w:tab w:leader="none" w:pos="1421" w:val="left"/>
        </w:tabs>
        <w:numPr>
          <w:ilvl w:val="0"/>
          <w:numId w:val="555"/>
        </w:numPr>
        <w:rPr>
          <w:rFonts w:ascii="Arial" w:cs="Arial" w:eastAsia="Arial" w:hAnsi="Arial"/>
          <w:sz w:val="19"/>
          <w:szCs w:val="19"/>
          <w:color w:val="auto"/>
        </w:rPr>
      </w:pPr>
      <w:r>
        <w:rPr>
          <w:rFonts w:ascii="Arial" w:cs="Arial" w:eastAsia="Arial" w:hAnsi="Arial"/>
          <w:sz w:val="19"/>
          <w:szCs w:val="19"/>
          <w:color w:val="auto"/>
        </w:rPr>
        <w:t xml:space="preserve">concurrently with the delivery of the financial statements referred to in </w:t>
      </w:r>
      <w:r>
        <w:rPr>
          <w:rFonts w:ascii="Arial" w:cs="Arial" w:eastAsia="Arial" w:hAnsi="Arial"/>
          <w:sz w:val="19"/>
          <w:szCs w:val="19"/>
          <w:u w:val="single" w:color="auto"/>
          <w:color w:val="auto"/>
        </w:rPr>
        <w:t>Section 6.01(a)</w:t>
      </w:r>
      <w:r>
        <w:rPr>
          <w:rFonts w:ascii="Arial" w:cs="Arial" w:eastAsia="Arial" w:hAnsi="Arial"/>
          <w:sz w:val="19"/>
          <w:szCs w:val="19"/>
          <w:color w:val="auto"/>
        </w:rPr>
        <w:t>, a certificate of its independent certified public accountants (which certificate may be limited or eliminated to the extent required by accounting rules or guidelines) certifying such financial statements and stating that in making the examination necessary therefor no knowledge was obtained of any Default under the financial covenants set forth herein or, if any such Default shall exist, stating the nature and status of such event;</w:t>
      </w:r>
    </w:p>
    <w:p>
      <w:pPr>
        <w:spacing w:after="0" w:line="192" w:lineRule="exact"/>
        <w:rPr>
          <w:rFonts w:ascii="Arial" w:cs="Arial" w:eastAsia="Arial" w:hAnsi="Arial"/>
          <w:sz w:val="19"/>
          <w:szCs w:val="19"/>
          <w:color w:val="auto"/>
        </w:rPr>
      </w:pPr>
    </w:p>
    <w:p>
      <w:pPr>
        <w:jc w:val="both"/>
        <w:ind w:firstLine="599"/>
        <w:spacing w:after="0" w:line="273" w:lineRule="auto"/>
        <w:tabs>
          <w:tab w:leader="none" w:pos="1432" w:val="left"/>
        </w:tabs>
        <w:numPr>
          <w:ilvl w:val="0"/>
          <w:numId w:val="555"/>
        </w:numPr>
        <w:rPr>
          <w:rFonts w:ascii="Arial" w:cs="Arial" w:eastAsia="Arial" w:hAnsi="Arial"/>
          <w:sz w:val="19"/>
          <w:szCs w:val="19"/>
          <w:color w:val="auto"/>
        </w:rPr>
      </w:pPr>
      <w:r>
        <w:rPr>
          <w:rFonts w:ascii="Arial" w:cs="Arial" w:eastAsia="Arial" w:hAnsi="Arial"/>
          <w:sz w:val="19"/>
          <w:szCs w:val="19"/>
          <w:color w:val="auto"/>
        </w:rPr>
        <w:t xml:space="preserve">concurrently with the delivery of the financial statements referred to in </w:t>
      </w:r>
      <w:r>
        <w:rPr>
          <w:rFonts w:ascii="Arial" w:cs="Arial" w:eastAsia="Arial" w:hAnsi="Arial"/>
          <w:sz w:val="19"/>
          <w:szCs w:val="19"/>
          <w:u w:val="single" w:color="auto"/>
          <w:color w:val="auto"/>
        </w:rPr>
        <w:t>Sections 6.01(a)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a duly completed Compliance Certificate signed by the chief executive officer, chief financial officer, treasurer or controller of the REIT (which delivery may, unless the Administrative Agent, or a Lender through the Administrative Agent requests executed originals, be by electronic communication including fax or email and shall be deemed to be an original authentic counterpart thereof for all purposes);</w:t>
      </w:r>
    </w:p>
    <w:p>
      <w:pPr>
        <w:spacing w:after="0" w:line="192" w:lineRule="exact"/>
        <w:rPr>
          <w:rFonts w:ascii="Arial" w:cs="Arial" w:eastAsia="Arial" w:hAnsi="Arial"/>
          <w:sz w:val="19"/>
          <w:szCs w:val="19"/>
          <w:color w:val="auto"/>
        </w:rPr>
      </w:pPr>
    </w:p>
    <w:p>
      <w:pPr>
        <w:jc w:val="both"/>
        <w:ind w:firstLine="599"/>
        <w:spacing w:after="0" w:line="302" w:lineRule="auto"/>
        <w:tabs>
          <w:tab w:leader="none" w:pos="1421" w:val="left"/>
        </w:tabs>
        <w:numPr>
          <w:ilvl w:val="0"/>
          <w:numId w:val="555"/>
        </w:numPr>
        <w:rPr>
          <w:rFonts w:ascii="Arial" w:cs="Arial" w:eastAsia="Arial" w:hAnsi="Arial"/>
          <w:sz w:val="18"/>
          <w:szCs w:val="18"/>
          <w:color w:val="auto"/>
        </w:rPr>
      </w:pPr>
      <w:r>
        <w:rPr>
          <w:rFonts w:ascii="Arial" w:cs="Arial" w:eastAsia="Arial" w:hAnsi="Arial"/>
          <w:sz w:val="18"/>
          <w:szCs w:val="18"/>
          <w:color w:val="auto"/>
        </w:rPr>
        <w:t>promptly after any request by the Administrative Agent or any Lender, copies of any detailed audit reports, management letters or recommendations submitted to the board of directors (or the audit committee of the board of directors) of any Loan Party by independent accountants in connection with the accounts or books of any Loan Party or any of its Subsidiaries, or any audit of any of them;</w:t>
      </w:r>
    </w:p>
    <w:p>
      <w:pPr>
        <w:spacing w:after="0" w:line="167" w:lineRule="exact"/>
        <w:rPr>
          <w:rFonts w:ascii="Arial" w:cs="Arial" w:eastAsia="Arial" w:hAnsi="Arial"/>
          <w:sz w:val="18"/>
          <w:szCs w:val="18"/>
          <w:color w:val="auto"/>
        </w:rPr>
      </w:pPr>
    </w:p>
    <w:p>
      <w:pPr>
        <w:jc w:val="both"/>
        <w:ind w:firstLine="599"/>
        <w:spacing w:after="0" w:line="252" w:lineRule="auto"/>
        <w:tabs>
          <w:tab w:leader="none" w:pos="1432" w:val="left"/>
        </w:tabs>
        <w:numPr>
          <w:ilvl w:val="0"/>
          <w:numId w:val="555"/>
        </w:numPr>
        <w:rPr>
          <w:rFonts w:ascii="Arial" w:cs="Arial" w:eastAsia="Arial" w:hAnsi="Arial"/>
          <w:sz w:val="20"/>
          <w:szCs w:val="20"/>
          <w:color w:val="auto"/>
        </w:rPr>
      </w:pPr>
      <w:r>
        <w:rPr>
          <w:rFonts w:ascii="Arial" w:cs="Arial" w:eastAsia="Arial" w:hAnsi="Arial"/>
          <w:sz w:val="20"/>
          <w:szCs w:val="20"/>
          <w:color w:val="auto"/>
        </w:rPr>
        <w:t>promptly after the same are available, (x) copies of each annual report, proxy or financial statement or other report or communication sent to the stockholders or other equityholders of the REIT, (y) copies of each annual report, proxy, financial statement or other financial report sent to the limited partners of the Borrower, and (z) copies of all annual, regular, periodic and special reports and registration statements which any Loan Party or any Subsidiary thereof files with the SEC under Section 13 or 15(d) of the Securities Exchange Act of 1934, or with any national securities exchange, and in any case not otherwise required to be delivered to the Administrative Agent pursuant hereto;</w:t>
      </w:r>
    </w:p>
    <w:p>
      <w:pPr>
        <w:spacing w:after="0" w:line="212" w:lineRule="exact"/>
        <w:rPr>
          <w:rFonts w:ascii="Arial" w:cs="Arial" w:eastAsia="Arial" w:hAnsi="Arial"/>
          <w:sz w:val="20"/>
          <w:szCs w:val="20"/>
          <w:color w:val="auto"/>
        </w:rPr>
      </w:pPr>
    </w:p>
    <w:p>
      <w:pPr>
        <w:jc w:val="both"/>
        <w:ind w:firstLine="599"/>
        <w:spacing w:after="0" w:line="280" w:lineRule="auto"/>
        <w:tabs>
          <w:tab w:leader="none" w:pos="1421" w:val="left"/>
        </w:tabs>
        <w:numPr>
          <w:ilvl w:val="0"/>
          <w:numId w:val="555"/>
        </w:numPr>
        <w:rPr>
          <w:rFonts w:ascii="Arial" w:cs="Arial" w:eastAsia="Arial" w:hAnsi="Arial"/>
          <w:sz w:val="19"/>
          <w:szCs w:val="19"/>
          <w:color w:val="auto"/>
        </w:rPr>
      </w:pPr>
      <w:r>
        <w:rPr>
          <w:rFonts w:ascii="Arial" w:cs="Arial" w:eastAsia="Arial" w:hAnsi="Arial"/>
          <w:sz w:val="19"/>
          <w:szCs w:val="19"/>
          <w:color w:val="auto"/>
        </w:rPr>
        <w:t xml:space="preserve">promptly after the furnishing thereof, copies of any material statement or report furnished to any holder of debt securities of any Loan Party, any Direct Owner or Indirect Owner pursuant to the terms of any indenture, loan or credit or similar agreement and not otherwise required to be furnished to the Lenders pursuant to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or any other clause of this </w:t>
      </w:r>
      <w:r>
        <w:rPr>
          <w:rFonts w:ascii="Arial" w:cs="Arial" w:eastAsia="Arial" w:hAnsi="Arial"/>
          <w:sz w:val="19"/>
          <w:szCs w:val="19"/>
          <w:u w:val="single" w:color="auto"/>
          <w:color w:val="auto"/>
        </w:rPr>
        <w:t>Section 6.02</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jc w:val="both"/>
        <w:ind w:firstLine="599"/>
        <w:spacing w:after="0" w:line="256" w:lineRule="auto"/>
        <w:tabs>
          <w:tab w:leader="none" w:pos="1399" w:val="left"/>
        </w:tabs>
        <w:numPr>
          <w:ilvl w:val="0"/>
          <w:numId w:val="555"/>
        </w:numPr>
        <w:rPr>
          <w:rFonts w:ascii="Arial" w:cs="Arial" w:eastAsia="Arial" w:hAnsi="Arial"/>
          <w:sz w:val="20"/>
          <w:szCs w:val="20"/>
          <w:color w:val="auto"/>
        </w:rPr>
      </w:pPr>
      <w:r>
        <w:rPr>
          <w:rFonts w:ascii="Arial" w:cs="Arial" w:eastAsia="Arial" w:hAnsi="Arial"/>
          <w:sz w:val="20"/>
          <w:szCs w:val="20"/>
          <w:color w:val="auto"/>
        </w:rPr>
        <w:t>promptly, and in any event within five Business Days after receipt thereof by any Loan Party or any Subsidiary thereof, copies of each material notice or other material written correspondence received from the SEC (or comparable agency in any applicable non-U.S. jurisdiction) concerning any investigation or possible investigation or other inquiry by such agency regarding financial or other operational results of any Loan Party or any Subsidiary thereof;</w:t>
      </w:r>
    </w:p>
    <w:p>
      <w:pPr>
        <w:spacing w:after="0" w:line="205" w:lineRule="exact"/>
        <w:rPr>
          <w:rFonts w:ascii="Arial" w:cs="Arial" w:eastAsia="Arial" w:hAnsi="Arial"/>
          <w:sz w:val="20"/>
          <w:szCs w:val="20"/>
          <w:color w:val="auto"/>
        </w:rPr>
      </w:pPr>
    </w:p>
    <w:p>
      <w:pPr>
        <w:jc w:val="both"/>
        <w:ind w:firstLine="599"/>
        <w:spacing w:after="0" w:line="260" w:lineRule="auto"/>
        <w:tabs>
          <w:tab w:leader="none" w:pos="1432" w:val="left"/>
        </w:tabs>
        <w:numPr>
          <w:ilvl w:val="0"/>
          <w:numId w:val="555"/>
        </w:numPr>
        <w:rPr>
          <w:rFonts w:ascii="Arial" w:cs="Arial" w:eastAsia="Arial" w:hAnsi="Arial"/>
          <w:sz w:val="20"/>
          <w:szCs w:val="20"/>
          <w:color w:val="auto"/>
        </w:rPr>
      </w:pPr>
      <w:r>
        <w:rPr>
          <w:rFonts w:ascii="Arial" w:cs="Arial" w:eastAsia="Arial" w:hAnsi="Arial"/>
          <w:sz w:val="20"/>
          <w:szCs w:val="20"/>
          <w:color w:val="auto"/>
        </w:rPr>
        <w:t>promptly after the assertion or occurrence thereof, notice of any action or proceeding against or of any noncompliance by any Loan Party or any of its Subsidiaries with any Environmental Law or Environmental Permit that could reasonably be expected to have a Material Adverse Effect;</w:t>
      </w:r>
    </w:p>
    <w:p>
      <w:pPr>
        <w:spacing w:after="0" w:line="201" w:lineRule="exact"/>
        <w:rPr>
          <w:rFonts w:ascii="Arial" w:cs="Arial" w:eastAsia="Arial" w:hAnsi="Arial"/>
          <w:sz w:val="20"/>
          <w:szCs w:val="20"/>
          <w:color w:val="auto"/>
        </w:rPr>
      </w:pPr>
    </w:p>
    <w:p>
      <w:pPr>
        <w:jc w:val="both"/>
        <w:ind w:firstLine="599"/>
        <w:spacing w:after="0" w:line="302" w:lineRule="auto"/>
        <w:tabs>
          <w:tab w:leader="none" w:pos="1432" w:val="left"/>
        </w:tabs>
        <w:numPr>
          <w:ilvl w:val="0"/>
          <w:numId w:val="555"/>
        </w:numPr>
        <w:rPr>
          <w:rFonts w:ascii="Arial" w:cs="Arial" w:eastAsia="Arial" w:hAnsi="Arial"/>
          <w:sz w:val="18"/>
          <w:szCs w:val="18"/>
          <w:color w:val="auto"/>
        </w:rPr>
      </w:pPr>
      <w:r>
        <w:rPr>
          <w:rFonts w:ascii="Arial" w:cs="Arial" w:eastAsia="Arial" w:hAnsi="Arial"/>
          <w:sz w:val="18"/>
          <w:szCs w:val="18"/>
          <w:color w:val="auto"/>
        </w:rPr>
        <w:t>as soon as available, but in any event within 30 days after the end of each fiscal year of the REIT, a report summarizing the insurance coverage (specifying type, amount and carrier) in effect for each member of the Consolidated Group and containing such additional information as the Administrative Agent, or any Lender through the Administrative Agent, may reasonably specify; and</w:t>
      </w:r>
    </w:p>
    <w:p>
      <w:pPr>
        <w:spacing w:after="0" w:line="167" w:lineRule="exact"/>
        <w:rPr>
          <w:rFonts w:ascii="Arial" w:cs="Arial" w:eastAsia="Arial" w:hAnsi="Arial"/>
          <w:sz w:val="18"/>
          <w:szCs w:val="18"/>
          <w:color w:val="auto"/>
        </w:rPr>
      </w:pPr>
    </w:p>
    <w:p>
      <w:pPr>
        <w:jc w:val="both"/>
        <w:ind w:firstLine="599"/>
        <w:spacing w:after="0" w:line="260" w:lineRule="auto"/>
        <w:tabs>
          <w:tab w:leader="none" w:pos="1387" w:val="left"/>
        </w:tabs>
        <w:numPr>
          <w:ilvl w:val="0"/>
          <w:numId w:val="555"/>
        </w:numPr>
        <w:rPr>
          <w:rFonts w:ascii="Arial" w:cs="Arial" w:eastAsia="Arial" w:hAnsi="Arial"/>
          <w:sz w:val="20"/>
          <w:szCs w:val="20"/>
          <w:color w:val="auto"/>
        </w:rPr>
      </w:pPr>
      <w:r>
        <w:rPr>
          <w:rFonts w:ascii="Arial" w:cs="Arial" w:eastAsia="Arial" w:hAnsi="Arial"/>
          <w:sz w:val="20"/>
          <w:szCs w:val="20"/>
          <w:color w:val="auto"/>
        </w:rPr>
        <w:t>promptly, such additional information regarding the business, financial, legal or corporate affairs of any Loan Party or any Subsidiary thereof, or compliance with the terms of the Loan Documents, as the Administrative Agent or any Lender through the Administrative Agent may from time to time reasonably request.</w:t>
      </w:r>
    </w:p>
    <w:p>
      <w:pPr>
        <w:spacing w:after="0" w:line="20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61</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66" w:name="page467"/>
    <w:bookmarkEnd w:id="466"/>
    <w:p>
      <w:pPr>
        <w:jc w:val="both"/>
        <w:ind w:firstLine="599"/>
        <w:spacing w:after="0" w:line="279" w:lineRule="auto"/>
        <w:rPr>
          <w:sz w:val="20"/>
          <w:szCs w:val="20"/>
          <w:color w:val="auto"/>
        </w:rPr>
      </w:pPr>
      <w:r>
        <w:rPr>
          <w:rFonts w:ascii="Arial" w:cs="Arial" w:eastAsia="Arial" w:hAnsi="Arial"/>
          <w:sz w:val="18"/>
          <w:szCs w:val="18"/>
          <w:color w:val="auto"/>
        </w:rPr>
        <w:t xml:space="preserve">Documents required to be delivered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6.02(d)</w:t>
      </w:r>
      <w:r>
        <w:rPr>
          <w:rFonts w:ascii="Arial" w:cs="Arial" w:eastAsia="Arial" w:hAnsi="Arial"/>
          <w:sz w:val="18"/>
          <w:szCs w:val="18"/>
          <w:color w:val="auto"/>
        </w:rPr>
        <w:t xml:space="preserve"> (to the extent any such documents are included in materials otherwise filed with the SEC) may be delivered electronically and if so delivered, shall be deemed to have been delivered on the date (i) on which the REIT posts such documents, or provides a link thereto on the REIT’s website on the Internet at the website address listed on </w:t>
      </w:r>
      <w:r>
        <w:rPr>
          <w:rFonts w:ascii="Arial" w:cs="Arial" w:eastAsia="Arial" w:hAnsi="Arial"/>
          <w:sz w:val="18"/>
          <w:szCs w:val="18"/>
          <w:u w:val="single" w:color="auto"/>
          <w:color w:val="auto"/>
        </w:rPr>
        <w:t>Schedule 10.02</w:t>
      </w:r>
      <w:r>
        <w:rPr>
          <w:rFonts w:ascii="Arial" w:cs="Arial" w:eastAsia="Arial" w:hAnsi="Arial"/>
          <w:sz w:val="18"/>
          <w:szCs w:val="18"/>
          <w:color w:val="auto"/>
        </w:rPr>
        <w:t xml:space="preserve">; or (ii) on which such documents are posted on the REIT’s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Borrower shall deliver paper copies of such documents to the Administrative Agent or any Lender upon its request to the Borrower (through the Administrative Agent) to deliver such paper copies until a written request to cease delivering paper copies is given by the Administrative Agent or such Lender (through the Administrative Agent) and (ii) the Borrower shall notify the Administrative Agent (by facsimile or electronic mail) of the posting of any such documents and provide to the Administrative Agent by electronic mail electronic versions (</w:t>
      </w:r>
      <w:r>
        <w:rPr>
          <w:rFonts w:ascii="Arial" w:cs="Arial" w:eastAsia="Arial" w:hAnsi="Arial"/>
          <w:sz w:val="18"/>
          <w:szCs w:val="18"/>
          <w:u w:val="single" w:color="auto"/>
          <w:color w:val="auto"/>
        </w:rPr>
        <w:t>i.e.</w:t>
      </w:r>
      <w:r>
        <w:rPr>
          <w:rFonts w:ascii="Arial" w:cs="Arial" w:eastAsia="Arial" w:hAnsi="Arial"/>
          <w:sz w:val="18"/>
          <w:szCs w:val="18"/>
          <w:color w:val="auto"/>
        </w:rPr>
        <w:t>,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(through the Administrative Agent) or maintaining its copies of such documents.</w:t>
      </w:r>
    </w:p>
    <w:p>
      <w:pPr>
        <w:spacing w:after="0" w:line="157" w:lineRule="exact"/>
        <w:rPr>
          <w:sz w:val="20"/>
          <w:szCs w:val="20"/>
          <w:color w:val="auto"/>
        </w:rPr>
      </w:pPr>
    </w:p>
    <w:p>
      <w:pPr>
        <w:jc w:val="both"/>
        <w:ind w:firstLine="599"/>
        <w:spacing w:after="0" w:line="279" w:lineRule="auto"/>
        <w:rPr>
          <w:sz w:val="20"/>
          <w:szCs w:val="20"/>
          <w:color w:val="auto"/>
        </w:rPr>
      </w:pPr>
      <w:r>
        <w:rPr>
          <w:rFonts w:ascii="Arial" w:cs="Arial" w:eastAsia="Arial" w:hAnsi="Arial"/>
          <w:sz w:val="18"/>
          <w:szCs w:val="18"/>
          <w:color w:val="auto"/>
        </w:rPr>
        <w:t>The Borrower and the REIT hereby acknowledge that (a) the Administrative Agent and/or the Arrangers will make available to the Lenders materials and/or information provided by or on behalf of the REIT or the Borrower hereunder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on IntraLinks or another similar electronic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 (b) certain of the Lenders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Arrangers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the extent such Borrower Materials constitute Information, they shall be treated as set forth in </w:t>
      </w:r>
      <w:r>
        <w:rPr>
          <w:rFonts w:ascii="Arial" w:cs="Arial" w:eastAsia="Arial" w:hAnsi="Arial"/>
          <w:sz w:val="18"/>
          <w:szCs w:val="18"/>
          <w:u w:val="single" w:color="auto"/>
          <w:color w:val="auto"/>
        </w:rPr>
        <w:t>Section 10.07</w:t>
      </w:r>
      <w:r>
        <w:rPr>
          <w:rFonts w:ascii="Arial" w:cs="Arial" w:eastAsia="Arial" w:hAnsi="Arial"/>
          <w:sz w:val="18"/>
          <w:szCs w:val="18"/>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150"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6.03.</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 Promptly notify the Administrative Agent:</w:t>
      </w:r>
    </w:p>
    <w:p>
      <w:pPr>
        <w:spacing w:after="0" w:line="245" w:lineRule="exact"/>
        <w:rPr>
          <w:sz w:val="20"/>
          <w:szCs w:val="20"/>
          <w:color w:val="auto"/>
        </w:rPr>
      </w:pPr>
    </w:p>
    <w:p>
      <w:pPr>
        <w:ind w:left="1420" w:hanging="821"/>
        <w:spacing w:after="0"/>
        <w:tabs>
          <w:tab w:leader="none" w:pos="1420" w:val="left"/>
        </w:tabs>
        <w:numPr>
          <w:ilvl w:val="0"/>
          <w:numId w:val="556"/>
        </w:numPr>
        <w:rPr>
          <w:rFonts w:ascii="Arial" w:cs="Arial" w:eastAsia="Arial" w:hAnsi="Arial"/>
          <w:sz w:val="20"/>
          <w:szCs w:val="20"/>
          <w:color w:val="auto"/>
        </w:rPr>
      </w:pPr>
      <w:r>
        <w:rPr>
          <w:rFonts w:ascii="Arial" w:cs="Arial" w:eastAsia="Arial" w:hAnsi="Arial"/>
          <w:sz w:val="20"/>
          <w:szCs w:val="20"/>
          <w:color w:val="auto"/>
        </w:rPr>
        <w:t>of the occurrence of any Default;</w:t>
      </w:r>
    </w:p>
    <w:p>
      <w:pPr>
        <w:spacing w:after="0" w:line="244" w:lineRule="exact"/>
        <w:rPr>
          <w:rFonts w:ascii="Arial" w:cs="Arial" w:eastAsia="Arial" w:hAnsi="Arial"/>
          <w:sz w:val="20"/>
          <w:szCs w:val="20"/>
          <w:color w:val="auto"/>
        </w:rPr>
      </w:pPr>
    </w:p>
    <w:p>
      <w:pPr>
        <w:jc w:val="both"/>
        <w:ind w:firstLine="599"/>
        <w:spacing w:after="0" w:line="252" w:lineRule="auto"/>
        <w:tabs>
          <w:tab w:leader="none" w:pos="1432" w:val="left"/>
        </w:tabs>
        <w:numPr>
          <w:ilvl w:val="0"/>
          <w:numId w:val="556"/>
        </w:numPr>
        <w:rPr>
          <w:rFonts w:ascii="Arial" w:cs="Arial" w:eastAsia="Arial" w:hAnsi="Arial"/>
          <w:sz w:val="20"/>
          <w:szCs w:val="20"/>
          <w:color w:val="auto"/>
        </w:rPr>
      </w:pPr>
      <w:r>
        <w:rPr>
          <w:rFonts w:ascii="Arial" w:cs="Arial" w:eastAsia="Arial" w:hAnsi="Arial"/>
          <w:sz w:val="20"/>
          <w:szCs w:val="20"/>
          <w:color w:val="auto"/>
        </w:rPr>
        <w:t>of any matter that has resulted or could reasonably be expected to result in a Material Adverse Effect, including (i) breach or non-performance of, or any default under, a Contractual Obligation of any Loan Party or any Subsidiary thereof; (ii) any dispute, litigation, investigation, proceeding or suspension between any Loan Party or any Subsidiary thereof and any Governmental Authority; or (iii) the commencement of, or any material development in, any litigation or proceeding affecting any Loan Party or any Subsidiary thereof, including pursuant to any applicable Environmental Laws, in each case that has resulted or could reasonably be expected to result in a Material Adverse Effect;</w:t>
      </w:r>
    </w:p>
    <w:p>
      <w:pPr>
        <w:spacing w:after="0" w:line="21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62</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67" w:name="page468"/>
    <w:bookmarkEnd w:id="467"/>
    <w:p>
      <w:pPr>
        <w:ind w:left="1420" w:hanging="821"/>
        <w:spacing w:after="0"/>
        <w:tabs>
          <w:tab w:leader="none" w:pos="1420" w:val="left"/>
        </w:tabs>
        <w:numPr>
          <w:ilvl w:val="0"/>
          <w:numId w:val="557"/>
        </w:numPr>
        <w:rPr>
          <w:rFonts w:ascii="Arial" w:cs="Arial" w:eastAsia="Arial" w:hAnsi="Arial"/>
          <w:sz w:val="20"/>
          <w:szCs w:val="20"/>
          <w:color w:val="auto"/>
        </w:rPr>
      </w:pPr>
      <w:r>
        <w:rPr>
          <w:rFonts w:ascii="Arial" w:cs="Arial" w:eastAsia="Arial" w:hAnsi="Arial"/>
          <w:sz w:val="20"/>
          <w:szCs w:val="20"/>
          <w:color w:val="auto"/>
        </w:rPr>
        <w:t>of the occurrence of any ERISA Event;</w:t>
      </w:r>
    </w:p>
    <w:p>
      <w:pPr>
        <w:spacing w:after="0" w:line="244" w:lineRule="exact"/>
        <w:rPr>
          <w:rFonts w:ascii="Arial" w:cs="Arial" w:eastAsia="Arial" w:hAnsi="Arial"/>
          <w:sz w:val="20"/>
          <w:szCs w:val="20"/>
          <w:color w:val="auto"/>
        </w:rPr>
      </w:pPr>
    </w:p>
    <w:p>
      <w:pPr>
        <w:ind w:left="1440" w:hanging="841"/>
        <w:spacing w:after="0"/>
        <w:tabs>
          <w:tab w:leader="none" w:pos="144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of any material change in accounting policies or financial reporting practices by any Loan Party or any Subsidiary thereof;</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or</w:t>
      </w:r>
    </w:p>
    <w:p>
      <w:pPr>
        <w:spacing w:after="0" w:line="229" w:lineRule="exact"/>
        <w:rPr>
          <w:sz w:val="20"/>
          <w:szCs w:val="20"/>
          <w:color w:val="auto"/>
        </w:rPr>
      </w:pPr>
    </w:p>
    <w:p>
      <w:pPr>
        <w:ind w:firstLine="599"/>
        <w:spacing w:after="0" w:line="272" w:lineRule="auto"/>
        <w:tabs>
          <w:tab w:leader="none" w:pos="1421" w:val="left"/>
        </w:tabs>
        <w:numPr>
          <w:ilvl w:val="0"/>
          <w:numId w:val="558"/>
        </w:numPr>
        <w:rPr>
          <w:rFonts w:ascii="Arial" w:cs="Arial" w:eastAsia="Arial" w:hAnsi="Arial"/>
          <w:sz w:val="20"/>
          <w:szCs w:val="20"/>
          <w:color w:val="auto"/>
        </w:rPr>
      </w:pPr>
      <w:r>
        <w:rPr>
          <w:rFonts w:ascii="Arial" w:cs="Arial" w:eastAsia="Arial" w:hAnsi="Arial"/>
          <w:sz w:val="20"/>
          <w:szCs w:val="20"/>
          <w:color w:val="auto"/>
        </w:rPr>
        <w:t xml:space="preserve">of any announcement by Moody’s, Fitch or S&amp;P of any change or possible change in a Debt Rating; </w:t>
      </w:r>
      <w:r>
        <w:rPr>
          <w:rFonts w:ascii="Arial" w:cs="Arial" w:eastAsia="Arial" w:hAnsi="Arial"/>
          <w:sz w:val="20"/>
          <w:szCs w:val="20"/>
          <w:u w:val="single" w:color="auto"/>
          <w:color w:val="auto"/>
        </w:rPr>
        <w:t>provided</w:t>
      </w:r>
      <w:r>
        <w:rPr>
          <w:rFonts w:ascii="Arial" w:cs="Arial" w:eastAsia="Arial" w:hAnsi="Arial"/>
          <w:sz w:val="20"/>
          <w:szCs w:val="20"/>
          <w:color w:val="auto"/>
        </w:rPr>
        <w:t>, that the provisions of this clause (e) shall not apply at any time prior to the Investment Grade Pricing Effective Date.</w:t>
      </w:r>
    </w:p>
    <w:p>
      <w:pPr>
        <w:spacing w:after="0" w:line="191"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 xml:space="preserve">Each notice pursuant to </w:t>
      </w:r>
      <w:r>
        <w:rPr>
          <w:rFonts w:ascii="Arial" w:cs="Arial" w:eastAsia="Arial" w:hAnsi="Arial"/>
          <w:sz w:val="20"/>
          <w:szCs w:val="20"/>
          <w:u w:val="single" w:color="auto"/>
          <w:color w:val="auto"/>
        </w:rPr>
        <w:t>Section 6.03</w:t>
      </w:r>
      <w:r>
        <w:rPr>
          <w:rFonts w:ascii="Arial" w:cs="Arial" w:eastAsia="Arial" w:hAnsi="Arial"/>
          <w:sz w:val="20"/>
          <w:szCs w:val="20"/>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20"/>
          <w:szCs w:val="20"/>
          <w:u w:val="single" w:color="auto"/>
          <w:color w:val="auto"/>
        </w:rPr>
        <w:t>Section 6.03(a)</w:t>
      </w:r>
      <w:r>
        <w:rPr>
          <w:rFonts w:ascii="Arial" w:cs="Arial" w:eastAsia="Arial" w:hAnsi="Arial"/>
          <w:sz w:val="20"/>
          <w:szCs w:val="20"/>
          <w:color w:val="auto"/>
        </w:rPr>
        <w:t xml:space="preserve"> shall describe with particularity any and all provisions of this Agreement and any other Loan Document that have been breached.</w:t>
      </w:r>
    </w:p>
    <w:p>
      <w:pPr>
        <w:spacing w:after="0" w:line="168"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9"/>
          <w:szCs w:val="19"/>
          <w:color w:val="auto"/>
        </w:rPr>
        <w:t xml:space="preserve">6.04. </w:t>
      </w:r>
      <w:r>
        <w:rPr>
          <w:rFonts w:ascii="Arial" w:cs="Arial" w:eastAsia="Arial" w:hAnsi="Arial"/>
          <w:sz w:val="19"/>
          <w:szCs w:val="19"/>
          <w:u w:val="single" w:color="auto"/>
          <w:color w:val="auto"/>
        </w:rPr>
        <w:t>Payment of Obligations</w:t>
      </w:r>
      <w:r>
        <w:rPr>
          <w:rFonts w:ascii="Arial" w:cs="Arial" w:eastAsia="Arial" w:hAnsi="Arial"/>
          <w:sz w:val="19"/>
          <w:szCs w:val="19"/>
          <w:color w:val="auto"/>
        </w:rPr>
        <w:t xml:space="preserve">. (a) Pay and discharge as the same shall become due and payable (i) all federal, state and other material Tax liabilities, assessments and governmental charges or levies upon it or its properties or assets, unless the same are being contested in good faith by appropriate proceedings diligently conducted (which proceedings have the effect of preventing the forfeiture or sale of the property or assets subject to any such Lien) and adequate reserves in accordance with GAAP are being maintained by the REIT, the Borrower or such Subsidiary; (ii) all lawful claims which, if unpaid, would by law become a Lien upon its property (other than a Lien permitted under </w:t>
      </w:r>
      <w:r>
        <w:rPr>
          <w:rFonts w:ascii="Arial" w:cs="Arial" w:eastAsia="Arial" w:hAnsi="Arial"/>
          <w:sz w:val="19"/>
          <w:szCs w:val="19"/>
          <w:u w:val="single" w:color="auto"/>
          <w:color w:val="auto"/>
        </w:rPr>
        <w:t>Section 7.01</w:t>
      </w:r>
      <w:r>
        <w:rPr>
          <w:rFonts w:ascii="Arial" w:cs="Arial" w:eastAsia="Arial" w:hAnsi="Arial"/>
          <w:sz w:val="19"/>
          <w:szCs w:val="19"/>
          <w:color w:val="auto"/>
        </w:rPr>
        <w:t>) unless the same are being contested in good faith by appropriate proceedings diligently conducted and adequate reserves in accordance with GAAP are maintained; (iii) all Indebtedness, as and when due and payable, but subject to any subordination provisions contained in any instrument or agreement evidencing such Indebtedness, but only to the extent the failure to pay such Indebtedness would constitute an Event of Default and (iv) all of its other obligations and liabilities, except as could not reasonably be expected to have a Material Adverse Effect; and (b) timely file all material tax returns required to be filed.</w:t>
      </w:r>
    </w:p>
    <w:p>
      <w:pPr>
        <w:spacing w:after="0" w:line="198" w:lineRule="exact"/>
        <w:rPr>
          <w:sz w:val="20"/>
          <w:szCs w:val="20"/>
          <w:color w:val="auto"/>
        </w:rPr>
      </w:pPr>
    </w:p>
    <w:p>
      <w:pPr>
        <w:jc w:val="both"/>
        <w:ind w:firstLine="599"/>
        <w:spacing w:after="0" w:line="252" w:lineRule="auto"/>
        <w:rPr>
          <w:sz w:val="20"/>
          <w:szCs w:val="20"/>
          <w:color w:val="auto"/>
        </w:rPr>
      </w:pPr>
      <w:r>
        <w:rPr>
          <w:rFonts w:ascii="Arial" w:cs="Arial" w:eastAsia="Arial" w:hAnsi="Arial"/>
          <w:sz w:val="20"/>
          <w:szCs w:val="20"/>
          <w:color w:val="auto"/>
        </w:rPr>
        <w:t xml:space="preserve">6.05. </w:t>
      </w:r>
      <w:r>
        <w:rPr>
          <w:rFonts w:ascii="Arial" w:cs="Arial" w:eastAsia="Arial" w:hAnsi="Arial"/>
          <w:sz w:val="20"/>
          <w:szCs w:val="20"/>
          <w:u w:val="single" w:color="auto"/>
          <w:color w:val="auto"/>
        </w:rPr>
        <w:t>Preservation of Existence, Etc</w:t>
      </w:r>
      <w:r>
        <w:rPr>
          <w:rFonts w:ascii="Arial" w:cs="Arial" w:eastAsia="Arial" w:hAnsi="Arial"/>
          <w:sz w:val="20"/>
          <w:szCs w:val="20"/>
          <w:color w:val="auto"/>
        </w:rPr>
        <w:t xml:space="preserve">. (a) Preserve, renew and maintain in full force and effect its legal existence and good standing under the Laws of the jurisdiction of its organization except in a transaction permitted by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7.05</w:t>
      </w:r>
      <w:r>
        <w:rPr>
          <w:rFonts w:ascii="Arial" w:cs="Arial" w:eastAsia="Arial" w:hAnsi="Arial"/>
          <w:sz w:val="20"/>
          <w:szCs w:val="20"/>
          <w:color w:val="auto"/>
        </w:rPr>
        <w: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w:t>
      </w:r>
    </w:p>
    <w:p>
      <w:pPr>
        <w:spacing w:after="0" w:line="212"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 xml:space="preserve">6.06. </w:t>
      </w:r>
      <w:r>
        <w:rPr>
          <w:rFonts w:ascii="Arial" w:cs="Arial" w:eastAsia="Arial" w:hAnsi="Arial"/>
          <w:sz w:val="20"/>
          <w:szCs w:val="20"/>
          <w:u w:val="single" w:color="auto"/>
          <w:color w:val="auto"/>
        </w:rPr>
        <w:t>Maintenance of Properties</w:t>
      </w:r>
      <w:r>
        <w:rPr>
          <w:rFonts w:ascii="Arial" w:cs="Arial" w:eastAsia="Arial" w:hAnsi="Arial"/>
          <w:sz w:val="20"/>
          <w:szCs w:val="20"/>
          <w:color w:val="auto"/>
        </w:rPr>
        <w:t>. (a) Maintain, preserve and protect all of its properties and equipment necessary in the operation of its business in good working order and condition, ordinary wear and tear excepted, except where the failure to do so could not reasonably be expected to have a Material Adverse Effect; (b) make all necessary repairs thereto and renewals and replacements thereof except where the failure to do so could not reasonably be expected to have a Material Adverse Effect; and (c) use the standard of care typical in the industry in the operation and maintenance of its facilities.</w:t>
      </w:r>
    </w:p>
    <w:p>
      <w:pPr>
        <w:spacing w:after="0" w:line="212"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 xml:space="preserve">6.07. </w:t>
      </w:r>
      <w:r>
        <w:rPr>
          <w:rFonts w:ascii="Arial" w:cs="Arial" w:eastAsia="Arial" w:hAnsi="Arial"/>
          <w:sz w:val="20"/>
          <w:szCs w:val="20"/>
          <w:u w:val="single" w:color="auto"/>
          <w:color w:val="auto"/>
        </w:rPr>
        <w:t>Maintenance of Insurance</w:t>
      </w:r>
      <w:r>
        <w:rPr>
          <w:rFonts w:ascii="Arial" w:cs="Arial" w:eastAsia="Arial" w:hAnsi="Arial"/>
          <w:sz w:val="20"/>
          <w:szCs w:val="20"/>
          <w:color w:val="auto"/>
        </w:rPr>
        <w:t>. Maintain with financially sound and reputable insurance companies that are not Affiliates of the REIT, insurance with respect to its properties and business against loss or damage of the kinds customarily insured against by Persons engaged in the same or similar business, of such types and in such amounts as are customarily carried under similar circumstances by such other</w:t>
      </w:r>
    </w:p>
    <w:p>
      <w:pPr>
        <w:spacing w:after="0" w:line="20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63</w:t>
      </w:r>
      <w:r>
        <w:rPr>
          <w:rFonts w:ascii="MS PGothic" w:cs="MS PGothic" w:eastAsia="MS PGothic" w:hAnsi="MS PGothic"/>
          <w:sz w:val="20"/>
          <w:szCs w:val="20"/>
          <w:color w:val="auto"/>
        </w:rPr>
        <w:t>‑</w:t>
      </w:r>
    </w:p>
    <w:p>
      <w:pPr>
        <w:sectPr>
          <w:pgSz w:w="11900" w:h="16838" w:orient="portrait"/>
          <w:cols w:equalWidth="0" w:num="1">
            <w:col w:w="11420"/>
          </w:cols>
          <w:pgMar w:left="240" w:top="1032" w:right="239" w:bottom="1440" w:gutter="0" w:footer="0" w:header="0"/>
        </w:sectPr>
      </w:pPr>
    </w:p>
    <w:bookmarkStart w:id="468" w:name="page469"/>
    <w:bookmarkEnd w:id="468"/>
    <w:p>
      <w:pPr>
        <w:jc w:val="both"/>
        <w:spacing w:after="0" w:line="260" w:lineRule="auto"/>
        <w:rPr>
          <w:sz w:val="20"/>
          <w:szCs w:val="20"/>
          <w:color w:val="auto"/>
        </w:rPr>
      </w:pPr>
      <w:r>
        <w:rPr>
          <w:rFonts w:ascii="Arial" w:cs="Arial" w:eastAsia="Arial" w:hAnsi="Arial"/>
          <w:sz w:val="20"/>
          <w:szCs w:val="20"/>
          <w:color w:val="auto"/>
        </w:rPr>
        <w:t>Persons and, in the case of liability insurance, shall (i) provide for not less than 30 days’ (or 10 days in the case of termination for failure to pay premiums) prior notice to the Administrative Agent of termination, lapse or cancellation of such insurance and (ii) name the Administrative Agent as additional insured on behalf of the Lenders.</w:t>
      </w:r>
    </w:p>
    <w:p>
      <w:pPr>
        <w:spacing w:after="0" w:line="202" w:lineRule="exact"/>
        <w:rPr>
          <w:sz w:val="20"/>
          <w:szCs w:val="20"/>
          <w:color w:val="auto"/>
        </w:rPr>
      </w:pPr>
    </w:p>
    <w:p>
      <w:pPr>
        <w:jc w:val="both"/>
        <w:ind w:firstLine="599"/>
        <w:spacing w:after="0" w:line="286" w:lineRule="auto"/>
        <w:rPr>
          <w:sz w:val="20"/>
          <w:szCs w:val="20"/>
          <w:color w:val="auto"/>
        </w:rPr>
      </w:pPr>
      <w:r>
        <w:rPr>
          <w:rFonts w:ascii="Arial" w:cs="Arial" w:eastAsia="Arial" w:hAnsi="Arial"/>
          <w:sz w:val="18"/>
          <w:szCs w:val="18"/>
          <w:color w:val="auto"/>
        </w:rPr>
        <w:t xml:space="preserve">6.08.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Comply in all material respects with the requirements of all Laws (including, without limitation, all Anti-Corruption Laws and applicable Sanctions)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 and maintain in effect and enforce policies and procedures designed to promote and achieve compliance by the REIT, its Subsidiaries and their respective directors, officers, employees and agents with Anti-Corruption Laws and applicable Sanctions.</w:t>
      </w:r>
    </w:p>
    <w:p>
      <w:pPr>
        <w:spacing w:after="0" w:line="181"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 xml:space="preserve">6.09. </w:t>
      </w:r>
      <w:r>
        <w:rPr>
          <w:rFonts w:ascii="Arial" w:cs="Arial" w:eastAsia="Arial" w:hAnsi="Arial"/>
          <w:sz w:val="20"/>
          <w:szCs w:val="20"/>
          <w:u w:val="single" w:color="auto"/>
          <w:color w:val="auto"/>
        </w:rPr>
        <w:t>Books and Records</w:t>
      </w:r>
      <w:r>
        <w:rPr>
          <w:rFonts w:ascii="Arial" w:cs="Arial" w:eastAsia="Arial" w:hAnsi="Arial"/>
          <w:sz w:val="20"/>
          <w:szCs w:val="20"/>
          <w:color w:val="auto"/>
        </w:rPr>
        <w:t>. (a) Maintain proper books of record and account, in which full, true and correct entries in conformity with GAAP consistently applied shall be made of all financial transactions and matters involving the assets and business of the REIT, the Borrower or such Subsidiary, as the case may be; and (b) maintain such books of record and account in material conformity with all applicable requirements of any Governmental Authority having regulatory jurisdiction over the REIT, the Borrower or such Subsidiary, as the case may be.</w:t>
      </w:r>
    </w:p>
    <w:p>
      <w:pPr>
        <w:spacing w:after="0" w:line="212" w:lineRule="exact"/>
        <w:rPr>
          <w:sz w:val="20"/>
          <w:szCs w:val="20"/>
          <w:color w:val="auto"/>
        </w:rPr>
      </w:pPr>
    </w:p>
    <w:p>
      <w:pPr>
        <w:jc w:val="both"/>
        <w:ind w:firstLine="599"/>
        <w:spacing w:after="0" w:line="278"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Inspection Rights</w:t>
      </w:r>
      <w:r>
        <w:rPr>
          <w:rFonts w:ascii="Arial" w:cs="Arial" w:eastAsia="Arial" w:hAnsi="Arial"/>
          <w:sz w:val="18"/>
          <w:szCs w:val="18"/>
          <w:color w:val="auto"/>
        </w:rPr>
        <w:t>. 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permitted to have its representatives present during any such discussions with its independent public accountants), all at the expense of the Borrower and at such reasonable times during normal business hours and as often as may be reasonably desired, upon reasonable advance notice to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that so long as no Event of Default has occurred and is continuing, (x) no more than one</w:t>
      </w:r>
    </w:p>
    <w:p>
      <w:pPr>
        <w:spacing w:after="0" w:line="1" w:lineRule="exact"/>
        <w:rPr>
          <w:sz w:val="20"/>
          <w:szCs w:val="20"/>
          <w:color w:val="auto"/>
        </w:rPr>
      </w:pPr>
    </w:p>
    <w:p>
      <w:pPr>
        <w:jc w:val="both"/>
        <w:spacing w:after="0" w:line="267" w:lineRule="auto"/>
        <w:tabs>
          <w:tab w:leader="none" w:pos="293" w:val="left"/>
        </w:tabs>
        <w:numPr>
          <w:ilvl w:val="0"/>
          <w:numId w:val="559"/>
        </w:numPr>
        <w:rPr>
          <w:rFonts w:ascii="Arial" w:cs="Arial" w:eastAsia="Arial" w:hAnsi="Arial"/>
          <w:sz w:val="19"/>
          <w:szCs w:val="19"/>
          <w:color w:val="auto"/>
        </w:rPr>
      </w:pPr>
      <w:r>
        <w:rPr>
          <w:rFonts w:ascii="Arial" w:cs="Arial" w:eastAsia="Arial" w:hAnsi="Arial"/>
          <w:sz w:val="19"/>
          <w:szCs w:val="19"/>
          <w:color w:val="auto"/>
        </w:rPr>
        <w:t xml:space="preserve">such visit and inspection by the Administrative Agent during any year shall be at the expense of the Borrower and (y) any such visit and inspection by a Lender shall be at the sole expense of such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when an Event of Default exists the Administrative Agent or any Lender (or any of their respective representatives or independent contractors) may do any of the foregoing at the expense of the Borrower at any time during normal business hours and without advance notice.</w:t>
      </w:r>
    </w:p>
    <w:p>
      <w:pPr>
        <w:spacing w:after="0" w:line="198"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 xml:space="preserve">6.11. </w:t>
      </w:r>
      <w:r>
        <w:rPr>
          <w:rFonts w:ascii="Arial" w:cs="Arial" w:eastAsia="Arial" w:hAnsi="Arial"/>
          <w:sz w:val="20"/>
          <w:szCs w:val="20"/>
          <w:u w:val="single" w:color="auto"/>
          <w:color w:val="auto"/>
        </w:rPr>
        <w:t>Use of Proceeds</w:t>
      </w:r>
      <w:r>
        <w:rPr>
          <w:rFonts w:ascii="Arial" w:cs="Arial" w:eastAsia="Arial" w:hAnsi="Arial"/>
          <w:sz w:val="20"/>
          <w:szCs w:val="20"/>
          <w:color w:val="auto"/>
        </w:rPr>
        <w:t>. Use the proceeds of the Credit Extensions solely for general corporate purposes, including refinancing existing Indebtedness, working capital, the payment of capital expenses, acquisitions and development and redevelopment of Portfolio Properties, and for Restricted Payments by the Borrower and the REIT, in each case not in contravention of any Law or of any Loan Document.</w:t>
      </w:r>
    </w:p>
    <w:p>
      <w:pPr>
        <w:spacing w:after="0" w:line="205" w:lineRule="exact"/>
        <w:rPr>
          <w:sz w:val="20"/>
          <w:szCs w:val="20"/>
          <w:color w:val="auto"/>
        </w:rPr>
      </w:pPr>
    </w:p>
    <w:p>
      <w:pPr>
        <w:jc w:val="both"/>
        <w:ind w:firstLine="599"/>
        <w:spacing w:after="0" w:line="284"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Additional Guarantors</w:t>
      </w:r>
      <w:r>
        <w:rPr>
          <w:rFonts w:ascii="Arial" w:cs="Arial" w:eastAsia="Arial" w:hAnsi="Arial"/>
          <w:sz w:val="18"/>
          <w:szCs w:val="18"/>
          <w:color w:val="auto"/>
        </w:rPr>
        <w:t xml:space="preserve">. With respect to (i) any Person that is or becomes a Subsidiary (other than an Excluded Subsidiary) of the Borrower after the Third Amendment Effective Date, and/or (ii) any Subsidiary of the Borrower that ceases to be an Excluded Subsidiary after the Third Amendment Effective Date, on or prior to such time that such Person becomes a Subsidiary (other than an Excluded Subsidiary) or ceases to be an Excluded Subsidiary, as applicable, unless the Exemption Conditions exist at such time with respect to such Person, (w) cause such Person to execute a joinder agreement to the Guaranty Agreement in form and substance reasonably satisfactory to the Administrative Agent, (x) deliver to the Administrative Agent (A) the items referenced in </w:t>
      </w:r>
      <w:r>
        <w:rPr>
          <w:rFonts w:ascii="Arial" w:cs="Arial" w:eastAsia="Arial" w:hAnsi="Arial"/>
          <w:sz w:val="18"/>
          <w:szCs w:val="18"/>
          <w:u w:val="single" w:color="auto"/>
          <w:color w:val="auto"/>
        </w:rPr>
        <w:t>Section 4.01(a)(iii)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with respect to such Person and (B) if reasonably requested by the Administrative Agent, a favorable opinion of counsel (which counsel shall be</w:t>
      </w:r>
    </w:p>
    <w:p>
      <w:pPr>
        <w:spacing w:after="0" w:line="184"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64</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69" w:name="page470"/>
    <w:bookmarkEnd w:id="469"/>
    <w:p>
      <w:pPr>
        <w:jc w:val="both"/>
        <w:spacing w:after="0" w:line="251" w:lineRule="auto"/>
        <w:rPr>
          <w:sz w:val="20"/>
          <w:szCs w:val="20"/>
          <w:color w:val="auto"/>
        </w:rPr>
      </w:pPr>
      <w:r>
        <w:rPr>
          <w:rFonts w:ascii="Arial" w:cs="Arial" w:eastAsia="Arial" w:hAnsi="Arial"/>
          <w:sz w:val="20"/>
          <w:szCs w:val="20"/>
          <w:color w:val="auto"/>
        </w:rPr>
        <w:t>reasonably acceptable to the Administrative Agent), addressed to the Administrative Agent and each Lender, as to such matters concerning such Person and the Loan Documents to which such Person is a party as the Administrative Agent may reasonably request, (y) provide the Administrative Agent with the U.S. taxpayer identification for such Person (or the equivalent thereof, in the event such Person is not organized under the laws of the United States, any State thereof or the District of Columbia) and (z) provide the Administrative Agent and each Lender with all documentation and other information that the Administrative Agent or such Lender requests in order to comply with its obligations under applicable “know your customer” and anti-money laundering rules and regulations, including the Act, and the results of any such “know your customer” or similar investigation conducted by Administrative Agent or any Lender shall be satisfactory to Administrative Agent or such Lender in all respects.</w:t>
      </w:r>
    </w:p>
    <w:p>
      <w:pPr>
        <w:spacing w:after="0" w:line="212"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9"/>
          <w:szCs w:val="19"/>
          <w:color w:val="auto"/>
        </w:rPr>
        <w:t xml:space="preserve">6.13. </w:t>
      </w:r>
      <w:r>
        <w:rPr>
          <w:rFonts w:ascii="Arial" w:cs="Arial" w:eastAsia="Arial" w:hAnsi="Arial"/>
          <w:sz w:val="19"/>
          <w:szCs w:val="19"/>
          <w:u w:val="single" w:color="auto"/>
          <w:color w:val="auto"/>
        </w:rPr>
        <w:t>Compliance with Environmental Laws</w:t>
      </w:r>
      <w:r>
        <w:rPr>
          <w:rFonts w:ascii="Arial" w:cs="Arial" w:eastAsia="Arial" w:hAnsi="Arial"/>
          <w:sz w:val="19"/>
          <w:szCs w:val="19"/>
          <w:color w:val="auto"/>
        </w:rPr>
        <w:t xml:space="preserve">. Comply, and take commercially reasonable actions to cause all lessees and other Persons operating or occupying its properties to comply, with all applicable Environmental Laws and Environmental Permits, except to the extent the failure to comply could not reasonably be expected to have a Material Adverse Effect, obtain and renew all Environmental Permits necessary for the operations at each of its properties, except as could not reasonably be expected to have a Material Adverse Effect, at each of its other properties; and conduct any investigation, study, sampling and testing, and undertake any cleanup, response or other corrective action required under and in material compliance with Environmental Law to remediate all Hazardous Materials at, on, under or emanating from any of its properties, except as could not reasonably be expected to have a Material Adverse Effect, at each of its other properties;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neither the REIT nor any of its Subsidiaries shall be required to undertake any such cleanup, removal, remedial or other action to the extent that its obligation to do so is being contested in good faith and by proper proceedings and appropriate reserves are being maintained with respect to such circumstances in accordance with GAAP.</w:t>
      </w:r>
    </w:p>
    <w:p>
      <w:pPr>
        <w:spacing w:after="0" w:line="198"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6.14.</w:t>
      </w:r>
      <w:r>
        <w:rPr>
          <w:sz w:val="20"/>
          <w:szCs w:val="20"/>
          <w:color w:val="auto"/>
        </w:rPr>
        <w:tab/>
      </w:r>
      <w:r>
        <w:rPr>
          <w:rFonts w:ascii="Arial" w:cs="Arial" w:eastAsia="Arial" w:hAnsi="Arial"/>
          <w:sz w:val="18"/>
          <w:szCs w:val="18"/>
          <w:u w:val="single" w:color="auto"/>
          <w:color w:val="auto"/>
        </w:rPr>
        <w:t>Further Assurances</w:t>
      </w:r>
      <w:r>
        <w:rPr>
          <w:rFonts w:ascii="Arial" w:cs="Arial" w:eastAsia="Arial" w:hAnsi="Arial"/>
          <w:sz w:val="18"/>
          <w:szCs w:val="18"/>
          <w:color w:val="auto"/>
        </w:rPr>
        <w:t>. Promptly upon request by the Administrative Agent, or any Lender through the Administrative Agent,</w:t>
      </w:r>
    </w:p>
    <w:p>
      <w:pPr>
        <w:spacing w:after="0" w:line="23" w:lineRule="exact"/>
        <w:rPr>
          <w:sz w:val="20"/>
          <w:szCs w:val="20"/>
          <w:color w:val="auto"/>
        </w:rPr>
      </w:pPr>
    </w:p>
    <w:p>
      <w:pPr>
        <w:jc w:val="both"/>
        <w:spacing w:after="0" w:line="281" w:lineRule="auto"/>
        <w:tabs>
          <w:tab w:leader="none" w:pos="311" w:val="left"/>
        </w:tabs>
        <w:numPr>
          <w:ilvl w:val="0"/>
          <w:numId w:val="560"/>
        </w:numPr>
        <w:rPr>
          <w:rFonts w:ascii="Arial" w:cs="Arial" w:eastAsia="Arial" w:hAnsi="Arial"/>
          <w:sz w:val="18"/>
          <w:szCs w:val="18"/>
          <w:color w:val="auto"/>
        </w:rPr>
      </w:pPr>
      <w:r>
        <w:rPr>
          <w:rFonts w:ascii="Arial" w:cs="Arial" w:eastAsia="Arial" w:hAnsi="Arial"/>
          <w:sz w:val="18"/>
          <w:szCs w:val="18"/>
          <w:color w:val="auto"/>
        </w:rPr>
        <w:t>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and (ii) assure, convey, grant, assign, transfer, preserve, protect and confirm more effectively unto the Administrative Agent and the Lenders the rights granted or now or hereafter intended to be granted to them under any Loan Document or under any other instrument executed in connection with any Loan Document to which any Loan Party or any of its Subsidiaries is or is to be a party, and cause each of its Subsidiaries to do so.</w:t>
      </w:r>
    </w:p>
    <w:p>
      <w:pPr>
        <w:spacing w:after="0" w:line="186"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6.15.</w:t>
      </w:r>
      <w:r>
        <w:rPr>
          <w:sz w:val="20"/>
          <w:szCs w:val="20"/>
          <w:color w:val="auto"/>
        </w:rPr>
        <w:tab/>
      </w:r>
      <w:r>
        <w:rPr>
          <w:rFonts w:ascii="Arial" w:cs="Arial" w:eastAsia="Arial" w:hAnsi="Arial"/>
          <w:sz w:val="18"/>
          <w:szCs w:val="18"/>
          <w:u w:val="single" w:color="auto"/>
          <w:color w:val="auto"/>
        </w:rPr>
        <w:t>New York Stock Exchange Listing</w:t>
      </w:r>
      <w:r>
        <w:rPr>
          <w:rFonts w:ascii="Arial" w:cs="Arial" w:eastAsia="Arial" w:hAnsi="Arial"/>
          <w:sz w:val="18"/>
          <w:szCs w:val="18"/>
          <w:color w:val="auto"/>
        </w:rPr>
        <w:t>. The REIT will at all times be listed on the New York Stock Exchange.</w:t>
      </w:r>
    </w:p>
    <w:p>
      <w:pPr>
        <w:spacing w:after="0" w:line="245"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20"/>
          <w:szCs w:val="20"/>
          <w:color w:val="auto"/>
        </w:rPr>
        <w:t xml:space="preserve">6.16. </w:t>
      </w:r>
      <w:r>
        <w:rPr>
          <w:rFonts w:ascii="Arial" w:cs="Arial" w:eastAsia="Arial" w:hAnsi="Arial"/>
          <w:sz w:val="20"/>
          <w:szCs w:val="20"/>
          <w:u w:val="single" w:color="auto"/>
          <w:color w:val="auto"/>
        </w:rPr>
        <w:t>Material Contracts</w:t>
      </w:r>
      <w:r>
        <w:rPr>
          <w:rFonts w:ascii="Arial" w:cs="Arial" w:eastAsia="Arial" w:hAnsi="Arial"/>
          <w:sz w:val="20"/>
          <w:szCs w:val="20"/>
          <w:color w:val="auto"/>
        </w:rPr>
        <w:t>. Perform and observe all the terms and provisions of each Material Contract to be performed or observed by it, maintain each such Material Contract in full force and effect, enforce each such Material Contract in accordance with its terms, take all such action to such end as may be from time to time requested by the Administrative Agent and, upon request of the Administrative Agent, make to each other party to each such Material Contract such demands and requests for information and reports or for action as any Loan Party or any of its Subsidiaries is entitled to make under such Material Contract, and cause each of its Subsidiaries to do so, except, in any case, where the failure to do so, either individually or in the aggregate, could not reasonably be expected to have a Material Adverse Effect.</w:t>
      </w:r>
    </w:p>
    <w:p>
      <w:pPr>
        <w:spacing w:after="0" w:line="21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65</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70" w:name="page471"/>
    <w:bookmarkEnd w:id="470"/>
    <w:p>
      <w:pPr>
        <w:jc w:val="center"/>
        <w:spacing w:after="0"/>
        <w:rPr>
          <w:sz w:val="20"/>
          <w:szCs w:val="20"/>
          <w:color w:val="auto"/>
        </w:rPr>
      </w:pPr>
      <w:r>
        <w:rPr>
          <w:rFonts w:ascii="Arial" w:cs="Arial" w:eastAsia="Arial" w:hAnsi="Arial"/>
          <w:sz w:val="20"/>
          <w:szCs w:val="20"/>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NEGATIVE COVENANTS</w:t>
      </w:r>
    </w:p>
    <w:p>
      <w:pPr>
        <w:spacing w:after="0" w:line="229" w:lineRule="exact"/>
        <w:rPr>
          <w:sz w:val="20"/>
          <w:szCs w:val="20"/>
          <w:color w:val="auto"/>
        </w:rPr>
      </w:pPr>
    </w:p>
    <w:p>
      <w:pPr>
        <w:ind w:firstLine="599"/>
        <w:spacing w:after="0" w:line="299" w:lineRule="auto"/>
        <w:rPr>
          <w:sz w:val="20"/>
          <w:szCs w:val="20"/>
          <w:color w:val="auto"/>
        </w:rPr>
      </w:pPr>
      <w:r>
        <w:rPr>
          <w:rFonts w:ascii="Arial" w:cs="Arial" w:eastAsia="Arial" w:hAnsi="Arial"/>
          <w:sz w:val="19"/>
          <w:szCs w:val="19"/>
          <w:color w:val="auto"/>
        </w:rPr>
        <w:t>So long as any Lender shall have any Commitment hereunder, or any Loan or other Obligation hereunder shall remain unpaid or unsatisfied, the REIT and the Borrower shall not, nor shall they permit any of their respective Subsidiaries to, directly or indirectly:</w:t>
      </w:r>
    </w:p>
    <w:p>
      <w:pPr>
        <w:spacing w:after="0" w:line="130" w:lineRule="exact"/>
        <w:rPr>
          <w:sz w:val="20"/>
          <w:szCs w:val="20"/>
          <w:color w:val="auto"/>
        </w:rPr>
      </w:pPr>
    </w:p>
    <w:p>
      <w:pPr>
        <w:ind w:firstLine="599"/>
        <w:spacing w:after="0" w:line="272" w:lineRule="auto"/>
        <w:rPr>
          <w:sz w:val="20"/>
          <w:szCs w:val="20"/>
          <w:color w:val="auto"/>
        </w:rPr>
      </w:pPr>
      <w:r>
        <w:rPr>
          <w:rFonts w:ascii="Arial" w:cs="Arial" w:eastAsia="Arial" w:hAnsi="Arial"/>
          <w:sz w:val="20"/>
          <w:szCs w:val="20"/>
          <w:color w:val="auto"/>
        </w:rPr>
        <w:t xml:space="preserve">7.01. </w:t>
      </w:r>
      <w:r>
        <w:rPr>
          <w:rFonts w:ascii="Arial" w:cs="Arial" w:eastAsia="Arial" w:hAnsi="Arial"/>
          <w:sz w:val="20"/>
          <w:szCs w:val="20"/>
          <w:u w:val="single" w:color="auto"/>
          <w:color w:val="auto"/>
        </w:rPr>
        <w:t>Liens</w:t>
      </w:r>
      <w:r>
        <w:rPr>
          <w:rFonts w:ascii="Arial" w:cs="Arial" w:eastAsia="Arial" w:hAnsi="Arial"/>
          <w:sz w:val="20"/>
          <w:szCs w:val="20"/>
          <w:color w:val="auto"/>
        </w:rPr>
        <w:t>. Create, incur, assume or suffer to exist any Lien upon any of its property, assets or revenues, whether now owned or hereafter acquired, other than the following:</w:t>
      </w:r>
    </w:p>
    <w:p>
      <w:pPr>
        <w:spacing w:after="0" w:line="191" w:lineRule="exact"/>
        <w:rPr>
          <w:sz w:val="20"/>
          <w:szCs w:val="20"/>
          <w:color w:val="auto"/>
        </w:rPr>
      </w:pPr>
    </w:p>
    <w:p>
      <w:pPr>
        <w:ind w:left="1420" w:hanging="821"/>
        <w:spacing w:after="0"/>
        <w:tabs>
          <w:tab w:leader="none" w:pos="1420" w:val="left"/>
        </w:tabs>
        <w:numPr>
          <w:ilvl w:val="0"/>
          <w:numId w:val="561"/>
        </w:numPr>
        <w:rPr>
          <w:rFonts w:ascii="Arial" w:cs="Arial" w:eastAsia="Arial" w:hAnsi="Arial"/>
          <w:sz w:val="20"/>
          <w:szCs w:val="20"/>
          <w:color w:val="auto"/>
        </w:rPr>
      </w:pPr>
      <w:r>
        <w:rPr>
          <w:rFonts w:ascii="Arial" w:cs="Arial" w:eastAsia="Arial" w:hAnsi="Arial"/>
          <w:sz w:val="20"/>
          <w:szCs w:val="20"/>
          <w:color w:val="auto"/>
        </w:rPr>
        <w:t>Liens pursuant to any Loan Document;</w:t>
      </w:r>
    </w:p>
    <w:p>
      <w:pPr>
        <w:spacing w:after="0" w:line="244" w:lineRule="exact"/>
        <w:rPr>
          <w:rFonts w:ascii="Arial" w:cs="Arial" w:eastAsia="Arial" w:hAnsi="Arial"/>
          <w:sz w:val="20"/>
          <w:szCs w:val="20"/>
          <w:color w:val="auto"/>
        </w:rPr>
      </w:pPr>
    </w:p>
    <w:p>
      <w:pPr>
        <w:jc w:val="both"/>
        <w:ind w:firstLine="599"/>
        <w:spacing w:after="0" w:line="280" w:lineRule="auto"/>
        <w:tabs>
          <w:tab w:leader="none" w:pos="1432" w:val="left"/>
        </w:tabs>
        <w:numPr>
          <w:ilvl w:val="0"/>
          <w:numId w:val="561"/>
        </w:numPr>
        <w:rPr>
          <w:rFonts w:ascii="Arial" w:cs="Arial" w:eastAsia="Arial" w:hAnsi="Arial"/>
          <w:sz w:val="19"/>
          <w:szCs w:val="19"/>
          <w:color w:val="auto"/>
        </w:rPr>
      </w:pPr>
      <w:r>
        <w:rPr>
          <w:rFonts w:ascii="Arial" w:cs="Arial" w:eastAsia="Arial" w:hAnsi="Arial"/>
          <w:sz w:val="19"/>
          <w:szCs w:val="19"/>
          <w:color w:val="auto"/>
        </w:rPr>
        <w:t>Liens for taxes not yet due or Liens for taxes which are being contested in good faith and by appropriate proceedings diligently conducted (which proceedings have the effect of preventing the forfeiture or sale of the property or assets subject to any such Lien), if adequate reserves with respect thereto are maintained on the books of the applicable Person in accordance with GAAP;</w:t>
      </w:r>
    </w:p>
    <w:p>
      <w:pPr>
        <w:spacing w:after="0" w:line="184" w:lineRule="exact"/>
        <w:rPr>
          <w:rFonts w:ascii="Arial" w:cs="Arial" w:eastAsia="Arial" w:hAnsi="Arial"/>
          <w:sz w:val="19"/>
          <w:szCs w:val="19"/>
          <w:color w:val="auto"/>
        </w:rPr>
      </w:pPr>
    </w:p>
    <w:p>
      <w:pPr>
        <w:jc w:val="both"/>
        <w:ind w:firstLine="599"/>
        <w:spacing w:after="0" w:line="293" w:lineRule="auto"/>
        <w:tabs>
          <w:tab w:leader="none" w:pos="1421" w:val="left"/>
        </w:tabs>
        <w:numPr>
          <w:ilvl w:val="0"/>
          <w:numId w:val="561"/>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or other like Liens arising in the ordinary course of business which are not overdue for a period of more than 30 days or which are being contested in good faith and by appropriate proceedings diligently conducted (which proceedings have the effect of preventing the forfeiture or sale of the property or assets subject to any such Lien), if adequate reserves with respect thereto are maintained on the books of the applicable Person in accordance with GAAP;</w:t>
      </w:r>
    </w:p>
    <w:p>
      <w:pPr>
        <w:spacing w:after="0" w:line="175" w:lineRule="exact"/>
        <w:rPr>
          <w:rFonts w:ascii="Arial" w:cs="Arial" w:eastAsia="Arial" w:hAnsi="Arial"/>
          <w:sz w:val="18"/>
          <w:szCs w:val="18"/>
          <w:color w:val="auto"/>
        </w:rPr>
      </w:pPr>
    </w:p>
    <w:p>
      <w:pPr>
        <w:ind w:firstLine="599"/>
        <w:spacing w:after="0" w:line="272" w:lineRule="auto"/>
        <w:tabs>
          <w:tab w:leader="none" w:pos="1432" w:val="left"/>
        </w:tabs>
        <w:numPr>
          <w:ilvl w:val="0"/>
          <w:numId w:val="561"/>
        </w:numPr>
        <w:rPr>
          <w:rFonts w:ascii="Arial" w:cs="Arial" w:eastAsia="Arial" w:hAnsi="Arial"/>
          <w:sz w:val="20"/>
          <w:szCs w:val="20"/>
          <w:color w:val="auto"/>
        </w:rPr>
      </w:pPr>
      <w:r>
        <w:rPr>
          <w:rFonts w:ascii="Arial" w:cs="Arial" w:eastAsia="Arial" w:hAnsi="Arial"/>
          <w:sz w:val="20"/>
          <w:szCs w:val="20"/>
          <w:color w:val="auto"/>
        </w:rPr>
        <w:t>pledges or deposits in the ordinary course of business in connection with workers’ compensation, unemployment insurance and other social security legislation, other than any Lien imposed by ERISA;</w:t>
      </w:r>
    </w:p>
    <w:p>
      <w:pPr>
        <w:spacing w:after="0" w:line="190" w:lineRule="exact"/>
        <w:rPr>
          <w:rFonts w:ascii="Arial" w:cs="Arial" w:eastAsia="Arial" w:hAnsi="Arial"/>
          <w:sz w:val="20"/>
          <w:szCs w:val="20"/>
          <w:color w:val="auto"/>
        </w:rPr>
      </w:pPr>
    </w:p>
    <w:p>
      <w:pPr>
        <w:ind w:firstLine="599"/>
        <w:spacing w:after="0" w:line="329" w:lineRule="auto"/>
        <w:tabs>
          <w:tab w:leader="none" w:pos="1421" w:val="left"/>
        </w:tabs>
        <w:numPr>
          <w:ilvl w:val="0"/>
          <w:numId w:val="561"/>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144" w:lineRule="exact"/>
        <w:rPr>
          <w:rFonts w:ascii="Arial" w:cs="Arial" w:eastAsia="Arial" w:hAnsi="Arial"/>
          <w:sz w:val="18"/>
          <w:szCs w:val="18"/>
          <w:color w:val="auto"/>
        </w:rPr>
      </w:pPr>
    </w:p>
    <w:p>
      <w:pPr>
        <w:jc w:val="both"/>
        <w:ind w:firstLine="599"/>
        <w:spacing w:after="0" w:line="256" w:lineRule="auto"/>
        <w:tabs>
          <w:tab w:leader="none" w:pos="1399" w:val="left"/>
        </w:tabs>
        <w:numPr>
          <w:ilvl w:val="0"/>
          <w:numId w:val="561"/>
        </w:numPr>
        <w:rPr>
          <w:rFonts w:ascii="Arial" w:cs="Arial" w:eastAsia="Arial" w:hAnsi="Arial"/>
          <w:sz w:val="20"/>
          <w:szCs w:val="20"/>
          <w:color w:val="auto"/>
        </w:rPr>
      </w:pPr>
      <w:r>
        <w:rPr>
          <w:rFonts w:ascii="Arial" w:cs="Arial" w:eastAsia="Arial" w:hAnsi="Arial"/>
          <w:sz w:val="20"/>
          <w:szCs w:val="20"/>
          <w:color w:val="auto"/>
        </w:rPr>
        <w:t>easements, rights-of-way, restrictions, restrictive covenants, encroachments, protrusions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 and any replacement, extension or renewal of any such Lien;</w:t>
      </w:r>
    </w:p>
    <w:p>
      <w:pPr>
        <w:spacing w:after="0" w:line="205" w:lineRule="exact"/>
        <w:rPr>
          <w:rFonts w:ascii="Arial" w:cs="Arial" w:eastAsia="Arial" w:hAnsi="Arial"/>
          <w:sz w:val="20"/>
          <w:szCs w:val="20"/>
          <w:color w:val="auto"/>
        </w:rPr>
      </w:pPr>
    </w:p>
    <w:p>
      <w:pPr>
        <w:ind w:left="1440" w:hanging="841"/>
        <w:spacing w:after="0"/>
        <w:tabs>
          <w:tab w:leader="none" w:pos="1440" w:val="left"/>
        </w:tabs>
        <w:numPr>
          <w:ilvl w:val="0"/>
          <w:numId w:val="561"/>
        </w:numPr>
        <w:rPr>
          <w:rFonts w:ascii="Arial" w:cs="Arial" w:eastAsia="Arial" w:hAnsi="Arial"/>
          <w:sz w:val="20"/>
          <w:szCs w:val="20"/>
          <w:color w:val="auto"/>
        </w:rPr>
      </w:pPr>
      <w:r>
        <w:rPr>
          <w:rFonts w:ascii="Arial" w:cs="Arial" w:eastAsia="Arial" w:hAnsi="Arial"/>
          <w:sz w:val="20"/>
          <w:szCs w:val="20"/>
          <w:color w:val="auto"/>
        </w:rPr>
        <w:t xml:space="preserve">Liens securing judgments for the payment of money not constituting an Event of Default under </w:t>
      </w:r>
      <w:r>
        <w:rPr>
          <w:rFonts w:ascii="Arial" w:cs="Arial" w:eastAsia="Arial" w:hAnsi="Arial"/>
          <w:sz w:val="20"/>
          <w:szCs w:val="20"/>
          <w:u w:val="single" w:color="auto"/>
          <w:color w:val="auto"/>
        </w:rPr>
        <w:t>Section 8.01(h)</w:t>
      </w:r>
      <w:r>
        <w:rPr>
          <w:rFonts w:ascii="Arial" w:cs="Arial" w:eastAsia="Arial" w:hAnsi="Arial"/>
          <w:sz w:val="20"/>
          <w:szCs w:val="20"/>
          <w:color w:val="auto"/>
        </w:rPr>
        <w:t>;</w:t>
      </w:r>
    </w:p>
    <w:p>
      <w:pPr>
        <w:spacing w:after="0" w:line="244" w:lineRule="exact"/>
        <w:rPr>
          <w:rFonts w:ascii="Arial" w:cs="Arial" w:eastAsia="Arial" w:hAnsi="Arial"/>
          <w:sz w:val="20"/>
          <w:szCs w:val="20"/>
          <w:color w:val="auto"/>
        </w:rPr>
      </w:pPr>
    </w:p>
    <w:p>
      <w:pPr>
        <w:jc w:val="both"/>
        <w:ind w:firstLine="599"/>
        <w:spacing w:after="0" w:line="273" w:lineRule="auto"/>
        <w:tabs>
          <w:tab w:leader="none" w:pos="1432" w:val="left"/>
        </w:tabs>
        <w:numPr>
          <w:ilvl w:val="0"/>
          <w:numId w:val="561"/>
        </w:numPr>
        <w:rPr>
          <w:rFonts w:ascii="Arial" w:cs="Arial" w:eastAsia="Arial" w:hAnsi="Arial"/>
          <w:sz w:val="19"/>
          <w:szCs w:val="19"/>
          <w:color w:val="auto"/>
        </w:rPr>
      </w:pPr>
      <w:r>
        <w:rPr>
          <w:rFonts w:ascii="Arial" w:cs="Arial" w:eastAsia="Arial" w:hAnsi="Arial"/>
          <w:sz w:val="19"/>
          <w:szCs w:val="19"/>
          <w:color w:val="auto"/>
        </w:rPr>
        <w:t xml:space="preserve">The rights of tenants under leases and subleases of, and the rights of managers under management agreements in respect of, Portfolio Properties, in each case entered into in the ordinary course of business consistent with past practice of the REIT and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that (i) such leases and subleases contain market terms and conditions (excluding rent) as reasonably determined by the Borrower at the time such leases and subleases are entered into and (ii) such Liens do not secure any Indebtedness;</w:t>
      </w:r>
    </w:p>
    <w:p>
      <w:pPr>
        <w:spacing w:after="0" w:line="192" w:lineRule="exact"/>
        <w:rPr>
          <w:rFonts w:ascii="Arial" w:cs="Arial" w:eastAsia="Arial" w:hAnsi="Arial"/>
          <w:sz w:val="19"/>
          <w:szCs w:val="19"/>
          <w:color w:val="auto"/>
        </w:rPr>
      </w:pPr>
    </w:p>
    <w:p>
      <w:pPr>
        <w:jc w:val="both"/>
        <w:ind w:firstLine="599"/>
        <w:spacing w:after="0" w:line="260" w:lineRule="auto"/>
        <w:tabs>
          <w:tab w:leader="none" w:pos="1387" w:val="left"/>
        </w:tabs>
        <w:numPr>
          <w:ilvl w:val="0"/>
          <w:numId w:val="561"/>
        </w:numPr>
        <w:rPr>
          <w:rFonts w:ascii="Arial" w:cs="Arial" w:eastAsia="Arial" w:hAnsi="Arial"/>
          <w:sz w:val="20"/>
          <w:szCs w:val="20"/>
          <w:color w:val="auto"/>
        </w:rPr>
      </w:pPr>
      <w:r>
        <w:rPr>
          <w:rFonts w:ascii="Arial" w:cs="Arial" w:eastAsia="Arial" w:hAnsi="Arial"/>
          <w:sz w:val="20"/>
          <w:szCs w:val="20"/>
          <w:color w:val="auto"/>
        </w:rPr>
        <w:t xml:space="preserve">Liens encumbering assets of a Loan Party or Subsidiary thereof not otherwise permitted under this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that (i) such Liens do not at any time encumber any Unencumbered Eligible Property, (ii) such Liens do not at any time encumber the Equity Interests of any Person who owns or ground</w:t>
      </w:r>
    </w:p>
    <w:p>
      <w:pPr>
        <w:spacing w:after="0" w:line="20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66</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71" w:name="page472"/>
    <w:bookmarkEnd w:id="471"/>
    <w:p>
      <w:pPr>
        <w:jc w:val="both"/>
        <w:spacing w:after="0" w:line="280" w:lineRule="auto"/>
        <w:rPr>
          <w:sz w:val="20"/>
          <w:szCs w:val="20"/>
          <w:color w:val="auto"/>
        </w:rPr>
      </w:pPr>
      <w:r>
        <w:rPr>
          <w:rFonts w:ascii="Arial" w:cs="Arial" w:eastAsia="Arial" w:hAnsi="Arial"/>
          <w:sz w:val="19"/>
          <w:szCs w:val="19"/>
          <w:color w:val="auto"/>
        </w:rPr>
        <w:t xml:space="preserve">leases an Unencumbered Eligible Property (or the Equity Interests of any direct or indirect Subsidiary of the Borrower that owns any Equity Interests in such Person) and (iii) after giving pro forma effect to the incurrence of any such Lien (and all Indebtedness and other obligations secured thereby), the Loan Parties are in compliance with the covenants contained in </w:t>
      </w:r>
      <w:r>
        <w:rPr>
          <w:rFonts w:ascii="Arial" w:cs="Arial" w:eastAsia="Arial" w:hAnsi="Arial"/>
          <w:sz w:val="19"/>
          <w:szCs w:val="19"/>
          <w:u w:val="single" w:color="auto"/>
          <w:color w:val="auto"/>
        </w:rPr>
        <w:t>Section 7.02(b)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7.11</w:t>
      </w:r>
      <w:r>
        <w:rPr>
          <w:rFonts w:ascii="Arial" w:cs="Arial" w:eastAsia="Arial" w:hAnsi="Arial"/>
          <w:sz w:val="19"/>
          <w:szCs w:val="19"/>
          <w:color w:val="auto"/>
        </w:rPr>
        <w:t>;</w:t>
      </w:r>
    </w:p>
    <w:p>
      <w:pPr>
        <w:spacing w:after="0" w:line="185" w:lineRule="exact"/>
        <w:rPr>
          <w:sz w:val="20"/>
          <w:szCs w:val="20"/>
          <w:color w:val="auto"/>
        </w:rPr>
      </w:pPr>
    </w:p>
    <w:p>
      <w:pPr>
        <w:jc w:val="both"/>
        <w:ind w:firstLine="599"/>
        <w:spacing w:after="0" w:line="284" w:lineRule="auto"/>
        <w:tabs>
          <w:tab w:leader="none" w:pos="1387" w:val="left"/>
        </w:tabs>
        <w:numPr>
          <w:ilvl w:val="0"/>
          <w:numId w:val="562"/>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7.02(c)</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do not at any time encumber any Unencumbered Eligible Property, (ii) such Liens do not at any time encumber the Equity Interests of any Person who owns or ground leases an Unencumbered Eligible Property (or the Equity Interests of any direct or indirect Subsidiary of the Borrower that owns any Equity Interests in such Person), (iii) in the case of any such Lien incurred by a Loan Party, such Lien does not encumber any property other than the property financed by such Indebtedness, (iv) in the case of any such Lien incurred by a Subsidiary that is not a Loan Party, such Lien does not encumber any property other than the property of such Subsidiary and (v) the Indebtedness secured thereby does not exceed the cost or fair market value of the property encumbered thereby (as of the date of the incurrence of such Indebtedness), whichever is lower;</w:t>
      </w:r>
    </w:p>
    <w:p>
      <w:pPr>
        <w:spacing w:after="0" w:line="183" w:lineRule="exact"/>
        <w:rPr>
          <w:rFonts w:ascii="Arial" w:cs="Arial" w:eastAsia="Arial" w:hAnsi="Arial"/>
          <w:sz w:val="18"/>
          <w:szCs w:val="18"/>
          <w:color w:val="auto"/>
        </w:rPr>
      </w:pPr>
    </w:p>
    <w:p>
      <w:pPr>
        <w:jc w:val="both"/>
        <w:ind w:firstLine="599"/>
        <w:spacing w:after="0" w:line="280" w:lineRule="auto"/>
        <w:tabs>
          <w:tab w:leader="none" w:pos="1432" w:val="left"/>
        </w:tabs>
        <w:numPr>
          <w:ilvl w:val="0"/>
          <w:numId w:val="562"/>
        </w:numPr>
        <w:rPr>
          <w:rFonts w:ascii="Arial" w:cs="Arial" w:eastAsia="Arial" w:hAnsi="Arial"/>
          <w:sz w:val="19"/>
          <w:szCs w:val="19"/>
          <w:color w:val="auto"/>
        </w:rPr>
      </w:pPr>
      <w:r>
        <w:rPr>
          <w:rFonts w:ascii="Arial" w:cs="Arial" w:eastAsia="Arial" w:hAnsi="Arial"/>
          <w:sz w:val="19"/>
          <w:szCs w:val="19"/>
          <w:color w:val="auto"/>
        </w:rPr>
        <w:t>All Liens with respect to any Portfolio Property (other than an Unencumbered Eligible Property) that are existing on the date such Portfolio Property is acquired or ground leased by a Subsidiary of the Borrower, to the extent such Liens are disclosed in the title report for such Portfolio Property received by such Subsidiary on or prior to the date of such acquisition or ground lease;</w:t>
      </w:r>
    </w:p>
    <w:p>
      <w:pPr>
        <w:spacing w:after="0" w:line="184" w:lineRule="exact"/>
        <w:rPr>
          <w:rFonts w:ascii="Arial" w:cs="Arial" w:eastAsia="Arial" w:hAnsi="Arial"/>
          <w:sz w:val="19"/>
          <w:szCs w:val="19"/>
          <w:color w:val="auto"/>
        </w:rPr>
      </w:pPr>
    </w:p>
    <w:p>
      <w:pPr>
        <w:ind w:firstLine="599"/>
        <w:spacing w:after="0" w:line="272" w:lineRule="auto"/>
        <w:tabs>
          <w:tab w:leader="none" w:pos="1387" w:val="left"/>
        </w:tabs>
        <w:numPr>
          <w:ilvl w:val="0"/>
          <w:numId w:val="562"/>
        </w:numPr>
        <w:rPr>
          <w:rFonts w:ascii="Arial" w:cs="Arial" w:eastAsia="Arial" w:hAnsi="Arial"/>
          <w:sz w:val="20"/>
          <w:szCs w:val="20"/>
          <w:color w:val="auto"/>
        </w:rPr>
      </w:pPr>
      <w:r>
        <w:rPr>
          <w:rFonts w:ascii="Arial" w:cs="Arial" w:eastAsia="Arial" w:hAnsi="Arial"/>
          <w:sz w:val="20"/>
          <w:szCs w:val="20"/>
          <w:color w:val="auto"/>
        </w:rPr>
        <w:t>in the case of Equity Interests of a Controlled Joint Venture, buy/sell rights with respect to such Equity Interests on customary terms and conditions;</w:t>
      </w:r>
    </w:p>
    <w:p>
      <w:pPr>
        <w:spacing w:after="0" w:line="190" w:lineRule="exact"/>
        <w:rPr>
          <w:rFonts w:ascii="Arial" w:cs="Arial" w:eastAsia="Arial" w:hAnsi="Arial"/>
          <w:sz w:val="20"/>
          <w:szCs w:val="20"/>
          <w:color w:val="auto"/>
        </w:rPr>
      </w:pPr>
    </w:p>
    <w:p>
      <w:pPr>
        <w:ind w:left="1480" w:hanging="881"/>
        <w:spacing w:after="0"/>
        <w:tabs>
          <w:tab w:leader="none" w:pos="1480" w:val="left"/>
        </w:tabs>
        <w:numPr>
          <w:ilvl w:val="0"/>
          <w:numId w:val="562"/>
        </w:numPr>
        <w:rPr>
          <w:rFonts w:ascii="Arial" w:cs="Arial" w:eastAsia="Arial" w:hAnsi="Arial"/>
          <w:sz w:val="20"/>
          <w:szCs w:val="20"/>
          <w:color w:val="auto"/>
        </w:rPr>
      </w:pPr>
      <w:r>
        <w:rPr>
          <w:rFonts w:ascii="Arial" w:cs="Arial" w:eastAsia="Arial" w:hAnsi="Arial"/>
          <w:sz w:val="20"/>
          <w:szCs w:val="20"/>
          <w:color w:val="auto"/>
        </w:rPr>
        <w:t xml:space="preserve">Liens existing on the Third Amendment Effective Date and listed on </w:t>
      </w:r>
      <w:r>
        <w:rPr>
          <w:rFonts w:ascii="Arial" w:cs="Arial" w:eastAsia="Arial" w:hAnsi="Arial"/>
          <w:sz w:val="20"/>
          <w:szCs w:val="20"/>
          <w:u w:val="single" w:color="auto"/>
          <w:color w:val="auto"/>
        </w:rPr>
        <w:t>Schedule 7.01(m)</w:t>
      </w:r>
      <w:r>
        <w:rPr>
          <w:rFonts w:ascii="Arial" w:cs="Arial" w:eastAsia="Arial" w:hAnsi="Arial"/>
          <w:sz w:val="20"/>
          <w:szCs w:val="20"/>
          <w:color w:val="auto"/>
        </w:rPr>
        <w:t>;</w:t>
      </w:r>
    </w:p>
    <w:p>
      <w:pPr>
        <w:spacing w:after="0" w:line="244" w:lineRule="exact"/>
        <w:rPr>
          <w:rFonts w:ascii="Arial" w:cs="Arial" w:eastAsia="Arial" w:hAnsi="Arial"/>
          <w:sz w:val="20"/>
          <w:szCs w:val="20"/>
          <w:color w:val="auto"/>
        </w:rPr>
      </w:pPr>
    </w:p>
    <w:p>
      <w:pPr>
        <w:ind w:firstLine="599"/>
        <w:spacing w:after="0" w:line="272" w:lineRule="auto"/>
        <w:tabs>
          <w:tab w:leader="none" w:pos="1432" w:val="left"/>
        </w:tabs>
        <w:numPr>
          <w:ilvl w:val="0"/>
          <w:numId w:val="562"/>
        </w:numPr>
        <w:rPr>
          <w:rFonts w:ascii="Arial" w:cs="Arial" w:eastAsia="Arial" w:hAnsi="Arial"/>
          <w:sz w:val="20"/>
          <w:szCs w:val="20"/>
          <w:color w:val="auto"/>
        </w:rPr>
      </w:pPr>
      <w:r>
        <w:rPr>
          <w:rFonts w:ascii="Arial" w:cs="Arial" w:eastAsia="Arial" w:hAnsi="Arial"/>
          <w:sz w:val="20"/>
          <w:szCs w:val="20"/>
          <w:color w:val="auto"/>
        </w:rPr>
        <w:t>Liens and rights of setoff of banks and securities intermediaries in respect of deposit accounts and securities accounts maintained in the ordinary course of business; and</w:t>
      </w:r>
    </w:p>
    <w:p>
      <w:pPr>
        <w:spacing w:after="0" w:line="190" w:lineRule="exact"/>
        <w:rPr>
          <w:rFonts w:ascii="Arial" w:cs="Arial" w:eastAsia="Arial" w:hAnsi="Arial"/>
          <w:sz w:val="20"/>
          <w:szCs w:val="20"/>
          <w:color w:val="auto"/>
        </w:rPr>
      </w:pPr>
    </w:p>
    <w:p>
      <w:pPr>
        <w:ind w:left="1440" w:hanging="841"/>
        <w:spacing w:after="0"/>
        <w:tabs>
          <w:tab w:leader="none" w:pos="1440" w:val="left"/>
        </w:tabs>
        <w:numPr>
          <w:ilvl w:val="0"/>
          <w:numId w:val="562"/>
        </w:numPr>
        <w:rPr>
          <w:rFonts w:ascii="Arial" w:cs="Arial" w:eastAsia="Arial" w:hAnsi="Arial"/>
          <w:sz w:val="20"/>
          <w:szCs w:val="20"/>
          <w:color w:val="auto"/>
        </w:rPr>
      </w:pPr>
      <w:r>
        <w:rPr>
          <w:rFonts w:ascii="Arial" w:cs="Arial" w:eastAsia="Arial" w:hAnsi="Arial"/>
          <w:sz w:val="20"/>
          <w:szCs w:val="20"/>
          <w:color w:val="auto"/>
        </w:rPr>
        <w:t>Permitted Pari Passu Encumbrances;</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the foregoing clauses of this </w:t>
      </w:r>
      <w:r>
        <w:rPr>
          <w:rFonts w:ascii="Arial" w:cs="Arial" w:eastAsia="Arial" w:hAnsi="Arial"/>
          <w:sz w:val="20"/>
          <w:szCs w:val="20"/>
          <w:u w:val="single" w:color="auto"/>
          <w:color w:val="auto"/>
        </w:rPr>
        <w:t>Section 7.01</w:t>
      </w:r>
      <w:r>
        <w:rPr>
          <w:rFonts w:ascii="Arial" w:cs="Arial" w:eastAsia="Arial" w:hAnsi="Arial"/>
          <w:sz w:val="20"/>
          <w:szCs w:val="20"/>
          <w:color w:val="auto"/>
        </w:rPr>
        <w:t>, in no event shall any Liens (other than Permitted Judgment Liens, Permitted Pari Passu Encumbrances and Liens permitted by clauses (a), (b), (c), (f) and (h) above) encumber any Unencumbered Eligible Property or (other than Permitted Pari Passu Encumbrances and Liens permitted by clauses (a), (b), (c) and (l) above) encumber the Equity Interests of any Direct Owner or Indirect Owner.</w:t>
      </w:r>
    </w:p>
    <w:p>
      <w:pPr>
        <w:spacing w:after="0" w:line="168"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7.02.</w:t>
      </w:r>
      <w:r>
        <w:rPr>
          <w:sz w:val="20"/>
          <w:szCs w:val="20"/>
          <w:color w:val="auto"/>
        </w:rPr>
        <w:tab/>
      </w:r>
      <w:r>
        <w:rPr>
          <w:rFonts w:ascii="Arial" w:cs="Arial" w:eastAsia="Arial" w:hAnsi="Arial"/>
          <w:sz w:val="17"/>
          <w:szCs w:val="17"/>
          <w:u w:val="single" w:color="auto"/>
          <w:color w:val="auto"/>
        </w:rPr>
        <w:t>Indebtedness</w:t>
      </w:r>
      <w:r>
        <w:rPr>
          <w:rFonts w:ascii="Arial" w:cs="Arial" w:eastAsia="Arial" w:hAnsi="Arial"/>
          <w:sz w:val="17"/>
          <w:szCs w:val="17"/>
          <w:color w:val="auto"/>
        </w:rPr>
        <w:t>. Create, incur, assume or suffer to exist any Indebtedness, except:</w:t>
      </w:r>
    </w:p>
    <w:p>
      <w:pPr>
        <w:spacing w:after="0" w:line="245" w:lineRule="exact"/>
        <w:rPr>
          <w:sz w:val="20"/>
          <w:szCs w:val="20"/>
          <w:color w:val="auto"/>
        </w:rPr>
      </w:pPr>
    </w:p>
    <w:p>
      <w:pPr>
        <w:ind w:left="2020" w:hanging="821"/>
        <w:spacing w:after="0"/>
        <w:tabs>
          <w:tab w:leader="none" w:pos="2020" w:val="left"/>
        </w:tabs>
        <w:numPr>
          <w:ilvl w:val="1"/>
          <w:numId w:val="563"/>
        </w:numPr>
        <w:rPr>
          <w:rFonts w:ascii="Arial" w:cs="Arial" w:eastAsia="Arial" w:hAnsi="Arial"/>
          <w:sz w:val="20"/>
          <w:szCs w:val="20"/>
          <w:color w:val="auto"/>
        </w:rPr>
      </w:pPr>
      <w:r>
        <w:rPr>
          <w:rFonts w:ascii="Arial" w:cs="Arial" w:eastAsia="Arial" w:hAnsi="Arial"/>
          <w:sz w:val="20"/>
          <w:szCs w:val="20"/>
          <w:color w:val="auto"/>
        </w:rPr>
        <w:t>the Obligations;</w:t>
      </w:r>
    </w:p>
    <w:p>
      <w:pPr>
        <w:spacing w:after="0" w:line="244" w:lineRule="exact"/>
        <w:rPr>
          <w:rFonts w:ascii="Arial" w:cs="Arial" w:eastAsia="Arial" w:hAnsi="Arial"/>
          <w:sz w:val="20"/>
          <w:szCs w:val="20"/>
          <w:color w:val="auto"/>
        </w:rPr>
      </w:pPr>
    </w:p>
    <w:p>
      <w:pPr>
        <w:jc w:val="both"/>
        <w:ind w:left="600" w:firstLine="599"/>
        <w:spacing w:after="0" w:line="279" w:lineRule="auto"/>
        <w:tabs>
          <w:tab w:leader="none" w:pos="2032" w:val="left"/>
        </w:tabs>
        <w:numPr>
          <w:ilvl w:val="1"/>
          <w:numId w:val="563"/>
        </w:numPr>
        <w:rPr>
          <w:rFonts w:ascii="Arial" w:cs="Arial" w:eastAsia="Arial" w:hAnsi="Arial"/>
          <w:sz w:val="18"/>
          <w:szCs w:val="18"/>
          <w:color w:val="auto"/>
        </w:rPr>
      </w:pPr>
      <w:r>
        <w:rPr>
          <w:rFonts w:ascii="Arial" w:cs="Arial" w:eastAsia="Arial" w:hAnsi="Arial"/>
          <w:sz w:val="18"/>
          <w:szCs w:val="18"/>
          <w:color w:val="auto"/>
        </w:rPr>
        <w:t xml:space="preserve">in addition to Indebtedness permitted under clause (a) above, (i) Pari Passu Obligations, and (ii) (A) Secured Recourse Indebtedness owed by the Borrower or any Guarantor to Persons that are not members of the Consolidated Group and (B) Recourse Indebtedness owed by Subsidiaries of the Borrower that are not Guarantors to Persons that are not members of the Consolidated Group,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principal amount of all outstanding Indebtedness described in </w:t>
      </w:r>
      <w:r>
        <w:rPr>
          <w:rFonts w:ascii="Arial" w:cs="Arial" w:eastAsia="Arial" w:hAnsi="Arial"/>
          <w:sz w:val="18"/>
          <w:szCs w:val="18"/>
          <w:u w:val="single" w:color="auto"/>
          <w:color w:val="auto"/>
        </w:rPr>
        <w:t>clauses (ii)</w:t>
      </w:r>
    </w:p>
    <w:p>
      <w:pPr>
        <w:spacing w:after="0" w:line="2" w:lineRule="exact"/>
        <w:rPr>
          <w:rFonts w:ascii="Arial" w:cs="Arial" w:eastAsia="Arial" w:hAnsi="Arial"/>
          <w:sz w:val="18"/>
          <w:szCs w:val="18"/>
          <w:color w:val="auto"/>
        </w:rPr>
      </w:pPr>
    </w:p>
    <w:p>
      <w:pPr>
        <w:ind w:left="920" w:hanging="321"/>
        <w:spacing w:after="0"/>
        <w:tabs>
          <w:tab w:leader="none" w:pos="920" w:val="left"/>
        </w:tabs>
        <w:numPr>
          <w:ilvl w:val="0"/>
          <w:numId w:val="564"/>
        </w:numPr>
        <w:rPr>
          <w:rFonts w:ascii="Arial" w:cs="Arial" w:eastAsia="Arial" w:hAnsi="Arial"/>
          <w:sz w:val="20"/>
          <w:szCs w:val="20"/>
          <w:u w:val="single" w:color="auto"/>
          <w:color w:val="auto"/>
        </w:rPr>
      </w:pPr>
      <w:r>
        <w:rPr>
          <w:rFonts w:ascii="Arial" w:cs="Arial" w:eastAsia="Arial" w:hAnsi="Arial"/>
          <w:sz w:val="20"/>
          <w:szCs w:val="20"/>
          <w:color w:val="auto"/>
        </w:rPr>
        <w:t xml:space="preserve">and </w:t>
      </w:r>
      <w:r>
        <w:rPr>
          <w:rFonts w:ascii="Arial" w:cs="Arial" w:eastAsia="Arial" w:hAnsi="Arial"/>
          <w:sz w:val="20"/>
          <w:szCs w:val="20"/>
          <w:u w:val="single" w:color="auto"/>
          <w:color w:val="auto"/>
        </w:rPr>
        <w:t>(ii)(B)</w:t>
      </w:r>
      <w:r>
        <w:rPr>
          <w:rFonts w:ascii="Arial" w:cs="Arial" w:eastAsia="Arial" w:hAnsi="Arial"/>
          <w:sz w:val="20"/>
          <w:szCs w:val="20"/>
          <w:color w:val="auto"/>
        </w:rPr>
        <w:t xml:space="preserve"> shall not at any time exceed fifteen percent (15%) of Total Asset Value at such time;</w:t>
      </w:r>
    </w:p>
    <w:p>
      <w:pPr>
        <w:spacing w:after="0" w:line="200" w:lineRule="exact"/>
        <w:rPr>
          <w:sz w:val="20"/>
          <w:szCs w:val="20"/>
          <w:color w:val="auto"/>
        </w:rPr>
      </w:pPr>
    </w:p>
    <w:p>
      <w:pPr>
        <w:spacing w:after="0" w:line="266"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67</w:t>
      </w:r>
      <w:r>
        <w:rPr>
          <w:rFonts w:ascii="MS PGothic" w:cs="MS PGothic" w:eastAsia="MS PGothic" w:hAnsi="MS PGothic"/>
          <w:sz w:val="20"/>
          <w:szCs w:val="20"/>
          <w:color w:val="auto"/>
        </w:rPr>
        <w:t>‑</w:t>
      </w:r>
    </w:p>
    <w:p>
      <w:pPr>
        <w:sectPr>
          <w:pgSz w:w="11900" w:h="16838" w:orient="portrait"/>
          <w:cols w:equalWidth="0" w:num="1">
            <w:col w:w="11420"/>
          </w:cols>
          <w:pgMar w:left="240" w:top="794" w:right="239" w:bottom="1440" w:gutter="0" w:footer="0" w:header="0"/>
        </w:sectPr>
      </w:pPr>
    </w:p>
    <w:bookmarkStart w:id="472" w:name="page473"/>
    <w:bookmarkEnd w:id="472"/>
    <w:p>
      <w:pPr>
        <w:ind w:left="600" w:firstLine="599"/>
        <w:spacing w:after="0" w:line="329" w:lineRule="auto"/>
        <w:tabs>
          <w:tab w:leader="none" w:pos="2021" w:val="left"/>
        </w:tabs>
        <w:numPr>
          <w:ilvl w:val="0"/>
          <w:numId w:val="565"/>
        </w:numPr>
        <w:rPr>
          <w:rFonts w:ascii="Arial" w:cs="Arial" w:eastAsia="Arial" w:hAnsi="Arial"/>
          <w:sz w:val="18"/>
          <w:szCs w:val="18"/>
          <w:color w:val="auto"/>
        </w:rPr>
      </w:pPr>
      <w:r>
        <w:rPr>
          <w:rFonts w:ascii="Arial" w:cs="Arial" w:eastAsia="Arial" w:hAnsi="Arial"/>
          <w:sz w:val="18"/>
          <w:szCs w:val="18"/>
          <w:color w:val="auto"/>
        </w:rPr>
        <w:t xml:space="preserve">Non-Recourse Indebtedness owed by the Loan Parties and their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pro forma effect to the incurrence thereof, the Loan Parties are in compliance with the covenants contained in </w:t>
      </w:r>
      <w:r>
        <w:rPr>
          <w:rFonts w:ascii="Arial" w:cs="Arial" w:eastAsia="Arial" w:hAnsi="Arial"/>
          <w:sz w:val="18"/>
          <w:szCs w:val="18"/>
          <w:u w:val="single" w:color="auto"/>
          <w:color w:val="auto"/>
        </w:rPr>
        <w:t>Section 7.02(b)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left="600" w:firstLine="599"/>
        <w:spacing w:after="0" w:line="256" w:lineRule="auto"/>
        <w:tabs>
          <w:tab w:leader="none" w:pos="2032" w:val="left"/>
        </w:tabs>
        <w:numPr>
          <w:ilvl w:val="0"/>
          <w:numId w:val="565"/>
        </w:numPr>
        <w:rPr>
          <w:rFonts w:ascii="Arial" w:cs="Arial" w:eastAsia="Arial" w:hAnsi="Arial"/>
          <w:sz w:val="20"/>
          <w:szCs w:val="20"/>
          <w:color w:val="auto"/>
        </w:rPr>
      </w:pPr>
      <w:r>
        <w:rPr>
          <w:rFonts w:ascii="Arial" w:cs="Arial" w:eastAsia="Arial" w:hAnsi="Arial"/>
          <w:sz w:val="20"/>
          <w:szCs w:val="20"/>
          <w:color w:val="auto"/>
        </w:rPr>
        <w:t xml:space="preserve">intercompany loans and advances to the extent permitted under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all such intercompany Indebtedness owed by any Loan Party shall be unsecured and subordinated in right of payment to the payment in full of the Obligations pursuant to the terms of any applicable promissory notes or an intercompany subordination agreement, in each case, in form and substance reasonably satisfactory to Administrative Agent; and</w:t>
      </w:r>
    </w:p>
    <w:p>
      <w:pPr>
        <w:spacing w:after="0" w:line="205" w:lineRule="exact"/>
        <w:rPr>
          <w:rFonts w:ascii="Arial" w:cs="Arial" w:eastAsia="Arial" w:hAnsi="Arial"/>
          <w:sz w:val="20"/>
          <w:szCs w:val="20"/>
          <w:color w:val="auto"/>
        </w:rPr>
      </w:pPr>
    </w:p>
    <w:p>
      <w:pPr>
        <w:ind w:left="2020" w:hanging="821"/>
        <w:spacing w:after="0"/>
        <w:tabs>
          <w:tab w:leader="none" w:pos="2020" w:val="left"/>
        </w:tabs>
        <w:numPr>
          <w:ilvl w:val="0"/>
          <w:numId w:val="565"/>
        </w:numPr>
        <w:rPr>
          <w:rFonts w:ascii="Arial" w:cs="Arial" w:eastAsia="Arial" w:hAnsi="Arial"/>
          <w:sz w:val="20"/>
          <w:szCs w:val="20"/>
          <w:color w:val="auto"/>
        </w:rPr>
      </w:pPr>
      <w:r>
        <w:rPr>
          <w:rFonts w:ascii="Arial" w:cs="Arial" w:eastAsia="Arial" w:hAnsi="Arial"/>
          <w:sz w:val="20"/>
          <w:szCs w:val="20"/>
          <w:color w:val="auto"/>
        </w:rPr>
        <w:t>the Guarantee by the Borrower or a Guarantor of Pari Passu Obligations.</w:t>
      </w:r>
    </w:p>
    <w:p>
      <w:pPr>
        <w:spacing w:after="0" w:line="245"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 xml:space="preserve">7.03. </w:t>
      </w:r>
      <w:r>
        <w:rPr>
          <w:rFonts w:ascii="Arial" w:cs="Arial" w:eastAsia="Arial" w:hAnsi="Arial"/>
          <w:sz w:val="20"/>
          <w:szCs w:val="20"/>
          <w:u w:val="single" w:color="auto"/>
          <w:color w:val="auto"/>
        </w:rPr>
        <w:t>Investments</w:t>
      </w:r>
      <w:r>
        <w:rPr>
          <w:rFonts w:ascii="Arial" w:cs="Arial" w:eastAsia="Arial" w:hAnsi="Arial"/>
          <w:sz w:val="20"/>
          <w:szCs w:val="20"/>
          <w:color w:val="auto"/>
        </w:rPr>
        <w:t xml:space="preserve">. Make or allow any Investment unless (i) no Event of Default exists at the time of, or after giving effect to, the making of such Investment and (b) after giving effect to the making of such Investment, the REIT and the Borrower are in compliance, on a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basis, with the covenants contained in </w:t>
      </w:r>
      <w:r>
        <w:rPr>
          <w:rFonts w:ascii="Arial" w:cs="Arial" w:eastAsia="Arial" w:hAnsi="Arial"/>
          <w:sz w:val="20"/>
          <w:szCs w:val="20"/>
          <w:u w:val="single" w:color="auto"/>
          <w:color w:val="auto"/>
        </w:rPr>
        <w:t>Section 7.02(b)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7.11</w:t>
      </w:r>
      <w:r>
        <w:rPr>
          <w:rFonts w:ascii="Arial" w:cs="Arial" w:eastAsia="Arial" w:hAnsi="Arial"/>
          <w:sz w:val="20"/>
          <w:szCs w:val="20"/>
          <w:color w:val="auto"/>
        </w:rPr>
        <w:t xml:space="preserve">, such pro forma calculation to be made as of the last day of the fiscal quarter most recently ended prior to the date such Investment is made and for which financial statements have been delivered, or are required to be delivered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w:t>
      </w:r>
    </w:p>
    <w:p>
      <w:pPr>
        <w:spacing w:after="0" w:line="212"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 xml:space="preserve">7.04. </w:t>
      </w:r>
      <w:r>
        <w:rPr>
          <w:rFonts w:ascii="Arial" w:cs="Arial" w:eastAsia="Arial" w:hAnsi="Arial"/>
          <w:sz w:val="20"/>
          <w:szCs w:val="20"/>
          <w:u w:val="single" w:color="auto"/>
          <w:color w:val="auto"/>
        </w:rPr>
        <w:t>Fundamental Changes</w:t>
      </w:r>
      <w:r>
        <w:rPr>
          <w:rFonts w:ascii="Arial" w:cs="Arial" w:eastAsia="Arial" w:hAnsi="Arial"/>
          <w:sz w:val="20"/>
          <w:szCs w:val="20"/>
          <w:color w:val="auto"/>
        </w:rPr>
        <w:t>. Merge, dissolve, liquidate, consolidate with or into another Person, or Dispose of (whether in one transaction or in a series of transactions) all or substantially all of its assets (whether now owned or hereafter acquired) to or in favor of any Person, except that, so long as no Default exists or would result therefrom:</w:t>
      </w:r>
    </w:p>
    <w:p>
      <w:pPr>
        <w:spacing w:after="0" w:line="202" w:lineRule="exact"/>
        <w:rPr>
          <w:sz w:val="20"/>
          <w:szCs w:val="20"/>
          <w:color w:val="auto"/>
        </w:rPr>
      </w:pPr>
    </w:p>
    <w:p>
      <w:pPr>
        <w:jc w:val="both"/>
        <w:ind w:firstLine="599"/>
        <w:spacing w:after="0" w:line="256" w:lineRule="auto"/>
        <w:tabs>
          <w:tab w:leader="none" w:pos="1421" w:val="left"/>
        </w:tabs>
        <w:numPr>
          <w:ilvl w:val="0"/>
          <w:numId w:val="566"/>
        </w:numPr>
        <w:rPr>
          <w:rFonts w:ascii="Arial" w:cs="Arial" w:eastAsia="Arial" w:hAnsi="Arial"/>
          <w:sz w:val="20"/>
          <w:szCs w:val="20"/>
          <w:color w:val="auto"/>
        </w:rPr>
      </w:pPr>
      <w:r>
        <w:rPr>
          <w:rFonts w:ascii="Arial" w:cs="Arial" w:eastAsia="Arial" w:hAnsi="Arial"/>
          <w:sz w:val="20"/>
          <w:szCs w:val="20"/>
          <w:color w:val="auto"/>
        </w:rPr>
        <w:t xml:space="preserve">any Subsidiary of the Borrower may merge, liquidate or dissolve into, or consolidate with (i) 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be the continuing or surviving Person or (ii) any one or more other Subsidiaries of 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any Guarantor is merging with, liquidating into or consolidating with another Subsidiary of the Borrower that is not a Guarantor, the continuing or surviving Person shall be a Guarantor;</w:t>
      </w:r>
    </w:p>
    <w:p>
      <w:pPr>
        <w:spacing w:after="0" w:line="205" w:lineRule="exact"/>
        <w:rPr>
          <w:rFonts w:ascii="Arial" w:cs="Arial" w:eastAsia="Arial" w:hAnsi="Arial"/>
          <w:sz w:val="20"/>
          <w:szCs w:val="20"/>
          <w:color w:val="auto"/>
        </w:rPr>
      </w:pPr>
    </w:p>
    <w:p>
      <w:pPr>
        <w:jc w:val="both"/>
        <w:ind w:firstLine="599"/>
        <w:spacing w:after="0" w:line="260" w:lineRule="auto"/>
        <w:tabs>
          <w:tab w:leader="none" w:pos="1432" w:val="left"/>
        </w:tabs>
        <w:numPr>
          <w:ilvl w:val="0"/>
          <w:numId w:val="566"/>
        </w:numPr>
        <w:rPr>
          <w:rFonts w:ascii="Arial" w:cs="Arial" w:eastAsia="Arial" w:hAnsi="Arial"/>
          <w:sz w:val="20"/>
          <w:szCs w:val="20"/>
          <w:color w:val="auto"/>
        </w:rPr>
      </w:pPr>
      <w:r>
        <w:rPr>
          <w:rFonts w:ascii="Arial" w:cs="Arial" w:eastAsia="Arial" w:hAnsi="Arial"/>
          <w:sz w:val="20"/>
          <w:szCs w:val="20"/>
          <w:color w:val="auto"/>
        </w:rPr>
        <w:t xml:space="preserve">any Subsidiary of the Borrower may Dispose of all or substantially all of its assets (upon voluntary liquidation or otherwise) to the Borrower or to another Subsidiary of 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transferor in such a transaction is a Guarantor, then the transferee must either be the Borrower or a Guarantor; and</w:t>
      </w:r>
    </w:p>
    <w:p>
      <w:pPr>
        <w:spacing w:after="0" w:line="201" w:lineRule="exact"/>
        <w:rPr>
          <w:rFonts w:ascii="Arial" w:cs="Arial" w:eastAsia="Arial" w:hAnsi="Arial"/>
          <w:sz w:val="20"/>
          <w:szCs w:val="20"/>
          <w:color w:val="auto"/>
        </w:rPr>
      </w:pPr>
    </w:p>
    <w:p>
      <w:pPr>
        <w:ind w:left="1420" w:hanging="821"/>
        <w:spacing w:after="0"/>
        <w:tabs>
          <w:tab w:leader="none" w:pos="1420" w:val="left"/>
        </w:tabs>
        <w:numPr>
          <w:ilvl w:val="0"/>
          <w:numId w:val="566"/>
        </w:numPr>
        <w:rPr>
          <w:rFonts w:ascii="Arial" w:cs="Arial" w:eastAsia="Arial" w:hAnsi="Arial"/>
          <w:sz w:val="20"/>
          <w:szCs w:val="20"/>
          <w:color w:val="auto"/>
        </w:rPr>
      </w:pPr>
      <w:r>
        <w:rPr>
          <w:rFonts w:ascii="Arial" w:cs="Arial" w:eastAsia="Arial" w:hAnsi="Arial"/>
          <w:sz w:val="20"/>
          <w:szCs w:val="20"/>
          <w:color w:val="auto"/>
        </w:rPr>
        <w:t xml:space="preserve">Dispositions permitted by </w:t>
      </w:r>
      <w:r>
        <w:rPr>
          <w:rFonts w:ascii="Arial" w:cs="Arial" w:eastAsia="Arial" w:hAnsi="Arial"/>
          <w:sz w:val="20"/>
          <w:szCs w:val="20"/>
          <w:u w:val="single" w:color="auto"/>
          <w:color w:val="auto"/>
        </w:rPr>
        <w:t>Section 7.05(b)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w:t>
      </w:r>
      <w:r>
        <w:rPr>
          <w:rFonts w:ascii="Arial" w:cs="Arial" w:eastAsia="Arial" w:hAnsi="Arial"/>
          <w:sz w:val="20"/>
          <w:szCs w:val="20"/>
          <w:color w:val="auto"/>
        </w:rPr>
        <w:t xml:space="preserve"> shall be permitted.</w:t>
      </w:r>
    </w:p>
    <w:p>
      <w:pPr>
        <w:spacing w:after="0" w:line="245"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 xml:space="preserve">7.05. </w:t>
      </w:r>
      <w:r>
        <w:rPr>
          <w:rFonts w:ascii="Arial" w:cs="Arial" w:eastAsia="Arial" w:hAnsi="Arial"/>
          <w:sz w:val="20"/>
          <w:szCs w:val="20"/>
          <w:u w:val="single" w:color="auto"/>
          <w:color w:val="auto"/>
        </w:rPr>
        <w:t>Dispositions</w:t>
      </w:r>
      <w:r>
        <w:rPr>
          <w:rFonts w:ascii="Arial" w:cs="Arial" w:eastAsia="Arial" w:hAnsi="Arial"/>
          <w:sz w:val="20"/>
          <w:szCs w:val="20"/>
          <w:color w:val="auto"/>
        </w:rPr>
        <w:t xml:space="preserve">. Make any Disposition or enter into any agreement to make any Disposition, or, in the case of any Subsidiary of the Borrower, issue, sell or otherwise dispose of any of such Subsidiary’s Equity Interests to any Person, if (a) such Disposition is not permitted under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(b) such Disposition results in the Borrower or any Guarantor (other than the REIT) not being a Wholly Owned Subsidiary of the REIT or (c) after giving effect to such Disposition, the REIT and Borrower are not in compliance, on a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basis, with the covenants contained in </w:t>
      </w:r>
      <w:r>
        <w:rPr>
          <w:rFonts w:ascii="Arial" w:cs="Arial" w:eastAsia="Arial" w:hAnsi="Arial"/>
          <w:sz w:val="20"/>
          <w:szCs w:val="20"/>
          <w:u w:val="single" w:color="auto"/>
          <w:color w:val="auto"/>
        </w:rPr>
        <w:t>Section 7.02(b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7.11</w:t>
      </w:r>
      <w:r>
        <w:rPr>
          <w:rFonts w:ascii="Arial" w:cs="Arial" w:eastAsia="Arial" w:hAnsi="Arial"/>
          <w:sz w:val="20"/>
          <w:szCs w:val="20"/>
          <w:color w:val="auto"/>
        </w:rPr>
        <w:t>.</w:t>
      </w:r>
    </w:p>
    <w:p>
      <w:pPr>
        <w:spacing w:after="0" w:line="212"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 xml:space="preserve">7.06. </w:t>
      </w:r>
      <w:r>
        <w:rPr>
          <w:rFonts w:ascii="Arial" w:cs="Arial" w:eastAsia="Arial" w:hAnsi="Arial"/>
          <w:sz w:val="20"/>
          <w:szCs w:val="20"/>
          <w:u w:val="single" w:color="auto"/>
          <w:color w:val="auto"/>
        </w:rPr>
        <w:t>Restricted Payments</w:t>
      </w:r>
      <w:r>
        <w:rPr>
          <w:rFonts w:ascii="Arial" w:cs="Arial" w:eastAsia="Arial" w:hAnsi="Arial"/>
          <w:sz w:val="20"/>
          <w:szCs w:val="20"/>
          <w:color w:val="auto"/>
        </w:rPr>
        <w:t>. Declare or make, directly or indirectly, any Restricted Payment, or incur any obligation (contingent or otherwise) to do so, except that the following shall be permitted:</w:t>
      </w:r>
    </w:p>
    <w:p>
      <w:pPr>
        <w:spacing w:after="0" w:line="191" w:lineRule="exact"/>
        <w:rPr>
          <w:sz w:val="20"/>
          <w:szCs w:val="20"/>
          <w:color w:val="auto"/>
        </w:rPr>
      </w:pPr>
    </w:p>
    <w:p>
      <w:pPr>
        <w:ind w:firstLine="599"/>
        <w:spacing w:after="0" w:line="272" w:lineRule="auto"/>
        <w:tabs>
          <w:tab w:leader="none" w:pos="1421" w:val="left"/>
        </w:tabs>
        <w:numPr>
          <w:ilvl w:val="0"/>
          <w:numId w:val="567"/>
        </w:numPr>
        <w:rPr>
          <w:rFonts w:ascii="Arial" w:cs="Arial" w:eastAsia="Arial" w:hAnsi="Arial"/>
          <w:sz w:val="20"/>
          <w:szCs w:val="20"/>
          <w:color w:val="auto"/>
        </w:rPr>
      </w:pPr>
      <w:r>
        <w:rPr>
          <w:rFonts w:ascii="Arial" w:cs="Arial" w:eastAsia="Arial" w:hAnsi="Arial"/>
          <w:sz w:val="20"/>
          <w:szCs w:val="20"/>
          <w:color w:val="auto"/>
        </w:rPr>
        <w:t>each Subsidiary of the Borrower may (i) declare and make Restricted Payments to the Borrower and the Guarantors (other than the REIT), and (ii) declare and make Restricted Payments ratably</w:t>
      </w:r>
    </w:p>
    <w:p>
      <w:pPr>
        <w:spacing w:after="0" w:line="19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68</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73" w:name="page474"/>
    <w:bookmarkEnd w:id="473"/>
    <w:p>
      <w:pPr>
        <w:jc w:val="both"/>
        <w:spacing w:after="0" w:line="260" w:lineRule="auto"/>
        <w:rPr>
          <w:sz w:val="20"/>
          <w:szCs w:val="20"/>
          <w:color w:val="auto"/>
        </w:rPr>
      </w:pPr>
      <w:r>
        <w:rPr>
          <w:rFonts w:ascii="Arial" w:cs="Arial" w:eastAsia="Arial" w:hAnsi="Arial"/>
          <w:sz w:val="20"/>
          <w:szCs w:val="20"/>
          <w:color w:val="auto"/>
        </w:rPr>
        <w:t>to the holders of such Subsidiary’s Equity Interests according to their respective holdings of the type of Equity Interest in respect of which such Restricted Payment is being made so long as the Borrower (directly or through other Subsidiaries of the Borrower) receives its proportionate share thereof;</w:t>
      </w:r>
    </w:p>
    <w:p>
      <w:pPr>
        <w:spacing w:after="0" w:line="202" w:lineRule="exact"/>
        <w:rPr>
          <w:sz w:val="20"/>
          <w:szCs w:val="20"/>
          <w:color w:val="auto"/>
        </w:rPr>
      </w:pPr>
    </w:p>
    <w:p>
      <w:pPr>
        <w:jc w:val="both"/>
        <w:ind w:firstLine="599"/>
        <w:spacing w:after="0" w:line="256" w:lineRule="auto"/>
        <w:tabs>
          <w:tab w:leader="none" w:pos="1432" w:val="left"/>
        </w:tabs>
        <w:numPr>
          <w:ilvl w:val="0"/>
          <w:numId w:val="568"/>
        </w:numPr>
        <w:rPr>
          <w:rFonts w:ascii="Arial" w:cs="Arial" w:eastAsia="Arial" w:hAnsi="Arial"/>
          <w:sz w:val="20"/>
          <w:szCs w:val="20"/>
          <w:color w:val="auto"/>
        </w:rPr>
      </w:pPr>
      <w:r>
        <w:rPr>
          <w:rFonts w:ascii="Arial" w:cs="Arial" w:eastAsia="Arial" w:hAnsi="Arial"/>
          <w:sz w:val="20"/>
          <w:szCs w:val="20"/>
          <w:color w:val="auto"/>
        </w:rPr>
        <w:t>the REIT and each Subsidiary thereof may declare and make dividend payments or other distributions payable solely in the common stock or other common Equity Interests of such Person or its direct or indirect parent (and, to the extent constituting a dividend or distribution under applicable Laws, the issuance of common or preferred Equity Interests in connection with the conversion of any Indebtedness);</w:t>
      </w:r>
    </w:p>
    <w:p>
      <w:pPr>
        <w:spacing w:after="0" w:line="205" w:lineRule="exact"/>
        <w:rPr>
          <w:rFonts w:ascii="Arial" w:cs="Arial" w:eastAsia="Arial" w:hAnsi="Arial"/>
          <w:sz w:val="20"/>
          <w:szCs w:val="20"/>
          <w:color w:val="auto"/>
        </w:rPr>
      </w:pPr>
    </w:p>
    <w:p>
      <w:pPr>
        <w:jc w:val="both"/>
        <w:ind w:firstLine="599"/>
        <w:spacing w:after="0" w:line="266" w:lineRule="auto"/>
        <w:tabs>
          <w:tab w:leader="none" w:pos="1421" w:val="left"/>
        </w:tabs>
        <w:numPr>
          <w:ilvl w:val="0"/>
          <w:numId w:val="568"/>
        </w:numPr>
        <w:rPr>
          <w:rFonts w:ascii="Arial" w:cs="Arial" w:eastAsia="Arial" w:hAnsi="Arial"/>
          <w:sz w:val="19"/>
          <w:szCs w:val="19"/>
          <w:color w:val="auto"/>
        </w:rPr>
      </w:pPr>
      <w:r>
        <w:rPr>
          <w:rFonts w:ascii="Arial" w:cs="Arial" w:eastAsia="Arial" w:hAnsi="Arial"/>
          <w:sz w:val="19"/>
          <w:szCs w:val="19"/>
          <w:color w:val="auto"/>
        </w:rPr>
        <w:t xml:space="preserve">(i) the REIT and each Subsidiary thereof may purchase, redeem or otherwise acquire Equity Interests or warrants or options to obtain such Equity Interests issued by it with the proceeds received from the substantially concurrent issue of new shares of its or its direct or indirect parent’s common stock or other common Equity Interests, (ii) the REIT and/or the Borrower may purchase, redeem or otherwise acquire limited partnership interests of the Borrower held by a limited partner thereof in exchange for Equity Interests of the REIT so long as, after giving effect to any such purchase, redemption or other acquisition, a Change of Control does not occur and (iii) the Borrower may redeem limited partnership interests of the Borrower held by a limited partner thereof for cash to the extent such a redemption is required by the Borrower Limited Partnership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the aggregate amount of cash paid for all such redemptions made pursuant to this clause (iii) shall not exceed $10,000,000;</w:t>
      </w:r>
    </w:p>
    <w:p>
      <w:pPr>
        <w:spacing w:after="0" w:line="198" w:lineRule="exact"/>
        <w:rPr>
          <w:rFonts w:ascii="Arial" w:cs="Arial" w:eastAsia="Arial" w:hAnsi="Arial"/>
          <w:sz w:val="19"/>
          <w:szCs w:val="19"/>
          <w:color w:val="auto"/>
        </w:rPr>
      </w:pPr>
    </w:p>
    <w:p>
      <w:pPr>
        <w:jc w:val="both"/>
        <w:ind w:firstLine="599"/>
        <w:spacing w:after="0" w:line="266" w:lineRule="auto"/>
        <w:tabs>
          <w:tab w:leader="none" w:pos="1432" w:val="left"/>
        </w:tabs>
        <w:numPr>
          <w:ilvl w:val="0"/>
          <w:numId w:val="568"/>
        </w:numPr>
        <w:rPr>
          <w:rFonts w:ascii="Arial" w:cs="Arial" w:eastAsia="Arial" w:hAnsi="Arial"/>
          <w:sz w:val="19"/>
          <w:szCs w:val="19"/>
          <w:color w:val="auto"/>
        </w:rPr>
      </w:pPr>
      <w:r>
        <w:rPr>
          <w:rFonts w:ascii="Arial" w:cs="Arial" w:eastAsia="Arial" w:hAnsi="Arial"/>
          <w:sz w:val="19"/>
          <w:szCs w:val="19"/>
          <w:color w:val="auto"/>
        </w:rPr>
        <w:t xml:space="preserve">the Borrower shall be permitted to declare and pay other Restricted Payments;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 Event of Default under </w:t>
      </w:r>
      <w:r>
        <w:rPr>
          <w:rFonts w:ascii="Arial" w:cs="Arial" w:eastAsia="Arial" w:hAnsi="Arial"/>
          <w:sz w:val="19"/>
          <w:szCs w:val="19"/>
          <w:u w:val="single" w:color="auto"/>
          <w:color w:val="auto"/>
        </w:rPr>
        <w:t>Section 8.01(a)</w:t>
      </w:r>
      <w:r>
        <w:rPr>
          <w:rFonts w:ascii="Arial" w:cs="Arial" w:eastAsia="Arial" w:hAnsi="Arial"/>
          <w:sz w:val="19"/>
          <w:szCs w:val="19"/>
          <w:color w:val="auto"/>
        </w:rPr>
        <w:t xml:space="preserve"> shall have occurred and be continuing or would result therefrom, the Borrower’s ability to declare and make cash Restricted Payments under this clause (d) shall be limited to pro rata cash dividends on its Equity Interests and pro rata cash distributions with respect thereto in an amount that will result in the REIT receiving the minimum amount of funds required to be distributed to its equityholders in order for the REIT to maintain its status as a Real Estate Investment Trust for federal and state income tax purposes and avoid the payment of federal and state income taxes and excise taxes and (ii) the Borrower shall not be permitted to make cash Restricted Payments under this clause (d) following (1) the acceleration of the Obligations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or (2) the occurrence of any Event of Default under </w:t>
      </w:r>
      <w:r>
        <w:rPr>
          <w:rFonts w:ascii="Arial" w:cs="Arial" w:eastAsia="Arial" w:hAnsi="Arial"/>
          <w:sz w:val="19"/>
          <w:szCs w:val="19"/>
          <w:u w:val="single" w:color="auto"/>
          <w:color w:val="auto"/>
        </w:rPr>
        <w:t>Section 8.01(f)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with respect to the Borrower or the REIT; and</w:t>
      </w:r>
    </w:p>
    <w:p>
      <w:pPr>
        <w:spacing w:after="0" w:line="198" w:lineRule="exact"/>
        <w:rPr>
          <w:rFonts w:ascii="Arial" w:cs="Arial" w:eastAsia="Arial" w:hAnsi="Arial"/>
          <w:sz w:val="19"/>
          <w:szCs w:val="19"/>
          <w:color w:val="auto"/>
        </w:rPr>
      </w:pPr>
    </w:p>
    <w:p>
      <w:pPr>
        <w:ind w:right="60" w:firstLine="599"/>
        <w:spacing w:after="0" w:line="272" w:lineRule="auto"/>
        <w:tabs>
          <w:tab w:leader="none" w:pos="1421" w:val="left"/>
        </w:tabs>
        <w:numPr>
          <w:ilvl w:val="0"/>
          <w:numId w:val="568"/>
        </w:numPr>
        <w:rPr>
          <w:rFonts w:ascii="Arial" w:cs="Arial" w:eastAsia="Arial" w:hAnsi="Arial"/>
          <w:sz w:val="20"/>
          <w:szCs w:val="20"/>
          <w:color w:val="auto"/>
        </w:rPr>
      </w:pPr>
      <w:r>
        <w:rPr>
          <w:rFonts w:ascii="Arial" w:cs="Arial" w:eastAsia="Arial" w:hAnsi="Arial"/>
          <w:sz w:val="20"/>
          <w:szCs w:val="20"/>
          <w:color w:val="auto"/>
        </w:rPr>
        <w:t xml:space="preserve">the REIT shall be permitted to dividend or distribute to the holders of its Equity Interests any amounts received by the REIT pursuant to </w:t>
      </w:r>
      <w:r>
        <w:rPr>
          <w:rFonts w:ascii="Arial" w:cs="Arial" w:eastAsia="Arial" w:hAnsi="Arial"/>
          <w:sz w:val="20"/>
          <w:szCs w:val="20"/>
          <w:u w:val="single" w:color="auto"/>
          <w:color w:val="auto"/>
        </w:rPr>
        <w:t>Section 7.06(d)</w:t>
      </w:r>
      <w:r>
        <w:rPr>
          <w:rFonts w:ascii="Arial" w:cs="Arial" w:eastAsia="Arial" w:hAnsi="Arial"/>
          <w:sz w:val="20"/>
          <w:szCs w:val="20"/>
          <w:color w:val="auto"/>
        </w:rPr>
        <w:t>.</w:t>
      </w:r>
    </w:p>
    <w:p>
      <w:pPr>
        <w:spacing w:after="0" w:line="191"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 xml:space="preserve">7.07. </w:t>
      </w:r>
      <w:r>
        <w:rPr>
          <w:rFonts w:ascii="Arial" w:cs="Arial" w:eastAsia="Arial" w:hAnsi="Arial"/>
          <w:sz w:val="20"/>
          <w:szCs w:val="20"/>
          <w:u w:val="single" w:color="auto"/>
          <w:color w:val="auto"/>
        </w:rPr>
        <w:t>Change in Nature of Business</w:t>
      </w:r>
      <w:r>
        <w:rPr>
          <w:rFonts w:ascii="Arial" w:cs="Arial" w:eastAsia="Arial" w:hAnsi="Arial"/>
          <w:sz w:val="20"/>
          <w:szCs w:val="20"/>
          <w:color w:val="auto"/>
        </w:rPr>
        <w:t>. Engage in any material line of business substantially different from those lines of business conducted by the REIT, the Borrower and their respective Subsidiaries on the Third Amendment Effective Date or any business substantially related or incidental thereto.</w:t>
      </w:r>
    </w:p>
    <w:p>
      <w:pPr>
        <w:spacing w:after="0" w:line="202" w:lineRule="exact"/>
        <w:rPr>
          <w:sz w:val="20"/>
          <w:szCs w:val="20"/>
          <w:color w:val="auto"/>
        </w:rPr>
      </w:pPr>
    </w:p>
    <w:p>
      <w:pPr>
        <w:jc w:val="both"/>
        <w:ind w:firstLine="599"/>
        <w:spacing w:after="0" w:line="252" w:lineRule="auto"/>
        <w:rPr>
          <w:sz w:val="20"/>
          <w:szCs w:val="20"/>
          <w:color w:val="auto"/>
        </w:rPr>
      </w:pPr>
      <w:r>
        <w:rPr>
          <w:rFonts w:ascii="Arial" w:cs="Arial" w:eastAsia="Arial" w:hAnsi="Arial"/>
          <w:sz w:val="20"/>
          <w:szCs w:val="20"/>
          <w:color w:val="auto"/>
        </w:rPr>
        <w:t xml:space="preserve">7.08. </w:t>
      </w:r>
      <w:r>
        <w:rPr>
          <w:rFonts w:ascii="Arial" w:cs="Arial" w:eastAsia="Arial" w:hAnsi="Arial"/>
          <w:sz w:val="20"/>
          <w:szCs w:val="20"/>
          <w:u w:val="single" w:color="auto"/>
          <w:color w:val="auto"/>
        </w:rPr>
        <w:t>Transactions with Affiliates</w:t>
      </w:r>
      <w:r>
        <w:rPr>
          <w:rFonts w:ascii="Arial" w:cs="Arial" w:eastAsia="Arial" w:hAnsi="Arial"/>
          <w:sz w:val="20"/>
          <w:szCs w:val="20"/>
          <w:color w:val="auto"/>
        </w:rPr>
        <w:t xml:space="preserve">. Enter into any transaction of any kind with any Affiliate of the REIT, whether or not in the ordinary course of business, other than on fair and reasonable terms substantially as favorable to the REIT or a Subsidiary thereof as would be obtainable by the REIT or such Subsidiary at the time in a comparable arm’s length transaction with a Person other than an Affiliate;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restriction shall not apply to (i) transactions between or among any Loan Party and any Wholly Owned Subsidiary, (ii) transactions between or among Subsidiaries that are not Wholly Owned Subsidiaries and (iii) Investments and Restricted Payments expressly permitted hereunder.</w:t>
      </w:r>
    </w:p>
    <w:p>
      <w:pPr>
        <w:spacing w:after="0" w:line="212"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 xml:space="preserve">7.09. </w:t>
      </w:r>
      <w:r>
        <w:rPr>
          <w:rFonts w:ascii="Arial" w:cs="Arial" w:eastAsia="Arial" w:hAnsi="Arial"/>
          <w:sz w:val="20"/>
          <w:szCs w:val="20"/>
          <w:u w:val="single" w:color="auto"/>
          <w:color w:val="auto"/>
        </w:rPr>
        <w:t>Burdensome Agreements</w:t>
      </w:r>
      <w:r>
        <w:rPr>
          <w:rFonts w:ascii="Arial" w:cs="Arial" w:eastAsia="Arial" w:hAnsi="Arial"/>
          <w:sz w:val="20"/>
          <w:szCs w:val="20"/>
          <w:color w:val="auto"/>
        </w:rPr>
        <w:t>. Enter into any Contractual Obligation (other than this Agreement or any other Loan Document) that limits the ability of (i) any Loan Party or any Wholly Owned Subsidiary of the Borrower that is a Direct Owner or Indirect Owner of an Unencumbered Eligible Property to make</w:t>
      </w:r>
    </w:p>
    <w:p>
      <w:pPr>
        <w:spacing w:after="0" w:line="20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69</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74" w:name="page475"/>
    <w:bookmarkEnd w:id="474"/>
    <w:p>
      <w:pPr>
        <w:jc w:val="both"/>
        <w:spacing w:after="0" w:line="265" w:lineRule="auto"/>
        <w:rPr>
          <w:sz w:val="20"/>
          <w:szCs w:val="20"/>
          <w:color w:val="auto"/>
        </w:rPr>
      </w:pPr>
      <w:r>
        <w:rPr>
          <w:rFonts w:ascii="Arial" w:cs="Arial" w:eastAsia="Arial" w:hAnsi="Arial"/>
          <w:sz w:val="19"/>
          <w:szCs w:val="19"/>
          <w:color w:val="auto"/>
        </w:rPr>
        <w:t xml:space="preserve">Restricted Payments to the REIT, the Borrower, any Guarantor or to otherwise transfer property to the Borrower or any Guarantor, (ii) the REIT or any other Guarantor to Guarantee the Indebtedness owed by the Borrower under this Agreement or (iii) any Loan Party or any Wholly Owned Subsidiary of the Borrower that is a Direct Owner or an Indirect Owner to create, incur, assume or suffer to exist Liens on Unencumbered Eligible Properties or the Equity Interests of any Direct Owner or Indirect Owner;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Section 7.09</w:t>
      </w:r>
      <w:r>
        <w:rPr>
          <w:rFonts w:ascii="Arial" w:cs="Arial" w:eastAsia="Arial" w:hAnsi="Arial"/>
          <w:sz w:val="19"/>
          <w:szCs w:val="19"/>
          <w:color w:val="auto"/>
        </w:rPr>
        <w:t xml:space="preserve"> shall not prohibit (1) Permitted Unencumbered Property Liens and (2) customary restrictions on Liens, assignments and transfers of assets contained in leases, licenses and other Contractual Obligations entered into in the ordinary course of business that (x) do not prevent the grant of a Lien on any Unencumbered Eligible Property to secure the Obligations, (y) would not prevent a mortgagee of an Unencumbered Eligible Property from transferring such Unencumbered Eligible Property in the event such mortgagee were to foreclose on its Lien on such Portfolio Property and (z) do not materially impair or interfere in the use or operations of such assets or the Administrative Agent’s and the Lenders’ rights and remedies under the Loan Documents.</w:t>
      </w:r>
    </w:p>
    <w:p>
      <w:pPr>
        <w:spacing w:after="0" w:line="198"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 xml:space="preserve">7.10. </w:t>
      </w:r>
      <w:r>
        <w:rPr>
          <w:rFonts w:ascii="Arial" w:cs="Arial" w:eastAsia="Arial" w:hAnsi="Arial"/>
          <w:sz w:val="20"/>
          <w:szCs w:val="20"/>
          <w:u w:val="single" w:color="auto"/>
          <w:color w:val="auto"/>
        </w:rPr>
        <w:t>Use of Proceeds</w:t>
      </w:r>
      <w:r>
        <w:rPr>
          <w:rFonts w:ascii="Arial" w:cs="Arial" w:eastAsia="Arial" w:hAnsi="Arial"/>
          <w:sz w:val="20"/>
          <w:szCs w:val="20"/>
          <w:color w:val="auto"/>
        </w:rPr>
        <w:t>. 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202"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7.11.</w:t>
      </w:r>
      <w:r>
        <w:rPr>
          <w:sz w:val="20"/>
          <w:szCs w:val="20"/>
          <w:color w:val="auto"/>
        </w:rPr>
        <w:tab/>
      </w:r>
      <w:r>
        <w:rPr>
          <w:rFonts w:ascii="Arial" w:cs="Arial" w:eastAsia="Arial" w:hAnsi="Arial"/>
          <w:sz w:val="17"/>
          <w:szCs w:val="17"/>
          <w:u w:val="single" w:color="auto"/>
          <w:color w:val="auto"/>
        </w:rPr>
        <w:t>Financial Covenants</w:t>
      </w:r>
      <w:r>
        <w:rPr>
          <w:rFonts w:ascii="Arial" w:cs="Arial" w:eastAsia="Arial" w:hAnsi="Arial"/>
          <w:sz w:val="17"/>
          <w:szCs w:val="17"/>
          <w:color w:val="auto"/>
        </w:rPr>
        <w:t>.</w:t>
      </w:r>
    </w:p>
    <w:p>
      <w:pPr>
        <w:spacing w:after="0" w:line="245" w:lineRule="exact"/>
        <w:rPr>
          <w:sz w:val="20"/>
          <w:szCs w:val="20"/>
          <w:color w:val="auto"/>
        </w:rPr>
      </w:pPr>
    </w:p>
    <w:p>
      <w:pPr>
        <w:ind w:left="1420" w:hanging="821"/>
        <w:spacing w:after="0"/>
        <w:tabs>
          <w:tab w:leader="none" w:pos="1420" w:val="left"/>
        </w:tabs>
        <w:numPr>
          <w:ilvl w:val="0"/>
          <w:numId w:val="569"/>
        </w:numPr>
        <w:rPr>
          <w:rFonts w:ascii="Arial" w:cs="Arial" w:eastAsia="Arial" w:hAnsi="Arial"/>
          <w:sz w:val="18"/>
          <w:szCs w:val="18"/>
          <w:color w:val="auto"/>
        </w:rPr>
      </w:pPr>
      <w:r>
        <w:rPr>
          <w:rFonts w:ascii="Arial" w:cs="Arial" w:eastAsia="Arial" w:hAnsi="Arial"/>
          <w:sz w:val="18"/>
          <w:szCs w:val="18"/>
          <w:u w:val="single" w:color="auto"/>
          <w:color w:val="auto"/>
        </w:rPr>
        <w:t>Consolidated Secured Leverage Ratio</w:t>
      </w:r>
      <w:r>
        <w:rPr>
          <w:rFonts w:ascii="Arial" w:cs="Arial" w:eastAsia="Arial" w:hAnsi="Arial"/>
          <w:sz w:val="18"/>
          <w:szCs w:val="18"/>
          <w:color w:val="auto"/>
        </w:rPr>
        <w:t>. Permit the Consolidated Secured Leverage Ratio to be greater than 40% at any time.</w:t>
      </w:r>
    </w:p>
    <w:p>
      <w:pPr>
        <w:spacing w:after="0" w:line="267" w:lineRule="exact"/>
        <w:rPr>
          <w:rFonts w:ascii="Arial" w:cs="Arial" w:eastAsia="Arial" w:hAnsi="Arial"/>
          <w:sz w:val="18"/>
          <w:szCs w:val="18"/>
          <w:color w:val="auto"/>
        </w:rPr>
      </w:pPr>
    </w:p>
    <w:p>
      <w:pPr>
        <w:ind w:left="1440" w:hanging="841"/>
        <w:spacing w:after="0"/>
        <w:tabs>
          <w:tab w:leader="none" w:pos="1440" w:val="left"/>
        </w:tabs>
        <w:numPr>
          <w:ilvl w:val="0"/>
          <w:numId w:val="569"/>
        </w:numPr>
        <w:rPr>
          <w:rFonts w:ascii="Arial" w:cs="Arial" w:eastAsia="Arial" w:hAnsi="Arial"/>
          <w:sz w:val="19"/>
          <w:szCs w:val="19"/>
          <w:color w:val="auto"/>
        </w:rPr>
      </w:pPr>
      <w:r>
        <w:rPr>
          <w:rFonts w:ascii="Arial" w:cs="Arial" w:eastAsia="Arial" w:hAnsi="Arial"/>
          <w:sz w:val="19"/>
          <w:szCs w:val="19"/>
          <w:u w:val="single" w:color="auto"/>
          <w:color w:val="auto"/>
        </w:rPr>
        <w:t>Consolidated Total Leverage Ratio</w:t>
      </w:r>
      <w:r>
        <w:rPr>
          <w:rFonts w:ascii="Arial" w:cs="Arial" w:eastAsia="Arial" w:hAnsi="Arial"/>
          <w:sz w:val="19"/>
          <w:szCs w:val="19"/>
          <w:color w:val="auto"/>
        </w:rPr>
        <w:t>. Permit the Consolidated Total Leverage Ratio at any time to be greater than 60%.</w:t>
      </w:r>
    </w:p>
    <w:p>
      <w:pPr>
        <w:spacing w:after="0" w:line="256" w:lineRule="exact"/>
        <w:rPr>
          <w:rFonts w:ascii="Arial" w:cs="Arial" w:eastAsia="Arial" w:hAnsi="Arial"/>
          <w:sz w:val="19"/>
          <w:szCs w:val="19"/>
          <w:color w:val="auto"/>
        </w:rPr>
      </w:pPr>
    </w:p>
    <w:p>
      <w:pPr>
        <w:ind w:firstLine="599"/>
        <w:spacing w:after="0" w:line="272" w:lineRule="auto"/>
        <w:tabs>
          <w:tab w:leader="none" w:pos="1421" w:val="left"/>
        </w:tabs>
        <w:numPr>
          <w:ilvl w:val="0"/>
          <w:numId w:val="569"/>
        </w:numPr>
        <w:rPr>
          <w:rFonts w:ascii="Arial" w:cs="Arial" w:eastAsia="Arial" w:hAnsi="Arial"/>
          <w:sz w:val="20"/>
          <w:szCs w:val="20"/>
          <w:color w:val="auto"/>
        </w:rPr>
      </w:pPr>
      <w:r>
        <w:rPr>
          <w:rFonts w:ascii="Arial" w:cs="Arial" w:eastAsia="Arial" w:hAnsi="Arial"/>
          <w:sz w:val="20"/>
          <w:szCs w:val="20"/>
          <w:u w:val="single" w:color="auto"/>
          <w:color w:val="auto"/>
        </w:rPr>
        <w:t>Consolidated Fixed Charge Coverage Ratio</w:t>
      </w:r>
      <w:r>
        <w:rPr>
          <w:rFonts w:ascii="Arial" w:cs="Arial" w:eastAsia="Arial" w:hAnsi="Arial"/>
          <w:sz w:val="20"/>
          <w:szCs w:val="20"/>
          <w:color w:val="auto"/>
        </w:rPr>
        <w:t>. Permit the Consolidated Fixed Charge Coverage Ratio as of the last day of any fiscal quarter of the REIT to be less than 1.50 to 1.00.</w:t>
      </w:r>
    </w:p>
    <w:p>
      <w:pPr>
        <w:spacing w:after="0" w:line="190" w:lineRule="exact"/>
        <w:rPr>
          <w:rFonts w:ascii="Arial" w:cs="Arial" w:eastAsia="Arial" w:hAnsi="Arial"/>
          <w:sz w:val="20"/>
          <w:szCs w:val="20"/>
          <w:color w:val="auto"/>
        </w:rPr>
      </w:pPr>
    </w:p>
    <w:p>
      <w:pPr>
        <w:ind w:firstLine="599"/>
        <w:spacing w:after="0" w:line="272" w:lineRule="auto"/>
        <w:tabs>
          <w:tab w:leader="none" w:pos="1432" w:val="left"/>
        </w:tabs>
        <w:numPr>
          <w:ilvl w:val="0"/>
          <w:numId w:val="569"/>
        </w:numPr>
        <w:rPr>
          <w:rFonts w:ascii="Arial" w:cs="Arial" w:eastAsia="Arial" w:hAnsi="Arial"/>
          <w:sz w:val="20"/>
          <w:szCs w:val="20"/>
          <w:color w:val="auto"/>
        </w:rPr>
      </w:pPr>
      <w:r>
        <w:rPr>
          <w:rFonts w:ascii="Arial" w:cs="Arial" w:eastAsia="Arial" w:hAnsi="Arial"/>
          <w:sz w:val="20"/>
          <w:szCs w:val="20"/>
          <w:u w:val="single" w:color="auto"/>
          <w:color w:val="auto"/>
        </w:rPr>
        <w:t>Consolidated Unsecured Interest Coverage Ratio</w:t>
      </w:r>
      <w:r>
        <w:rPr>
          <w:rFonts w:ascii="Arial" w:cs="Arial" w:eastAsia="Arial" w:hAnsi="Arial"/>
          <w:sz w:val="20"/>
          <w:szCs w:val="20"/>
          <w:color w:val="auto"/>
        </w:rPr>
        <w:t>. Permit the Consolidated Unsecured Interest Coverage Ratio as of the last day of any fiscal quarter of the REIT to be less than 1.75 to 1.00.</w:t>
      </w:r>
    </w:p>
    <w:p>
      <w:pPr>
        <w:spacing w:after="0" w:line="190" w:lineRule="exact"/>
        <w:rPr>
          <w:rFonts w:ascii="Arial" w:cs="Arial" w:eastAsia="Arial" w:hAnsi="Arial"/>
          <w:sz w:val="20"/>
          <w:szCs w:val="20"/>
          <w:color w:val="auto"/>
        </w:rPr>
      </w:pPr>
    </w:p>
    <w:p>
      <w:pPr>
        <w:ind w:left="1420" w:hanging="821"/>
        <w:spacing w:after="0"/>
        <w:tabs>
          <w:tab w:leader="none" w:pos="1420" w:val="left"/>
        </w:tabs>
        <w:numPr>
          <w:ilvl w:val="0"/>
          <w:numId w:val="569"/>
        </w:numPr>
        <w:rPr>
          <w:rFonts w:ascii="Arial" w:cs="Arial" w:eastAsia="Arial" w:hAnsi="Arial"/>
          <w:sz w:val="18"/>
          <w:szCs w:val="18"/>
          <w:color w:val="auto"/>
        </w:rPr>
      </w:pPr>
      <w:r>
        <w:rPr>
          <w:rFonts w:ascii="Arial" w:cs="Arial" w:eastAsia="Arial" w:hAnsi="Arial"/>
          <w:sz w:val="18"/>
          <w:szCs w:val="18"/>
          <w:u w:val="single" w:color="auto"/>
          <w:color w:val="auto"/>
        </w:rPr>
        <w:t>Consolidated Unsecured Leverage Ratio.</w:t>
      </w:r>
      <w:r>
        <w:rPr>
          <w:rFonts w:ascii="Arial" w:cs="Arial" w:eastAsia="Arial" w:hAnsi="Arial"/>
          <w:sz w:val="18"/>
          <w:szCs w:val="18"/>
          <w:color w:val="auto"/>
        </w:rPr>
        <w:t xml:space="preserve"> Permit the Consolidated Unsecured Leverage Ratio at any time to be greater than</w:t>
      </w:r>
    </w:p>
    <w:p>
      <w:pPr>
        <w:spacing w:after="0" w:line="4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60%.</w:t>
      </w:r>
    </w:p>
    <w:p>
      <w:pPr>
        <w:spacing w:after="0" w:line="229"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20"/>
          <w:szCs w:val="20"/>
          <w:color w:val="auto"/>
        </w:rPr>
        <w:t xml:space="preserve">7.12. </w:t>
      </w:r>
      <w:r>
        <w:rPr>
          <w:rFonts w:ascii="Arial" w:cs="Arial" w:eastAsia="Arial" w:hAnsi="Arial"/>
          <w:sz w:val="20"/>
          <w:szCs w:val="20"/>
          <w:u w:val="single" w:color="auto"/>
          <w:color w:val="auto"/>
        </w:rPr>
        <w:t>Accounting Changes</w:t>
      </w:r>
      <w:r>
        <w:rPr>
          <w:rFonts w:ascii="Arial" w:cs="Arial" w:eastAsia="Arial" w:hAnsi="Arial"/>
          <w:sz w:val="20"/>
          <w:szCs w:val="20"/>
          <w:color w:val="auto"/>
        </w:rPr>
        <w:t>. Make any change in (a) accounting policies or reporting practices, except as required or permitted by GAAP, or (b) fiscal year.</w:t>
      </w:r>
    </w:p>
    <w:p>
      <w:pPr>
        <w:spacing w:after="0" w:line="191" w:lineRule="exact"/>
        <w:rPr>
          <w:sz w:val="20"/>
          <w:szCs w:val="20"/>
          <w:color w:val="auto"/>
        </w:rPr>
      </w:pPr>
    </w:p>
    <w:p>
      <w:pPr>
        <w:jc w:val="both"/>
        <w:ind w:firstLine="599"/>
        <w:spacing w:after="0" w:line="282"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Amendment, Waivers and Terminations of Certain Agreements</w:t>
      </w:r>
      <w:r>
        <w:rPr>
          <w:rFonts w:ascii="Arial" w:cs="Arial" w:eastAsia="Arial" w:hAnsi="Arial"/>
          <w:sz w:val="18"/>
          <w:szCs w:val="18"/>
          <w:color w:val="auto"/>
        </w:rPr>
        <w:t xml:space="preserve">. Directly or indirectly, consent to, approve, authorize or otherwise suffer or permit (a) any amendment, change, cancellation, termination or waiver in any respect of (i) the terms of any Organization Document of any Loan Party or any Subsidiary thereof that owns or ground leases an Unencumbered Eligible Property, other than amendments, changes and modifications that are not adverse in any material respect to the REIT, any of the other Loan Parties, any Subsidiary thereof that owns or ground leases an Unencumbered Eligible Property, the Administrative Agent or the Lenders or (ii) the terms of any Contractual Obligation of any Loan Party or any Subsidiary thereof that owns or ground leases an Unencumbered Eligible Property, except as could not reasonably be expected to have a Material Adverse Effect or (b) any amendment, change or other modification in respect of the terms of the tax protection agreement set forth on </w:t>
      </w:r>
      <w:r>
        <w:rPr>
          <w:rFonts w:ascii="Arial" w:cs="Arial" w:eastAsia="Arial" w:hAnsi="Arial"/>
          <w:sz w:val="18"/>
          <w:szCs w:val="18"/>
          <w:u w:val="single" w:color="auto"/>
          <w:color w:val="auto"/>
        </w:rPr>
        <w:t>Schedule 5.11</w:t>
      </w:r>
      <w:r>
        <w:rPr>
          <w:rFonts w:ascii="Arial" w:cs="Arial" w:eastAsia="Arial" w:hAnsi="Arial"/>
          <w:sz w:val="18"/>
          <w:szCs w:val="18"/>
          <w:color w:val="auto"/>
        </w:rPr>
        <w:t>, other than amendments, changes and modifications</w:t>
      </w:r>
    </w:p>
    <w:p>
      <w:pPr>
        <w:spacing w:after="0" w:line="190"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70</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75" w:name="page476"/>
    <w:bookmarkEnd w:id="475"/>
    <w:p>
      <w:pPr>
        <w:jc w:val="both"/>
        <w:spacing w:after="0" w:line="272" w:lineRule="auto"/>
        <w:rPr>
          <w:sz w:val="20"/>
          <w:szCs w:val="20"/>
          <w:color w:val="auto"/>
        </w:rPr>
      </w:pPr>
      <w:r>
        <w:rPr>
          <w:rFonts w:ascii="Arial" w:cs="Arial" w:eastAsia="Arial" w:hAnsi="Arial"/>
          <w:sz w:val="20"/>
          <w:szCs w:val="20"/>
          <w:color w:val="auto"/>
        </w:rPr>
        <w:t>that are not adverse to the REIT, any of the other Loan Parties, any Subsidiary thereof that owns or ground leases an Unencumbered Eligible Property, the Administrative Agent or the Lenders.</w:t>
      </w:r>
    </w:p>
    <w:p>
      <w:pPr>
        <w:spacing w:after="0" w:line="191" w:lineRule="exact"/>
        <w:rPr>
          <w:sz w:val="20"/>
          <w:szCs w:val="20"/>
          <w:color w:val="auto"/>
        </w:rPr>
      </w:pPr>
    </w:p>
    <w:p>
      <w:pPr>
        <w:jc w:val="both"/>
        <w:ind w:firstLine="599"/>
        <w:spacing w:after="0" w:line="250" w:lineRule="auto"/>
        <w:rPr>
          <w:sz w:val="20"/>
          <w:szCs w:val="20"/>
          <w:color w:val="auto"/>
        </w:rPr>
      </w:pPr>
      <w:r>
        <w:rPr>
          <w:rFonts w:ascii="Arial" w:cs="Arial" w:eastAsia="Arial" w:hAnsi="Arial"/>
          <w:sz w:val="20"/>
          <w:szCs w:val="20"/>
          <w:color w:val="auto"/>
        </w:rPr>
        <w:t xml:space="preserve">7.14. </w:t>
      </w:r>
      <w:r>
        <w:rPr>
          <w:rFonts w:ascii="Arial" w:cs="Arial" w:eastAsia="Arial" w:hAnsi="Arial"/>
          <w:sz w:val="20"/>
          <w:szCs w:val="20"/>
          <w:u w:val="single" w:color="auto"/>
          <w:color w:val="auto"/>
        </w:rPr>
        <w:t>Tax Sharing and Indemnification Agreements</w:t>
      </w:r>
      <w:r>
        <w:rPr>
          <w:rFonts w:ascii="Arial" w:cs="Arial" w:eastAsia="Arial" w:hAnsi="Arial"/>
          <w:sz w:val="20"/>
          <w:szCs w:val="20"/>
          <w:color w:val="auto"/>
        </w:rPr>
        <w:t xml:space="preserve">. Enter into any tax sharing, tax indemnification or other similar agreement, except for the tax protection agreement existing on the Third Amendment Effective Date and set forth on </w:t>
      </w:r>
      <w:r>
        <w:rPr>
          <w:rFonts w:ascii="Arial" w:cs="Arial" w:eastAsia="Arial" w:hAnsi="Arial"/>
          <w:sz w:val="20"/>
          <w:szCs w:val="20"/>
          <w:u w:val="single" w:color="auto"/>
          <w:color w:val="auto"/>
        </w:rPr>
        <w:t>Schedule 5.11</w:t>
      </w:r>
      <w:r>
        <w:rPr>
          <w:rFonts w:ascii="Arial" w:cs="Arial" w:eastAsia="Arial" w:hAnsi="Arial"/>
          <w:sz w:val="20"/>
          <w:szCs w:val="20"/>
          <w:color w:val="auto"/>
        </w:rPr>
        <w:t xml:space="preserve"> and any such other agreements entered into after the Third Amendment Effective Date that (i) are not materially more onerous on the Borrower than the agreement set forth on </w:t>
      </w:r>
      <w:r>
        <w:rPr>
          <w:rFonts w:ascii="Arial" w:cs="Arial" w:eastAsia="Arial" w:hAnsi="Arial"/>
          <w:sz w:val="20"/>
          <w:szCs w:val="20"/>
          <w:u w:val="single" w:color="auto"/>
          <w:color w:val="auto"/>
        </w:rPr>
        <w:t>Schedule 5.11</w:t>
      </w:r>
      <w:r>
        <w:rPr>
          <w:rFonts w:ascii="Arial" w:cs="Arial" w:eastAsia="Arial" w:hAnsi="Arial"/>
          <w:sz w:val="20"/>
          <w:szCs w:val="20"/>
          <w:color w:val="auto"/>
        </w:rPr>
        <w:t xml:space="preserve"> (as in effect on the Third Amendment Effective Date) and (ii) do not have terms, provisions, covenants, obligations, indemnification provisions or remedies that are materially more adverse to, or materially more burdensome on, the Borrower than those contained in the agreement set forth on </w:t>
      </w:r>
      <w:r>
        <w:rPr>
          <w:rFonts w:ascii="Arial" w:cs="Arial" w:eastAsia="Arial" w:hAnsi="Arial"/>
          <w:sz w:val="20"/>
          <w:szCs w:val="20"/>
          <w:u w:val="single" w:color="auto"/>
          <w:color w:val="auto"/>
        </w:rPr>
        <w:t>Schedule 5.11</w:t>
      </w:r>
      <w:r>
        <w:rPr>
          <w:rFonts w:ascii="Arial" w:cs="Arial" w:eastAsia="Arial" w:hAnsi="Arial"/>
          <w:sz w:val="20"/>
          <w:szCs w:val="20"/>
          <w:color w:val="auto"/>
        </w:rPr>
        <w:t xml:space="preserve"> (as in effect on the Third Amendment Effective Date); </w:t>
      </w:r>
      <w:r>
        <w:rPr>
          <w:rFonts w:ascii="Arial" w:cs="Arial" w:eastAsia="Arial" w:hAnsi="Arial"/>
          <w:sz w:val="20"/>
          <w:szCs w:val="20"/>
          <w:u w:val="single" w:color="auto"/>
          <w:color w:val="auto"/>
        </w:rPr>
        <w:t>provided</w:t>
      </w:r>
      <w:r>
        <w:rPr>
          <w:rFonts w:ascii="Arial" w:cs="Arial" w:eastAsia="Arial" w:hAnsi="Arial"/>
          <w:sz w:val="20"/>
          <w:szCs w:val="20"/>
          <w:color w:val="auto"/>
        </w:rPr>
        <w:t>, that in no event shall any Loan Party or Subsidiary thereof (other than the Borrower) (i) have any duties or obligations under any tax sharing, tax indemnification or other similar agreement or (ii) provide any Guarantee or other credit support of any kind with respect to any such agreement.</w:t>
      </w:r>
    </w:p>
    <w:p>
      <w:pPr>
        <w:spacing w:after="0" w:line="217"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 xml:space="preserve">7.15. </w:t>
      </w:r>
      <w:r>
        <w:rPr>
          <w:rFonts w:ascii="Arial" w:cs="Arial" w:eastAsia="Arial" w:hAnsi="Arial"/>
          <w:sz w:val="20"/>
          <w:szCs w:val="20"/>
          <w:u w:val="single" w:color="auto"/>
          <w:color w:val="auto"/>
        </w:rPr>
        <w:t>Sanctions; Anti-Corruption Laws</w:t>
      </w:r>
      <w:r>
        <w:rPr>
          <w:rFonts w:ascii="Arial" w:cs="Arial" w:eastAsia="Arial" w:hAnsi="Arial"/>
          <w:sz w:val="20"/>
          <w:szCs w:val="20"/>
          <w:color w:val="auto"/>
        </w:rPr>
        <w:t>. Request any Credit Extension, or use, and shall ensure that its Subsidiaries and its or their respective directors, officers, employees and agents shall not use, the proceeds of any Credit Extension (i) in furtherance of an offer, payment, promise to pay, or authorization of the payment or giving of money, or anything else of value, to any Person in violation of any Anti-Corruption Laws or (ii) in any manner that would result in the violation of any applicable Sanctions.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EVENTS OF DEFAULT AND REMEDIES</w:t>
      </w:r>
    </w:p>
    <w:p>
      <w:pPr>
        <w:spacing w:after="0" w:line="229"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8.01.</w:t>
      </w:r>
      <w:r>
        <w:rPr>
          <w:sz w:val="20"/>
          <w:szCs w:val="20"/>
          <w:color w:val="auto"/>
        </w:rPr>
        <w:tab/>
      </w:r>
      <w:r>
        <w:rPr>
          <w:rFonts w:ascii="Arial" w:cs="Arial" w:eastAsia="Arial" w:hAnsi="Arial"/>
          <w:sz w:val="18"/>
          <w:szCs w:val="18"/>
          <w:u w:val="single" w:color="auto"/>
          <w:color w:val="auto"/>
        </w:rPr>
        <w:t>Events of Default</w:t>
      </w:r>
      <w:r>
        <w:rPr>
          <w:rFonts w:ascii="Arial" w:cs="Arial" w:eastAsia="Arial" w:hAnsi="Arial"/>
          <w:sz w:val="18"/>
          <w:szCs w:val="18"/>
          <w:color w:val="auto"/>
        </w:rPr>
        <w:t>. Any of the following shall constitute an Event of Default:</w:t>
      </w:r>
    </w:p>
    <w:p>
      <w:pPr>
        <w:spacing w:after="0" w:line="245" w:lineRule="exact"/>
        <w:rPr>
          <w:sz w:val="20"/>
          <w:szCs w:val="20"/>
          <w:color w:val="auto"/>
        </w:rPr>
      </w:pPr>
    </w:p>
    <w:p>
      <w:pPr>
        <w:jc w:val="both"/>
        <w:ind w:firstLine="599"/>
        <w:spacing w:after="0" w:line="256" w:lineRule="auto"/>
        <w:tabs>
          <w:tab w:leader="none" w:pos="1421" w:val="left"/>
        </w:tabs>
        <w:numPr>
          <w:ilvl w:val="0"/>
          <w:numId w:val="570"/>
        </w:numPr>
        <w:rPr>
          <w:rFonts w:ascii="Arial" w:cs="Arial" w:eastAsia="Arial" w:hAnsi="Arial"/>
          <w:sz w:val="20"/>
          <w:szCs w:val="20"/>
          <w:color w:val="auto"/>
        </w:rPr>
      </w:pPr>
      <w:r>
        <w:rPr>
          <w:rFonts w:ascii="Arial" w:cs="Arial" w:eastAsia="Arial" w:hAnsi="Arial"/>
          <w:sz w:val="20"/>
          <w:szCs w:val="20"/>
          <w:u w:val="single" w:color="auto"/>
          <w:color w:val="auto"/>
        </w:rPr>
        <w:t>Non-Payment</w:t>
      </w:r>
      <w:r>
        <w:rPr>
          <w:rFonts w:ascii="Arial" w:cs="Arial" w:eastAsia="Arial" w:hAnsi="Arial"/>
          <w:sz w:val="20"/>
          <w:szCs w:val="20"/>
          <w:color w:val="auto"/>
        </w:rPr>
        <w:t>. The Borrower or any other Loan Party fails to (i) pay when and as required to be paid herein, any amount of principal of any Loan, or (ii) pay within three Business Days after the same becomes due, any interest on any Loan, the Prepayment Premium or any fee due hereunder, or (iii) pay within five Business Days after the same becomes due, any other amount payable hereunder or under any other Loan Document; or</w:t>
      </w:r>
    </w:p>
    <w:p>
      <w:pPr>
        <w:spacing w:after="0" w:line="205" w:lineRule="exact"/>
        <w:rPr>
          <w:rFonts w:ascii="Arial" w:cs="Arial" w:eastAsia="Arial" w:hAnsi="Arial"/>
          <w:sz w:val="20"/>
          <w:szCs w:val="20"/>
          <w:color w:val="auto"/>
        </w:rPr>
      </w:pPr>
    </w:p>
    <w:p>
      <w:pPr>
        <w:jc w:val="both"/>
        <w:ind w:firstLine="599"/>
        <w:spacing w:after="0" w:line="256" w:lineRule="auto"/>
        <w:tabs>
          <w:tab w:leader="none" w:pos="1432" w:val="left"/>
        </w:tabs>
        <w:numPr>
          <w:ilvl w:val="0"/>
          <w:numId w:val="570"/>
        </w:numPr>
        <w:rPr>
          <w:rFonts w:ascii="Arial" w:cs="Arial" w:eastAsia="Arial" w:hAnsi="Arial"/>
          <w:sz w:val="20"/>
          <w:szCs w:val="20"/>
          <w:color w:val="auto"/>
        </w:rPr>
      </w:pPr>
      <w:r>
        <w:rPr>
          <w:rFonts w:ascii="Arial" w:cs="Arial" w:eastAsia="Arial" w:hAnsi="Arial"/>
          <w:sz w:val="20"/>
          <w:szCs w:val="20"/>
          <w:color w:val="auto"/>
        </w:rPr>
        <w:t xml:space="preserve">The Borrower or the REIT fails to perform or observe any term, covenant or agreement contained in any of </w:t>
      </w:r>
      <w:r>
        <w:rPr>
          <w:rFonts w:ascii="Arial" w:cs="Arial" w:eastAsia="Arial" w:hAnsi="Arial"/>
          <w:sz w:val="20"/>
          <w:szCs w:val="20"/>
          <w:u w:val="single" w:color="auto"/>
          <w:color w:val="auto"/>
        </w:rPr>
        <w:t>Sections 6.01(a),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6.01(b)</w:t>
      </w:r>
      <w:r>
        <w:rPr>
          <w:rFonts w:ascii="Arial" w:cs="Arial" w:eastAsia="Arial" w:hAnsi="Arial"/>
          <w:sz w:val="20"/>
          <w:szCs w:val="20"/>
          <w:color w:val="auto"/>
        </w:rPr>
        <w:t xml:space="preserve">, </w:t>
      </w:r>
      <w:r>
        <w:rPr>
          <w:rFonts w:ascii="Arial" w:cs="Arial" w:eastAsia="Arial" w:hAnsi="Arial"/>
          <w:sz w:val="20"/>
          <w:szCs w:val="20"/>
          <w:u w:val="single" w:color="auto"/>
          <w:color w:val="auto"/>
        </w:rPr>
        <w:t>6.02 (</w:t>
      </w:r>
      <w:r>
        <w:rPr>
          <w:rFonts w:ascii="Arial" w:cs="Arial" w:eastAsia="Arial" w:hAnsi="Arial"/>
          <w:sz w:val="20"/>
          <w:szCs w:val="20"/>
          <w:color w:val="auto"/>
        </w:rPr>
        <w:t xml:space="preserve">other than </w:t>
      </w:r>
      <w:r>
        <w:rPr>
          <w:rFonts w:ascii="Arial" w:cs="Arial" w:eastAsia="Arial" w:hAnsi="Arial"/>
          <w:sz w:val="20"/>
          <w:szCs w:val="20"/>
          <w:u w:val="single" w:color="auto"/>
          <w:color w:val="auto"/>
        </w:rPr>
        <w:t>6.02(h)</w:t>
      </w:r>
      <w:r>
        <w:rPr>
          <w:rFonts w:ascii="Arial" w:cs="Arial" w:eastAsia="Arial" w:hAnsi="Arial"/>
          <w:sz w:val="20"/>
          <w:szCs w:val="20"/>
          <w:color w:val="auto"/>
        </w:rPr>
        <w:t xml:space="preserve">), </w:t>
      </w:r>
      <w:r>
        <w:rPr>
          <w:rFonts w:ascii="Arial" w:cs="Arial" w:eastAsia="Arial" w:hAnsi="Arial"/>
          <w:sz w:val="20"/>
          <w:szCs w:val="20"/>
          <w:u w:val="single" w:color="auto"/>
          <w:color w:val="auto"/>
        </w:rPr>
        <w:t>6.03</w:t>
      </w:r>
      <w:r>
        <w:rPr>
          <w:rFonts w:ascii="Arial" w:cs="Arial" w:eastAsia="Arial" w:hAnsi="Arial"/>
          <w:sz w:val="20"/>
          <w:szCs w:val="20"/>
          <w:color w:val="auto"/>
        </w:rPr>
        <w:t xml:space="preserve">, </w:t>
      </w:r>
      <w:r>
        <w:rPr>
          <w:rFonts w:ascii="Arial" w:cs="Arial" w:eastAsia="Arial" w:hAnsi="Arial"/>
          <w:sz w:val="20"/>
          <w:szCs w:val="20"/>
          <w:u w:val="single" w:color="auto"/>
          <w:color w:val="auto"/>
        </w:rPr>
        <w:t>6.05</w:t>
      </w:r>
      <w:r>
        <w:rPr>
          <w:rFonts w:ascii="Arial" w:cs="Arial" w:eastAsia="Arial" w:hAnsi="Arial"/>
          <w:sz w:val="20"/>
          <w:szCs w:val="20"/>
          <w:color w:val="auto"/>
        </w:rPr>
        <w:t xml:space="preserve">, (with respect to the existence of the Borrower, the REIT, each Direct Owner and each Indirect Owner), </w:t>
      </w:r>
      <w:r>
        <w:rPr>
          <w:rFonts w:ascii="Arial" w:cs="Arial" w:eastAsia="Arial" w:hAnsi="Arial"/>
          <w:sz w:val="20"/>
          <w:szCs w:val="20"/>
          <w:u w:val="single" w:color="auto"/>
          <w:color w:val="auto"/>
        </w:rPr>
        <w:t>6.07</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6.11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VII</w:t>
      </w:r>
      <w:r>
        <w:rPr>
          <w:rFonts w:ascii="Arial" w:cs="Arial" w:eastAsia="Arial" w:hAnsi="Arial"/>
          <w:sz w:val="20"/>
          <w:szCs w:val="20"/>
          <w:color w:val="auto"/>
        </w:rPr>
        <w:t>, or any of the Loan Parties fails to perform or observe any term, covenant or agreement contained in the Guaranty Agreement; or</w:t>
      </w:r>
    </w:p>
    <w:p>
      <w:pPr>
        <w:spacing w:after="0" w:line="205" w:lineRule="exact"/>
        <w:rPr>
          <w:rFonts w:ascii="Arial" w:cs="Arial" w:eastAsia="Arial" w:hAnsi="Arial"/>
          <w:sz w:val="20"/>
          <w:szCs w:val="20"/>
          <w:color w:val="auto"/>
        </w:rPr>
      </w:pPr>
    </w:p>
    <w:p>
      <w:pPr>
        <w:jc w:val="both"/>
        <w:ind w:firstLine="599"/>
        <w:spacing w:after="0" w:line="260" w:lineRule="auto"/>
        <w:tabs>
          <w:tab w:leader="none" w:pos="1421" w:val="left"/>
        </w:tabs>
        <w:numPr>
          <w:ilvl w:val="0"/>
          <w:numId w:val="570"/>
        </w:numPr>
        <w:rPr>
          <w:rFonts w:ascii="Arial" w:cs="Arial" w:eastAsia="Arial" w:hAnsi="Arial"/>
          <w:sz w:val="20"/>
          <w:szCs w:val="20"/>
          <w:color w:val="auto"/>
        </w:rPr>
      </w:pPr>
      <w:r>
        <w:rPr>
          <w:rFonts w:ascii="Arial" w:cs="Arial" w:eastAsia="Arial" w:hAnsi="Arial"/>
          <w:sz w:val="20"/>
          <w:szCs w:val="20"/>
          <w:u w:val="single" w:color="auto"/>
          <w:color w:val="auto"/>
        </w:rPr>
        <w:t>Other Defaults</w:t>
      </w:r>
      <w:r>
        <w:rPr>
          <w:rFonts w:ascii="Arial" w:cs="Arial" w:eastAsia="Arial" w:hAnsi="Arial"/>
          <w:sz w:val="20"/>
          <w:szCs w:val="20"/>
          <w:color w:val="auto"/>
        </w:rPr>
        <w:t xml:space="preserve">. Any Loan Party fails to perform or observe (i) the covenant set forth in </w:t>
      </w:r>
      <w:r>
        <w:rPr>
          <w:rFonts w:ascii="Arial" w:cs="Arial" w:eastAsia="Arial" w:hAnsi="Arial"/>
          <w:sz w:val="20"/>
          <w:szCs w:val="20"/>
          <w:u w:val="single" w:color="auto"/>
          <w:color w:val="auto"/>
        </w:rPr>
        <w:t>Section 6.12</w:t>
      </w:r>
      <w:r>
        <w:rPr>
          <w:rFonts w:ascii="Arial" w:cs="Arial" w:eastAsia="Arial" w:hAnsi="Arial"/>
          <w:sz w:val="20"/>
          <w:szCs w:val="20"/>
          <w:color w:val="auto"/>
        </w:rPr>
        <w:t xml:space="preserve">, and such failure continues for ten (10) Business Days or (ii) any other covenant or agreement (not specified in </w:t>
      </w:r>
      <w:r>
        <w:rPr>
          <w:rFonts w:ascii="Arial" w:cs="Arial" w:eastAsia="Arial" w:hAnsi="Arial"/>
          <w:sz w:val="20"/>
          <w:szCs w:val="20"/>
          <w:u w:val="single" w:color="auto"/>
          <w:color w:val="auto"/>
        </w:rPr>
        <w:t>Section 8.01(a)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(c)(i)</w:t>
      </w:r>
      <w:r>
        <w:rPr>
          <w:rFonts w:ascii="Arial" w:cs="Arial" w:eastAsia="Arial" w:hAnsi="Arial"/>
          <w:sz w:val="20"/>
          <w:szCs w:val="20"/>
          <w:color w:val="auto"/>
        </w:rPr>
        <w:t xml:space="preserve"> above) contained in any Loan Document on its part to be performed or observed and such failure continues for 30 days; or</w:t>
      </w:r>
    </w:p>
    <w:p>
      <w:pPr>
        <w:spacing w:after="0" w:line="201" w:lineRule="exact"/>
        <w:rPr>
          <w:rFonts w:ascii="Arial" w:cs="Arial" w:eastAsia="Arial" w:hAnsi="Arial"/>
          <w:sz w:val="20"/>
          <w:szCs w:val="20"/>
          <w:color w:val="auto"/>
        </w:rPr>
      </w:pPr>
    </w:p>
    <w:p>
      <w:pPr>
        <w:jc w:val="both"/>
        <w:ind w:firstLine="599"/>
        <w:spacing w:after="0" w:line="280" w:lineRule="auto"/>
        <w:tabs>
          <w:tab w:leader="none" w:pos="1432" w:val="left"/>
        </w:tabs>
        <w:numPr>
          <w:ilvl w:val="0"/>
          <w:numId w:val="570"/>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Any representation, warranty, certification or statement of fact made or deemed made by or on behalf of the Borrower or any other Loan Party herein, in any other Loan Document, or in any document delivered in connection herewith or therewith shall be incorrect or misleading in any material respect when made or deemed made; or</w:t>
      </w:r>
    </w:p>
    <w:p>
      <w:pPr>
        <w:spacing w:after="0" w:line="200" w:lineRule="exact"/>
        <w:rPr>
          <w:sz w:val="20"/>
          <w:szCs w:val="20"/>
          <w:color w:val="auto"/>
        </w:rPr>
      </w:pPr>
    </w:p>
    <w:p>
      <w:pPr>
        <w:spacing w:after="0" w:line="22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71</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76" w:name="page477"/>
    <w:bookmarkEnd w:id="476"/>
    <w:p>
      <w:pPr>
        <w:jc w:val="both"/>
        <w:ind w:firstLine="599"/>
        <w:spacing w:after="0" w:line="280" w:lineRule="auto"/>
        <w:tabs>
          <w:tab w:leader="none" w:pos="1421" w:val="left"/>
        </w:tabs>
        <w:numPr>
          <w:ilvl w:val="0"/>
          <w:numId w:val="571"/>
        </w:numPr>
        <w:rPr>
          <w:rFonts w:ascii="Arial" w:cs="Arial" w:eastAsia="Arial" w:hAnsi="Arial"/>
          <w:sz w:val="18"/>
          <w:szCs w:val="18"/>
          <w:color w:val="auto"/>
        </w:rPr>
      </w:pPr>
      <w:r>
        <w:rPr>
          <w:rFonts w:ascii="Arial" w:cs="Arial" w:eastAsia="Arial" w:hAnsi="Arial"/>
          <w:sz w:val="18"/>
          <w:szCs w:val="18"/>
          <w:u w:val="single" w:color="auto"/>
          <w:color w:val="auto"/>
        </w:rPr>
        <w:t>Cross-Default</w:t>
      </w:r>
      <w:r>
        <w:rPr>
          <w:rFonts w:ascii="Arial" w:cs="Arial" w:eastAsia="Arial" w:hAnsi="Arial"/>
          <w:sz w:val="18"/>
          <w:szCs w:val="18"/>
          <w:color w:val="auto"/>
        </w:rPr>
        <w:t>. (i) Any Loan Party or any Subsidiary thereof (A) fails to make any payment when due (whether by scheduled maturity, required prepayment, acceleration, demand, or otherwise) in respect of (x) any Recourse Indebtedness (other than Indebtedness hereunder) having an aggregate principal amount (including undrawn committed or available amounts and including amounts owing to all creditors under any combined or syndicated credit arrangement) of more than $25,000,000, or (y) any Non-Recourse Indebtedness having an aggregate principal amount (including undrawn committed or available amounts and including amounts owing to all creditors under any combined or syndicated credit arrangement) of more than $50,000,000 or (B) fails to observe or perform any other agreement or condition relating to any such Indebtedness or contained in any instrument or agreement evidencing, securing or relating thereto, or any other event occurs, the effect of which default or other event is to cause, or to permit the holder or holders of such Indebtedness (or a trustee or agent on behalf of such holder or holders)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cash collateral in respect thereof to be demanded; or</w:t>
      </w:r>
    </w:p>
    <w:p>
      <w:pPr>
        <w:spacing w:after="0" w:line="191" w:lineRule="exact"/>
        <w:rPr>
          <w:rFonts w:ascii="Arial" w:cs="Arial" w:eastAsia="Arial" w:hAnsi="Arial"/>
          <w:sz w:val="18"/>
          <w:szCs w:val="18"/>
          <w:color w:val="auto"/>
        </w:rPr>
      </w:pPr>
    </w:p>
    <w:p>
      <w:pPr>
        <w:jc w:val="both"/>
        <w:ind w:firstLine="599"/>
        <w:spacing w:after="0" w:line="284" w:lineRule="auto"/>
        <w:tabs>
          <w:tab w:leader="none" w:pos="1399" w:val="left"/>
        </w:tabs>
        <w:numPr>
          <w:ilvl w:val="0"/>
          <w:numId w:val="571"/>
        </w:numPr>
        <w:rPr>
          <w:rFonts w:ascii="Arial" w:cs="Arial" w:eastAsia="Arial" w:hAnsi="Arial"/>
          <w:sz w:val="18"/>
          <w:szCs w:val="18"/>
          <w:color w:val="auto"/>
        </w:rPr>
      </w:pPr>
      <w:r>
        <w:rPr>
          <w:rFonts w:ascii="Arial" w:cs="Arial" w:eastAsia="Arial" w:hAnsi="Arial"/>
          <w:sz w:val="18"/>
          <w:szCs w:val="18"/>
          <w:u w:val="single" w:color="auto"/>
          <w:color w:val="auto"/>
        </w:rPr>
        <w:t>Insolvency Proceedings, Etc</w:t>
      </w:r>
      <w:r>
        <w:rPr>
          <w:rFonts w:ascii="Arial" w:cs="Arial" w:eastAsia="Arial" w:hAnsi="Arial"/>
          <w:sz w:val="18"/>
          <w:szCs w:val="18"/>
          <w:color w:val="auto"/>
        </w:rPr>
        <w:t>. Any Loan Party or any Significant Subsidiary thereof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83" w:lineRule="exact"/>
        <w:rPr>
          <w:rFonts w:ascii="Arial" w:cs="Arial" w:eastAsia="Arial" w:hAnsi="Arial"/>
          <w:sz w:val="18"/>
          <w:szCs w:val="18"/>
          <w:color w:val="auto"/>
        </w:rPr>
      </w:pPr>
    </w:p>
    <w:p>
      <w:pPr>
        <w:jc w:val="both"/>
        <w:ind w:firstLine="599"/>
        <w:spacing w:after="0" w:line="256" w:lineRule="auto"/>
        <w:tabs>
          <w:tab w:leader="none" w:pos="1432" w:val="left"/>
        </w:tabs>
        <w:numPr>
          <w:ilvl w:val="0"/>
          <w:numId w:val="571"/>
        </w:numPr>
        <w:rPr>
          <w:rFonts w:ascii="Arial" w:cs="Arial" w:eastAsia="Arial" w:hAnsi="Arial"/>
          <w:sz w:val="20"/>
          <w:szCs w:val="20"/>
          <w:color w:val="auto"/>
        </w:rPr>
      </w:pPr>
      <w:r>
        <w:rPr>
          <w:rFonts w:ascii="Arial" w:cs="Arial" w:eastAsia="Arial" w:hAnsi="Arial"/>
          <w:sz w:val="20"/>
          <w:szCs w:val="20"/>
          <w:u w:val="single" w:color="auto"/>
          <w:color w:val="auto"/>
        </w:rPr>
        <w:t>Inability to Pay Debts; Attachment</w:t>
      </w:r>
      <w:r>
        <w:rPr>
          <w:rFonts w:ascii="Arial" w:cs="Arial" w:eastAsia="Arial" w:hAnsi="Arial"/>
          <w:sz w:val="20"/>
          <w:szCs w:val="20"/>
          <w:color w:val="auto"/>
        </w:rPr>
        <w:t>. (i) Any Loan Party or any Significant Subsidiary thereof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30 days after its issue or levy; or</w:t>
      </w:r>
    </w:p>
    <w:p>
      <w:pPr>
        <w:spacing w:after="0" w:line="205" w:lineRule="exact"/>
        <w:rPr>
          <w:rFonts w:ascii="Arial" w:cs="Arial" w:eastAsia="Arial" w:hAnsi="Arial"/>
          <w:sz w:val="20"/>
          <w:szCs w:val="20"/>
          <w:color w:val="auto"/>
        </w:rPr>
      </w:pPr>
    </w:p>
    <w:p>
      <w:pPr>
        <w:jc w:val="both"/>
        <w:ind w:firstLine="599"/>
        <w:spacing w:after="0" w:line="267" w:lineRule="auto"/>
        <w:tabs>
          <w:tab w:leader="none" w:pos="1432" w:val="left"/>
        </w:tabs>
        <w:numPr>
          <w:ilvl w:val="0"/>
          <w:numId w:val="571"/>
        </w:numPr>
        <w:rPr>
          <w:rFonts w:ascii="Arial" w:cs="Arial" w:eastAsia="Arial" w:hAnsi="Arial"/>
          <w:sz w:val="19"/>
          <w:szCs w:val="19"/>
          <w:color w:val="auto"/>
        </w:rPr>
      </w:pPr>
      <w:r>
        <w:rPr>
          <w:rFonts w:ascii="Arial" w:cs="Arial" w:eastAsia="Arial" w:hAnsi="Arial"/>
          <w:sz w:val="19"/>
          <w:szCs w:val="19"/>
          <w:u w:val="single" w:color="auto"/>
          <w:color w:val="auto"/>
        </w:rPr>
        <w:t>Judgments</w:t>
      </w:r>
      <w:r>
        <w:rPr>
          <w:rFonts w:ascii="Arial" w:cs="Arial" w:eastAsia="Arial" w:hAnsi="Arial"/>
          <w:sz w:val="19"/>
          <w:szCs w:val="19"/>
          <w:color w:val="auto"/>
        </w:rPr>
        <w:t>. There is entered against any Loan Party or any Significant Subsidiary thereof (i) one or more final judgments or orders for the payment of money in an aggregate amount (as to all such judgments and orders) exceeding the Threshold Amount (to the extent not covered by independent third-party insurance as to which the insurer is rated at least “A” by A.M. Best Company, has been notified of the potential claim and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30 consecutive days during which a stay of enforcement of such judgment, by reason of a pending appeal or otherwise, is not in effect; or</w:t>
      </w:r>
    </w:p>
    <w:p>
      <w:pPr>
        <w:spacing w:after="0" w:line="196" w:lineRule="exact"/>
        <w:rPr>
          <w:rFonts w:ascii="Arial" w:cs="Arial" w:eastAsia="Arial" w:hAnsi="Arial"/>
          <w:sz w:val="19"/>
          <w:szCs w:val="19"/>
          <w:color w:val="auto"/>
        </w:rPr>
      </w:pPr>
    </w:p>
    <w:p>
      <w:pPr>
        <w:jc w:val="both"/>
        <w:ind w:firstLine="599"/>
        <w:spacing w:after="0" w:line="251" w:lineRule="auto"/>
        <w:tabs>
          <w:tab w:leader="none" w:pos="1387" w:val="left"/>
        </w:tabs>
        <w:numPr>
          <w:ilvl w:val="0"/>
          <w:numId w:val="571"/>
        </w:numPr>
        <w:rPr>
          <w:rFonts w:ascii="Arial" w:cs="Arial" w:eastAsia="Arial" w:hAnsi="Arial"/>
          <w:sz w:val="20"/>
          <w:szCs w:val="20"/>
          <w:color w:val="auto"/>
        </w:rPr>
      </w:pPr>
      <w:r>
        <w:rPr>
          <w:rFonts w:ascii="Arial" w:cs="Arial" w:eastAsia="Arial" w:hAnsi="Arial"/>
          <w:sz w:val="20"/>
          <w:szCs w:val="20"/>
          <w:u w:val="single" w:color="auto"/>
          <w:color w:val="auto"/>
        </w:rPr>
        <w:t>ERISA</w:t>
      </w:r>
      <w:r>
        <w:rPr>
          <w:rFonts w:ascii="Arial" w:cs="Arial" w:eastAsia="Arial" w:hAnsi="Arial"/>
          <w:sz w:val="20"/>
          <w:szCs w:val="20"/>
          <w:color w:val="auto"/>
        </w:rPr>
        <w:t>. (i) An ERISA Event occurs with respect to a Pension Plan which has resulted or could reasonably be expected to result in liability of any Loan Party or any Subsidiary thereof to the Pension Plan or the PBGC in an aggregate amount in excess of the Threshold Amount, (ii) any Loan Party or any ERISA Affiliate fails to pay when due, after the expiration of any applicable grace period, any installment payment with respect to its withdrawal liability under Section 4201 of ERISA under a Multiemployer Plan in an aggregate amount in excess of the Threshold Amount, or (iii) an ERISA Event occurs with respect to a Multiemployer Plan which has resulted or could reasonably be expected to result in an annual liability of any Loan Party or any Subsidiary thereof to the Multiemployer Plan or the PBGC in an aggregate amount</w:t>
      </w:r>
    </w:p>
    <w:p>
      <w:pPr>
        <w:spacing w:after="0" w:line="21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72</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77" w:name="page478"/>
    <w:bookmarkEnd w:id="477"/>
    <w:p>
      <w:pPr>
        <w:spacing w:after="0" w:line="272" w:lineRule="auto"/>
        <w:rPr>
          <w:sz w:val="20"/>
          <w:szCs w:val="20"/>
          <w:color w:val="auto"/>
        </w:rPr>
      </w:pPr>
      <w:r>
        <w:rPr>
          <w:rFonts w:ascii="Arial" w:cs="Arial" w:eastAsia="Arial" w:hAnsi="Arial"/>
          <w:sz w:val="20"/>
          <w:szCs w:val="20"/>
          <w:color w:val="auto"/>
        </w:rPr>
        <w:t>in excess of the Threshold Amount or which, in the context of such continuing annual liability, otherwise has, or could reasonably be expect to result in, a Material Adverse Effect; or</w:t>
      </w:r>
    </w:p>
    <w:p>
      <w:pPr>
        <w:spacing w:after="0" w:line="191" w:lineRule="exact"/>
        <w:rPr>
          <w:sz w:val="20"/>
          <w:szCs w:val="20"/>
          <w:color w:val="auto"/>
        </w:rPr>
      </w:pPr>
    </w:p>
    <w:p>
      <w:pPr>
        <w:jc w:val="both"/>
        <w:ind w:firstLine="599"/>
        <w:spacing w:after="0" w:line="253" w:lineRule="auto"/>
        <w:tabs>
          <w:tab w:leader="none" w:pos="1387" w:val="left"/>
        </w:tabs>
        <w:numPr>
          <w:ilvl w:val="0"/>
          <w:numId w:val="572"/>
        </w:numPr>
        <w:rPr>
          <w:rFonts w:ascii="Arial" w:cs="Arial" w:eastAsia="Arial" w:hAnsi="Arial"/>
          <w:sz w:val="20"/>
          <w:szCs w:val="20"/>
          <w:color w:val="auto"/>
        </w:rPr>
      </w:pPr>
      <w:r>
        <w:rPr>
          <w:rFonts w:ascii="Arial" w:cs="Arial" w:eastAsia="Arial" w:hAnsi="Arial"/>
          <w:sz w:val="20"/>
          <w:szCs w:val="20"/>
          <w:u w:val="single" w:color="auto"/>
          <w:color w:val="auto"/>
        </w:rPr>
        <w:t>Invalidity of Loan Documents</w:t>
      </w:r>
      <w:r>
        <w:rPr>
          <w:rFonts w:ascii="Arial" w:cs="Arial" w:eastAsia="Arial" w:hAnsi="Arial"/>
          <w:sz w:val="20"/>
          <w:szCs w:val="20"/>
          <w:color w:val="auto"/>
        </w:rPr>
        <w:t>. Any material provision of any Loan Document, at any time after its execution and delivery and for any reason other than as expressly permitted hereunder or thereunder or satisfaction in full of all the Obligations, ceases to be in full force and effect; or any Loan Party or any other Person contests in any manner the validity or enforceability of any provision of any Loan Document; or any Loan Party denies that it has any or further liability or obligation under any provision of any Loan Document, or purports to revoke, terminate or rescind any provision of any Loan Document; or</w:t>
      </w:r>
    </w:p>
    <w:p>
      <w:pPr>
        <w:spacing w:after="0" w:line="211" w:lineRule="exact"/>
        <w:rPr>
          <w:rFonts w:ascii="Arial" w:cs="Arial" w:eastAsia="Arial" w:hAnsi="Arial"/>
          <w:sz w:val="20"/>
          <w:szCs w:val="20"/>
          <w:color w:val="auto"/>
        </w:rPr>
      </w:pPr>
    </w:p>
    <w:p>
      <w:pPr>
        <w:ind w:left="1440" w:hanging="841"/>
        <w:spacing w:after="0"/>
        <w:tabs>
          <w:tab w:leader="none" w:pos="1440" w:val="left"/>
        </w:tabs>
        <w:numPr>
          <w:ilvl w:val="0"/>
          <w:numId w:val="572"/>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There occurs any Change of Control; or</w:t>
      </w:r>
    </w:p>
    <w:p>
      <w:pPr>
        <w:spacing w:after="0" w:line="244" w:lineRule="exact"/>
        <w:rPr>
          <w:rFonts w:ascii="Arial" w:cs="Arial" w:eastAsia="Arial" w:hAnsi="Arial"/>
          <w:sz w:val="20"/>
          <w:szCs w:val="20"/>
          <w:color w:val="auto"/>
        </w:rPr>
      </w:pPr>
    </w:p>
    <w:p>
      <w:pPr>
        <w:ind w:firstLine="599"/>
        <w:spacing w:after="0" w:line="272" w:lineRule="auto"/>
        <w:tabs>
          <w:tab w:leader="none" w:pos="1387" w:val="left"/>
        </w:tabs>
        <w:numPr>
          <w:ilvl w:val="0"/>
          <w:numId w:val="572"/>
        </w:numPr>
        <w:rPr>
          <w:rFonts w:ascii="Arial" w:cs="Arial" w:eastAsia="Arial" w:hAnsi="Arial"/>
          <w:sz w:val="20"/>
          <w:szCs w:val="20"/>
          <w:color w:val="auto"/>
        </w:rPr>
      </w:pPr>
      <w:r>
        <w:rPr>
          <w:rFonts w:ascii="Arial" w:cs="Arial" w:eastAsia="Arial" w:hAnsi="Arial"/>
          <w:sz w:val="20"/>
          <w:szCs w:val="20"/>
          <w:u w:val="single" w:color="auto"/>
          <w:color w:val="auto"/>
        </w:rPr>
        <w:t>REIT Status.</w:t>
      </w:r>
      <w:r>
        <w:rPr>
          <w:rFonts w:ascii="Arial" w:cs="Arial" w:eastAsia="Arial" w:hAnsi="Arial"/>
          <w:sz w:val="20"/>
          <w:szCs w:val="20"/>
          <w:color w:val="auto"/>
        </w:rPr>
        <w:t xml:space="preserve"> The REIT shall, for any reason, fail to maintain its status as a Real Estate Investment Trust, after taking into account any cure provisions set forth in the Code that are complied with by the REIT.</w:t>
      </w:r>
    </w:p>
    <w:p>
      <w:pPr>
        <w:spacing w:after="0" w:line="191" w:lineRule="exact"/>
        <w:rPr>
          <w:sz w:val="20"/>
          <w:szCs w:val="20"/>
          <w:color w:val="auto"/>
        </w:rPr>
      </w:pPr>
    </w:p>
    <w:p>
      <w:pPr>
        <w:ind w:firstLine="599"/>
        <w:spacing w:after="0" w:line="272" w:lineRule="auto"/>
        <w:rPr>
          <w:sz w:val="20"/>
          <w:szCs w:val="20"/>
          <w:color w:val="auto"/>
        </w:rPr>
      </w:pPr>
      <w:r>
        <w:rPr>
          <w:rFonts w:ascii="Arial" w:cs="Arial" w:eastAsia="Arial" w:hAnsi="Arial"/>
          <w:sz w:val="20"/>
          <w:szCs w:val="20"/>
          <w:color w:val="auto"/>
        </w:rPr>
        <w:t xml:space="preserve">8.02. </w:t>
      </w:r>
      <w:r>
        <w:rPr>
          <w:rFonts w:ascii="Arial" w:cs="Arial" w:eastAsia="Arial" w:hAnsi="Arial"/>
          <w:sz w:val="20"/>
          <w:szCs w:val="20"/>
          <w:u w:val="single" w:color="auto"/>
          <w:color w:val="auto"/>
        </w:rPr>
        <w:t>Remedies upon Event of Default</w:t>
      </w:r>
      <w:r>
        <w:rPr>
          <w:rFonts w:ascii="Arial" w:cs="Arial" w:eastAsia="Arial" w:hAnsi="Arial"/>
          <w:sz w:val="20"/>
          <w:szCs w:val="20"/>
          <w:color w:val="auto"/>
        </w:rPr>
        <w:t>. If any Event of Default occurs and is continuing, the Administrative Agent shall, at the request of, or may, with the consent of, the Required Lenders, take any or all of the following actions:</w:t>
      </w:r>
    </w:p>
    <w:p>
      <w:pPr>
        <w:spacing w:after="0" w:line="191" w:lineRule="exact"/>
        <w:rPr>
          <w:sz w:val="20"/>
          <w:szCs w:val="20"/>
          <w:color w:val="auto"/>
        </w:rPr>
      </w:pPr>
    </w:p>
    <w:p>
      <w:pPr>
        <w:ind w:firstLine="599"/>
        <w:spacing w:after="0" w:line="272" w:lineRule="auto"/>
        <w:tabs>
          <w:tab w:leader="none" w:pos="1421" w:val="left"/>
        </w:tabs>
        <w:numPr>
          <w:ilvl w:val="0"/>
          <w:numId w:val="573"/>
        </w:numPr>
        <w:rPr>
          <w:rFonts w:ascii="Arial" w:cs="Arial" w:eastAsia="Arial" w:hAnsi="Arial"/>
          <w:sz w:val="20"/>
          <w:szCs w:val="20"/>
          <w:color w:val="auto"/>
        </w:rPr>
      </w:pPr>
      <w:r>
        <w:rPr>
          <w:rFonts w:ascii="Arial" w:cs="Arial" w:eastAsia="Arial" w:hAnsi="Arial"/>
          <w:sz w:val="20"/>
          <w:szCs w:val="20"/>
          <w:color w:val="auto"/>
        </w:rPr>
        <w:t>declare the commitment of each Lender to make Loans to be terminated, whereupon such commitments and obligation shall be terminated; and</w:t>
      </w:r>
    </w:p>
    <w:p>
      <w:pPr>
        <w:spacing w:after="0" w:line="190" w:lineRule="exact"/>
        <w:rPr>
          <w:rFonts w:ascii="Arial" w:cs="Arial" w:eastAsia="Arial" w:hAnsi="Arial"/>
          <w:sz w:val="20"/>
          <w:szCs w:val="20"/>
          <w:color w:val="auto"/>
        </w:rPr>
      </w:pPr>
    </w:p>
    <w:p>
      <w:pPr>
        <w:jc w:val="both"/>
        <w:ind w:right="100" w:firstLine="599"/>
        <w:spacing w:after="0" w:line="260" w:lineRule="auto"/>
        <w:tabs>
          <w:tab w:leader="none" w:pos="1432" w:val="left"/>
        </w:tabs>
        <w:numPr>
          <w:ilvl w:val="0"/>
          <w:numId w:val="573"/>
        </w:numPr>
        <w:rPr>
          <w:rFonts w:ascii="Arial" w:cs="Arial" w:eastAsia="Arial" w:hAnsi="Arial"/>
          <w:sz w:val="20"/>
          <w:szCs w:val="20"/>
          <w:color w:val="auto"/>
        </w:rPr>
      </w:pPr>
      <w:r>
        <w:rPr>
          <w:rFonts w:ascii="Arial" w:cs="Arial" w:eastAsia="Arial" w:hAnsi="Arial"/>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upon the occurrence of an actual or deemed entry of an order for relief with respect to the Borrower under the Bankruptcy Code of the United States, the obligation of each Lender to make Loans shall automatically terminate and the unpaid principal amount of all outstanding Loans and all interest and other amounts as aforesaid shall automatically become due and payable without further act of the Administrative Agent or any Lender.</w:t>
      </w:r>
    </w:p>
    <w:p>
      <w:pPr>
        <w:spacing w:after="0" w:line="168" w:lineRule="exact"/>
        <w:rPr>
          <w:sz w:val="20"/>
          <w:szCs w:val="20"/>
          <w:color w:val="auto"/>
        </w:rPr>
      </w:pPr>
    </w:p>
    <w:p>
      <w:pPr>
        <w:jc w:val="both"/>
        <w:ind w:firstLine="599"/>
        <w:spacing w:after="0" w:line="280" w:lineRule="auto"/>
        <w:rPr>
          <w:sz w:val="20"/>
          <w:szCs w:val="20"/>
          <w:color w:val="auto"/>
        </w:rPr>
      </w:pPr>
      <w:r>
        <w:rPr>
          <w:rFonts w:ascii="Arial" w:cs="Arial" w:eastAsia="Arial" w:hAnsi="Arial"/>
          <w:sz w:val="19"/>
          <w:szCs w:val="19"/>
          <w:color w:val="auto"/>
        </w:rPr>
        <w:t xml:space="preserve">8.03. </w:t>
      </w:r>
      <w:r>
        <w:rPr>
          <w:rFonts w:ascii="Arial" w:cs="Arial" w:eastAsia="Arial" w:hAnsi="Arial"/>
          <w:sz w:val="19"/>
          <w:szCs w:val="19"/>
          <w:u w:val="single" w:color="auto"/>
          <w:color w:val="auto"/>
        </w:rPr>
        <w:t>Application of Funds</w:t>
      </w:r>
      <w:r>
        <w:rPr>
          <w:rFonts w:ascii="Arial" w:cs="Arial" w:eastAsia="Arial" w:hAnsi="Arial"/>
          <w:sz w:val="19"/>
          <w:szCs w:val="19"/>
          <w:color w:val="auto"/>
        </w:rPr>
        <w:t xml:space="preserve">. After the exercise of remedies provided for in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(or after the Loans have automatically become immediately due and payable as set forth in the proviso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any amounts received on account of the Obligations shall, subject to the provisions of </w:t>
      </w:r>
      <w:r>
        <w:rPr>
          <w:rFonts w:ascii="Arial" w:cs="Arial" w:eastAsia="Arial" w:hAnsi="Arial"/>
          <w:sz w:val="19"/>
          <w:szCs w:val="19"/>
          <w:u w:val="single" w:color="auto"/>
          <w:color w:val="auto"/>
        </w:rPr>
        <w:t>Section 2.19</w:t>
      </w:r>
      <w:r>
        <w:rPr>
          <w:rFonts w:ascii="Arial" w:cs="Arial" w:eastAsia="Arial" w:hAnsi="Arial"/>
          <w:sz w:val="19"/>
          <w:szCs w:val="19"/>
          <w:color w:val="auto"/>
        </w:rPr>
        <w:t>, be applied by the Administrative Agent in the following order:</w:t>
      </w:r>
    </w:p>
    <w:p>
      <w:pPr>
        <w:spacing w:after="0" w:line="185" w:lineRule="exact"/>
        <w:rPr>
          <w:sz w:val="20"/>
          <w:szCs w:val="20"/>
          <w:color w:val="auto"/>
        </w:rPr>
      </w:pPr>
    </w:p>
    <w:p>
      <w:pPr>
        <w:jc w:val="both"/>
        <w:ind w:left="600" w:firstLine="600"/>
        <w:spacing w:after="0" w:line="260"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payable to the Administrative Agent in its capacity as such;</w:t>
      </w:r>
    </w:p>
    <w:p>
      <w:pPr>
        <w:spacing w:after="0" w:line="164" w:lineRule="exact"/>
        <w:rPr>
          <w:sz w:val="20"/>
          <w:szCs w:val="20"/>
          <w:color w:val="auto"/>
        </w:rPr>
      </w:pPr>
    </w:p>
    <w:p>
      <w:pPr>
        <w:jc w:val="both"/>
        <w:ind w:left="600" w:firstLine="600"/>
        <w:spacing w:after="0" w:line="256" w:lineRule="auto"/>
        <w:rPr>
          <w:sz w:val="20"/>
          <w:szCs w:val="20"/>
          <w:color w:val="auto"/>
        </w:rPr>
      </w:pPr>
      <w:r>
        <w:rPr>
          <w:rFonts w:ascii="Arial" w:cs="Arial" w:eastAsia="Arial" w:hAnsi="Arial"/>
          <w:sz w:val="20"/>
          <w:szCs w:val="20"/>
          <w:u w:val="single" w:color="auto"/>
          <w:color w:val="auto"/>
        </w:rPr>
        <w:t>Second</w:t>
      </w:r>
      <w:r>
        <w:rPr>
          <w:rFonts w:ascii="Arial" w:cs="Arial" w:eastAsia="Arial" w:hAnsi="Arial"/>
          <w:sz w:val="20"/>
          <w:szCs w:val="20"/>
          <w:color w:val="auto"/>
        </w:rPr>
        <w:t xml:space="preserve">, to payment of that portion of the Obligations constituting fees, the Prepayment Premium, indemnities and other amounts (other than principal and interest) payable to the Lenders (including fees, charges and disbursements of counsel to the respective Lenders) arising under the Loan Documents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ratably among them in proportion to the respective amounts described in this clause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payable to them;</w:t>
      </w:r>
    </w:p>
    <w:p>
      <w:pPr>
        <w:spacing w:after="0" w:line="200" w:lineRule="exact"/>
        <w:rPr>
          <w:sz w:val="20"/>
          <w:szCs w:val="20"/>
          <w:color w:val="auto"/>
        </w:rPr>
      </w:pPr>
    </w:p>
    <w:p>
      <w:pPr>
        <w:spacing w:after="0" w:line="20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73</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78" w:name="page479"/>
    <w:bookmarkEnd w:id="478"/>
    <w:p>
      <w:pPr>
        <w:ind w:left="600" w:firstLine="600"/>
        <w:spacing w:after="0" w:line="272"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xml:space="preserve">, to payment of that portion of the Obligations constituting accrued and unpaid interest on the Loans, ratably among the Lenders in proportion to the respective amounts described in this clause </w:t>
      </w:r>
      <w:r>
        <w:rPr>
          <w:rFonts w:ascii="Arial" w:cs="Arial" w:eastAsia="Arial" w:hAnsi="Arial"/>
          <w:sz w:val="20"/>
          <w:szCs w:val="20"/>
          <w:u w:val="single" w:color="auto"/>
          <w:color w:val="auto"/>
        </w:rPr>
        <w:t>Third</w:t>
      </w:r>
      <w:r>
        <w:rPr>
          <w:rFonts w:ascii="Arial" w:cs="Arial" w:eastAsia="Arial" w:hAnsi="Arial"/>
          <w:sz w:val="20"/>
          <w:szCs w:val="20"/>
          <w:color w:val="auto"/>
        </w:rPr>
        <w:t xml:space="preserve"> payable to them,</w:t>
      </w:r>
    </w:p>
    <w:p>
      <w:pPr>
        <w:spacing w:after="0" w:line="153" w:lineRule="exact"/>
        <w:rPr>
          <w:sz w:val="20"/>
          <w:szCs w:val="20"/>
          <w:color w:val="auto"/>
        </w:rPr>
      </w:pPr>
    </w:p>
    <w:p>
      <w:pPr>
        <w:ind w:left="600" w:firstLine="600"/>
        <w:spacing w:after="0" w:line="272" w:lineRule="auto"/>
        <w:rPr>
          <w:sz w:val="20"/>
          <w:szCs w:val="20"/>
          <w:color w:val="auto"/>
        </w:rPr>
      </w:pPr>
      <w:r>
        <w:rPr>
          <w:rFonts w:ascii="Arial" w:cs="Arial" w:eastAsia="Arial" w:hAnsi="Arial"/>
          <w:sz w:val="20"/>
          <w:szCs w:val="20"/>
          <w:u w:val="single" w:color="auto"/>
          <w:color w:val="auto"/>
        </w:rPr>
        <w:t>Fourth</w:t>
      </w:r>
      <w:r>
        <w:rPr>
          <w:rFonts w:ascii="Arial" w:cs="Arial" w:eastAsia="Arial" w:hAnsi="Arial"/>
          <w:sz w:val="20"/>
          <w:szCs w:val="20"/>
          <w:color w:val="auto"/>
        </w:rPr>
        <w:t xml:space="preserve">, to payment of that portion of the Obligations constituting unpaid principal of the Loans ratably among the Lenders in proportion to the respective amounts described in this clause </w:t>
      </w:r>
      <w:r>
        <w:rPr>
          <w:rFonts w:ascii="Arial" w:cs="Arial" w:eastAsia="Arial" w:hAnsi="Arial"/>
          <w:sz w:val="20"/>
          <w:szCs w:val="20"/>
          <w:u w:val="single" w:color="auto"/>
          <w:color w:val="auto"/>
        </w:rPr>
        <w:t>Fourth</w:t>
      </w:r>
      <w:r>
        <w:rPr>
          <w:rFonts w:ascii="Arial" w:cs="Arial" w:eastAsia="Arial" w:hAnsi="Arial"/>
          <w:sz w:val="20"/>
          <w:szCs w:val="20"/>
          <w:color w:val="auto"/>
        </w:rPr>
        <w:t xml:space="preserve"> held by them;</w:t>
      </w:r>
    </w:p>
    <w:p>
      <w:pPr>
        <w:spacing w:after="0" w:line="153" w:lineRule="exact"/>
        <w:rPr>
          <w:sz w:val="20"/>
          <w:szCs w:val="20"/>
          <w:color w:val="auto"/>
        </w:rPr>
      </w:pPr>
    </w:p>
    <w:p>
      <w:pPr>
        <w:ind w:left="600" w:firstLine="600"/>
        <w:spacing w:after="0" w:line="272" w:lineRule="auto"/>
        <w:rPr>
          <w:sz w:val="20"/>
          <w:szCs w:val="20"/>
          <w:color w:val="auto"/>
        </w:rPr>
      </w:pPr>
      <w:r>
        <w:rPr>
          <w:rFonts w:ascii="Arial" w:cs="Arial" w:eastAsia="Arial" w:hAnsi="Arial"/>
          <w:sz w:val="20"/>
          <w:szCs w:val="20"/>
          <w:u w:val="single" w:color="auto"/>
          <w:color w:val="auto"/>
        </w:rPr>
        <w:t>Fifth</w:t>
      </w:r>
      <w:r>
        <w:rPr>
          <w:rFonts w:ascii="Arial" w:cs="Arial" w:eastAsia="Arial" w:hAnsi="Arial"/>
          <w:sz w:val="20"/>
          <w:szCs w:val="20"/>
          <w:color w:val="auto"/>
        </w:rPr>
        <w:t xml:space="preserve">, to the payment of any amounts remaining unpaid in respect of the Obligations (other than Obligations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Third</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Fourth</w:t>
      </w:r>
      <w:r>
        <w:rPr>
          <w:rFonts w:ascii="Arial" w:cs="Arial" w:eastAsia="Arial" w:hAnsi="Arial"/>
          <w:sz w:val="20"/>
          <w:szCs w:val="20"/>
          <w:color w:val="auto"/>
        </w:rPr>
        <w:t xml:space="preserve"> above); and</w:t>
      </w:r>
    </w:p>
    <w:p>
      <w:pPr>
        <w:spacing w:after="0" w:line="153" w:lineRule="exact"/>
        <w:rPr>
          <w:sz w:val="20"/>
          <w:szCs w:val="20"/>
          <w:color w:val="auto"/>
        </w:rPr>
      </w:pPr>
    </w:p>
    <w:p>
      <w:pPr>
        <w:ind w:left="600" w:firstLine="600"/>
        <w:spacing w:after="0" w:line="272" w:lineRule="auto"/>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the balance, if any, after all of the Obligations have been indefeasibly paid in full, to the Borrower or as otherwise required by Law.</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ADMINISTRATIVE AGENT</w:t>
      </w:r>
    </w:p>
    <w:p>
      <w:pPr>
        <w:spacing w:after="0" w:line="229"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9"/>
          <w:szCs w:val="19"/>
          <w:color w:val="auto"/>
        </w:rPr>
        <w:t xml:space="preserve">9.01. </w:t>
      </w:r>
      <w:r>
        <w:rPr>
          <w:rFonts w:ascii="Arial" w:cs="Arial" w:eastAsia="Arial" w:hAnsi="Arial"/>
          <w:sz w:val="19"/>
          <w:szCs w:val="19"/>
          <w:u w:val="single" w:color="auto"/>
          <w:color w:val="auto"/>
        </w:rPr>
        <w:t>Appointment and Authority</w:t>
      </w:r>
      <w:r>
        <w:rPr>
          <w:rFonts w:ascii="Arial" w:cs="Arial" w:eastAsia="Arial" w:hAnsi="Arial"/>
          <w:sz w:val="19"/>
          <w:szCs w:val="19"/>
          <w:color w:val="auto"/>
        </w:rPr>
        <w:t xml:space="preserve">. Each of the Lenders hereby irrevocably appoints U.S. Bank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Except as expressly set forth in </w:t>
      </w:r>
      <w:r>
        <w:rPr>
          <w:rFonts w:ascii="Arial" w:cs="Arial" w:eastAsia="Arial" w:hAnsi="Arial"/>
          <w:sz w:val="19"/>
          <w:szCs w:val="19"/>
          <w:u w:val="single" w:color="auto"/>
          <w:color w:val="auto"/>
        </w:rPr>
        <w:t>Section 9.06(a)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the provisions of this Article are solely for the benefit of the Administrative Agent and the Lenders and neither any Loan Party nor any Subsidiary thereof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02"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20"/>
          <w:szCs w:val="20"/>
          <w:color w:val="auto"/>
        </w:rPr>
        <w:t xml:space="preserve">9.02. </w:t>
      </w:r>
      <w:r>
        <w:rPr>
          <w:rFonts w:ascii="Arial" w:cs="Arial" w:eastAsia="Arial" w:hAnsi="Arial"/>
          <w:sz w:val="20"/>
          <w:szCs w:val="20"/>
          <w:u w:val="single" w:color="auto"/>
          <w:color w:val="auto"/>
        </w:rPr>
        <w:t>Rights as a Lender</w:t>
      </w:r>
      <w:r>
        <w:rPr>
          <w:rFonts w:ascii="Arial" w:cs="Arial" w:eastAsia="Arial" w:hAnsi="Arial"/>
          <w:sz w:val="20"/>
          <w:szCs w:val="20"/>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REIT or any Subsidiary or other Affiliate thereof as if such Person were not the Administrative Agent hereunder and without any duty to account therefor to the Lenders.</w:t>
      </w:r>
    </w:p>
    <w:p>
      <w:pPr>
        <w:spacing w:after="0" w:line="215"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 xml:space="preserve">9.03. </w:t>
      </w:r>
      <w:r>
        <w:rPr>
          <w:rFonts w:ascii="Arial" w:cs="Arial" w:eastAsia="Arial" w:hAnsi="Arial"/>
          <w:sz w:val="20"/>
          <w:szCs w:val="20"/>
          <w:u w:val="single" w:color="auto"/>
          <w:color w:val="auto"/>
        </w:rPr>
        <w:t>Exculpatory Provisions</w:t>
      </w:r>
      <w:r>
        <w:rPr>
          <w:rFonts w:ascii="Arial" w:cs="Arial" w:eastAsia="Arial" w:hAnsi="Arial"/>
          <w:sz w:val="20"/>
          <w:szCs w:val="20"/>
          <w:color w:val="auto"/>
        </w:rPr>
        <w:t>. 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202" w:lineRule="exact"/>
        <w:rPr>
          <w:sz w:val="20"/>
          <w:szCs w:val="20"/>
          <w:color w:val="auto"/>
        </w:rPr>
      </w:pPr>
    </w:p>
    <w:p>
      <w:pPr>
        <w:ind w:left="1420" w:hanging="821"/>
        <w:spacing w:after="0"/>
        <w:tabs>
          <w:tab w:leader="none" w:pos="142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267" w:lineRule="exact"/>
        <w:rPr>
          <w:rFonts w:ascii="Arial" w:cs="Arial" w:eastAsia="Arial" w:hAnsi="Arial"/>
          <w:sz w:val="18"/>
          <w:szCs w:val="18"/>
          <w:color w:val="auto"/>
        </w:rPr>
      </w:pPr>
    </w:p>
    <w:p>
      <w:pPr>
        <w:jc w:val="both"/>
        <w:ind w:firstLine="599"/>
        <w:spacing w:after="0" w:line="256" w:lineRule="auto"/>
        <w:tabs>
          <w:tab w:leader="none" w:pos="1432" w:val="left"/>
        </w:tabs>
        <w:numPr>
          <w:ilvl w:val="0"/>
          <w:numId w:val="574"/>
        </w:numPr>
        <w:rPr>
          <w:rFonts w:ascii="Arial" w:cs="Arial" w:eastAsia="Arial" w:hAnsi="Arial"/>
          <w:sz w:val="20"/>
          <w:szCs w:val="20"/>
          <w:color w:val="auto"/>
        </w:rPr>
      </w:pPr>
      <w:r>
        <w:rPr>
          <w:rFonts w:ascii="Arial" w:cs="Arial" w:eastAsia="Arial" w:hAnsi="Arial"/>
          <w:sz w:val="20"/>
          <w:szCs w:val="20"/>
          <w:color w:val="auto"/>
        </w:rPr>
        <w:t>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w:t>
      </w:r>
    </w:p>
    <w:p>
      <w:pPr>
        <w:spacing w:after="0" w:line="20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74</w:t>
      </w:r>
      <w:r>
        <w:rPr>
          <w:rFonts w:ascii="MS PGothic" w:cs="MS PGothic" w:eastAsia="MS PGothic" w:hAnsi="MS PGothic"/>
          <w:sz w:val="20"/>
          <w:szCs w:val="20"/>
          <w:color w:val="auto"/>
        </w:rPr>
        <w:t>‑</w:t>
      </w:r>
    </w:p>
    <w:p>
      <w:pPr>
        <w:sectPr>
          <w:pgSz w:w="11900" w:h="16838" w:orient="portrait"/>
          <w:cols w:equalWidth="0" w:num="1">
            <w:col w:w="11420"/>
          </w:cols>
          <w:pgMar w:left="240" w:top="794" w:right="239" w:bottom="1440" w:gutter="0" w:footer="0" w:header="0"/>
        </w:sectPr>
      </w:pPr>
    </w:p>
    <w:bookmarkStart w:id="479" w:name="page480"/>
    <w:bookmarkEnd w:id="479"/>
    <w:p>
      <w:pPr>
        <w:jc w:val="both"/>
        <w:spacing w:after="0" w:line="256"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205" w:lineRule="exact"/>
        <w:rPr>
          <w:sz w:val="20"/>
          <w:szCs w:val="20"/>
          <w:color w:val="auto"/>
        </w:rPr>
      </w:pPr>
    </w:p>
    <w:p>
      <w:pPr>
        <w:jc w:val="both"/>
        <w:ind w:firstLine="599"/>
        <w:spacing w:after="0" w:line="260" w:lineRule="auto"/>
        <w:tabs>
          <w:tab w:leader="none" w:pos="1421" w:val="left"/>
        </w:tabs>
        <w:numPr>
          <w:ilvl w:val="1"/>
          <w:numId w:val="575"/>
        </w:numPr>
        <w:rPr>
          <w:rFonts w:ascii="Arial" w:cs="Arial" w:eastAsia="Arial" w:hAnsi="Arial"/>
          <w:sz w:val="20"/>
          <w:szCs w:val="20"/>
          <w:color w:val="auto"/>
        </w:rPr>
      </w:pPr>
      <w:r>
        <w:rPr>
          <w:rFonts w:ascii="Arial" w:cs="Arial" w:eastAsia="Arial" w:hAnsi="Arial"/>
          <w:sz w:val="20"/>
          <w:szCs w:val="20"/>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201" w:lineRule="exact"/>
        <w:rPr>
          <w:rFonts w:ascii="Arial" w:cs="Arial" w:eastAsia="Arial" w:hAnsi="Arial"/>
          <w:sz w:val="20"/>
          <w:szCs w:val="20"/>
          <w:color w:val="auto"/>
        </w:rPr>
      </w:pPr>
    </w:p>
    <w:p>
      <w:pPr>
        <w:jc w:val="both"/>
        <w:ind w:firstLine="599"/>
        <w:spacing w:after="0" w:line="286" w:lineRule="auto"/>
        <w:tabs>
          <w:tab w:leader="none" w:pos="1432" w:val="left"/>
        </w:tabs>
        <w:numPr>
          <w:ilvl w:val="1"/>
          <w:numId w:val="575"/>
        </w:numPr>
        <w:rPr>
          <w:rFonts w:ascii="Arial" w:cs="Arial" w:eastAsia="Arial" w:hAnsi="Arial"/>
          <w:sz w:val="18"/>
          <w:szCs w:val="18"/>
          <w:color w:val="auto"/>
        </w:rPr>
      </w:pPr>
      <w:r>
        <w:rPr>
          <w:rFonts w:ascii="Arial" w:cs="Arial" w:eastAsia="Arial" w:hAnsi="Arial"/>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Sections 10.01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8.02</w:t>
      </w:r>
      <w:r>
        <w:rPr>
          <w:rFonts w:ascii="Arial" w:cs="Arial" w:eastAsia="Arial" w:hAnsi="Arial"/>
          <w:sz w:val="18"/>
          <w:szCs w:val="18"/>
          <w:color w:val="auto"/>
        </w:rPr>
        <w:t>) or (ii) in the absence of its own gross negligence or willful misconduct, as determined by a court of competent jurisdiction by a final and nonappealable judgment. The Administrative Agent shall not be deemed to have knowledge of any Default, except for any default relating to the payment of principal of or interest on any Loan, unless and until notice describing such Default is given to the Administrative Agent by the Borrower or a Lender.</w:t>
      </w:r>
    </w:p>
    <w:p>
      <w:pPr>
        <w:spacing w:after="0" w:line="181" w:lineRule="exact"/>
        <w:rPr>
          <w:rFonts w:ascii="Arial" w:cs="Arial" w:eastAsia="Arial" w:hAnsi="Arial"/>
          <w:sz w:val="18"/>
          <w:szCs w:val="18"/>
          <w:color w:val="auto"/>
        </w:rPr>
      </w:pPr>
    </w:p>
    <w:p>
      <w:pPr>
        <w:jc w:val="both"/>
        <w:ind w:firstLine="599"/>
        <w:spacing w:after="0" w:line="278" w:lineRule="auto"/>
        <w:tabs>
          <w:tab w:leader="none" w:pos="1421" w:val="left"/>
        </w:tabs>
        <w:numPr>
          <w:ilvl w:val="1"/>
          <w:numId w:val="575"/>
        </w:numPr>
        <w:rPr>
          <w:rFonts w:ascii="Arial" w:cs="Arial" w:eastAsia="Arial" w:hAnsi="Arial"/>
          <w:sz w:val="18"/>
          <w:szCs w:val="18"/>
          <w:color w:val="auto"/>
        </w:rPr>
      </w:pPr>
      <w:r>
        <w:rPr>
          <w:rFonts w:ascii="Arial" w:cs="Arial" w:eastAsia="Arial" w:hAnsi="Arial"/>
          <w:sz w:val="18"/>
          <w:szCs w:val="18"/>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w:t>
      </w:r>
    </w:p>
    <w:p>
      <w:pPr>
        <w:spacing w:after="0" w:line="3" w:lineRule="exact"/>
        <w:rPr>
          <w:rFonts w:ascii="Arial" w:cs="Arial" w:eastAsia="Arial" w:hAnsi="Arial"/>
          <w:sz w:val="18"/>
          <w:szCs w:val="18"/>
          <w:color w:val="auto"/>
        </w:rPr>
      </w:pPr>
    </w:p>
    <w:p>
      <w:pPr>
        <w:spacing w:after="0" w:line="256" w:lineRule="auto"/>
        <w:tabs>
          <w:tab w:leader="none" w:pos="288" w:val="left"/>
        </w:tabs>
        <w:numPr>
          <w:ilvl w:val="0"/>
          <w:numId w:val="576"/>
        </w:numPr>
        <w:rPr>
          <w:rFonts w:ascii="Arial" w:cs="Arial" w:eastAsia="Arial" w:hAnsi="Arial"/>
          <w:sz w:val="20"/>
          <w:szCs w:val="20"/>
          <w:color w:val="auto"/>
        </w:rPr>
      </w:pPr>
      <w:r>
        <w:rPr>
          <w:rFonts w:ascii="Arial" w:cs="Arial" w:eastAsia="Arial" w:hAnsi="Arial"/>
          <w:sz w:val="20"/>
          <w:szCs w:val="20"/>
          <w:color w:val="auto"/>
        </w:rPr>
        <w:t xml:space="preserve">the satisfaction of any condition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or elsewhere herein, other than to confirm receipt of items expressly required to be delivered to the Administrative Agent.</w:t>
      </w:r>
    </w:p>
    <w:p>
      <w:pPr>
        <w:spacing w:after="0" w:line="205"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9"/>
          <w:szCs w:val="19"/>
          <w:color w:val="auto"/>
        </w:rPr>
        <w:t xml:space="preserve">9.04. </w:t>
      </w:r>
      <w:r>
        <w:rPr>
          <w:rFonts w:ascii="Arial" w:cs="Arial" w:eastAsia="Arial" w:hAnsi="Arial"/>
          <w:sz w:val="19"/>
          <w:szCs w:val="19"/>
          <w:u w:val="single" w:color="auto"/>
          <w:color w:val="auto"/>
        </w:rPr>
        <w:t>Reliance by Administrative Agent</w:t>
      </w:r>
      <w:r>
        <w:rPr>
          <w:rFonts w:ascii="Arial" w:cs="Arial" w:eastAsia="Arial" w:hAnsi="Arial"/>
          <w:sz w:val="19"/>
          <w:szCs w:val="19"/>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98" w:lineRule="exact"/>
        <w:rPr>
          <w:sz w:val="20"/>
          <w:szCs w:val="20"/>
          <w:color w:val="auto"/>
        </w:rPr>
      </w:pPr>
    </w:p>
    <w:p>
      <w:pPr>
        <w:jc w:val="both"/>
        <w:ind w:firstLine="599"/>
        <w:spacing w:after="0" w:line="273" w:lineRule="auto"/>
        <w:rPr>
          <w:sz w:val="20"/>
          <w:szCs w:val="20"/>
          <w:color w:val="auto"/>
        </w:rPr>
      </w:pPr>
      <w:r>
        <w:rPr>
          <w:rFonts w:ascii="Arial" w:cs="Arial" w:eastAsia="Arial" w:hAnsi="Arial"/>
          <w:sz w:val="19"/>
          <w:szCs w:val="19"/>
          <w:color w:val="auto"/>
        </w:rPr>
        <w:t xml:space="preserve">9.05. </w:t>
      </w:r>
      <w:r>
        <w:rPr>
          <w:rFonts w:ascii="Arial" w:cs="Arial" w:eastAsia="Arial" w:hAnsi="Arial"/>
          <w:sz w:val="19"/>
          <w:szCs w:val="19"/>
          <w:u w:val="single" w:color="auto"/>
          <w:color w:val="auto"/>
        </w:rPr>
        <w:t>Delegation of Duties</w:t>
      </w:r>
      <w:r>
        <w:rPr>
          <w:rFonts w:ascii="Arial" w:cs="Arial" w:eastAsia="Arial" w:hAnsi="Arial"/>
          <w:sz w:val="19"/>
          <w:szCs w:val="19"/>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w:t>
      </w:r>
    </w:p>
    <w:p>
      <w:pPr>
        <w:spacing w:after="0" w:line="19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75</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80" w:name="page481"/>
    <w:bookmarkEnd w:id="480"/>
    <w:p>
      <w:pPr>
        <w:jc w:val="both"/>
        <w:spacing w:after="0" w:line="293" w:lineRule="auto"/>
        <w:rPr>
          <w:sz w:val="20"/>
          <w:szCs w:val="20"/>
          <w:color w:val="auto"/>
        </w:rPr>
      </w:pPr>
      <w:r>
        <w:rPr>
          <w:rFonts w:ascii="Arial" w:cs="Arial" w:eastAsia="Arial" w:hAnsi="Arial"/>
          <w:sz w:val="18"/>
          <w:szCs w:val="18"/>
          <w:color w:val="auto"/>
        </w:rPr>
        <w:t>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 appealable judgment that the Administrative Agent acted with gross negligence or willful misconduct in the selection of such sub-agents.</w:t>
      </w:r>
    </w:p>
    <w:p>
      <w:pPr>
        <w:spacing w:after="0" w:line="176"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20"/>
          <w:szCs w:val="20"/>
          <w:color w:val="auto"/>
        </w:rPr>
        <w:t>9.06.</w:t>
      </w:r>
      <w:r>
        <w:rPr>
          <w:sz w:val="20"/>
          <w:szCs w:val="20"/>
          <w:color w:val="auto"/>
        </w:rPr>
        <w:tab/>
      </w:r>
      <w:r>
        <w:rPr>
          <w:rFonts w:ascii="Arial" w:cs="Arial" w:eastAsia="Arial" w:hAnsi="Arial"/>
          <w:sz w:val="18"/>
          <w:szCs w:val="18"/>
          <w:u w:val="single" w:color="auto"/>
          <w:color w:val="auto"/>
        </w:rPr>
        <w:t>Resignation of Administrative Agent</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81" w:lineRule="auto"/>
        <w:tabs>
          <w:tab w:leader="none" w:pos="1421" w:val="left"/>
        </w:tabs>
        <w:numPr>
          <w:ilvl w:val="1"/>
          <w:numId w:val="577"/>
        </w:numPr>
        <w:rPr>
          <w:rFonts w:ascii="Arial" w:cs="Arial" w:eastAsia="Arial" w:hAnsi="Arial"/>
          <w:sz w:val="18"/>
          <w:szCs w:val="18"/>
          <w:color w:val="auto"/>
        </w:rPr>
      </w:pPr>
      <w:r>
        <w:rPr>
          <w:rFonts w:ascii="Arial" w:cs="Arial" w:eastAsia="Arial" w:hAnsi="Arial"/>
          <w:sz w:val="18"/>
          <w:szCs w:val="18"/>
          <w:color w:val="auto"/>
        </w:rPr>
        <w:t>The Administrative Agent may at any time give notice of its resignation to the Lenders and the Borrower. Upon receipt of any such notice of resignation, the Required Lenders shall have the right to appoint a successor, which shall be a bank with an office in the United States, or an Affiliate of any such bank with an office in the United States, and which successor agent shall be subject to the written consent of the Borrower unless an Event of Default has occurred and is continuing (which consent of the Borrower shall not be unreasonably withheld or delayed and shall be deemed given if the Borrower fails to respond within ten (10) Business Days). If no such successor shall have been so appointed by the Required Lenders (and approved by the Borrower, if applicable) and shall have accepted such appointment within 30 days after the retiring Administrative Agent gives notice of its resignation, (or such earlier day as shall be agreed by the Required Lenders) (the “</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then the retiring Administrative Agent may (but shall not be obligated to) on behalf of the Lenders appoint a successor Administrative Agent meeting the qualifications set forth above. Whether or not a successor has been appointed, such resignation shall become effective in accordance with such notice on the Resignation Effective Date.</w:t>
      </w:r>
    </w:p>
    <w:p>
      <w:pPr>
        <w:spacing w:after="0" w:line="186" w:lineRule="exact"/>
        <w:rPr>
          <w:rFonts w:ascii="Arial" w:cs="Arial" w:eastAsia="Arial" w:hAnsi="Arial"/>
          <w:sz w:val="18"/>
          <w:szCs w:val="18"/>
          <w:color w:val="auto"/>
        </w:rPr>
      </w:pPr>
    </w:p>
    <w:p>
      <w:pPr>
        <w:jc w:val="both"/>
        <w:ind w:firstLine="599"/>
        <w:spacing w:after="0" w:line="279" w:lineRule="auto"/>
        <w:tabs>
          <w:tab w:leader="none" w:pos="1432" w:val="left"/>
        </w:tabs>
        <w:numPr>
          <w:ilvl w:val="1"/>
          <w:numId w:val="577"/>
        </w:numPr>
        <w:rPr>
          <w:rFonts w:ascii="Arial" w:cs="Arial" w:eastAsia="Arial" w:hAnsi="Arial"/>
          <w:sz w:val="18"/>
          <w:szCs w:val="18"/>
          <w:color w:val="auto"/>
        </w:rPr>
      </w:pPr>
      <w:r>
        <w:rPr>
          <w:rFonts w:ascii="Arial" w:cs="Arial" w:eastAsia="Arial" w:hAnsi="Arial"/>
          <w:sz w:val="18"/>
          <w:szCs w:val="18"/>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with the written consent of the Borrower unless an Event of Default have occurred and is continuing (which consent of the Borrower shall not be unreasonably withheld or delayed and shall be deemed given if the Borrower fails to respond within ten</w:t>
      </w:r>
    </w:p>
    <w:p>
      <w:pPr>
        <w:spacing w:after="0" w:line="2" w:lineRule="exact"/>
        <w:rPr>
          <w:rFonts w:ascii="Arial" w:cs="Arial" w:eastAsia="Arial" w:hAnsi="Arial"/>
          <w:sz w:val="18"/>
          <w:szCs w:val="18"/>
          <w:color w:val="auto"/>
        </w:rPr>
      </w:pPr>
    </w:p>
    <w:p>
      <w:pPr>
        <w:jc w:val="both"/>
        <w:spacing w:after="0" w:line="250" w:lineRule="auto"/>
        <w:tabs>
          <w:tab w:leader="none" w:pos="397" w:val="left"/>
        </w:tabs>
        <w:numPr>
          <w:ilvl w:val="0"/>
          <w:numId w:val="578"/>
        </w:numPr>
        <w:rPr>
          <w:rFonts w:ascii="Arial" w:cs="Arial" w:eastAsia="Arial" w:hAnsi="Arial"/>
          <w:sz w:val="20"/>
          <w:szCs w:val="20"/>
          <w:color w:val="auto"/>
        </w:rPr>
      </w:pPr>
      <w:r>
        <w:rPr>
          <w:rFonts w:ascii="Arial" w:cs="Arial" w:eastAsia="Arial" w:hAnsi="Arial"/>
          <w:sz w:val="20"/>
          <w:szCs w:val="20"/>
          <w:color w:val="auto"/>
        </w:rPr>
        <w:t>Business Days), appoint a successor. If no such successor shall have been so appointed by the Required Lenders (and approved by the Borrower, if applicable) and shall have accepted such appointment within 30 days (or such earlier day as shall be agreed by the Required Lenders) (the “</w:t>
      </w:r>
      <w:r>
        <w:rPr>
          <w:rFonts w:ascii="Arial" w:cs="Arial" w:eastAsia="Arial" w:hAnsi="Arial"/>
          <w:sz w:val="20"/>
          <w:szCs w:val="20"/>
          <w:u w:val="single" w:color="auto"/>
          <w:color w:val="auto"/>
        </w:rPr>
        <w:t>Removal Effective Date</w:t>
      </w:r>
      <w:r>
        <w:rPr>
          <w:rFonts w:ascii="Arial" w:cs="Arial" w:eastAsia="Arial" w:hAnsi="Arial"/>
          <w:sz w:val="20"/>
          <w:szCs w:val="20"/>
          <w:color w:val="auto"/>
        </w:rPr>
        <w:t>”), then such removal shall nonetheless become effective in accordance with such notice on the Removal Effective Date.</w:t>
      </w:r>
    </w:p>
    <w:p>
      <w:pPr>
        <w:spacing w:after="0" w:line="212" w:lineRule="exact"/>
        <w:rPr>
          <w:rFonts w:ascii="Arial" w:cs="Arial" w:eastAsia="Arial" w:hAnsi="Arial"/>
          <w:sz w:val="20"/>
          <w:szCs w:val="20"/>
          <w:color w:val="auto"/>
        </w:rPr>
      </w:pPr>
    </w:p>
    <w:p>
      <w:pPr>
        <w:jc w:val="both"/>
        <w:ind w:firstLine="599"/>
        <w:spacing w:after="0" w:line="264" w:lineRule="auto"/>
        <w:tabs>
          <w:tab w:leader="none" w:pos="1421" w:val="left"/>
        </w:tabs>
        <w:numPr>
          <w:ilvl w:val="1"/>
          <w:numId w:val="578"/>
        </w:numPr>
        <w:rPr>
          <w:rFonts w:ascii="Arial" w:cs="Arial" w:eastAsia="Arial" w:hAnsi="Arial"/>
          <w:sz w:val="19"/>
          <w:szCs w:val="19"/>
          <w:color w:val="auto"/>
        </w:rPr>
      </w:pPr>
      <w:r>
        <w:rPr>
          <w:rFonts w:ascii="Arial" w:cs="Arial" w:eastAsia="Arial" w:hAnsi="Arial"/>
          <w:sz w:val="19"/>
          <w:szCs w:val="19"/>
          <w:color w:val="auto"/>
        </w:rPr>
        <w:t xml:space="preserve">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under any of the Loan Documents, the retiring or removed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9"/>
          <w:szCs w:val="19"/>
          <w:u w:val="single" w:color="auto"/>
          <w:color w:val="auto"/>
        </w:rPr>
        <w:t>Section 3.01(g)</w:t>
      </w:r>
      <w:r>
        <w:rPr>
          <w:rFonts w:ascii="Arial" w:cs="Arial" w:eastAsia="Arial" w:hAnsi="Arial"/>
          <w:sz w:val="19"/>
          <w:szCs w:val="19"/>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w:t>
      </w:r>
    </w:p>
    <w:p>
      <w:pPr>
        <w:spacing w:after="0" w:line="20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76</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81" w:name="page482"/>
    <w:bookmarkEnd w:id="481"/>
    <w:p>
      <w:pPr>
        <w:jc w:val="both"/>
        <w:spacing w:after="0" w:line="239" w:lineRule="exact"/>
        <w:rPr>
          <w:sz w:val="20"/>
          <w:szCs w:val="20"/>
          <w:color w:val="auto"/>
        </w:rPr>
      </w:pPr>
      <w:r>
        <w:rPr>
          <w:rFonts w:ascii="Arial" w:cs="Arial" w:eastAsia="Arial" w:hAnsi="Arial"/>
          <w:sz w:val="20"/>
          <w:szCs w:val="20"/>
          <w:color w:val="auto"/>
        </w:rPr>
        <w:t xml:space="preserve">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Arial" w:cs="Arial" w:eastAsia="Arial" w:hAnsi="Arial"/>
          <w:sz w:val="20"/>
          <w:szCs w:val="20"/>
          <w:u w:val="single" w:color="auto"/>
          <w:color w:val="auto"/>
        </w:rPr>
        <w:t>Section 10.04</w:t>
      </w:r>
      <w:r>
        <w:rPr>
          <w:rFonts w:ascii="Arial" w:cs="Arial" w:eastAsia="Arial" w:hAnsi="Arial"/>
          <w:sz w:val="20"/>
          <w:szCs w:val="20"/>
          <w:color w:val="auto"/>
        </w:rPr>
        <w:t xml:space="preserve"> shall continue in effect for the benefit of such retiring or removed Administrative Agent, its sub</w:t>
      </w:r>
      <w:r>
        <w:rPr>
          <w:rFonts w:ascii="MS PGothic" w:cs="MS PGothic" w:eastAsia="MS PGothic" w:hAnsi="MS PGothic"/>
          <w:sz w:val="20"/>
          <w:szCs w:val="20"/>
          <w:color w:val="auto"/>
        </w:rPr>
        <w:t>‑</w:t>
      </w:r>
      <w:r>
        <w:rPr>
          <w:rFonts w:ascii="Arial" w:cs="Arial" w:eastAsia="Arial" w:hAnsi="Arial"/>
          <w:sz w:val="20"/>
          <w:szCs w:val="20"/>
          <w:color w:val="auto"/>
        </w:rPr>
        <w:t>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spacing w:after="0" w:line="226"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20"/>
          <w:szCs w:val="20"/>
          <w:color w:val="auto"/>
        </w:rPr>
        <w:t xml:space="preserve">9.07. </w:t>
      </w:r>
      <w:r>
        <w:rPr>
          <w:rFonts w:ascii="Arial" w:cs="Arial" w:eastAsia="Arial" w:hAnsi="Arial"/>
          <w:sz w:val="20"/>
          <w:szCs w:val="20"/>
          <w:u w:val="single" w:color="auto"/>
          <w:color w:val="auto"/>
        </w:rPr>
        <w:t>Non-Reliance on Administrative Agent and Other Lenders</w:t>
      </w:r>
      <w:r>
        <w:rPr>
          <w:rFonts w:ascii="Arial" w:cs="Arial" w:eastAsia="Arial" w:hAnsi="Arial"/>
          <w:sz w:val="20"/>
          <w:szCs w:val="20"/>
          <w:color w:val="auto"/>
        </w:rPr>
        <w:t>. 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215"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 xml:space="preserve">9.08. </w:t>
      </w:r>
      <w:r>
        <w:rPr>
          <w:rFonts w:ascii="Arial" w:cs="Arial" w:eastAsia="Arial" w:hAnsi="Arial"/>
          <w:sz w:val="20"/>
          <w:szCs w:val="20"/>
          <w:u w:val="single" w:color="auto"/>
          <w:color w:val="auto"/>
        </w:rPr>
        <w:t>No Other Duties, Etc</w:t>
      </w:r>
      <w:r>
        <w:rPr>
          <w:rFonts w:ascii="Arial" w:cs="Arial" w:eastAsia="Arial" w:hAnsi="Arial"/>
          <w:sz w:val="20"/>
          <w:szCs w:val="20"/>
          <w:color w:val="auto"/>
        </w:rPr>
        <w:t>. Anything herein to the contrary notwithstanding, neither any Arranger nor the Syndication Agent listed on the cover page hereof shall have any powers, duties or responsibilities under this Agreement or any of the other Loan Documents, except in its capacity, as applicable, as the Administrative Agent or a Lender hereunder.</w:t>
      </w:r>
    </w:p>
    <w:p>
      <w:pPr>
        <w:spacing w:after="0" w:line="202"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 xml:space="preserve">9.09. </w:t>
      </w:r>
      <w:r>
        <w:rPr>
          <w:rFonts w:ascii="Arial" w:cs="Arial" w:eastAsia="Arial" w:hAnsi="Arial"/>
          <w:sz w:val="20"/>
          <w:szCs w:val="20"/>
          <w:u w:val="single" w:color="auto"/>
          <w:color w:val="auto"/>
        </w:rPr>
        <w:t>Administrative Agent May File Proofs of Claim</w:t>
      </w:r>
      <w:r>
        <w:rPr>
          <w:rFonts w:ascii="Arial" w:cs="Arial" w:eastAsia="Arial" w:hAnsi="Arial"/>
          <w:sz w:val="20"/>
          <w:szCs w:val="20"/>
          <w:color w:val="auto"/>
        </w:rPr>
        <w:t>. In case of the pendency of any proceeding under any Debtor Relief Law or any other judicial proceeding relative to any Loan Party or Subsidiary thereof,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212" w:lineRule="exact"/>
        <w:rPr>
          <w:sz w:val="20"/>
          <w:szCs w:val="20"/>
          <w:color w:val="auto"/>
        </w:rPr>
      </w:pPr>
    </w:p>
    <w:p>
      <w:pPr>
        <w:jc w:val="both"/>
        <w:ind w:firstLine="599"/>
        <w:spacing w:after="0" w:line="270" w:lineRule="auto"/>
        <w:tabs>
          <w:tab w:leader="none" w:pos="1421" w:val="left"/>
        </w:tabs>
        <w:numPr>
          <w:ilvl w:val="0"/>
          <w:numId w:val="579"/>
        </w:numPr>
        <w:rPr>
          <w:rFonts w:ascii="Arial" w:cs="Arial" w:eastAsia="Arial" w:hAnsi="Arial"/>
          <w:sz w:val="19"/>
          <w:szCs w:val="19"/>
          <w:color w:val="auto"/>
        </w:rPr>
      </w:pPr>
      <w:r>
        <w:rPr>
          <w:rFonts w:ascii="Arial" w:cs="Arial" w:eastAsia="Arial" w:hAnsi="Arial"/>
          <w:sz w:val="19"/>
          <w:szCs w:val="19"/>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9"/>
          <w:szCs w:val="19"/>
          <w:u w:val="single" w:color="auto"/>
          <w:color w:val="auto"/>
        </w:rPr>
        <w:t>Sections 2.09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10.04</w:t>
      </w:r>
      <w:r>
        <w:rPr>
          <w:rFonts w:ascii="Arial" w:cs="Arial" w:eastAsia="Arial" w:hAnsi="Arial"/>
          <w:sz w:val="19"/>
          <w:szCs w:val="19"/>
          <w:color w:val="auto"/>
        </w:rPr>
        <w:t>) allowed in such judicial proceeding; and</w:t>
      </w:r>
    </w:p>
    <w:p>
      <w:pPr>
        <w:spacing w:after="0" w:line="194" w:lineRule="exact"/>
        <w:rPr>
          <w:rFonts w:ascii="Arial" w:cs="Arial" w:eastAsia="Arial" w:hAnsi="Arial"/>
          <w:sz w:val="19"/>
          <w:szCs w:val="19"/>
          <w:color w:val="auto"/>
        </w:rPr>
      </w:pPr>
    </w:p>
    <w:p>
      <w:pPr>
        <w:ind w:left="1440" w:hanging="841"/>
        <w:spacing w:after="0"/>
        <w:tabs>
          <w:tab w:leader="none" w:pos="1440" w:val="left"/>
        </w:tabs>
        <w:numPr>
          <w:ilvl w:val="0"/>
          <w:numId w:val="579"/>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 xml:space="preserve">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20"/>
          <w:szCs w:val="20"/>
          <w:u w:val="single" w:color="auto"/>
          <w:color w:val="auto"/>
        </w:rPr>
        <w:t>Sections 2.09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10.04</w:t>
      </w:r>
      <w:r>
        <w:rPr>
          <w:rFonts w:ascii="Arial" w:cs="Arial" w:eastAsia="Arial" w:hAnsi="Arial"/>
          <w:sz w:val="20"/>
          <w:szCs w:val="20"/>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77</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82" w:name="page483"/>
    <w:bookmarkEnd w:id="482"/>
    <w:p>
      <w:pPr>
        <w:jc w:val="both"/>
        <w:ind w:firstLine="599"/>
        <w:spacing w:after="0" w:line="280" w:lineRule="auto"/>
        <w:rPr>
          <w:sz w:val="20"/>
          <w:szCs w:val="20"/>
          <w:color w:val="auto"/>
        </w:rPr>
      </w:pPr>
      <w:r>
        <w:rPr>
          <w:rFonts w:ascii="Arial" w:cs="Arial" w:eastAsia="Arial" w:hAnsi="Arial"/>
          <w:sz w:val="19"/>
          <w:szCs w:val="19"/>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or in any such proceeding.</w:t>
      </w:r>
    </w:p>
    <w:p>
      <w:pPr>
        <w:spacing w:after="0" w:line="147" w:lineRule="exact"/>
        <w:rPr>
          <w:sz w:val="20"/>
          <w:szCs w:val="20"/>
          <w:color w:val="auto"/>
        </w:rPr>
      </w:pPr>
    </w:p>
    <w:p>
      <w:pPr>
        <w:jc w:val="both"/>
        <w:ind w:firstLine="599"/>
        <w:spacing w:after="0" w:line="273" w:lineRule="auto"/>
        <w:rPr>
          <w:sz w:val="20"/>
          <w:szCs w:val="20"/>
          <w:color w:val="auto"/>
        </w:rPr>
      </w:pPr>
      <w:r>
        <w:rPr>
          <w:rFonts w:ascii="Arial" w:cs="Arial" w:eastAsia="Arial" w:hAnsi="Arial"/>
          <w:sz w:val="19"/>
          <w:szCs w:val="19"/>
          <w:color w:val="auto"/>
        </w:rPr>
        <w:t xml:space="preserve">9.10. </w:t>
      </w:r>
      <w:r>
        <w:rPr>
          <w:rFonts w:ascii="Arial" w:cs="Arial" w:eastAsia="Arial" w:hAnsi="Arial"/>
          <w:sz w:val="19"/>
          <w:szCs w:val="19"/>
          <w:u w:val="single" w:color="auto"/>
          <w:color w:val="auto"/>
        </w:rPr>
        <w:t>Guaranty Matters</w:t>
      </w:r>
      <w:r>
        <w:rPr>
          <w:rFonts w:ascii="Arial" w:cs="Arial" w:eastAsia="Arial" w:hAnsi="Arial"/>
          <w:sz w:val="19"/>
          <w:szCs w:val="19"/>
          <w:color w:val="auto"/>
        </w:rPr>
        <w:t>. Each of the Lenders irrevocably authorizes the Administrative Agent, at its option and in its discretion, to release any Guarantor that is a Subsidiary of the Borrower from its obligations under the Guaranty Agreement if such Person (i) ceases to be a Subsidiary as a result of a transaction permitted hereunder, or (ii) becomes an Excluded Subsidiary or satisfies the Exemption Condition as a result of a transaction permitted hereunder and in accordance with the terms hereof.</w:t>
      </w:r>
    </w:p>
    <w:p>
      <w:pPr>
        <w:spacing w:after="0" w:line="192" w:lineRule="exact"/>
        <w:rPr>
          <w:sz w:val="20"/>
          <w:szCs w:val="20"/>
          <w:color w:val="auto"/>
        </w:rPr>
      </w:pPr>
    </w:p>
    <w:p>
      <w:pPr>
        <w:jc w:val="both"/>
        <w:ind w:firstLine="599"/>
        <w:spacing w:after="0" w:line="252" w:lineRule="auto"/>
        <w:rPr>
          <w:sz w:val="20"/>
          <w:szCs w:val="20"/>
          <w:color w:val="auto"/>
        </w:rPr>
      </w:pPr>
      <w:r>
        <w:rPr>
          <w:rFonts w:ascii="Arial" w:cs="Arial" w:eastAsia="Arial" w:hAnsi="Arial"/>
          <w:sz w:val="20"/>
          <w:szCs w:val="20"/>
          <w:color w:val="auto"/>
        </w:rPr>
        <w:t xml:space="preserve">Upon request by the Administrative Agent at any time, the Required Lenders will confirm in writing the Administrative Agent’s authority to release any Guarantor that is a Subsidiary of the REIT from its obligations under the Guaranty Agreement pursuant to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9.10</w:t>
      </w:r>
      <w:r>
        <w:rPr>
          <w:rFonts w:ascii="Arial" w:cs="Arial" w:eastAsia="Arial" w:hAnsi="Arial"/>
          <w:sz w:val="20"/>
          <w:szCs w:val="20"/>
          <w:color w:val="auto"/>
        </w:rPr>
        <w:t xml:space="preserve">. In each case as specified in this </w:t>
      </w:r>
      <w:r>
        <w:rPr>
          <w:rFonts w:ascii="Arial" w:cs="Arial" w:eastAsia="Arial" w:hAnsi="Arial"/>
          <w:sz w:val="20"/>
          <w:szCs w:val="20"/>
          <w:u w:val="single" w:color="auto"/>
          <w:color w:val="auto"/>
        </w:rPr>
        <w:t>Section 9.10</w:t>
      </w:r>
      <w:r>
        <w:rPr>
          <w:rFonts w:ascii="Arial" w:cs="Arial" w:eastAsia="Arial" w:hAnsi="Arial"/>
          <w:sz w:val="20"/>
          <w:szCs w:val="20"/>
          <w:color w:val="auto"/>
        </w:rPr>
        <w:t xml:space="preserve">, the Administrative Agent will, at the Borrower’s expense, execute and deliver to the applicable Loan Party such documents as such Loan Party may reasonably request to evidence the release of such Guarantor that is a Subsidiary of the REIT from its obligations under the Guaranty Agreement in accordance with the terms of the Loan Documents and this </w:t>
      </w:r>
      <w:r>
        <w:rPr>
          <w:rFonts w:ascii="Arial" w:cs="Arial" w:eastAsia="Arial" w:hAnsi="Arial"/>
          <w:sz w:val="20"/>
          <w:szCs w:val="20"/>
          <w:u w:val="single" w:color="auto"/>
          <w:color w:val="auto"/>
        </w:rPr>
        <w:t>Section 9.10</w:t>
      </w:r>
      <w:r>
        <w:rPr>
          <w:rFonts w:ascii="Arial" w:cs="Arial" w:eastAsia="Arial" w:hAnsi="Arial"/>
          <w:sz w:val="20"/>
          <w:szCs w:val="20"/>
          <w:color w:val="auto"/>
        </w:rPr>
        <w:t>.</w:t>
      </w:r>
    </w:p>
    <w:p>
      <w:pPr>
        <w:spacing w:after="0" w:line="175" w:lineRule="exact"/>
        <w:rPr>
          <w:sz w:val="20"/>
          <w:szCs w:val="20"/>
          <w:color w:val="auto"/>
        </w:rPr>
      </w:pPr>
    </w:p>
    <w:p>
      <w:pPr>
        <w:jc w:val="both"/>
        <w:ind w:firstLine="599"/>
        <w:spacing w:after="0" w:line="273" w:lineRule="auto"/>
        <w:rPr>
          <w:sz w:val="20"/>
          <w:szCs w:val="20"/>
          <w:color w:val="auto"/>
        </w:rPr>
      </w:pPr>
      <w:r>
        <w:rPr>
          <w:rFonts w:ascii="Arial" w:cs="Arial" w:eastAsia="Arial" w:hAnsi="Arial"/>
          <w:sz w:val="19"/>
          <w:szCs w:val="19"/>
          <w:color w:val="auto"/>
        </w:rPr>
        <w:t xml:space="preserve">9.11. </w:t>
      </w:r>
      <w:r>
        <w:rPr>
          <w:rFonts w:ascii="Arial" w:cs="Arial" w:eastAsia="Arial" w:hAnsi="Arial"/>
          <w:sz w:val="19"/>
          <w:szCs w:val="19"/>
          <w:u w:val="single" w:color="auto"/>
          <w:color w:val="auto"/>
        </w:rPr>
        <w:t>Lender Representations Regarding ERISA</w:t>
      </w:r>
      <w:r>
        <w:rPr>
          <w:rFonts w:ascii="Arial" w:cs="Arial" w:eastAsia="Arial" w:hAnsi="Arial"/>
          <w:sz w:val="19"/>
          <w:szCs w:val="19"/>
          <w:color w:val="auto"/>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Borrower or any other Loan Party, that at least one of the following is and will be true:</w:t>
      </w:r>
    </w:p>
    <w:p>
      <w:pPr>
        <w:spacing w:after="0" w:line="192" w:lineRule="exact"/>
        <w:rPr>
          <w:sz w:val="20"/>
          <w:szCs w:val="20"/>
          <w:color w:val="auto"/>
        </w:rPr>
      </w:pPr>
    </w:p>
    <w:p>
      <w:pPr>
        <w:ind w:left="600" w:firstLine="599"/>
        <w:spacing w:after="0" w:line="272" w:lineRule="auto"/>
        <w:tabs>
          <w:tab w:leader="none" w:pos="1988" w:val="left"/>
        </w:tabs>
        <w:numPr>
          <w:ilvl w:val="0"/>
          <w:numId w:val="580"/>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29 CFR § 2510.3-101, as modified by Section 3(42) of ERISA) of one or more Benefit Plans in connection with the Loans;</w:t>
      </w:r>
    </w:p>
    <w:p>
      <w:pPr>
        <w:spacing w:after="0" w:line="190" w:lineRule="exact"/>
        <w:rPr>
          <w:rFonts w:ascii="Arial" w:cs="Arial" w:eastAsia="Arial" w:hAnsi="Arial"/>
          <w:sz w:val="20"/>
          <w:szCs w:val="20"/>
          <w:color w:val="auto"/>
        </w:rPr>
      </w:pPr>
    </w:p>
    <w:p>
      <w:pPr>
        <w:jc w:val="both"/>
        <w:ind w:left="600" w:firstLine="599"/>
        <w:spacing w:after="0" w:line="286" w:lineRule="auto"/>
        <w:tabs>
          <w:tab w:leader="none" w:pos="2043" w:val="left"/>
        </w:tabs>
        <w:numPr>
          <w:ilvl w:val="0"/>
          <w:numId w:val="580"/>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and this Agreement;</w:t>
      </w:r>
    </w:p>
    <w:p>
      <w:pPr>
        <w:spacing w:after="0" w:line="181" w:lineRule="exact"/>
        <w:rPr>
          <w:rFonts w:ascii="Arial" w:cs="Arial" w:eastAsia="Arial" w:hAnsi="Arial"/>
          <w:sz w:val="18"/>
          <w:szCs w:val="18"/>
          <w:color w:val="auto"/>
        </w:rPr>
      </w:pPr>
    </w:p>
    <w:p>
      <w:pPr>
        <w:jc w:val="both"/>
        <w:ind w:left="600" w:firstLine="599"/>
        <w:spacing w:after="0" w:line="286" w:lineRule="auto"/>
        <w:tabs>
          <w:tab w:leader="none" w:pos="2099" w:val="left"/>
        </w:tabs>
        <w:numPr>
          <w:ilvl w:val="0"/>
          <w:numId w:val="580"/>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and this Agreement, (C) the entrance into, participation in, administration of and performance of the Loans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and this Agreement; or</w:t>
      </w:r>
    </w:p>
    <w:p>
      <w:pPr>
        <w:spacing w:after="0" w:line="181" w:lineRule="exact"/>
        <w:rPr>
          <w:rFonts w:ascii="Arial" w:cs="Arial" w:eastAsia="Arial" w:hAnsi="Arial"/>
          <w:sz w:val="18"/>
          <w:szCs w:val="18"/>
          <w:color w:val="auto"/>
        </w:rPr>
      </w:pPr>
    </w:p>
    <w:p>
      <w:pPr>
        <w:ind w:left="600" w:firstLine="599"/>
        <w:spacing w:after="0" w:line="272" w:lineRule="auto"/>
        <w:tabs>
          <w:tab w:leader="none" w:pos="2087" w:val="left"/>
        </w:tabs>
        <w:numPr>
          <w:ilvl w:val="0"/>
          <w:numId w:val="580"/>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200" w:lineRule="exact"/>
        <w:rPr>
          <w:sz w:val="20"/>
          <w:szCs w:val="20"/>
          <w:color w:val="auto"/>
        </w:rPr>
      </w:pPr>
    </w:p>
    <w:p>
      <w:pPr>
        <w:spacing w:after="0" w:line="228"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78</w:t>
      </w:r>
      <w:r>
        <w:rPr>
          <w:rFonts w:ascii="MS PGothic" w:cs="MS PGothic" w:eastAsia="MS PGothic" w:hAnsi="MS PGothic"/>
          <w:sz w:val="20"/>
          <w:szCs w:val="20"/>
          <w:color w:val="auto"/>
        </w:rPr>
        <w:t>‑</w:t>
      </w:r>
    </w:p>
    <w:p>
      <w:pPr>
        <w:sectPr>
          <w:pgSz w:w="11900" w:h="16838" w:orient="portrait"/>
          <w:cols w:equalWidth="0" w:num="1">
            <w:col w:w="11420"/>
          </w:cols>
          <w:pgMar w:left="240" w:top="794" w:right="239" w:bottom="1440" w:gutter="0" w:footer="0" w:header="0"/>
        </w:sectPr>
      </w:pPr>
    </w:p>
    <w:bookmarkStart w:id="483" w:name="page484"/>
    <w:bookmarkEnd w:id="483"/>
    <w:p>
      <w:pPr>
        <w:jc w:val="both"/>
        <w:ind w:firstLine="599"/>
        <w:spacing w:after="0" w:line="288" w:lineRule="auto"/>
        <w:tabs>
          <w:tab w:leader="none" w:pos="1108" w:val="left"/>
        </w:tabs>
        <w:numPr>
          <w:ilvl w:val="0"/>
          <w:numId w:val="581"/>
        </w:numPr>
        <w:rPr>
          <w:rFonts w:ascii="Arial" w:cs="Arial" w:eastAsia="Arial" w:hAnsi="Arial"/>
          <w:sz w:val="18"/>
          <w:szCs w:val="18"/>
          <w:color w:val="auto"/>
        </w:rPr>
      </w:pPr>
      <w:r>
        <w:rPr>
          <w:rFonts w:ascii="Arial" w:cs="Arial" w:eastAsia="Arial" w:hAnsi="Arial"/>
          <w:sz w:val="18"/>
          <w:szCs w:val="18"/>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Borrower or any other Loan Party, that:</w:t>
      </w:r>
    </w:p>
    <w:p>
      <w:pPr>
        <w:spacing w:after="0" w:line="144" w:lineRule="exact"/>
        <w:rPr>
          <w:rFonts w:ascii="Arial" w:cs="Arial" w:eastAsia="Arial" w:hAnsi="Arial"/>
          <w:sz w:val="18"/>
          <w:szCs w:val="18"/>
          <w:color w:val="auto"/>
        </w:rPr>
      </w:pPr>
    </w:p>
    <w:p>
      <w:pPr>
        <w:jc w:val="both"/>
        <w:ind w:left="600" w:firstLine="599"/>
        <w:spacing w:after="0" w:line="260" w:lineRule="auto"/>
        <w:tabs>
          <w:tab w:leader="none" w:pos="1988" w:val="left"/>
        </w:tabs>
        <w:numPr>
          <w:ilvl w:val="2"/>
          <w:numId w:val="581"/>
        </w:numPr>
        <w:rPr>
          <w:rFonts w:ascii="Arial" w:cs="Arial" w:eastAsia="Arial" w:hAnsi="Arial"/>
          <w:sz w:val="20"/>
          <w:szCs w:val="20"/>
          <w:color w:val="auto"/>
        </w:rPr>
      </w:pPr>
      <w:r>
        <w:rPr>
          <w:rFonts w:ascii="Arial" w:cs="Arial" w:eastAsia="Arial" w:hAnsi="Arial"/>
          <w:sz w:val="20"/>
          <w:szCs w:val="20"/>
          <w:color w:val="auto"/>
        </w:rPr>
        <w:t>none of the Administrative Agent or any of its Affiliates is a fiduciary with respect to the assets of such Lender (including in connection with the reservation or exercise of any rights by the Administrative Agent under this Agreement, any Loan Document or any documents related hereto or thereto);</w:t>
      </w:r>
    </w:p>
    <w:p>
      <w:pPr>
        <w:spacing w:after="0" w:line="201" w:lineRule="exact"/>
        <w:rPr>
          <w:rFonts w:ascii="Arial" w:cs="Arial" w:eastAsia="Arial" w:hAnsi="Arial"/>
          <w:sz w:val="20"/>
          <w:szCs w:val="20"/>
          <w:color w:val="auto"/>
        </w:rPr>
      </w:pPr>
    </w:p>
    <w:p>
      <w:pPr>
        <w:jc w:val="both"/>
        <w:ind w:left="600" w:firstLine="599"/>
        <w:spacing w:after="0" w:line="293" w:lineRule="auto"/>
        <w:tabs>
          <w:tab w:leader="none" w:pos="2043" w:val="left"/>
        </w:tabs>
        <w:numPr>
          <w:ilvl w:val="2"/>
          <w:numId w:val="581"/>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175" w:lineRule="exact"/>
        <w:rPr>
          <w:rFonts w:ascii="Arial" w:cs="Arial" w:eastAsia="Arial" w:hAnsi="Arial"/>
          <w:sz w:val="18"/>
          <w:szCs w:val="18"/>
          <w:color w:val="auto"/>
        </w:rPr>
      </w:pPr>
    </w:p>
    <w:p>
      <w:pPr>
        <w:jc w:val="both"/>
        <w:ind w:left="600" w:firstLine="599"/>
        <w:spacing w:after="0" w:line="302" w:lineRule="auto"/>
        <w:tabs>
          <w:tab w:leader="none" w:pos="2099" w:val="left"/>
        </w:tabs>
        <w:numPr>
          <w:ilvl w:val="2"/>
          <w:numId w:val="581"/>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and this Agreement is capable of evaluating investment risks independently, both in general and with regard to particular transactions and investment strategies (including in respect of the Obligations);</w:t>
      </w:r>
    </w:p>
    <w:p>
      <w:pPr>
        <w:spacing w:after="0" w:line="167" w:lineRule="exact"/>
        <w:rPr>
          <w:rFonts w:ascii="Arial" w:cs="Arial" w:eastAsia="Arial" w:hAnsi="Arial"/>
          <w:sz w:val="18"/>
          <w:szCs w:val="18"/>
          <w:color w:val="auto"/>
        </w:rPr>
      </w:pPr>
    </w:p>
    <w:p>
      <w:pPr>
        <w:jc w:val="both"/>
        <w:ind w:left="600" w:firstLine="599"/>
        <w:spacing w:after="0" w:line="302" w:lineRule="auto"/>
        <w:tabs>
          <w:tab w:leader="none" w:pos="2087" w:val="left"/>
        </w:tabs>
        <w:numPr>
          <w:ilvl w:val="2"/>
          <w:numId w:val="581"/>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and this Agreement is a fiduciary under ERISA or the Code, or both, with respect to the Loans and this Agreement and is responsible for exercising independent judgment in evaluating the transactions hereunder; and</w:t>
      </w:r>
    </w:p>
    <w:p>
      <w:pPr>
        <w:spacing w:after="0" w:line="167" w:lineRule="exact"/>
        <w:rPr>
          <w:rFonts w:ascii="Arial" w:cs="Arial" w:eastAsia="Arial" w:hAnsi="Arial"/>
          <w:sz w:val="18"/>
          <w:szCs w:val="18"/>
          <w:color w:val="auto"/>
        </w:rPr>
      </w:pPr>
    </w:p>
    <w:p>
      <w:pPr>
        <w:ind w:left="600" w:firstLine="599"/>
        <w:spacing w:after="0" w:line="272" w:lineRule="auto"/>
        <w:tabs>
          <w:tab w:leader="none" w:pos="2032" w:val="left"/>
        </w:tabs>
        <w:numPr>
          <w:ilvl w:val="2"/>
          <w:numId w:val="581"/>
        </w:numPr>
        <w:rPr>
          <w:rFonts w:ascii="Arial" w:cs="Arial" w:eastAsia="Arial" w:hAnsi="Arial"/>
          <w:sz w:val="20"/>
          <w:szCs w:val="20"/>
          <w:color w:val="auto"/>
        </w:rPr>
      </w:pPr>
      <w:r>
        <w:rPr>
          <w:rFonts w:ascii="Arial" w:cs="Arial" w:eastAsia="Arial" w:hAnsi="Arial"/>
          <w:sz w:val="20"/>
          <w:szCs w:val="20"/>
          <w:color w:val="auto"/>
        </w:rPr>
        <w:t>no fee or other compensation is being paid directly to the Administrative Agent or any of its Affiliates for investment advice (as opposed to other services) in connection with the Loans or this Agreement.</w:t>
      </w:r>
    </w:p>
    <w:p>
      <w:pPr>
        <w:spacing w:after="0" w:line="190" w:lineRule="exact"/>
        <w:rPr>
          <w:rFonts w:ascii="Arial" w:cs="Arial" w:eastAsia="Arial" w:hAnsi="Arial"/>
          <w:sz w:val="20"/>
          <w:szCs w:val="20"/>
          <w:color w:val="auto"/>
        </w:rPr>
      </w:pPr>
    </w:p>
    <w:p>
      <w:pPr>
        <w:jc w:val="both"/>
        <w:ind w:firstLine="899"/>
        <w:spacing w:after="0" w:line="265" w:lineRule="auto"/>
        <w:tabs>
          <w:tab w:leader="none" w:pos="1386" w:val="left"/>
        </w:tabs>
        <w:numPr>
          <w:ilvl w:val="1"/>
          <w:numId w:val="581"/>
        </w:numPr>
        <w:rPr>
          <w:rFonts w:ascii="Arial" w:cs="Arial" w:eastAsia="Arial" w:hAnsi="Arial"/>
          <w:sz w:val="19"/>
          <w:szCs w:val="19"/>
          <w:color w:val="auto"/>
        </w:rPr>
      </w:pPr>
      <w:r>
        <w:rPr>
          <w:rFonts w:ascii="Arial" w:cs="Arial" w:eastAsia="Arial" w:hAnsi="Arial"/>
          <w:sz w:val="19"/>
          <w:szCs w:val="19"/>
          <w:color w:val="auto"/>
        </w:rPr>
        <w:t>The Administrative Agent hereby informs the Lenders that it is not undertaking to provide impartial investment advice, or to give advice in a fiduciary capacity, in connection with the transactions contemplated hereby, and that it has a financial interest in the transactions contemplated hereby in that such Person or an Affiliate thereof (i) may receive interest or other payments with respect to the Loans and this Agreement, (ii) may recognize a gain if it extended the Loans for an amount less than the amount being paid for an interest in the Loans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00" w:lineRule="exact"/>
        <w:rPr>
          <w:sz w:val="20"/>
          <w:szCs w:val="20"/>
          <w:color w:val="auto"/>
        </w:rPr>
      </w:pPr>
    </w:p>
    <w:p>
      <w:pPr>
        <w:spacing w:after="0" w:line="20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79</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84" w:name="page485"/>
    <w:bookmarkEnd w:id="484"/>
    <w:p>
      <w:pPr>
        <w:jc w:val="center"/>
        <w:spacing w:after="0"/>
        <w:rPr>
          <w:sz w:val="20"/>
          <w:szCs w:val="20"/>
          <w:color w:val="auto"/>
        </w:rPr>
      </w:pPr>
      <w:r>
        <w:rPr>
          <w:rFonts w:ascii="Arial" w:cs="Arial" w:eastAsia="Arial" w:hAnsi="Arial"/>
          <w:sz w:val="20"/>
          <w:szCs w:val="20"/>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w:t>
      </w:r>
    </w:p>
    <w:p>
      <w:pPr>
        <w:spacing w:after="0" w:line="229"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 xml:space="preserve">10.01. </w:t>
      </w:r>
      <w:r>
        <w:rPr>
          <w:rFonts w:ascii="Arial" w:cs="Arial" w:eastAsia="Arial" w:hAnsi="Arial"/>
          <w:sz w:val="20"/>
          <w:szCs w:val="20"/>
          <w:u w:val="single" w:color="auto"/>
          <w:color w:val="auto"/>
        </w:rPr>
        <w:t>Amendments, Etc</w:t>
      </w:r>
      <w:r>
        <w:rPr>
          <w:rFonts w:ascii="Arial" w:cs="Arial" w:eastAsia="Arial" w:hAnsi="Arial"/>
          <w:sz w:val="20"/>
          <w:szCs w:val="20"/>
          <w:color w:val="auto"/>
        </w:rPr>
        <w:t xml:space="preserve">.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such amendment, waiver or consent shall:</w:t>
      </w:r>
    </w:p>
    <w:p>
      <w:pPr>
        <w:spacing w:after="0" w:line="212" w:lineRule="exact"/>
        <w:rPr>
          <w:sz w:val="20"/>
          <w:szCs w:val="20"/>
          <w:color w:val="auto"/>
        </w:rPr>
      </w:pPr>
    </w:p>
    <w:p>
      <w:pPr>
        <w:ind w:left="1420" w:hanging="821"/>
        <w:spacing w:after="0"/>
        <w:tabs>
          <w:tab w:leader="none" w:pos="1420" w:val="left"/>
        </w:tabs>
        <w:numPr>
          <w:ilvl w:val="0"/>
          <w:numId w:val="582"/>
        </w:numPr>
        <w:rPr>
          <w:rFonts w:ascii="Arial" w:cs="Arial" w:eastAsia="Arial" w:hAnsi="Arial"/>
          <w:sz w:val="20"/>
          <w:szCs w:val="20"/>
          <w:color w:val="auto"/>
        </w:rPr>
      </w:pPr>
      <w:r>
        <w:rPr>
          <w:rFonts w:ascii="Arial" w:cs="Arial" w:eastAsia="Arial" w:hAnsi="Arial"/>
          <w:sz w:val="20"/>
          <w:szCs w:val="20"/>
          <w:color w:val="auto"/>
        </w:rPr>
        <w:t xml:space="preserve">waive any condition set forth in </w:t>
      </w:r>
      <w:r>
        <w:rPr>
          <w:rFonts w:ascii="Arial" w:cs="Arial" w:eastAsia="Arial" w:hAnsi="Arial"/>
          <w:sz w:val="20"/>
          <w:szCs w:val="20"/>
          <w:u w:val="single" w:color="auto"/>
          <w:color w:val="auto"/>
        </w:rPr>
        <w:t>Section 4.01</w:t>
      </w:r>
      <w:r>
        <w:rPr>
          <w:rFonts w:ascii="Arial" w:cs="Arial" w:eastAsia="Arial" w:hAnsi="Arial"/>
          <w:sz w:val="20"/>
          <w:szCs w:val="20"/>
          <w:color w:val="auto"/>
        </w:rPr>
        <w:t>, without the written consent of each Lender;</w:t>
      </w:r>
    </w:p>
    <w:p>
      <w:pPr>
        <w:spacing w:after="0" w:line="244" w:lineRule="exact"/>
        <w:rPr>
          <w:rFonts w:ascii="Arial" w:cs="Arial" w:eastAsia="Arial" w:hAnsi="Arial"/>
          <w:sz w:val="20"/>
          <w:szCs w:val="20"/>
          <w:color w:val="auto"/>
        </w:rPr>
      </w:pPr>
    </w:p>
    <w:p>
      <w:pPr>
        <w:ind w:left="1440" w:hanging="841"/>
        <w:spacing w:after="0"/>
        <w:tabs>
          <w:tab w:leader="none" w:pos="1440" w:val="left"/>
        </w:tabs>
        <w:numPr>
          <w:ilvl w:val="0"/>
          <w:numId w:val="582"/>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44" w:lineRule="exact"/>
        <w:rPr>
          <w:rFonts w:ascii="Arial" w:cs="Arial" w:eastAsia="Arial" w:hAnsi="Arial"/>
          <w:sz w:val="20"/>
          <w:szCs w:val="20"/>
          <w:color w:val="auto"/>
        </w:rPr>
      </w:pPr>
    </w:p>
    <w:p>
      <w:pPr>
        <w:jc w:val="both"/>
        <w:ind w:firstLine="599"/>
        <w:spacing w:after="0" w:line="260" w:lineRule="auto"/>
        <w:tabs>
          <w:tab w:leader="none" w:pos="1421" w:val="left"/>
        </w:tabs>
        <w:numPr>
          <w:ilvl w:val="0"/>
          <w:numId w:val="582"/>
        </w:numPr>
        <w:rPr>
          <w:rFonts w:ascii="Arial" w:cs="Arial" w:eastAsia="Arial" w:hAnsi="Arial"/>
          <w:sz w:val="20"/>
          <w:szCs w:val="20"/>
          <w:color w:val="auto"/>
        </w:rPr>
      </w:pPr>
      <w:r>
        <w:rPr>
          <w:rFonts w:ascii="Arial" w:cs="Arial" w:eastAsia="Arial" w:hAnsi="Arial"/>
          <w:sz w:val="20"/>
          <w:szCs w:val="20"/>
          <w:color w:val="auto"/>
        </w:rPr>
        <w:t xml:space="preserve">extend or increase the Commitment of any Lender (or reinstate any Commitment terminated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without the written consent of such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the avoidance of doubt, the waiver of any Default or any condition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shall not be deemed to be an extension or increase of the Commitment of any Lender;</w:t>
      </w:r>
    </w:p>
    <w:p>
      <w:pPr>
        <w:spacing w:after="0" w:line="201" w:lineRule="exact"/>
        <w:rPr>
          <w:rFonts w:ascii="Arial" w:cs="Arial" w:eastAsia="Arial" w:hAnsi="Arial"/>
          <w:sz w:val="20"/>
          <w:szCs w:val="20"/>
          <w:color w:val="auto"/>
        </w:rPr>
      </w:pPr>
    </w:p>
    <w:p>
      <w:pPr>
        <w:jc w:val="both"/>
        <w:ind w:firstLine="599"/>
        <w:spacing w:after="0" w:line="260" w:lineRule="auto"/>
        <w:tabs>
          <w:tab w:leader="none" w:pos="1432" w:val="left"/>
        </w:tabs>
        <w:numPr>
          <w:ilvl w:val="0"/>
          <w:numId w:val="582"/>
        </w:numPr>
        <w:rPr>
          <w:rFonts w:ascii="Arial" w:cs="Arial" w:eastAsia="Arial" w:hAnsi="Arial"/>
          <w:sz w:val="20"/>
          <w:szCs w:val="20"/>
          <w:color w:val="auto"/>
        </w:rPr>
      </w:pPr>
      <w:r>
        <w:rPr>
          <w:rFonts w:ascii="Arial" w:cs="Arial" w:eastAsia="Arial" w:hAnsi="Arial"/>
          <w:sz w:val="20"/>
          <w:szCs w:val="20"/>
          <w:color w:val="auto"/>
        </w:rPr>
        <w:t>postpone any date fixed by this Agreement or any other Loan Document for any payment (excluding mandatory prepayments) of principal, interest, fees, the Prepayment Premium or other amounts due to the Lenders (or any of them) hereunder or under such other Loan Document without the written consent of each Lender entitled to such payment;</w:t>
      </w:r>
    </w:p>
    <w:p>
      <w:pPr>
        <w:spacing w:after="0" w:line="201" w:lineRule="exact"/>
        <w:rPr>
          <w:rFonts w:ascii="Arial" w:cs="Arial" w:eastAsia="Arial" w:hAnsi="Arial"/>
          <w:sz w:val="20"/>
          <w:szCs w:val="20"/>
          <w:color w:val="auto"/>
        </w:rPr>
      </w:pPr>
    </w:p>
    <w:p>
      <w:pPr>
        <w:jc w:val="both"/>
        <w:ind w:firstLine="599"/>
        <w:spacing w:after="0" w:line="268" w:lineRule="auto"/>
        <w:tabs>
          <w:tab w:leader="none" w:pos="1421" w:val="left"/>
        </w:tabs>
        <w:numPr>
          <w:ilvl w:val="0"/>
          <w:numId w:val="582"/>
        </w:numPr>
        <w:rPr>
          <w:rFonts w:ascii="Arial" w:cs="Arial" w:eastAsia="Arial" w:hAnsi="Arial"/>
          <w:sz w:val="19"/>
          <w:szCs w:val="19"/>
          <w:color w:val="auto"/>
        </w:rPr>
      </w:pPr>
      <w:r>
        <w:rPr>
          <w:rFonts w:ascii="Arial" w:cs="Arial" w:eastAsia="Arial" w:hAnsi="Arial"/>
          <w:sz w:val="19"/>
          <w:szCs w:val="19"/>
          <w:color w:val="auto"/>
        </w:rPr>
        <w:t xml:space="preserve">reduce the principal of, or (except to the extent provided in </w:t>
      </w:r>
      <w:r>
        <w:rPr>
          <w:rFonts w:ascii="Arial" w:cs="Arial" w:eastAsia="Arial" w:hAnsi="Arial"/>
          <w:sz w:val="19"/>
          <w:szCs w:val="19"/>
          <w:u w:val="single" w:color="auto"/>
          <w:color w:val="auto"/>
        </w:rPr>
        <w:t>Section 3.03(c)</w:t>
      </w:r>
      <w:r>
        <w:rPr>
          <w:rFonts w:ascii="Arial" w:cs="Arial" w:eastAsia="Arial" w:hAnsi="Arial"/>
          <w:sz w:val="19"/>
          <w:szCs w:val="19"/>
          <w:color w:val="auto"/>
        </w:rPr>
        <w:t xml:space="preserve">) the rate of interest specified herein on, any Loan or (subject to clause (ii) of the second proviso to this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any fees, the Prepayment Premium or other amounts payable hereunder or under any other Loan Document, without the written consent of each Lender entitled to such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only the consent of the Required Lenders shall be necessary to amend (i) the definition of “Default Rate”, (ii) waive any obligation of the Borrower to pay interest at the Default Rate and (iii) any financial covenant hereunder (or any defined term used therein) even if the effect of such amendment would be to reduce the rate of interest on any Term Loan or to reduce any fee payable hereunder;</w:t>
      </w:r>
    </w:p>
    <w:p>
      <w:pPr>
        <w:spacing w:after="0" w:line="197" w:lineRule="exact"/>
        <w:rPr>
          <w:rFonts w:ascii="Arial" w:cs="Arial" w:eastAsia="Arial" w:hAnsi="Arial"/>
          <w:sz w:val="19"/>
          <w:szCs w:val="19"/>
          <w:color w:val="auto"/>
        </w:rPr>
      </w:pPr>
    </w:p>
    <w:p>
      <w:pPr>
        <w:jc w:val="both"/>
        <w:ind w:firstLine="599"/>
        <w:spacing w:after="0" w:line="260" w:lineRule="auto"/>
        <w:tabs>
          <w:tab w:leader="none" w:pos="1399" w:val="left"/>
        </w:tabs>
        <w:numPr>
          <w:ilvl w:val="0"/>
          <w:numId w:val="582"/>
        </w:numPr>
        <w:rPr>
          <w:rFonts w:ascii="Arial" w:cs="Arial" w:eastAsia="Arial" w:hAnsi="Arial"/>
          <w:sz w:val="20"/>
          <w:szCs w:val="20"/>
          <w:color w:val="auto"/>
        </w:rPr>
      </w:pPr>
      <w:r>
        <w:rPr>
          <w:rFonts w:ascii="Arial" w:cs="Arial" w:eastAsia="Arial" w:hAnsi="Arial"/>
          <w:sz w:val="20"/>
          <w:szCs w:val="20"/>
          <w:color w:val="auto"/>
        </w:rPr>
        <w:t xml:space="preserve">change any provision of this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or the definition of “Required Lenders” or “Appropriate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201" w:lineRule="exact"/>
        <w:rPr>
          <w:rFonts w:ascii="Arial" w:cs="Arial" w:eastAsia="Arial" w:hAnsi="Arial"/>
          <w:sz w:val="20"/>
          <w:szCs w:val="20"/>
          <w:color w:val="auto"/>
        </w:rPr>
      </w:pPr>
    </w:p>
    <w:p>
      <w:pPr>
        <w:jc w:val="both"/>
        <w:ind w:firstLine="599"/>
        <w:spacing w:after="0" w:line="282" w:lineRule="auto"/>
        <w:tabs>
          <w:tab w:leader="none" w:pos="1432" w:val="left"/>
        </w:tabs>
        <w:numPr>
          <w:ilvl w:val="0"/>
          <w:numId w:val="582"/>
        </w:numPr>
        <w:rPr>
          <w:rFonts w:ascii="Arial" w:cs="Arial" w:eastAsia="Arial" w:hAnsi="Arial"/>
          <w:sz w:val="18"/>
          <w:szCs w:val="18"/>
          <w:color w:val="auto"/>
        </w:rPr>
      </w:pPr>
      <w:r>
        <w:rPr>
          <w:rFonts w:ascii="Arial" w:cs="Arial" w:eastAsia="Arial" w:hAnsi="Arial"/>
          <w:sz w:val="18"/>
          <w:szCs w:val="18"/>
          <w:color w:val="auto"/>
        </w:rPr>
        <w:t xml:space="preserve">(i) change any of the terms or provisions in any Loan Document requiring pro rata payments, distributions, commitment reductions or sharing of payments without the consent of each Lender directly and adversely affected thereby or (ii) change (A) any provision of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in a manner that would alter the pro rata sharing of payments required thereby without the written consent of each Lender directly and adversely affected thereby or (B) the order of application of any reduction in Commitments or any prepayment of Loans from the application thereof set forth in the applicable provisions of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2.06(c)</w:t>
      </w:r>
      <w:r>
        <w:rPr>
          <w:rFonts w:ascii="Arial" w:cs="Arial" w:eastAsia="Arial" w:hAnsi="Arial"/>
          <w:sz w:val="18"/>
          <w:szCs w:val="18"/>
          <w:color w:val="auto"/>
        </w:rPr>
        <w:t xml:space="preserve"> in any manner that materially and adversely affects the Lenders without the written consent of each Lender, </w:t>
      </w:r>
      <w:r>
        <w:rPr>
          <w:rFonts w:ascii="Arial" w:cs="Arial" w:eastAsia="Arial" w:hAnsi="Arial"/>
          <w:sz w:val="18"/>
          <w:szCs w:val="18"/>
          <w:u w:val="single" w:color="auto"/>
          <w:color w:val="auto"/>
        </w:rPr>
        <w:t>provided</w:t>
      </w:r>
      <w:r>
        <w:rPr>
          <w:rFonts w:ascii="Arial" w:cs="Arial" w:eastAsia="Arial" w:hAnsi="Arial"/>
          <w:sz w:val="18"/>
          <w:szCs w:val="18"/>
          <w:color w:val="auto"/>
        </w:rPr>
        <w:t>, that in each case under clauses (g)(i) and (g)(ii) such terms and provisions may be amended with the consent of the Required Lenders on customary terms in connection with an “amend and extend” transaction, but only if all Lenders that consent to such “amend and extend” transaction are treated on a pro rata basis;</w:t>
      </w:r>
    </w:p>
    <w:p>
      <w:pPr>
        <w:spacing w:after="0" w:line="190"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80</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85" w:name="page486"/>
    <w:bookmarkEnd w:id="485"/>
    <w:p>
      <w:pPr>
        <w:jc w:val="both"/>
        <w:ind w:right="60" w:firstLine="599"/>
        <w:spacing w:after="0" w:line="302" w:lineRule="auto"/>
        <w:tabs>
          <w:tab w:leader="none" w:pos="1432" w:val="left"/>
        </w:tabs>
        <w:numPr>
          <w:ilvl w:val="0"/>
          <w:numId w:val="583"/>
        </w:numPr>
        <w:rPr>
          <w:rFonts w:ascii="Arial" w:cs="Arial" w:eastAsia="Arial" w:hAnsi="Arial"/>
          <w:sz w:val="18"/>
          <w:szCs w:val="18"/>
          <w:color w:val="auto"/>
        </w:rPr>
      </w:pPr>
      <w:r>
        <w:rPr>
          <w:rFonts w:ascii="Arial" w:cs="Arial" w:eastAsia="Arial" w:hAnsi="Arial"/>
          <w:sz w:val="18"/>
          <w:szCs w:val="18"/>
          <w:color w:val="auto"/>
        </w:rPr>
        <w:t>release (i) the Borrower or the REIT from its obligations under this Agreement or any other Loan Document or (ii) the Guarantors collectively constituting all or substantially all of the value of the Guaranty Agreement from its or their obligations under this Agreement or any other Loan Document, without the written consent of each Lender, except as expressly provided in the Loan Documents; or</w:t>
      </w:r>
    </w:p>
    <w:p>
      <w:pPr>
        <w:spacing w:after="0" w:line="167" w:lineRule="exact"/>
        <w:rPr>
          <w:rFonts w:ascii="Arial" w:cs="Arial" w:eastAsia="Arial" w:hAnsi="Arial"/>
          <w:sz w:val="18"/>
          <w:szCs w:val="18"/>
          <w:color w:val="auto"/>
        </w:rPr>
      </w:pPr>
    </w:p>
    <w:p>
      <w:pPr>
        <w:ind w:right="360" w:firstLine="599"/>
        <w:spacing w:after="0" w:line="272" w:lineRule="auto"/>
        <w:tabs>
          <w:tab w:leader="none" w:pos="1387" w:val="left"/>
        </w:tabs>
        <w:numPr>
          <w:ilvl w:val="0"/>
          <w:numId w:val="583"/>
        </w:numPr>
        <w:rPr>
          <w:rFonts w:ascii="Arial" w:cs="Arial" w:eastAsia="Arial" w:hAnsi="Arial"/>
          <w:sz w:val="20"/>
          <w:szCs w:val="20"/>
          <w:color w:val="auto"/>
        </w:rPr>
      </w:pPr>
      <w:r>
        <w:rPr>
          <w:rFonts w:ascii="Arial" w:cs="Arial" w:eastAsia="Arial" w:hAnsi="Arial"/>
          <w:sz w:val="20"/>
          <w:szCs w:val="20"/>
          <w:color w:val="auto"/>
        </w:rPr>
        <w:t>impose any greater restriction on the ability of any Lender to assign any of its rights or obligations hereunder without the written consent of each Lender;</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 no amendment, waiver or consent shall, unless in writing and signed by the Administrative Agent in addition to the Lenders required above, affect the rights or duties of the Administrative Agent under this Agreement or any other Loan Document; and (ii) the Fee Letter may be amended, or rights or privileges thereunder waived, in a writing executed only by the parties thereto. Notwithstanding anything to the contrary herein, (x)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(A) the Commitment of any Defaulting Lender may not be increased or extended without the consent of such Lender and (B) any waiver, amendment or modification requiring the consent of all Lenders or each affected Lender that by its terms affects any Defaulting Lender more adversely than other affected Lenders shall require the consent of such Defaulting Lender; and (y) the Administrative Agent and the Borrower may, with the consent of the other (but without the consent of any other Person), amend, modify or supplement this Agreement and any other Loan Document to (A) correct or cure any ambiguity, defect or inconsistency, or to correct any obvious error or any error or omission of an administrative or technical nature, if such amendment, modification or supplement does not adversely affect the rights of the Administrative Agent or any Lender and (B) to add a “Guarantor” in accordance with the applicable provisions of this Agreement and the other Loan Documents.</w:t>
      </w:r>
    </w:p>
    <w:p>
      <w:pPr>
        <w:spacing w:after="0" w:line="157"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9"/>
          <w:szCs w:val="19"/>
          <w:color w:val="auto"/>
        </w:rPr>
        <w:t>Notwithstanding any provision herein to the contrary, this Agreement may be amended with the written consent of the Required Lenders, the Administrative Agent, the Borrower and the other Loan Parties (i) to add one or more additional term loan facilities to this Agreement, and to permit the extensions of credit and all related obligations and liabilities arising in connection therewith from time to time outstanding to share ratably (or on a basis subordinated to the existing facilities hereunder) in the benefits of this Agreement and the other Loan Documents with the obligations and liabilities from time to time outstanding in respect of the existing facilities hereunder, and (ii) in connection with the foregoing, to permit, as deemed appropriate by the Administrative Agent and approved by the Required Lenders, the Lenders providing such additional credit facilities to participate in any required vote or action required to be approved by the Required Lenders or by any other number, percentage or class of Lenders hereunder.</w:t>
      </w:r>
    </w:p>
    <w:p>
      <w:pPr>
        <w:spacing w:after="0" w:line="161"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20"/>
          <w:szCs w:val="20"/>
          <w:color w:val="auto"/>
        </w:rPr>
        <w:t>10.02.</w:t>
      </w:r>
      <w:r>
        <w:rPr>
          <w:sz w:val="20"/>
          <w:szCs w:val="20"/>
          <w:color w:val="auto"/>
        </w:rPr>
        <w:tab/>
      </w:r>
      <w:r>
        <w:rPr>
          <w:rFonts w:ascii="Arial" w:cs="Arial" w:eastAsia="Arial" w:hAnsi="Arial"/>
          <w:sz w:val="18"/>
          <w:szCs w:val="18"/>
          <w:u w:val="single" w:color="auto"/>
          <w:color w:val="auto"/>
        </w:rPr>
        <w:t>Notices; Effectiveness; Electronic Communications</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53" w:lineRule="auto"/>
        <w:tabs>
          <w:tab w:leader="none" w:pos="1421" w:val="left"/>
        </w:tabs>
        <w:numPr>
          <w:ilvl w:val="0"/>
          <w:numId w:val="584"/>
        </w:numPr>
        <w:rPr>
          <w:rFonts w:ascii="Arial" w:cs="Arial" w:eastAsia="Arial" w:hAnsi="Arial"/>
          <w:sz w:val="20"/>
          <w:szCs w:val="20"/>
          <w:color w:val="auto"/>
        </w:rPr>
      </w:pPr>
      <w:r>
        <w:rPr>
          <w:rFonts w:ascii="Arial" w:cs="Arial" w:eastAsia="Arial" w:hAnsi="Arial"/>
          <w:sz w:val="20"/>
          <w:szCs w:val="20"/>
          <w:u w:val="single" w:color="auto"/>
          <w:color w:val="auto"/>
        </w:rPr>
        <w:t>Notices Generally</w:t>
      </w:r>
      <w:r>
        <w:rPr>
          <w:rFonts w:ascii="Arial" w:cs="Arial" w:eastAsia="Arial" w:hAnsi="Arial"/>
          <w:sz w:val="20"/>
          <w:szCs w:val="20"/>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or by electronic mail (subject to clause (b) below) as follows, and all notices and other communications expressly permitted hereunder to be given by telephone shall be made to the applicable telephone number, as follows:</w:t>
      </w:r>
    </w:p>
    <w:p>
      <w:pPr>
        <w:spacing w:after="0" w:line="211" w:lineRule="exact"/>
        <w:rPr>
          <w:rFonts w:ascii="Arial" w:cs="Arial" w:eastAsia="Arial" w:hAnsi="Arial"/>
          <w:sz w:val="20"/>
          <w:szCs w:val="20"/>
          <w:color w:val="auto"/>
        </w:rPr>
      </w:pPr>
    </w:p>
    <w:p>
      <w:pPr>
        <w:ind w:firstLine="1199"/>
        <w:spacing w:after="0" w:line="272" w:lineRule="auto"/>
        <w:tabs>
          <w:tab w:leader="none" w:pos="1987" w:val="left"/>
        </w:tabs>
        <w:numPr>
          <w:ilvl w:val="1"/>
          <w:numId w:val="584"/>
        </w:numPr>
        <w:rPr>
          <w:rFonts w:ascii="Arial" w:cs="Arial" w:eastAsia="Arial" w:hAnsi="Arial"/>
          <w:sz w:val="20"/>
          <w:szCs w:val="20"/>
          <w:color w:val="auto"/>
        </w:rPr>
      </w:pPr>
      <w:r>
        <w:rPr>
          <w:rFonts w:ascii="Arial" w:cs="Arial" w:eastAsia="Arial" w:hAnsi="Arial"/>
          <w:sz w:val="20"/>
          <w:szCs w:val="20"/>
          <w:color w:val="auto"/>
        </w:rPr>
        <w:t xml:space="preserve">if to a Loan Party or the Administrative Agent, to the address, facsimile number, electronic mail address or telephone number specified for such Person on </w:t>
      </w:r>
      <w:r>
        <w:rPr>
          <w:rFonts w:ascii="Arial" w:cs="Arial" w:eastAsia="Arial" w:hAnsi="Arial"/>
          <w:sz w:val="20"/>
          <w:szCs w:val="20"/>
          <w:u w:val="single" w:color="auto"/>
          <w:color w:val="auto"/>
        </w:rPr>
        <w:t>Schedule 10.02</w:t>
      </w:r>
      <w:r>
        <w:rPr>
          <w:rFonts w:ascii="Arial" w:cs="Arial" w:eastAsia="Arial" w:hAnsi="Arial"/>
          <w:sz w:val="20"/>
          <w:szCs w:val="20"/>
          <w:color w:val="auto"/>
        </w:rPr>
        <w:t>; and</w:t>
      </w:r>
    </w:p>
    <w:p>
      <w:pPr>
        <w:spacing w:after="0" w:line="19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81</w:t>
      </w:r>
      <w:r>
        <w:rPr>
          <w:rFonts w:ascii="MS PGothic" w:cs="MS PGothic" w:eastAsia="MS PGothic" w:hAnsi="MS PGothic"/>
          <w:sz w:val="20"/>
          <w:szCs w:val="20"/>
          <w:color w:val="auto"/>
        </w:rPr>
        <w:t>‑</w:t>
      </w:r>
    </w:p>
    <w:p>
      <w:pPr>
        <w:sectPr>
          <w:pgSz w:w="11900" w:h="16838" w:orient="portrait"/>
          <w:cols w:equalWidth="0" w:num="1">
            <w:col w:w="11420"/>
          </w:cols>
          <w:pgMar w:left="240" w:top="1032" w:right="239" w:bottom="1440" w:gutter="0" w:footer="0" w:header="0"/>
        </w:sectPr>
      </w:pPr>
    </w:p>
    <w:bookmarkStart w:id="486" w:name="page487"/>
    <w:bookmarkEnd w:id="486"/>
    <w:p>
      <w:pPr>
        <w:jc w:val="both"/>
        <w:ind w:firstLine="1199"/>
        <w:spacing w:after="0" w:line="302" w:lineRule="auto"/>
        <w:tabs>
          <w:tab w:leader="none" w:pos="2043" w:val="left"/>
        </w:tabs>
        <w:numPr>
          <w:ilvl w:val="0"/>
          <w:numId w:val="585"/>
        </w:numPr>
        <w:rPr>
          <w:rFonts w:ascii="Arial" w:cs="Arial" w:eastAsia="Arial" w:hAnsi="Arial"/>
          <w:sz w:val="18"/>
          <w:szCs w:val="18"/>
          <w:color w:val="auto"/>
        </w:rPr>
      </w:pPr>
      <w:r>
        <w:rPr>
          <w:rFonts w:ascii="Arial" w:cs="Arial" w:eastAsia="Arial" w:hAnsi="Arial"/>
          <w:sz w:val="18"/>
          <w:szCs w:val="18"/>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74" w:lineRule="exact"/>
        <w:rPr>
          <w:sz w:val="20"/>
          <w:szCs w:val="20"/>
          <w:color w:val="auto"/>
        </w:rPr>
      </w:pPr>
    </w:p>
    <w:p>
      <w:pPr>
        <w:jc w:val="both"/>
        <w:ind w:firstLine="599"/>
        <w:spacing w:after="0" w:line="286" w:lineRule="auto"/>
        <w:tabs>
          <w:tab w:leader="none" w:pos="1432" w:val="left"/>
        </w:tabs>
        <w:numPr>
          <w:ilvl w:val="0"/>
          <w:numId w:val="586"/>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has notified the Administrative Agent that it is incapable of receiving notices under such Article by electronic communication. The Administrative Agent or the Borrower may each,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81" w:lineRule="exact"/>
        <w:rPr>
          <w:sz w:val="20"/>
          <w:szCs w:val="20"/>
          <w:color w:val="auto"/>
        </w:rPr>
      </w:pPr>
    </w:p>
    <w:p>
      <w:pPr>
        <w:jc w:val="both"/>
        <w:ind w:firstLine="599"/>
        <w:spacing w:after="0" w:line="284"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46" w:lineRule="exact"/>
        <w:rPr>
          <w:sz w:val="20"/>
          <w:szCs w:val="20"/>
          <w:color w:val="auto"/>
        </w:rPr>
      </w:pPr>
    </w:p>
    <w:p>
      <w:pPr>
        <w:ind w:left="1420" w:hanging="821"/>
        <w:spacing w:after="0"/>
        <w:tabs>
          <w:tab w:leader="none" w:pos="1420" w:val="left"/>
        </w:tabs>
        <w:numPr>
          <w:ilvl w:val="0"/>
          <w:numId w:val="587"/>
        </w:numPr>
        <w:rPr>
          <w:rFonts w:ascii="Arial" w:cs="Arial" w:eastAsia="Arial" w:hAnsi="Arial"/>
          <w:sz w:val="20"/>
          <w:szCs w:val="20"/>
          <w:color w:val="auto"/>
        </w:rPr>
      </w:pPr>
      <w:r>
        <w:rPr>
          <w:rFonts w:ascii="Arial" w:cs="Arial" w:eastAsia="Arial" w:hAnsi="Arial"/>
          <w:sz w:val="20"/>
          <w:szCs w:val="20"/>
          <w:u w:val="single" w:color="auto"/>
          <w:color w:val="auto"/>
        </w:rPr>
        <w:t>The Platform</w:t>
      </w:r>
      <w:r>
        <w:rPr>
          <w:rFonts w:ascii="Arial" w:cs="Arial" w:eastAsia="Arial" w:hAnsi="Arial"/>
          <w:sz w:val="20"/>
          <w:szCs w:val="20"/>
          <w:color w:val="auto"/>
        </w:rPr>
        <w:t>. THE PLATFORM IS PROVIDED “AS IS” AND “AS AVAILABLE.” THE AGENT PARTIES (AS</w:t>
      </w:r>
    </w:p>
    <w:p>
      <w:pPr>
        <w:spacing w:after="0" w:line="23" w:lineRule="exact"/>
        <w:rPr>
          <w:rFonts w:ascii="Arial" w:cs="Arial" w:eastAsia="Arial" w:hAnsi="Arial"/>
          <w:sz w:val="20"/>
          <w:szCs w:val="20"/>
          <w:color w:val="auto"/>
        </w:rPr>
      </w:pPr>
    </w:p>
    <w:p>
      <w:pPr>
        <w:jc w:val="both"/>
        <w:spacing w:after="0" w:line="248" w:lineRule="auto"/>
        <w:rPr>
          <w:rFonts w:ascii="Arial" w:cs="Arial" w:eastAsia="Arial" w:hAnsi="Arial"/>
          <w:sz w:val="20"/>
          <w:szCs w:val="20"/>
          <w:color w:val="auto"/>
        </w:rPr>
      </w:pPr>
      <w:r>
        <w:rPr>
          <w:rFonts w:ascii="Arial" w:cs="Arial" w:eastAsia="Arial" w:hAnsi="Arial"/>
          <w:sz w:val="20"/>
          <w:szCs w:val="20"/>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THE AGENT PARTIES IN CONNECTION WITH THE BORROWER MATERIALS OR THE PLATFORM. In no event shall the Administrative Agent or any of its Related Parties (collectively, the “</w:t>
      </w:r>
      <w:r>
        <w:rPr>
          <w:rFonts w:ascii="Arial" w:cs="Arial" w:eastAsia="Arial" w:hAnsi="Arial"/>
          <w:sz w:val="20"/>
          <w:szCs w:val="20"/>
          <w:u w:val="single" w:color="auto"/>
          <w:color w:val="auto"/>
        </w:rPr>
        <w:t>Agent Parties</w:t>
      </w:r>
      <w:r>
        <w:rPr>
          <w:rFonts w:ascii="Arial" w:cs="Arial" w:eastAsia="Arial" w:hAnsi="Arial"/>
          <w:sz w:val="20"/>
          <w:szCs w:val="20"/>
          <w:color w:val="auto"/>
        </w:rPr>
        <w:t>”) have any liability to any Loan Party or Subsidiary thereof, any Lender or any other Person for losses, claims, damages, liabilities or expenses of any kind (whether in tort, contract or otherwise) arising out of any Loan Party’s or the Administrative Agent’s transmission of Borrower Materials through the Internet. In addition, in no event shall any Agent Party have any liability to any Loan Party or any Subsidiary thereof, any Lender or any other Person for indirect, special, incidental, consequential or punitive damages (as opposed to direct or actual damages).</w:t>
      </w:r>
    </w:p>
    <w:p>
      <w:pPr>
        <w:spacing w:after="0" w:line="200" w:lineRule="exact"/>
        <w:rPr>
          <w:sz w:val="20"/>
          <w:szCs w:val="20"/>
          <w:color w:val="auto"/>
        </w:rPr>
      </w:pPr>
    </w:p>
    <w:p>
      <w:pPr>
        <w:spacing w:after="0" w:line="25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82</w:t>
      </w:r>
      <w:r>
        <w:rPr>
          <w:rFonts w:ascii="MS PGothic" w:cs="MS PGothic" w:eastAsia="MS PGothic" w:hAnsi="MS PGothic"/>
          <w:sz w:val="20"/>
          <w:szCs w:val="20"/>
          <w:color w:val="auto"/>
        </w:rPr>
        <w:t>‑</w:t>
      </w:r>
    </w:p>
    <w:p>
      <w:pPr>
        <w:sectPr>
          <w:pgSz w:w="11900" w:h="16838" w:orient="portrait"/>
          <w:cols w:equalWidth="0" w:num="1">
            <w:col w:w="11420"/>
          </w:cols>
          <w:pgMar w:left="240" w:top="1032" w:right="239" w:bottom="1440" w:gutter="0" w:footer="0" w:header="0"/>
        </w:sectPr>
      </w:pPr>
    </w:p>
    <w:bookmarkStart w:id="487" w:name="page488"/>
    <w:bookmarkEnd w:id="487"/>
    <w:p>
      <w:pPr>
        <w:jc w:val="both"/>
        <w:ind w:firstLine="599"/>
        <w:spacing w:after="0" w:line="280" w:lineRule="auto"/>
        <w:tabs>
          <w:tab w:leader="none" w:pos="1432" w:val="left"/>
        </w:tabs>
        <w:numPr>
          <w:ilvl w:val="0"/>
          <w:numId w:val="588"/>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Each of the REIT, the Borrower and the Administrative Agent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91" w:lineRule="exact"/>
        <w:rPr>
          <w:rFonts w:ascii="Arial" w:cs="Arial" w:eastAsia="Arial" w:hAnsi="Arial"/>
          <w:sz w:val="18"/>
          <w:szCs w:val="18"/>
          <w:color w:val="auto"/>
        </w:rPr>
      </w:pPr>
    </w:p>
    <w:p>
      <w:pPr>
        <w:jc w:val="both"/>
        <w:ind w:firstLine="599"/>
        <w:spacing w:after="0" w:line="251" w:lineRule="auto"/>
        <w:tabs>
          <w:tab w:leader="none" w:pos="1421" w:val="left"/>
        </w:tabs>
        <w:numPr>
          <w:ilvl w:val="0"/>
          <w:numId w:val="588"/>
        </w:numPr>
        <w:rPr>
          <w:rFonts w:ascii="Arial" w:cs="Arial" w:eastAsia="Arial" w:hAnsi="Arial"/>
          <w:sz w:val="20"/>
          <w:szCs w:val="20"/>
          <w:color w:val="auto"/>
        </w:rPr>
      </w:pPr>
      <w:r>
        <w:rPr>
          <w:rFonts w:ascii="Arial" w:cs="Arial" w:eastAsia="Arial" w:hAnsi="Arial"/>
          <w:sz w:val="20"/>
          <w:szCs w:val="20"/>
          <w:u w:val="single" w:color="auto"/>
          <w:color w:val="auto"/>
        </w:rPr>
        <w:t>Reliance by Administrative Agent and Lenders</w:t>
      </w:r>
      <w:r>
        <w:rPr>
          <w:rFonts w:ascii="Arial" w:cs="Arial" w:eastAsia="Arial" w:hAnsi="Arial"/>
          <w:sz w:val="20"/>
          <w:szCs w:val="20"/>
          <w:color w:val="auto"/>
        </w:rPr>
        <w:t>. The Administrative Agent and the Lenders shall be entitled to rely and act upon any notices (including telephonic or electronic Loan Notices) purportedly given by or on behalf of a Loan Party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spacing w:after="0" w:line="212" w:lineRule="exact"/>
        <w:rPr>
          <w:sz w:val="20"/>
          <w:szCs w:val="20"/>
          <w:color w:val="auto"/>
        </w:rPr>
      </w:pPr>
    </w:p>
    <w:p>
      <w:pPr>
        <w:jc w:val="both"/>
        <w:ind w:firstLine="599"/>
        <w:spacing w:after="0" w:line="252" w:lineRule="auto"/>
        <w:rPr>
          <w:sz w:val="20"/>
          <w:szCs w:val="20"/>
          <w:color w:val="auto"/>
        </w:rPr>
      </w:pPr>
      <w:r>
        <w:rPr>
          <w:rFonts w:ascii="Arial" w:cs="Arial" w:eastAsia="Arial" w:hAnsi="Arial"/>
          <w:sz w:val="20"/>
          <w:szCs w:val="20"/>
          <w:color w:val="auto"/>
        </w:rPr>
        <w:t xml:space="preserve">10.03. </w:t>
      </w:r>
      <w:r>
        <w:rPr>
          <w:rFonts w:ascii="Arial" w:cs="Arial" w:eastAsia="Arial" w:hAnsi="Arial"/>
          <w:sz w:val="20"/>
          <w:szCs w:val="20"/>
          <w:u w:val="single" w:color="auto"/>
          <w:color w:val="auto"/>
        </w:rPr>
        <w:t>No Waiver; Cumulative Remedies; Enforcement</w:t>
      </w:r>
      <w:r>
        <w:rPr>
          <w:rFonts w:ascii="Arial" w:cs="Arial" w:eastAsia="Arial" w:hAnsi="Arial"/>
          <w:sz w:val="20"/>
          <w:szCs w:val="20"/>
          <w:color w:val="auto"/>
        </w:rPr>
        <w:t>.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212" w:lineRule="exact"/>
        <w:rPr>
          <w:sz w:val="20"/>
          <w:szCs w:val="20"/>
          <w:color w:val="auto"/>
        </w:rPr>
      </w:pPr>
    </w:p>
    <w:p>
      <w:pPr>
        <w:jc w:val="both"/>
        <w:ind w:firstLine="599"/>
        <w:spacing w:after="0" w:line="281" w:lineRule="auto"/>
        <w:rPr>
          <w:sz w:val="20"/>
          <w:szCs w:val="20"/>
          <w:color w:val="auto"/>
        </w:rPr>
      </w:pPr>
      <w:r>
        <w:rPr>
          <w:rFonts w:ascii="Arial" w:cs="Arial" w:eastAsia="Arial" w:hAnsi="Arial"/>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for the benefit of all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(c) any Lender from filing proofs of claim or appearing and filing pleadings on its own behalf during the pendency of a proceeding relative to any Loan Party or Subsidiary thereof under any Debtor Relief Law;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(ii) in addition to the matters set forth in clauses (b)</w:t>
      </w:r>
    </w:p>
    <w:p>
      <w:pPr>
        <w:spacing w:after="0" w:line="387"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83</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88" w:name="page489"/>
    <w:bookmarkEnd w:id="488"/>
    <w:p>
      <w:pPr>
        <w:spacing w:after="0" w:line="272" w:lineRule="auto"/>
        <w:rPr>
          <w:sz w:val="20"/>
          <w:szCs w:val="20"/>
          <w:color w:val="auto"/>
        </w:rPr>
      </w:pPr>
      <w:r>
        <w:rPr>
          <w:rFonts w:ascii="Arial" w:cs="Arial" w:eastAsia="Arial" w:hAnsi="Arial"/>
          <w:sz w:val="20"/>
          <w:szCs w:val="20"/>
          <w:color w:val="auto"/>
        </w:rPr>
        <w:t xml:space="preserve">and (c) of the preceding proviso and subject to </w:t>
      </w:r>
      <w:r>
        <w:rPr>
          <w:rFonts w:ascii="Arial" w:cs="Arial" w:eastAsia="Arial" w:hAnsi="Arial"/>
          <w:sz w:val="20"/>
          <w:szCs w:val="20"/>
          <w:u w:val="single" w:color="auto"/>
          <w:color w:val="auto"/>
        </w:rPr>
        <w:t>Section 2.13</w:t>
      </w:r>
      <w:r>
        <w:rPr>
          <w:rFonts w:ascii="Arial" w:cs="Arial" w:eastAsia="Arial" w:hAnsi="Arial"/>
          <w:sz w:val="20"/>
          <w:szCs w:val="20"/>
          <w:color w:val="auto"/>
        </w:rPr>
        <w:t>, any Lender may, with the consent of the Required Lenders, enforce any rights and remedies available to it and as authorized by the Required Lenders.</w:t>
      </w:r>
    </w:p>
    <w:p>
      <w:pPr>
        <w:spacing w:after="0" w:line="153"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20"/>
          <w:szCs w:val="20"/>
          <w:color w:val="auto"/>
        </w:rPr>
        <w:t>10.04.</w:t>
      </w:r>
      <w:r>
        <w:rPr>
          <w:sz w:val="20"/>
          <w:szCs w:val="20"/>
          <w:color w:val="auto"/>
        </w:rPr>
        <w:tab/>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63" w:lineRule="auto"/>
        <w:tabs>
          <w:tab w:leader="none" w:pos="1421" w:val="left"/>
        </w:tabs>
        <w:numPr>
          <w:ilvl w:val="0"/>
          <w:numId w:val="589"/>
        </w:numPr>
        <w:rPr>
          <w:rFonts w:ascii="Arial" w:cs="Arial" w:eastAsia="Arial" w:hAnsi="Arial"/>
          <w:sz w:val="19"/>
          <w:szCs w:val="19"/>
          <w:color w:val="auto"/>
        </w:rPr>
      </w:pPr>
      <w:r>
        <w:rPr>
          <w:rFonts w:ascii="Arial" w:cs="Arial" w:eastAsia="Arial" w:hAnsi="Arial"/>
          <w:sz w:val="19"/>
          <w:szCs w:val="19"/>
          <w:u w:val="single" w:color="auto"/>
          <w:color w:val="auto"/>
        </w:rPr>
        <w:t>Costs and Expenses</w:t>
      </w:r>
      <w:r>
        <w:rPr>
          <w:rFonts w:ascii="Arial" w:cs="Arial" w:eastAsia="Arial" w:hAnsi="Arial"/>
          <w:sz w:val="19"/>
          <w:szCs w:val="19"/>
          <w:color w:val="auto"/>
        </w:rPr>
        <w:t xml:space="preserve">. The Borrower shall pay (i) all reasonable and documented out-of-pocket expenses incurred by the Administrative Agent and its respective Affiliates (including the reasonable and documented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fees and expenses of counsel of the Administrative Agent payable under this clause (i) shall be limited to one primary counsel, one specialty counsel in each specialty, and one local counsel in each local jurisdiction, and solely in the event of a conflict of interest, one additional counsel for each group of similarly affected Persons and (ii) all out-of-pocket expenses incurred by the Administrative Agent or any Lender (including the fees, charges and disbursements of any counsel for the Administrative Agent or any Lender), in connection with the enforcement or protection of its rights (A) in connection with this Agreement and the other Loan Documents, including its rights under this Section, or (B) in connection with Loans made, including all such out-of-pocket expenses incurred during any workout, restructuring or negotiations in respect of such Loans; </w:t>
      </w:r>
      <w:r>
        <w:rPr>
          <w:rFonts w:ascii="Arial" w:cs="Arial" w:eastAsia="Arial" w:hAnsi="Arial"/>
          <w:sz w:val="19"/>
          <w:szCs w:val="19"/>
          <w:u w:val="single" w:color="auto"/>
          <w:color w:val="auto"/>
        </w:rPr>
        <w:t>provided</w:t>
      </w:r>
      <w:r>
        <w:rPr>
          <w:rFonts w:ascii="Arial" w:cs="Arial" w:eastAsia="Arial" w:hAnsi="Arial"/>
          <w:sz w:val="19"/>
          <w:szCs w:val="19"/>
          <w:color w:val="auto"/>
        </w:rPr>
        <w:t>, that (x) the fees and expenses of counsel of the Lenders payable under this clause (ii) shall be limited to one primary counsel, one specialty counsel in each specialty, and one local counsel in each local jurisdiction, and solely in the event of a conflict of interest, one additional counsel for each group of similarly situated affected Lenders and (y) the fees and expenses of counsel of the Administrative Agent payable under this clause (ii) shall be limited to one primary counsel, one specialty counsel in each specialty and one local counsel in each local jurisdiction.</w:t>
      </w:r>
    </w:p>
    <w:p>
      <w:pPr>
        <w:spacing w:after="0" w:line="203" w:lineRule="exact"/>
        <w:rPr>
          <w:rFonts w:ascii="Arial" w:cs="Arial" w:eastAsia="Arial" w:hAnsi="Arial"/>
          <w:sz w:val="19"/>
          <w:szCs w:val="19"/>
          <w:color w:val="auto"/>
        </w:rPr>
      </w:pPr>
    </w:p>
    <w:p>
      <w:pPr>
        <w:jc w:val="both"/>
        <w:ind w:firstLine="599"/>
        <w:spacing w:after="0" w:line="278" w:lineRule="auto"/>
        <w:tabs>
          <w:tab w:leader="none" w:pos="1432" w:val="left"/>
        </w:tabs>
        <w:numPr>
          <w:ilvl w:val="0"/>
          <w:numId w:val="589"/>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w:t>
      </w:r>
      <w:r>
        <w:rPr>
          <w:rFonts w:ascii="Arial" w:cs="Arial" w:eastAsia="Arial" w:hAnsi="Arial"/>
          <w:sz w:val="18"/>
          <w:szCs w:val="18"/>
          <w:color w:val="auto"/>
        </w:rPr>
        <w:t>. The Borrower shall indemnify the Administrative Agent (and any sub-agent thereof), the Arrangers, each Lender,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against, and hold each Indemnitee harmless from, any and all losses, claims, damages, liabilities and related expenses (including the fees, charges and disbursements of one primary counsel, one specialty counsel in each specialty and one local counsel in each local jurisdiction for all Indemnitees, taken as a whole and solely in the event of a conflict of interest, one additional counsel for each group of similarly situated affected Indemnitees), 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(ii) any Loan or the use or proposed use of the proceeds therefrom, (iii) any actual or alleged presence or Release of Hazardous Materials at, on, under or emanating from any property owned, leased or operated by the REIT, the Borrower or any of their respective Subsidiaries, or any Environmental Liability related in any way to the REIT, the Borrower or any of their respective Subsidiaries, or (iv) any actual or prospective claim, litigation, investigation or proceeding relating to any of the foregoing, whether based on contract, tort or any other theory, whether brought by a third party or by the REIT, any other Loan Party, any Subsidiary thereof or any such Person’s directors, shareholders or creditors,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 are determined by a court of competent jurisdiction by final</w:t>
      </w:r>
    </w:p>
    <w:p>
      <w:pPr>
        <w:spacing w:after="0" w:line="193"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84</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89" w:name="page490"/>
    <w:bookmarkEnd w:id="489"/>
    <w:p>
      <w:pPr>
        <w:jc w:val="both"/>
        <w:spacing w:after="0" w:line="279" w:lineRule="auto"/>
        <w:rPr>
          <w:sz w:val="20"/>
          <w:szCs w:val="20"/>
          <w:color w:val="auto"/>
        </w:rPr>
      </w:pPr>
      <w:r>
        <w:rPr>
          <w:rFonts w:ascii="Arial" w:cs="Arial" w:eastAsia="Arial" w:hAnsi="Arial"/>
          <w:sz w:val="18"/>
          <w:szCs w:val="18"/>
          <w:color w:val="auto"/>
        </w:rPr>
        <w:t xml:space="preserve">and nonappealable judgment to have resulted from (x) the gross negligence or willful misconduct of such Indemnitee or any of its Related Indemnified Persons (y) a material breach in bad faith of this Agreement or any other Loan Document by such Indemnitee or any of its Related Indemnified Persons or (z) a dispute among Indemnitees or their Related Indemnified Persons other than any claims (A) arising out of any act or omission of any Loan Party or any of their respective Affiliates or (B) a dispute solely among Indemnitees and not involving any act or omission of any Loan Party or any of their respective Affiliates (other than, with respect to the Administrative Agent, any Arranger or any other agent or arranger under the Loan Documents, any dispute involving such Person in its capacity or in fulfilling its role as such, except to the extent of such Person’s gross negligence or willful misconduct as determined by a court of competent jurisdiction by final and nonappealable judgment). Without limiting the provisions of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10.4(b)</w:t>
      </w:r>
      <w:r>
        <w:rPr>
          <w:rFonts w:ascii="Arial" w:cs="Arial" w:eastAsia="Arial" w:hAnsi="Arial"/>
          <w:sz w:val="18"/>
          <w:szCs w:val="18"/>
          <w:color w:val="auto"/>
        </w:rPr>
        <w:t xml:space="preserve"> shall not apply with respect to Taxes (including, without limitation, Taxes covered by </w:t>
      </w:r>
      <w:r>
        <w:rPr>
          <w:rFonts w:ascii="Arial" w:cs="Arial" w:eastAsia="Arial" w:hAnsi="Arial"/>
          <w:sz w:val="18"/>
          <w:szCs w:val="18"/>
          <w:u w:val="single" w:color="auto"/>
          <w:color w:val="auto"/>
        </w:rPr>
        <w:t>Section 3.01</w:t>
      </w:r>
      <w:r>
        <w:rPr>
          <w:rFonts w:ascii="Arial" w:cs="Arial" w:eastAsia="Arial" w:hAnsi="Arial"/>
          <w:sz w:val="18"/>
          <w:szCs w:val="18"/>
          <w:color w:val="auto"/>
        </w:rPr>
        <w:t>) other than any Taxes that represent losses, claims, damages, etc. arising from any non-Tax claim. For purposes of this Section 10.04(b), a “</w:t>
      </w:r>
      <w:r>
        <w:rPr>
          <w:rFonts w:ascii="Arial" w:cs="Arial" w:eastAsia="Arial" w:hAnsi="Arial"/>
          <w:sz w:val="18"/>
          <w:szCs w:val="18"/>
          <w:u w:val="single" w:color="auto"/>
          <w:color w:val="auto"/>
        </w:rPr>
        <w:t>Related Indemnified Person</w:t>
      </w:r>
      <w:r>
        <w:rPr>
          <w:rFonts w:ascii="Arial" w:cs="Arial" w:eastAsia="Arial" w:hAnsi="Arial"/>
          <w:sz w:val="18"/>
          <w:szCs w:val="18"/>
          <w:color w:val="auto"/>
        </w:rPr>
        <w:t>” of an Indemnitee means (1) any controlling person or controlled Affiliate of such Indemnitee, (2) the respective directors, officers, or employees of such Indemnitee or any of its controlling persons or controlled Affiliates and (3) the respective agents of such Indemnitee or any of its controlling persons or controlled Affiliates, in the case of this clause (3), acting at the instructions of such Indemnitee, controlling person or such controlled Affiliate; provided that each reference to a controlled Affiliate or controlling person in this sentence pertains to a controlled Affiliate or controlling person involved in the performance of the Indemnitee’s obligations under the Facility.</w:t>
      </w:r>
    </w:p>
    <w:p>
      <w:pPr>
        <w:spacing w:after="0" w:line="188" w:lineRule="exact"/>
        <w:rPr>
          <w:sz w:val="20"/>
          <w:szCs w:val="20"/>
          <w:color w:val="auto"/>
        </w:rPr>
      </w:pPr>
    </w:p>
    <w:p>
      <w:pPr>
        <w:jc w:val="both"/>
        <w:ind w:firstLine="599"/>
        <w:spacing w:after="0" w:line="281" w:lineRule="auto"/>
        <w:tabs>
          <w:tab w:leader="none" w:pos="1421" w:val="left"/>
        </w:tabs>
        <w:numPr>
          <w:ilvl w:val="0"/>
          <w:numId w:val="590"/>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xml:space="preserve">. To the extent that the Borrower for any reason fails to indefeasibly pay any amount required under subsection (a) or (b) of this Section to be paid by it to the Administrative Agent (or any sub-agent thereof), any Arranger or any Related Party of any of the foregoing (and without limiting the obligation of the Borrower to do so), each Lender severally agrees to pay to the Administrative Agent (or any such sub-agent), such Arranger or such Related Party, as the case may be, such Lender’s Applicable Percentage of such unpaid amount (determined as of the time that the applicable unreimbursed expense or indemnity payment is sought);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(or any such sub-agent) or any Arranger in its capacity as such, or against any Related Party of any of the foregoing acting for the Administrative Agent (or any such sub-agent) or any Arranger in connection with such capacity. The obligations of the Lenders under this subsection (c) are subject to the provisions of </w:t>
      </w:r>
      <w:r>
        <w:rPr>
          <w:rFonts w:ascii="Arial" w:cs="Arial" w:eastAsia="Arial" w:hAnsi="Arial"/>
          <w:sz w:val="18"/>
          <w:szCs w:val="18"/>
          <w:u w:val="single" w:color="auto"/>
          <w:color w:val="auto"/>
        </w:rPr>
        <w:t>Section 2.12(d)</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jc w:val="both"/>
        <w:ind w:firstLine="599"/>
        <w:spacing w:after="0" w:line="264" w:lineRule="auto"/>
        <w:tabs>
          <w:tab w:leader="none" w:pos="1432" w:val="left"/>
        </w:tabs>
        <w:numPr>
          <w:ilvl w:val="0"/>
          <w:numId w:val="590"/>
        </w:numPr>
        <w:rPr>
          <w:rFonts w:ascii="Arial" w:cs="Arial" w:eastAsia="Arial" w:hAnsi="Arial"/>
          <w:sz w:val="19"/>
          <w:szCs w:val="19"/>
          <w:color w:val="auto"/>
        </w:rPr>
      </w:pPr>
      <w:r>
        <w:rPr>
          <w:rFonts w:ascii="Arial" w:cs="Arial" w:eastAsia="Arial" w:hAnsi="Arial"/>
          <w:sz w:val="19"/>
          <w:szCs w:val="19"/>
          <w:u w:val="single" w:color="auto"/>
          <w:color w:val="auto"/>
        </w:rPr>
        <w:t>Waiver of Consequential Damages, Etc</w:t>
      </w:r>
      <w:r>
        <w:rPr>
          <w:rFonts w:ascii="Arial" w:cs="Arial" w:eastAsia="Arial" w:hAnsi="Arial"/>
          <w:sz w:val="19"/>
          <w:szCs w:val="19"/>
          <w:color w:val="auto"/>
        </w:rPr>
        <w:t xml:space="preserve">. To the fullest extent permitted by applicable law, no party hereto shall assert, and each party hereto hereby waives, and acknowledges that no other Person shall have, any claim against any other party hereto or any of their respective Related Parties,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provided that the foregoing waiver shall not limit the Borrower’s obligations under </w:t>
      </w:r>
      <w:r>
        <w:rPr>
          <w:rFonts w:ascii="Arial" w:cs="Arial" w:eastAsia="Arial" w:hAnsi="Arial"/>
          <w:sz w:val="19"/>
          <w:szCs w:val="19"/>
          <w:u w:val="single" w:color="auto"/>
          <w:color w:val="auto"/>
        </w:rPr>
        <w:t>Section 10.04(b)</w:t>
      </w:r>
      <w:r>
        <w:rPr>
          <w:rFonts w:ascii="Arial" w:cs="Arial" w:eastAsia="Arial" w:hAnsi="Arial"/>
          <w:sz w:val="19"/>
          <w:szCs w:val="19"/>
          <w:color w:val="auto"/>
        </w:rPr>
        <w:t xml:space="preserve"> with respect to third-party claims against any Indemnitee. No Indemnitee referred to in subsection (b) above shall be liable for any damages arising from the use by others of any information or other materials distributed to such party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200" w:lineRule="exact"/>
        <w:rPr>
          <w:sz w:val="20"/>
          <w:szCs w:val="20"/>
          <w:color w:val="auto"/>
        </w:rPr>
      </w:pPr>
    </w:p>
    <w:p>
      <w:pPr>
        <w:spacing w:after="0" w:line="24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85</w:t>
      </w:r>
      <w:r>
        <w:rPr>
          <w:rFonts w:ascii="MS PGothic" w:cs="MS PGothic" w:eastAsia="MS PGothic" w:hAnsi="MS PGothic"/>
          <w:sz w:val="20"/>
          <w:szCs w:val="20"/>
          <w:color w:val="auto"/>
        </w:rPr>
        <w:t>‑</w:t>
      </w:r>
    </w:p>
    <w:p>
      <w:pPr>
        <w:sectPr>
          <w:pgSz w:w="11900" w:h="16838" w:orient="portrait"/>
          <w:cols w:equalWidth="0" w:num="1">
            <w:col w:w="11420"/>
          </w:cols>
          <w:pgMar w:left="240" w:top="794" w:right="239" w:bottom="1440" w:gutter="0" w:footer="0" w:header="0"/>
        </w:sectPr>
      </w:pPr>
    </w:p>
    <w:bookmarkStart w:id="490" w:name="page491"/>
    <w:bookmarkEnd w:id="490"/>
    <w:p>
      <w:pPr>
        <w:ind w:left="1420" w:hanging="821"/>
        <w:spacing w:after="0"/>
        <w:tabs>
          <w:tab w:leader="none" w:pos="1420" w:val="left"/>
        </w:tabs>
        <w:numPr>
          <w:ilvl w:val="0"/>
          <w:numId w:val="591"/>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267" w:lineRule="exact"/>
        <w:rPr>
          <w:rFonts w:ascii="Arial" w:cs="Arial" w:eastAsia="Arial" w:hAnsi="Arial"/>
          <w:sz w:val="18"/>
          <w:szCs w:val="18"/>
          <w:color w:val="auto"/>
        </w:rPr>
      </w:pPr>
    </w:p>
    <w:p>
      <w:pPr>
        <w:jc w:val="both"/>
        <w:ind w:firstLine="599"/>
        <w:spacing w:after="0" w:line="260" w:lineRule="auto"/>
        <w:tabs>
          <w:tab w:leader="none" w:pos="1399" w:val="left"/>
        </w:tabs>
        <w:numPr>
          <w:ilvl w:val="0"/>
          <w:numId w:val="591"/>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The agreements in this Section and the indemnity provisions of </w:t>
      </w:r>
      <w:r>
        <w:rPr>
          <w:rFonts w:ascii="Arial" w:cs="Arial" w:eastAsia="Arial" w:hAnsi="Arial"/>
          <w:sz w:val="20"/>
          <w:szCs w:val="20"/>
          <w:u w:val="single" w:color="auto"/>
          <w:color w:val="auto"/>
        </w:rPr>
        <w:t>Section 10.02(e)</w:t>
      </w:r>
      <w:r>
        <w:rPr>
          <w:rFonts w:ascii="Arial" w:cs="Arial" w:eastAsia="Arial" w:hAnsi="Arial"/>
          <w:sz w:val="20"/>
          <w:szCs w:val="20"/>
          <w:color w:val="auto"/>
        </w:rPr>
        <w:t xml:space="preserve"> shall survive the resignation or removal of the Administrative Agent, the replacement of any Lender, the termination of the Commitments and the repayment, satisfaction or discharge of all the other Obligations.</w:t>
      </w:r>
    </w:p>
    <w:p>
      <w:pPr>
        <w:spacing w:after="0" w:line="202" w:lineRule="exact"/>
        <w:rPr>
          <w:sz w:val="20"/>
          <w:szCs w:val="20"/>
          <w:color w:val="auto"/>
        </w:rPr>
      </w:pPr>
    </w:p>
    <w:p>
      <w:pPr>
        <w:jc w:val="both"/>
        <w:ind w:firstLine="599"/>
        <w:spacing w:after="0" w:line="281" w:lineRule="auto"/>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u w:val="single" w:color="auto"/>
          <w:color w:val="auto"/>
        </w:rPr>
        <w:t>Payments Set Aside</w:t>
      </w:r>
      <w:r>
        <w:rPr>
          <w:rFonts w:ascii="Arial" w:cs="Arial" w:eastAsia="Arial" w:hAnsi="Arial"/>
          <w:sz w:val="18"/>
          <w:szCs w:val="18"/>
          <w:color w:val="auto"/>
        </w:rPr>
        <w:t xml:space="preserve">. To the extent that any payment by or on behalf of any Loan Party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thereon from the date of such demand to the date such payment is made at a rate per annum equal to the Federal Funds Rate from time to time in effect. The obligations of the Lenders under clause (b) of the preceding sentence shall survive the payment in full of the Obligations and the termination of this Agreement.</w:t>
      </w:r>
    </w:p>
    <w:p>
      <w:pPr>
        <w:spacing w:after="0" w:line="187"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20"/>
          <w:szCs w:val="20"/>
          <w:color w:val="auto"/>
        </w:rPr>
        <w:t>10.06.</w:t>
      </w:r>
      <w:r>
        <w:rPr>
          <w:sz w:val="20"/>
          <w:szCs w:val="20"/>
          <w:color w:val="auto"/>
        </w:rPr>
        <w:tab/>
      </w:r>
      <w:r>
        <w:rPr>
          <w:rFonts w:ascii="Arial" w:cs="Arial" w:eastAsia="Arial" w:hAnsi="Arial"/>
          <w:sz w:val="17"/>
          <w:szCs w:val="17"/>
          <w:u w:val="single" w:color="auto"/>
          <w:color w:val="auto"/>
        </w:rPr>
        <w:t>Successors and Assigns</w:t>
      </w:r>
      <w:r>
        <w:rPr>
          <w:rFonts w:ascii="Arial" w:cs="Arial" w:eastAsia="Arial" w:hAnsi="Arial"/>
          <w:sz w:val="17"/>
          <w:szCs w:val="17"/>
          <w:color w:val="auto"/>
        </w:rPr>
        <w:t>.</w:t>
      </w:r>
    </w:p>
    <w:p>
      <w:pPr>
        <w:spacing w:after="0" w:line="245" w:lineRule="exact"/>
        <w:rPr>
          <w:sz w:val="20"/>
          <w:szCs w:val="20"/>
          <w:color w:val="auto"/>
        </w:rPr>
      </w:pPr>
    </w:p>
    <w:p>
      <w:pPr>
        <w:jc w:val="both"/>
        <w:ind w:firstLine="599"/>
        <w:spacing w:after="0" w:line="265" w:lineRule="auto"/>
        <w:tabs>
          <w:tab w:leader="none" w:pos="1421" w:val="left"/>
        </w:tabs>
        <w:numPr>
          <w:ilvl w:val="0"/>
          <w:numId w:val="592"/>
        </w:numPr>
        <w:rPr>
          <w:rFonts w:ascii="Arial" w:cs="Arial" w:eastAsia="Arial" w:hAnsi="Arial"/>
          <w:sz w:val="19"/>
          <w:szCs w:val="19"/>
          <w:color w:val="auto"/>
        </w:rPr>
      </w:pPr>
      <w:r>
        <w:rPr>
          <w:rFonts w:ascii="Arial" w:cs="Arial" w:eastAsia="Arial" w:hAnsi="Arial"/>
          <w:sz w:val="19"/>
          <w:szCs w:val="19"/>
          <w:u w:val="single" w:color="auto"/>
          <w:color w:val="auto"/>
        </w:rPr>
        <w:t>Successors and Assigns Generally</w:t>
      </w:r>
      <w:r>
        <w:rPr>
          <w:rFonts w:ascii="Arial" w:cs="Arial" w:eastAsia="Arial" w:hAnsi="Arial"/>
          <w:sz w:val="19"/>
          <w:szCs w:val="19"/>
          <w:color w:val="auto"/>
        </w:rPr>
        <w:t xml:space="preserve">. The provisions of this Agreement shall be binding upon and inure to the benefit of the parties hereto and their respective successors and assigns permitted hereby, except that neither the REIT nor the Borrower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9"/>
          <w:szCs w:val="19"/>
          <w:u w:val="single" w:color="auto"/>
          <w:color w:val="auto"/>
        </w:rPr>
        <w:t>Section 10.06(b)</w:t>
      </w:r>
      <w:r>
        <w:rPr>
          <w:rFonts w:ascii="Arial" w:cs="Arial" w:eastAsia="Arial" w:hAnsi="Arial"/>
          <w:sz w:val="19"/>
          <w:szCs w:val="19"/>
          <w:color w:val="auto"/>
        </w:rPr>
        <w:t xml:space="preserve">, (ii) by way of participation in accordance with the provisions of </w:t>
      </w:r>
      <w:r>
        <w:rPr>
          <w:rFonts w:ascii="Arial" w:cs="Arial" w:eastAsia="Arial" w:hAnsi="Arial"/>
          <w:sz w:val="19"/>
          <w:szCs w:val="19"/>
          <w:u w:val="single" w:color="auto"/>
          <w:color w:val="auto"/>
        </w:rPr>
        <w:t>Section 10.06(d)</w:t>
      </w:r>
      <w:r>
        <w:rPr>
          <w:rFonts w:ascii="Arial" w:cs="Arial" w:eastAsia="Arial" w:hAnsi="Arial"/>
          <w:sz w:val="19"/>
          <w:szCs w:val="19"/>
          <w:color w:val="auto"/>
        </w:rPr>
        <w:t xml:space="preserve"> or (iii) by way of pledge or assignment of a security interest subject to the restrictions of </w:t>
      </w:r>
      <w:r>
        <w:rPr>
          <w:rFonts w:ascii="Arial" w:cs="Arial" w:eastAsia="Arial" w:hAnsi="Arial"/>
          <w:sz w:val="19"/>
          <w:szCs w:val="19"/>
          <w:u w:val="single" w:color="auto"/>
          <w:color w:val="auto"/>
        </w:rPr>
        <w:t>Section 10.06(e)</w:t>
      </w:r>
      <w:r>
        <w:rPr>
          <w:rFonts w:ascii="Arial" w:cs="Arial" w:eastAsia="Arial" w:hAnsi="Arial"/>
          <w:sz w:val="19"/>
          <w:szCs w:val="19"/>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and the Lenders) any legal or equitable right, remedy or claim under or by reason of this Agreement.</w:t>
      </w:r>
    </w:p>
    <w:p>
      <w:pPr>
        <w:spacing w:after="0" w:line="197" w:lineRule="exact"/>
        <w:rPr>
          <w:rFonts w:ascii="Arial" w:cs="Arial" w:eastAsia="Arial" w:hAnsi="Arial"/>
          <w:sz w:val="19"/>
          <w:szCs w:val="19"/>
          <w:color w:val="auto"/>
        </w:rPr>
      </w:pPr>
    </w:p>
    <w:p>
      <w:pPr>
        <w:jc w:val="both"/>
        <w:ind w:firstLine="599"/>
        <w:spacing w:after="0" w:line="260" w:lineRule="auto"/>
        <w:tabs>
          <w:tab w:leader="none" w:pos="1432" w:val="left"/>
        </w:tabs>
        <w:numPr>
          <w:ilvl w:val="0"/>
          <w:numId w:val="592"/>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at any time assign to one or more assignees (other than Ineligible Institutions) all or a portion of its rights and obligations under this Agreement (including all or a portion of its Commitment(s) and the Loans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assignment shall be subject to the following conditions:</w:t>
      </w:r>
    </w:p>
    <w:p>
      <w:pPr>
        <w:spacing w:after="0" w:line="202" w:lineRule="exact"/>
        <w:rPr>
          <w:sz w:val="20"/>
          <w:szCs w:val="20"/>
          <w:color w:val="auto"/>
        </w:rPr>
      </w:pPr>
    </w:p>
    <w:p>
      <w:pPr>
        <w:ind w:left="1980" w:hanging="781"/>
        <w:spacing w:after="0"/>
        <w:tabs>
          <w:tab w:leader="none" w:pos="1980" w:val="left"/>
        </w:tabs>
        <w:numPr>
          <w:ilvl w:val="0"/>
          <w:numId w:val="593"/>
        </w:numPr>
        <w:rPr>
          <w:rFonts w:ascii="Arial" w:cs="Arial" w:eastAsia="Arial" w:hAnsi="Arial"/>
          <w:sz w:val="20"/>
          <w:szCs w:val="20"/>
          <w:color w:val="auto"/>
        </w:rPr>
      </w:pPr>
      <w:r>
        <w:rPr>
          <w:rFonts w:ascii="Arial" w:cs="Arial" w:eastAsia="Arial" w:hAnsi="Arial"/>
          <w:sz w:val="20"/>
          <w:szCs w:val="20"/>
          <w:color w:val="auto"/>
        </w:rPr>
        <w:t>Minimum Amounts.</w:t>
      </w:r>
    </w:p>
    <w:p>
      <w:pPr>
        <w:spacing w:after="0" w:line="245" w:lineRule="exact"/>
        <w:rPr>
          <w:sz w:val="20"/>
          <w:szCs w:val="20"/>
          <w:color w:val="auto"/>
        </w:rPr>
      </w:pPr>
    </w:p>
    <w:p>
      <w:pPr>
        <w:jc w:val="both"/>
        <w:ind w:left="600" w:firstLine="599"/>
        <w:spacing w:after="0" w:line="260" w:lineRule="auto"/>
        <w:tabs>
          <w:tab w:leader="none" w:pos="2076" w:val="left"/>
        </w:tabs>
        <w:numPr>
          <w:ilvl w:val="0"/>
          <w:numId w:val="594"/>
        </w:numPr>
        <w:rPr>
          <w:rFonts w:ascii="Arial" w:cs="Arial" w:eastAsia="Arial" w:hAnsi="Arial"/>
          <w:sz w:val="20"/>
          <w:szCs w:val="20"/>
          <w:color w:val="auto"/>
        </w:rPr>
      </w:pPr>
      <w:r>
        <w:rPr>
          <w:rFonts w:ascii="Arial" w:cs="Arial" w:eastAsia="Arial" w:hAnsi="Arial"/>
          <w:sz w:val="20"/>
          <w:szCs w:val="20"/>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200" w:lineRule="exact"/>
        <w:rPr>
          <w:sz w:val="20"/>
          <w:szCs w:val="20"/>
          <w:color w:val="auto"/>
        </w:rPr>
      </w:pPr>
    </w:p>
    <w:p>
      <w:pPr>
        <w:spacing w:after="0" w:line="239"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86</w:t>
      </w:r>
      <w:r>
        <w:rPr>
          <w:rFonts w:ascii="MS PGothic" w:cs="MS PGothic" w:eastAsia="MS PGothic" w:hAnsi="MS PGothic"/>
          <w:sz w:val="20"/>
          <w:szCs w:val="20"/>
          <w:color w:val="auto"/>
        </w:rPr>
        <w:t>‑</w:t>
      </w:r>
    </w:p>
    <w:p>
      <w:pPr>
        <w:sectPr>
          <w:pgSz w:w="11900" w:h="16838" w:orient="portrait"/>
          <w:cols w:equalWidth="0" w:num="1">
            <w:col w:w="11420"/>
          </w:cols>
          <w:pgMar w:left="240" w:top="794" w:right="239" w:bottom="1440" w:gutter="0" w:footer="0" w:header="0"/>
        </w:sectPr>
      </w:pPr>
    </w:p>
    <w:bookmarkStart w:id="491" w:name="page492"/>
    <w:bookmarkEnd w:id="491"/>
    <w:p>
      <w:pPr>
        <w:jc w:val="both"/>
        <w:ind w:left="600" w:firstLine="599"/>
        <w:spacing w:after="0" w:line="281" w:lineRule="auto"/>
        <w:tabs>
          <w:tab w:leader="none" w:pos="2065" w:val="left"/>
        </w:tabs>
        <w:numPr>
          <w:ilvl w:val="0"/>
          <w:numId w:val="595"/>
        </w:numPr>
        <w:rPr>
          <w:rFonts w:ascii="Arial" w:cs="Arial" w:eastAsia="Arial" w:hAnsi="Arial"/>
          <w:sz w:val="18"/>
          <w:szCs w:val="18"/>
          <w:color w:val="auto"/>
        </w:rPr>
      </w:pPr>
      <w:r>
        <w:rPr>
          <w:rFonts w:ascii="Arial" w:cs="Arial" w:eastAsia="Arial" w:hAnsi="Arial"/>
          <w:sz w:val="18"/>
          <w:szCs w:val="18"/>
          <w:color w:val="auto"/>
        </w:rPr>
        <w:t xml:space="preserve">in any case not described in subsection (b)(i)(A) of this Section, the aggregate amount of the Commitment and Term Loans or, if the applicable Commitment is not then in effect, the principal outstanding balance of the Term Loans of the assigning Lender subject to each such assignment, determined as of the date the Assignment and Assumption with respect to such assignment is delivered to the Administrative Agent or, if “Trade Date” (as defined in the Assignment and Assumption) is specified in the Assignment and Assumption, as of the Trade Date, shall not be less than $5,000,000, unless each of the Administrative Agent and, so long as no Default has occurred and is continuing, the Borrower otherwise consents (each such consent not to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92" w:lineRule="exact"/>
        <w:rPr>
          <w:sz w:val="20"/>
          <w:szCs w:val="20"/>
          <w:color w:val="auto"/>
        </w:rPr>
      </w:pPr>
    </w:p>
    <w:p>
      <w:pPr>
        <w:ind w:firstLine="1199"/>
        <w:spacing w:after="0" w:line="299" w:lineRule="auto"/>
        <w:tabs>
          <w:tab w:leader="none" w:pos="2043" w:val="left"/>
        </w:tabs>
        <w:numPr>
          <w:ilvl w:val="0"/>
          <w:numId w:val="596"/>
        </w:numPr>
        <w:rPr>
          <w:rFonts w:ascii="Arial" w:cs="Arial" w:eastAsia="Arial" w:hAnsi="Arial"/>
          <w:sz w:val="19"/>
          <w:szCs w:val="19"/>
          <w:color w:val="auto"/>
        </w:rPr>
      </w:pPr>
      <w:r>
        <w:rPr>
          <w:rFonts w:ascii="Arial" w:cs="Arial" w:eastAsia="Arial" w:hAnsi="Arial"/>
          <w:sz w:val="19"/>
          <w:szCs w:val="19"/>
          <w:u w:val="single" w:color="auto"/>
          <w:color w:val="auto"/>
        </w:rPr>
        <w:t>Proportionate Amounts</w:t>
      </w:r>
      <w:r>
        <w:rPr>
          <w:rFonts w:ascii="Arial" w:cs="Arial" w:eastAsia="Arial" w:hAnsi="Arial"/>
          <w:sz w:val="19"/>
          <w:szCs w:val="19"/>
          <w:color w:val="auto"/>
        </w:rPr>
        <w:t>. Each partial assignment shall be made as an assignment of a proportionate part of all the assigning Lender’s rights and obligations under this Agreement with respect to the Term Loans or the Commitment assigned;</w:t>
      </w:r>
    </w:p>
    <w:p>
      <w:pPr>
        <w:spacing w:after="0" w:line="167" w:lineRule="exact"/>
        <w:rPr>
          <w:rFonts w:ascii="Arial" w:cs="Arial" w:eastAsia="Arial" w:hAnsi="Arial"/>
          <w:sz w:val="19"/>
          <w:szCs w:val="19"/>
          <w:color w:val="auto"/>
        </w:rPr>
      </w:pPr>
    </w:p>
    <w:p>
      <w:pPr>
        <w:ind w:firstLine="1199"/>
        <w:spacing w:after="0" w:line="272" w:lineRule="auto"/>
        <w:tabs>
          <w:tab w:leader="none" w:pos="2098" w:val="left"/>
        </w:tabs>
        <w:numPr>
          <w:ilvl w:val="0"/>
          <w:numId w:val="596"/>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No consent shall be required for any assignment except to the extent required by subsection (b) (i)(B) of this Section and, in addition:</w:t>
      </w:r>
    </w:p>
    <w:p>
      <w:pPr>
        <w:spacing w:after="0" w:line="191" w:lineRule="exact"/>
        <w:rPr>
          <w:sz w:val="20"/>
          <w:szCs w:val="20"/>
          <w:color w:val="auto"/>
        </w:rPr>
      </w:pPr>
    </w:p>
    <w:p>
      <w:pPr>
        <w:ind w:left="600" w:right="60" w:firstLine="599"/>
        <w:spacing w:after="0" w:line="293" w:lineRule="auto"/>
        <w:tabs>
          <w:tab w:leader="none" w:pos="2076" w:val="left"/>
        </w:tabs>
        <w:numPr>
          <w:ilvl w:val="0"/>
          <w:numId w:val="597"/>
        </w:numPr>
        <w:rPr>
          <w:rFonts w:ascii="Arial" w:cs="Arial" w:eastAsia="Arial" w:hAnsi="Arial"/>
          <w:sz w:val="18"/>
          <w:szCs w:val="18"/>
          <w:color w:val="auto"/>
        </w:rPr>
      </w:pPr>
      <w:r>
        <w:rPr>
          <w:rFonts w:ascii="Arial" w:cs="Arial" w:eastAsia="Arial" w:hAnsi="Arial"/>
          <w:sz w:val="18"/>
          <w:szCs w:val="18"/>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deemed to have consented to any such assignment unless it shall object thereto by written notice to the Administrative Agent within five (5) Business Days after having received notice thereof; and</w:t>
      </w:r>
    </w:p>
    <w:p>
      <w:pPr>
        <w:spacing w:after="0" w:line="175" w:lineRule="exact"/>
        <w:rPr>
          <w:rFonts w:ascii="Arial" w:cs="Arial" w:eastAsia="Arial" w:hAnsi="Arial"/>
          <w:sz w:val="18"/>
          <w:szCs w:val="18"/>
          <w:color w:val="auto"/>
        </w:rPr>
      </w:pPr>
    </w:p>
    <w:p>
      <w:pPr>
        <w:jc w:val="both"/>
        <w:ind w:left="600" w:right="20" w:firstLine="599"/>
        <w:spacing w:after="0" w:line="256" w:lineRule="auto"/>
        <w:tabs>
          <w:tab w:leader="none" w:pos="2065" w:val="left"/>
        </w:tabs>
        <w:numPr>
          <w:ilvl w:val="0"/>
          <w:numId w:val="597"/>
        </w:numPr>
        <w:rPr>
          <w:rFonts w:ascii="Arial" w:cs="Arial" w:eastAsia="Arial" w:hAnsi="Arial"/>
          <w:sz w:val="20"/>
          <w:szCs w:val="20"/>
          <w:color w:val="auto"/>
        </w:rPr>
      </w:pPr>
      <w:r>
        <w:rPr>
          <w:rFonts w:ascii="Arial" w:cs="Arial" w:eastAsia="Arial" w:hAnsi="Arial"/>
          <w:sz w:val="20"/>
          <w:szCs w:val="20"/>
          <w:color w:val="auto"/>
        </w:rPr>
        <w:t>the consent of the Administrative Agent (such consent not to be unreasonably withheld or delayed) shall be required for assignments in respect of (1) any unfunded Commitment if such assignment is to a Person that is not a Lender with a Commitment, an Affiliate of such Lender or an Approved Fund with respect to such Lender, or (2) any Term Loan to a Person that is not a Lender, an Affiliate of a Lender or an Approved Fund.</w:t>
      </w:r>
    </w:p>
    <w:p>
      <w:pPr>
        <w:spacing w:after="0" w:line="205" w:lineRule="exact"/>
        <w:rPr>
          <w:sz w:val="20"/>
          <w:szCs w:val="20"/>
          <w:color w:val="auto"/>
        </w:rPr>
      </w:pPr>
    </w:p>
    <w:p>
      <w:pPr>
        <w:jc w:val="both"/>
        <w:ind w:firstLine="1199"/>
        <w:spacing w:after="0" w:line="273" w:lineRule="auto"/>
        <w:tabs>
          <w:tab w:leader="none" w:pos="2087" w:val="left"/>
        </w:tabs>
        <w:numPr>
          <w:ilvl w:val="0"/>
          <w:numId w:val="598"/>
        </w:numPr>
        <w:rPr>
          <w:rFonts w:ascii="Arial" w:cs="Arial" w:eastAsia="Arial" w:hAnsi="Arial"/>
          <w:sz w:val="19"/>
          <w:szCs w:val="19"/>
          <w:color w:val="auto"/>
        </w:rPr>
      </w:pP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92" w:lineRule="exact"/>
        <w:rPr>
          <w:rFonts w:ascii="Arial" w:cs="Arial" w:eastAsia="Arial" w:hAnsi="Arial"/>
          <w:sz w:val="19"/>
          <w:szCs w:val="19"/>
          <w:color w:val="auto"/>
        </w:rPr>
      </w:pPr>
    </w:p>
    <w:p>
      <w:pPr>
        <w:jc w:val="both"/>
        <w:ind w:firstLine="1199"/>
        <w:spacing w:after="0" w:line="288" w:lineRule="auto"/>
        <w:tabs>
          <w:tab w:leader="none" w:pos="2031" w:val="left"/>
        </w:tabs>
        <w:numPr>
          <w:ilvl w:val="0"/>
          <w:numId w:val="598"/>
        </w:numPr>
        <w:rPr>
          <w:rFonts w:ascii="Arial" w:cs="Arial" w:eastAsia="Arial" w:hAnsi="Arial"/>
          <w:sz w:val="18"/>
          <w:szCs w:val="18"/>
          <w:color w:val="auto"/>
        </w:rPr>
      </w:pPr>
      <w:r>
        <w:rPr>
          <w:rFonts w:ascii="Arial" w:cs="Arial" w:eastAsia="Arial" w:hAnsi="Arial"/>
          <w:sz w:val="18"/>
          <w:szCs w:val="18"/>
          <w:u w:val="single" w:color="auto"/>
          <w:color w:val="auto"/>
        </w:rPr>
        <w:t>No Assignment to Ineligible Institutions</w:t>
      </w:r>
      <w:r>
        <w:rPr>
          <w:rFonts w:ascii="Arial" w:cs="Arial" w:eastAsia="Arial" w:hAnsi="Arial"/>
          <w:sz w:val="18"/>
          <w:szCs w:val="18"/>
          <w:color w:val="auto"/>
        </w:rPr>
        <w:t>. No such assignment shall be made to an Ineligible Institution. “</w:t>
      </w:r>
      <w:r>
        <w:rPr>
          <w:rFonts w:ascii="Arial" w:cs="Arial" w:eastAsia="Arial" w:hAnsi="Arial"/>
          <w:sz w:val="18"/>
          <w:szCs w:val="18"/>
          <w:u w:val="single" w:color="auto"/>
          <w:color w:val="auto"/>
        </w:rPr>
        <w:t>Ineligible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Institution</w:t>
      </w:r>
      <w:r>
        <w:rPr>
          <w:rFonts w:ascii="Arial" w:cs="Arial" w:eastAsia="Arial" w:hAnsi="Arial"/>
          <w:sz w:val="18"/>
          <w:szCs w:val="18"/>
          <w:color w:val="auto"/>
        </w:rPr>
        <w:t>” means (A) the Borrower, the REIT or any of the Borrower’s or the REIT’s respective Affiliates or Subsidiaries, (B) a Defaulting Lender, any Subsidiary of a Defaulting Lender or any direct or indirect parent company of a Defaulting Lender, or any Person who, upon becoming a Lender hereunder, would constitute any of the foregoing Persons described in this clause (B), or (C) a natural person or a company, investment vehicle or trust for, or owned and operated for the primary benefit of, a natural person or relative(s) thereof.</w:t>
      </w:r>
    </w:p>
    <w:p>
      <w:pPr>
        <w:spacing w:after="0" w:line="181" w:lineRule="exact"/>
        <w:rPr>
          <w:rFonts w:ascii="Arial" w:cs="Arial" w:eastAsia="Arial" w:hAnsi="Arial"/>
          <w:sz w:val="18"/>
          <w:szCs w:val="18"/>
          <w:color w:val="auto"/>
        </w:rPr>
      </w:pPr>
    </w:p>
    <w:p>
      <w:pPr>
        <w:ind w:firstLine="1199"/>
        <w:spacing w:after="0" w:line="272" w:lineRule="auto"/>
        <w:tabs>
          <w:tab w:leader="none" w:pos="2087" w:val="left"/>
        </w:tabs>
        <w:numPr>
          <w:ilvl w:val="0"/>
          <w:numId w:val="598"/>
        </w:numPr>
        <w:rPr>
          <w:rFonts w:ascii="Arial" w:cs="Arial" w:eastAsia="Arial" w:hAnsi="Arial"/>
          <w:sz w:val="20"/>
          <w:szCs w:val="20"/>
          <w:color w:val="auto"/>
        </w:rPr>
      </w:pPr>
      <w:r>
        <w:rPr>
          <w:rFonts w:ascii="Arial" w:cs="Arial" w:eastAsia="Arial" w:hAnsi="Arial"/>
          <w:sz w:val="20"/>
          <w:szCs w:val="20"/>
          <w:u w:val="single" w:color="auto"/>
          <w:color w:val="auto"/>
        </w:rPr>
        <w:t>Certain Additional Payments</w:t>
      </w:r>
      <w:r>
        <w:rPr>
          <w:rFonts w:ascii="Arial" w:cs="Arial" w:eastAsia="Arial" w:hAnsi="Arial"/>
          <w:sz w:val="20"/>
          <w:szCs w:val="20"/>
          <w:color w:val="auto"/>
        </w:rPr>
        <w:t>. In connection with any assignment of rights and obligations of any Defaulting Lender hereunder, no such assignment shall be effective unless and until, in</w:t>
      </w:r>
    </w:p>
    <w:p>
      <w:pPr>
        <w:spacing w:after="0" w:line="191"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87</w:t>
      </w:r>
      <w:r>
        <w:rPr>
          <w:rFonts w:ascii="MS PGothic" w:cs="MS PGothic" w:eastAsia="MS PGothic" w:hAnsi="MS PGothic"/>
          <w:sz w:val="20"/>
          <w:szCs w:val="20"/>
          <w:color w:val="auto"/>
        </w:rPr>
        <w:t>‑</w:t>
      </w:r>
    </w:p>
    <w:p>
      <w:pPr>
        <w:sectPr>
          <w:pgSz w:w="11900" w:h="16838" w:orient="portrait"/>
          <w:cols w:equalWidth="0" w:num="1">
            <w:col w:w="11420"/>
          </w:cols>
          <w:pgMar w:left="240" w:top="794" w:right="239" w:bottom="1440" w:gutter="0" w:footer="0" w:header="0"/>
        </w:sectPr>
      </w:pPr>
    </w:p>
    <w:bookmarkStart w:id="492" w:name="page493"/>
    <w:bookmarkEnd w:id="492"/>
    <w:p>
      <w:pPr>
        <w:jc w:val="both"/>
        <w:spacing w:after="0" w:line="265" w:lineRule="auto"/>
        <w:rPr>
          <w:sz w:val="20"/>
          <w:szCs w:val="20"/>
          <w:color w:val="auto"/>
        </w:rPr>
      </w:pPr>
      <w:r>
        <w:rPr>
          <w:rFonts w:ascii="Arial" w:cs="Arial" w:eastAsia="Arial" w:hAnsi="Arial"/>
          <w:sz w:val="19"/>
          <w:szCs w:val="19"/>
          <w:color w:val="auto"/>
        </w:rPr>
        <w:t>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8" w:lineRule="exact"/>
        <w:rPr>
          <w:sz w:val="20"/>
          <w:szCs w:val="20"/>
          <w:color w:val="auto"/>
        </w:rPr>
      </w:pPr>
    </w:p>
    <w:p>
      <w:pPr>
        <w:jc w:val="both"/>
        <w:ind w:firstLine="599"/>
        <w:spacing w:after="0" w:line="280" w:lineRule="auto"/>
        <w:rPr>
          <w:sz w:val="20"/>
          <w:szCs w:val="20"/>
          <w:color w:val="auto"/>
        </w:rPr>
      </w:pPr>
      <w:r>
        <w:rPr>
          <w:rFonts w:ascii="Arial" w:cs="Arial" w:eastAsia="Arial" w:hAnsi="Arial"/>
          <w:sz w:val="18"/>
          <w:szCs w:val="18"/>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 xml:space="preserve"> with respect to facts and circumstances occurring prior to the effective date of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Term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150" w:lineRule="exact"/>
        <w:rPr>
          <w:sz w:val="20"/>
          <w:szCs w:val="20"/>
          <w:color w:val="auto"/>
        </w:rPr>
      </w:pPr>
    </w:p>
    <w:p>
      <w:pPr>
        <w:jc w:val="both"/>
        <w:ind w:firstLine="599"/>
        <w:spacing w:after="0" w:line="250" w:lineRule="auto"/>
        <w:tabs>
          <w:tab w:leader="none" w:pos="1421" w:val="left"/>
        </w:tabs>
        <w:numPr>
          <w:ilvl w:val="0"/>
          <w:numId w:val="599"/>
        </w:numPr>
        <w:rPr>
          <w:rFonts w:ascii="Arial" w:cs="Arial" w:eastAsia="Arial" w:hAnsi="Arial"/>
          <w:sz w:val="20"/>
          <w:szCs w:val="20"/>
          <w:color w:val="auto"/>
        </w:rPr>
      </w:pPr>
      <w:r>
        <w:rPr>
          <w:rFonts w:ascii="Arial" w:cs="Arial" w:eastAsia="Arial" w:hAnsi="Arial"/>
          <w:sz w:val="20"/>
          <w:szCs w:val="20"/>
          <w:u w:val="single" w:color="auto"/>
          <w:color w:val="auto"/>
        </w:rPr>
        <w:t>Register</w:t>
      </w:r>
      <w:r>
        <w:rPr>
          <w:rFonts w:ascii="Arial" w:cs="Arial" w:eastAsia="Arial" w:hAnsi="Arial"/>
          <w:sz w:val="20"/>
          <w:szCs w:val="20"/>
          <w:color w:val="auto"/>
        </w:rPr>
        <w:t>. The Administrative Agent, acting solely for this purpose as a non-fiduciary agent of the Borrower (and such agency being solely for tax purposes), shall maintain at the Administrative Agent’s Office a copy of each Assignment and Assumption delivered to it (or the equivalent in electronic form) and a register for the recordation of the names and addresses of the Lenders, and the Commitments of, and principal amounts (and stated interest) of the Loans owing to each Lender pursuant to the terms hereof from time to time (the “</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The entries in the Register shall be conclusive absent manifest error and, notwithstanding anything to the contrary contained in </w:t>
      </w:r>
      <w:r>
        <w:rPr>
          <w:rFonts w:ascii="Arial" w:cs="Arial" w:eastAsia="Arial" w:hAnsi="Arial"/>
          <w:sz w:val="20"/>
          <w:szCs w:val="20"/>
          <w:u w:val="single" w:color="auto"/>
          <w:color w:val="auto"/>
        </w:rPr>
        <w:t>Section 2.11</w:t>
      </w:r>
      <w:r>
        <w:rPr>
          <w:rFonts w:ascii="Arial" w:cs="Arial" w:eastAsia="Arial" w:hAnsi="Arial"/>
          <w:sz w:val="20"/>
          <w:szCs w:val="20"/>
          <w:color w:val="auto"/>
        </w:rPr>
        <w:t>, the Borrower, the Administrative Agent and the Lenders shall treat each Person whose name is recorded in the Register pursuant to the terms hereof as a Lender hereunder for all purposes of this Agreement. In addition, the Administrative Agent shall maintain on the Register information regarding the designation, and revocation of designation, of any Lender as a Defaulting Lender. The Register shall be available for inspection by the Borrower and any Lender, at any reasonable time and from time to time upon reasonable prior notice.</w:t>
      </w:r>
    </w:p>
    <w:p>
      <w:pPr>
        <w:spacing w:after="0" w:line="214" w:lineRule="exact"/>
        <w:rPr>
          <w:rFonts w:ascii="Arial" w:cs="Arial" w:eastAsia="Arial" w:hAnsi="Arial"/>
          <w:sz w:val="20"/>
          <w:szCs w:val="20"/>
          <w:color w:val="auto"/>
        </w:rPr>
      </w:pPr>
    </w:p>
    <w:p>
      <w:pPr>
        <w:jc w:val="both"/>
        <w:ind w:firstLine="599"/>
        <w:spacing w:after="0" w:line="268" w:lineRule="auto"/>
        <w:tabs>
          <w:tab w:leader="none" w:pos="1432" w:val="left"/>
        </w:tabs>
        <w:numPr>
          <w:ilvl w:val="0"/>
          <w:numId w:val="599"/>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or notice to, the Borrower or the Administrative Agent, sell participations to any Person (other than an Ineligible Institution)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w:t>
      </w:r>
    </w:p>
    <w:p>
      <w:pPr>
        <w:spacing w:after="0" w:line="197"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88</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93" w:name="page494"/>
    <w:bookmarkEnd w:id="493"/>
    <w:p>
      <w:pPr>
        <w:jc w:val="both"/>
        <w:spacing w:after="0" w:line="272" w:lineRule="auto"/>
        <w:rPr>
          <w:sz w:val="20"/>
          <w:szCs w:val="20"/>
          <w:color w:val="auto"/>
        </w:rPr>
      </w:pPr>
      <w:r>
        <w:rPr>
          <w:rFonts w:ascii="Arial" w:cs="Arial" w:eastAsia="Arial" w:hAnsi="Arial"/>
          <w:sz w:val="20"/>
          <w:szCs w:val="20"/>
          <w:color w:val="auto"/>
        </w:rPr>
        <w:t xml:space="preserve">rights and obligations under this Agreement. For the avoidance of doubt, each Lender shall be responsible for the indemnity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10.04(c)</w:t>
      </w:r>
      <w:r>
        <w:rPr>
          <w:rFonts w:ascii="Arial" w:cs="Arial" w:eastAsia="Arial" w:hAnsi="Arial"/>
          <w:sz w:val="20"/>
          <w:szCs w:val="20"/>
          <w:color w:val="auto"/>
        </w:rPr>
        <w:t xml:space="preserve"> without regard to the existence of any participation.</w:t>
      </w:r>
    </w:p>
    <w:p>
      <w:pPr>
        <w:spacing w:after="0" w:line="191" w:lineRule="exact"/>
        <w:rPr>
          <w:sz w:val="20"/>
          <w:szCs w:val="20"/>
          <w:color w:val="auto"/>
        </w:rPr>
      </w:pPr>
    </w:p>
    <w:p>
      <w:pPr>
        <w:jc w:val="both"/>
        <w:ind w:firstLine="599"/>
        <w:spacing w:after="0" w:line="277"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that affects such Participant. The Borrower agrees that each Participant shall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(subject to the requirements and limitations of such Sections) to the same extent as if it were a Lender and had acquired its interest by assignment pursuant to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of this Section (it being understood that the documentation required under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shall be delivered to the Lender who sells the participation) to the same extent as if it were a Lender and had acquired its interest by assignment pursuant to paragraph (b)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 agrees to be subject to the provisions of </w:t>
      </w:r>
      <w:r>
        <w:rPr>
          <w:rFonts w:ascii="Arial" w:cs="Arial" w:eastAsia="Arial" w:hAnsi="Arial"/>
          <w:sz w:val="18"/>
          <w:szCs w:val="18"/>
          <w:u w:val="single" w:color="auto"/>
          <w:color w:val="auto"/>
        </w:rPr>
        <w:t>Sections 3.06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10.13</w:t>
      </w:r>
      <w:r>
        <w:rPr>
          <w:rFonts w:ascii="Arial" w:cs="Arial" w:eastAsia="Arial" w:hAnsi="Arial"/>
          <w:sz w:val="18"/>
          <w:szCs w:val="18"/>
          <w:color w:val="auto"/>
        </w:rPr>
        <w:t xml:space="preserve"> as if it were an assignee under paragraph (b) of this Section and (B) shall not be entitled to receive any greater payment under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with respect to any Participant. To the extent permitted by law, each Participant also shall be entitled to the benefits of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60" w:lineRule="exact"/>
        <w:rPr>
          <w:sz w:val="20"/>
          <w:szCs w:val="20"/>
          <w:color w:val="auto"/>
        </w:rPr>
      </w:pPr>
    </w:p>
    <w:p>
      <w:pPr>
        <w:jc w:val="both"/>
        <w:ind w:firstLine="599"/>
        <w:spacing w:after="0" w:line="273" w:lineRule="auto"/>
        <w:tabs>
          <w:tab w:leader="none" w:pos="1421" w:val="left"/>
        </w:tabs>
        <w:numPr>
          <w:ilvl w:val="0"/>
          <w:numId w:val="600"/>
        </w:numPr>
        <w:rPr>
          <w:rFonts w:ascii="Arial" w:cs="Arial" w:eastAsia="Arial" w:hAnsi="Arial"/>
          <w:sz w:val="19"/>
          <w:szCs w:val="19"/>
          <w:color w:val="auto"/>
        </w:rPr>
      </w:pPr>
      <w:r>
        <w:rPr>
          <w:rFonts w:ascii="Arial" w:cs="Arial" w:eastAsia="Arial" w:hAnsi="Arial"/>
          <w:sz w:val="19"/>
          <w:szCs w:val="19"/>
          <w:u w:val="single" w:color="auto"/>
          <w:color w:val="auto"/>
        </w:rPr>
        <w:t>Certain Pledges</w:t>
      </w:r>
      <w:r>
        <w:rPr>
          <w:rFonts w:ascii="Arial" w:cs="Arial" w:eastAsia="Arial" w:hAnsi="Arial"/>
          <w:sz w:val="19"/>
          <w:szCs w:val="19"/>
          <w:color w:val="auto"/>
        </w:rPr>
        <w:t xml:space="preserve">. Any Lender may at any time pledge or assign a security interest in all or any portion of its rights under this Agreement (including under its Term Note, if any) to secure obligations of such Lender, including any pledge or assignment to secure obligations to a Federal Reserve Bank or any other central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shall release such Lender from any of its obligations hereunder or substitute any such pledgee or assignee for such Lender as a party hereto.</w:t>
      </w:r>
    </w:p>
    <w:p>
      <w:pPr>
        <w:spacing w:after="0" w:line="192" w:lineRule="exact"/>
        <w:rPr>
          <w:sz w:val="20"/>
          <w:szCs w:val="20"/>
          <w:color w:val="auto"/>
        </w:rPr>
      </w:pPr>
    </w:p>
    <w:p>
      <w:pPr>
        <w:jc w:val="both"/>
        <w:ind w:firstLine="599"/>
        <w:spacing w:after="0" w:line="252" w:lineRule="auto"/>
        <w:rPr>
          <w:sz w:val="20"/>
          <w:szCs w:val="20"/>
          <w:color w:val="auto"/>
        </w:rPr>
      </w:pPr>
      <w:r>
        <w:rPr>
          <w:rFonts w:ascii="Arial" w:cs="Arial" w:eastAsia="Arial" w:hAnsi="Arial"/>
          <w:sz w:val="20"/>
          <w:szCs w:val="20"/>
          <w:color w:val="auto"/>
        </w:rPr>
        <w:t xml:space="preserve">10.07. </w:t>
      </w:r>
      <w:r>
        <w:rPr>
          <w:rFonts w:ascii="Arial" w:cs="Arial" w:eastAsia="Arial" w:hAnsi="Arial"/>
          <w:sz w:val="20"/>
          <w:szCs w:val="20"/>
          <w:u w:val="single" w:color="auto"/>
          <w:color w:val="auto"/>
        </w:rPr>
        <w:t>Treatment of Certain Information; Confidentiality</w:t>
      </w:r>
      <w:r>
        <w:rPr>
          <w:rFonts w:ascii="Arial" w:cs="Arial" w:eastAsia="Arial" w:hAnsi="Arial"/>
          <w:sz w:val="20"/>
          <w:szCs w:val="20"/>
          <w:color w:val="auto"/>
        </w:rPr>
        <w:t>. Each of the Administrative Agent and the Lenders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(in which case, except with respect to any</w:t>
      </w:r>
    </w:p>
    <w:p>
      <w:pPr>
        <w:spacing w:after="0" w:line="21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89</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94" w:name="page495"/>
    <w:bookmarkEnd w:id="494"/>
    <w:p>
      <w:pPr>
        <w:jc w:val="both"/>
        <w:spacing w:after="0" w:line="278" w:lineRule="auto"/>
        <w:rPr>
          <w:sz w:val="20"/>
          <w:szCs w:val="20"/>
          <w:color w:val="auto"/>
        </w:rPr>
      </w:pPr>
      <w:r>
        <w:rPr>
          <w:rFonts w:ascii="Arial" w:cs="Arial" w:eastAsia="Arial" w:hAnsi="Arial"/>
          <w:sz w:val="18"/>
          <w:szCs w:val="18"/>
          <w:color w:val="auto"/>
        </w:rPr>
        <w:t xml:space="preserve">audit or examination conducted by bank accountants or governmental regulatory authorities exercising examination or regulatory authority, the disclosing party shall use commercially reasonable efforts to promptly notify the Borrower, in advance, to the extent practicable and permitted by Law), (c) to the extent required by applicable laws or regulations or by any subpoena or similar legal process (in which case the disclosing party shall use commercially reasonable efforts to promptly notify the Borrower, in advance, to the extent practicable and permitted by Law),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 a Lender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the Borrower or (i) to the extent such Information (i) becomes publicly available other than as a result of a breach of this Section or (ii) becomes available to the Administrative Agent, any Lender or any of their respective Affiliates on a nonconfidential basis from a source other than the Borrower.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and the other Loan Documents and Credit Extensions made pursuant thereto.</w:t>
      </w:r>
    </w:p>
    <w:p>
      <w:pPr>
        <w:spacing w:after="0" w:line="193" w:lineRule="exact"/>
        <w:rPr>
          <w:sz w:val="20"/>
          <w:szCs w:val="20"/>
          <w:color w:val="auto"/>
        </w:rPr>
      </w:pPr>
    </w:p>
    <w:p>
      <w:pPr>
        <w:jc w:val="both"/>
        <w:ind w:firstLine="599"/>
        <w:spacing w:after="0" w:line="252" w:lineRule="auto"/>
        <w:rPr>
          <w:sz w:val="20"/>
          <w:szCs w:val="20"/>
          <w:color w:val="auto"/>
        </w:rPr>
      </w:pPr>
      <w:r>
        <w:rPr>
          <w:rFonts w:ascii="Arial" w:cs="Arial" w:eastAsia="Arial" w:hAnsi="Arial"/>
          <w:sz w:val="20"/>
          <w:szCs w:val="20"/>
          <w:color w:val="auto"/>
        </w:rPr>
        <w:t>For purposes of this Section, “</w:t>
      </w:r>
      <w:r>
        <w:rPr>
          <w:rFonts w:ascii="Arial" w:cs="Arial" w:eastAsia="Arial" w:hAnsi="Arial"/>
          <w:sz w:val="20"/>
          <w:szCs w:val="20"/>
          <w:u w:val="single" w:color="auto"/>
          <w:color w:val="auto"/>
        </w:rPr>
        <w:t>Information</w:t>
      </w:r>
      <w:r>
        <w:rPr>
          <w:rFonts w:ascii="Arial" w:cs="Arial" w:eastAsia="Arial" w:hAnsi="Arial"/>
          <w:sz w:val="20"/>
          <w:szCs w:val="20"/>
          <w:color w:val="auto"/>
        </w:rPr>
        <w:t>” means all information received from the REIT or any Subsidiary relating to the REIT or any Subsidiary or any of their respective businesses, other than any such information that is available to the Administrative Agent or any Lender on a nonconfidential basis prior to disclosure by the REIT or any Subsidiary thereof.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5"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Each of the Administrative Agent and the Lenders acknowledges that (a) the Information may include material non-public information concerning the REIT or a Subsidiary thereof,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68"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9"/>
          <w:szCs w:val="19"/>
          <w:color w:val="auto"/>
        </w:rPr>
        <w:t xml:space="preserve">10.08. </w:t>
      </w:r>
      <w:r>
        <w:rPr>
          <w:rFonts w:ascii="Arial" w:cs="Arial" w:eastAsia="Arial" w:hAnsi="Arial"/>
          <w:sz w:val="19"/>
          <w:szCs w:val="19"/>
          <w:u w:val="single" w:color="auto"/>
          <w:color w:val="auto"/>
        </w:rPr>
        <w:t>Right of Setoff</w:t>
      </w:r>
      <w:r>
        <w:rPr>
          <w:rFonts w:ascii="Arial" w:cs="Arial" w:eastAsia="Arial" w:hAnsi="Arial"/>
          <w:sz w:val="19"/>
          <w:szCs w:val="19"/>
          <w:color w:val="auto"/>
        </w:rPr>
        <w:t>. If an Event of Default shall have occurred and be continuing, each Lender and their respective Affiliates are hereby authorized at any time and from time to time, after obtaining the prior written consent of the Administrative Agent (not to be unreasonably withheld or delayed),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or any other Loan Party against any and all of the obligations of the Borrower or such Loan Party now or hereafter existing under this Agreement or any other Loan Document to such Lender, irrespective of whether or not such Lender shall have made any demand under this Agreement or any other Loan Document and although such obligations of the Borrower or such Loan Party may be contingent or unmatured or are</w:t>
      </w:r>
    </w:p>
    <w:p>
      <w:pPr>
        <w:spacing w:after="0" w:line="199"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90</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95" w:name="page496"/>
    <w:bookmarkEnd w:id="495"/>
    <w:p>
      <w:pPr>
        <w:jc w:val="both"/>
        <w:spacing w:after="0" w:line="281" w:lineRule="auto"/>
        <w:rPr>
          <w:sz w:val="20"/>
          <w:szCs w:val="20"/>
          <w:color w:val="auto"/>
        </w:rPr>
      </w:pPr>
      <w:r>
        <w:rPr>
          <w:rFonts w:ascii="Arial" w:cs="Arial" w:eastAsia="Arial" w:hAnsi="Arial"/>
          <w:sz w:val="18"/>
          <w:szCs w:val="18"/>
          <w:color w:val="auto"/>
        </w:rPr>
        <w:t xml:space="preserve">owed to a branch or office or Affiliate of such Lender different from the branch, office or Affiliate 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or their respective Affiliates may have. Each Lender agrees to notify the Borrower and the Administrative Agent promptly after any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w:t>
      </w:r>
    </w:p>
    <w:p>
      <w:pPr>
        <w:spacing w:after="0" w:line="192"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9"/>
          <w:szCs w:val="19"/>
          <w:color w:val="auto"/>
        </w:rPr>
        <w:t xml:space="preserve">10.09.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9"/>
          <w:szCs w:val="19"/>
          <w:u w:val="single" w:color="auto"/>
          <w:color w:val="auto"/>
        </w:rPr>
        <w:t>Maximum Rate</w:t>
      </w:r>
      <w:r>
        <w:rPr>
          <w:rFonts w:ascii="Arial" w:cs="Arial" w:eastAsia="Arial" w:hAnsi="Arial"/>
          <w:sz w:val="19"/>
          <w:szCs w:val="19"/>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99" w:lineRule="exact"/>
        <w:rPr>
          <w:sz w:val="20"/>
          <w:szCs w:val="20"/>
          <w:color w:val="auto"/>
        </w:rPr>
      </w:pPr>
    </w:p>
    <w:p>
      <w:pPr>
        <w:jc w:val="both"/>
        <w:ind w:firstLine="599"/>
        <w:spacing w:after="0" w:line="250" w:lineRule="auto"/>
        <w:rPr>
          <w:sz w:val="20"/>
          <w:szCs w:val="20"/>
          <w:color w:val="auto"/>
        </w:rPr>
      </w:pPr>
      <w:r>
        <w:rPr>
          <w:rFonts w:ascii="Arial" w:cs="Arial" w:eastAsia="Arial" w:hAnsi="Arial"/>
          <w:sz w:val="20"/>
          <w:szCs w:val="20"/>
          <w:color w:val="auto"/>
        </w:rPr>
        <w:t xml:space="preserve">10.10. </w:t>
      </w:r>
      <w:r>
        <w:rPr>
          <w:rFonts w:ascii="Arial" w:cs="Arial" w:eastAsia="Arial" w:hAnsi="Arial"/>
          <w:sz w:val="20"/>
          <w:szCs w:val="20"/>
          <w:u w:val="single" w:color="auto"/>
          <w:color w:val="auto"/>
        </w:rPr>
        <w:t>Counterparts; Integration; Effectiveness</w:t>
      </w:r>
      <w:r>
        <w:rPr>
          <w:rFonts w:ascii="Arial" w:cs="Arial" w:eastAsia="Arial" w:hAnsi="Arial"/>
          <w:sz w:val="20"/>
          <w:szCs w:val="20"/>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20"/>
          <w:szCs w:val="20"/>
          <w:u w:val="single" w:color="auto"/>
          <w:color w:val="auto"/>
        </w:rPr>
        <w:t>Section 4.01</w:t>
      </w:r>
      <w:r>
        <w:rPr>
          <w:rFonts w:ascii="Arial" w:cs="Arial" w:eastAsia="Arial" w:hAnsi="Arial"/>
          <w:sz w:val="20"/>
          <w:szCs w:val="20"/>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spacing w:after="0" w:line="217" w:lineRule="exact"/>
        <w:rPr>
          <w:sz w:val="20"/>
          <w:szCs w:val="20"/>
          <w:color w:val="auto"/>
        </w:rPr>
      </w:pPr>
    </w:p>
    <w:p>
      <w:pPr>
        <w:jc w:val="both"/>
        <w:ind w:firstLine="599"/>
        <w:spacing w:after="0" w:line="268" w:lineRule="auto"/>
        <w:rPr>
          <w:sz w:val="20"/>
          <w:szCs w:val="20"/>
          <w:color w:val="auto"/>
        </w:rPr>
      </w:pPr>
      <w:r>
        <w:rPr>
          <w:rFonts w:ascii="Arial" w:cs="Arial" w:eastAsia="Arial" w:hAnsi="Arial"/>
          <w:sz w:val="19"/>
          <w:szCs w:val="19"/>
          <w:color w:val="auto"/>
        </w:rPr>
        <w:t xml:space="preserve">10.11. </w:t>
      </w:r>
      <w:r>
        <w:rPr>
          <w:rFonts w:ascii="Arial" w:cs="Arial" w:eastAsia="Arial" w:hAnsi="Arial"/>
          <w:sz w:val="19"/>
          <w:szCs w:val="19"/>
          <w:u w:val="single" w:color="auto"/>
          <w:color w:val="auto"/>
        </w:rPr>
        <w:t>Survival of Representations and Warranties</w:t>
      </w:r>
      <w:r>
        <w:rPr>
          <w:rFonts w:ascii="Arial" w:cs="Arial" w:eastAsia="Arial" w:hAnsi="Arial"/>
          <w:sz w:val="19"/>
          <w:szCs w:val="19"/>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w:t>
      </w:r>
    </w:p>
    <w:p>
      <w:pPr>
        <w:spacing w:after="0" w:line="197" w:lineRule="exact"/>
        <w:rPr>
          <w:sz w:val="20"/>
          <w:szCs w:val="20"/>
          <w:color w:val="auto"/>
        </w:rPr>
      </w:pPr>
    </w:p>
    <w:p>
      <w:pPr>
        <w:jc w:val="both"/>
        <w:ind w:firstLine="599"/>
        <w:spacing w:after="0" w:line="256" w:lineRule="auto"/>
        <w:rPr>
          <w:sz w:val="20"/>
          <w:szCs w:val="20"/>
          <w:color w:val="auto"/>
        </w:rPr>
      </w:pPr>
      <w:r>
        <w:rPr>
          <w:rFonts w:ascii="Arial" w:cs="Arial" w:eastAsia="Arial" w:hAnsi="Arial"/>
          <w:sz w:val="20"/>
          <w:szCs w:val="20"/>
          <w:color w:val="auto"/>
        </w:rPr>
        <w:t xml:space="preserve">10.12.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w:t>
      </w:r>
    </w:p>
    <w:p>
      <w:pPr>
        <w:spacing w:after="0" w:line="20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91</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96" w:name="page497"/>
    <w:bookmarkEnd w:id="496"/>
    <w:p>
      <w:pPr>
        <w:jc w:val="both"/>
        <w:spacing w:after="0" w:line="253" w:lineRule="auto"/>
        <w:rPr>
          <w:sz w:val="20"/>
          <w:szCs w:val="20"/>
          <w:color w:val="auto"/>
        </w:rPr>
      </w:pPr>
      <w:r>
        <w:rPr>
          <w:rFonts w:ascii="Arial" w:cs="Arial" w:eastAsia="Arial" w:hAnsi="Arial"/>
          <w:sz w:val="20"/>
          <w:szCs w:val="20"/>
          <w:color w:val="auto"/>
        </w:rPr>
        <w:t xml:space="preserve">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20"/>
          <w:szCs w:val="20"/>
          <w:u w:val="single" w:color="auto"/>
          <w:color w:val="auto"/>
        </w:rPr>
        <w:t>Section 10.12</w:t>
      </w:r>
      <w:r>
        <w:rPr>
          <w:rFonts w:ascii="Arial" w:cs="Arial" w:eastAsia="Arial" w:hAnsi="Arial"/>
          <w:sz w:val="20"/>
          <w:szCs w:val="20"/>
          <w:color w:val="auto"/>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212" w:lineRule="exact"/>
        <w:rPr>
          <w:sz w:val="20"/>
          <w:szCs w:val="20"/>
          <w:color w:val="auto"/>
        </w:rPr>
      </w:pPr>
    </w:p>
    <w:p>
      <w:pPr>
        <w:jc w:val="both"/>
        <w:ind w:firstLine="599"/>
        <w:spacing w:after="0" w:line="286"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the Borrower is entitled to replace a Lender pursuant to the provisions of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all of its interests, rights (other than its existing rights to payments pursuant to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obligations under this Agreement and the related Loan Documents to one or more Eligible Assignees that shall assume such obligations (which assignee(s)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1" w:lineRule="exact"/>
        <w:rPr>
          <w:sz w:val="20"/>
          <w:szCs w:val="20"/>
          <w:color w:val="auto"/>
        </w:rPr>
      </w:pPr>
    </w:p>
    <w:p>
      <w:pPr>
        <w:ind w:left="1420" w:hanging="821"/>
        <w:spacing w:after="0"/>
        <w:tabs>
          <w:tab w:leader="none" w:pos="1420" w:val="left"/>
        </w:tabs>
        <w:numPr>
          <w:ilvl w:val="0"/>
          <w:numId w:val="601"/>
        </w:numPr>
        <w:rPr>
          <w:rFonts w:ascii="Arial" w:cs="Arial" w:eastAsia="Arial" w:hAnsi="Arial"/>
          <w:sz w:val="19"/>
          <w:szCs w:val="19"/>
          <w:color w:val="auto"/>
        </w:rPr>
      </w:pPr>
      <w:r>
        <w:rPr>
          <w:rFonts w:ascii="Arial" w:cs="Arial" w:eastAsia="Arial" w:hAnsi="Arial"/>
          <w:sz w:val="19"/>
          <w:szCs w:val="19"/>
          <w:color w:val="auto"/>
        </w:rPr>
        <w:t xml:space="preserve">the Borrower shall have paid to the Administrative Agent the assignment fee (if any) specified in </w:t>
      </w:r>
      <w:r>
        <w:rPr>
          <w:rFonts w:ascii="Arial" w:cs="Arial" w:eastAsia="Arial" w:hAnsi="Arial"/>
          <w:sz w:val="19"/>
          <w:szCs w:val="19"/>
          <w:u w:val="single" w:color="auto"/>
          <w:color w:val="auto"/>
        </w:rPr>
        <w:t>Section 10.06(b)</w:t>
      </w:r>
      <w:r>
        <w:rPr>
          <w:rFonts w:ascii="Arial" w:cs="Arial" w:eastAsia="Arial" w:hAnsi="Arial"/>
          <w:sz w:val="19"/>
          <w:szCs w:val="19"/>
          <w:color w:val="auto"/>
        </w:rPr>
        <w:t>;</w:t>
      </w:r>
    </w:p>
    <w:p>
      <w:pPr>
        <w:spacing w:after="0" w:line="256" w:lineRule="exact"/>
        <w:rPr>
          <w:rFonts w:ascii="Arial" w:cs="Arial" w:eastAsia="Arial" w:hAnsi="Arial"/>
          <w:sz w:val="19"/>
          <w:szCs w:val="19"/>
          <w:color w:val="auto"/>
        </w:rPr>
      </w:pPr>
    </w:p>
    <w:p>
      <w:pPr>
        <w:ind w:right="40" w:firstLine="599"/>
        <w:spacing w:after="0" w:line="253" w:lineRule="auto"/>
        <w:tabs>
          <w:tab w:leader="none" w:pos="1432" w:val="left"/>
        </w:tabs>
        <w:numPr>
          <w:ilvl w:val="0"/>
          <w:numId w:val="601"/>
        </w:numPr>
        <w:rPr>
          <w:rFonts w:ascii="Arial" w:cs="Arial" w:eastAsia="Arial" w:hAnsi="Arial"/>
          <w:sz w:val="20"/>
          <w:szCs w:val="20"/>
          <w:color w:val="auto"/>
        </w:rPr>
      </w:pPr>
      <w:r>
        <w:rPr>
          <w:rFonts w:ascii="Arial" w:cs="Arial" w:eastAsia="Arial" w:hAnsi="Arial"/>
          <w:sz w:val="20"/>
          <w:szCs w:val="20"/>
          <w:color w:val="auto"/>
        </w:rPr>
        <w:t xml:space="preserve">such Lender shall have received payment of an amount equal to 100% of the outstanding principal of its Loans from the assignee and any amounts payable by the Borrower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w:t>
      </w:r>
      <w:r>
        <w:rPr>
          <w:rFonts w:ascii="Arial" w:cs="Arial" w:eastAsia="Arial" w:hAnsi="Arial"/>
          <w:sz w:val="20"/>
          <w:szCs w:val="20"/>
          <w:u w:val="single" w:color="auto"/>
          <w:color w:val="auto"/>
        </w:rPr>
        <w:t>3.04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3.05</w:t>
      </w:r>
      <w:r>
        <w:rPr>
          <w:rFonts w:ascii="Arial" w:cs="Arial" w:eastAsia="Arial" w:hAnsi="Arial"/>
          <w:sz w:val="20"/>
          <w:szCs w:val="20"/>
          <w:color w:val="auto"/>
        </w:rPr>
        <w:t xml:space="preserve"> from the Borrower (it being understood that the Assignment and Assumption relating to such assignment shall provide that any interest and fees that accrued prior to the effective date of the assignment shall be for the account of the replaced Lender and such amounts that accrue on and after the effective date of the assignment shall be for the account of the replacement Lender);</w:t>
      </w:r>
    </w:p>
    <w:p>
      <w:pPr>
        <w:spacing w:after="0" w:line="211" w:lineRule="exact"/>
        <w:rPr>
          <w:rFonts w:ascii="Arial" w:cs="Arial" w:eastAsia="Arial" w:hAnsi="Arial"/>
          <w:sz w:val="20"/>
          <w:szCs w:val="20"/>
          <w:color w:val="auto"/>
        </w:rPr>
      </w:pPr>
    </w:p>
    <w:p>
      <w:pPr>
        <w:ind w:right="220" w:firstLine="599"/>
        <w:spacing w:after="0" w:line="329" w:lineRule="auto"/>
        <w:tabs>
          <w:tab w:leader="none" w:pos="1421" w:val="left"/>
        </w:tabs>
        <w:numPr>
          <w:ilvl w:val="0"/>
          <w:numId w:val="601"/>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w:t>
      </w:r>
    </w:p>
    <w:p>
      <w:pPr>
        <w:spacing w:after="0" w:line="144" w:lineRule="exact"/>
        <w:rPr>
          <w:rFonts w:ascii="Arial" w:cs="Arial" w:eastAsia="Arial" w:hAnsi="Arial"/>
          <w:sz w:val="18"/>
          <w:szCs w:val="18"/>
          <w:color w:val="auto"/>
        </w:rPr>
      </w:pPr>
    </w:p>
    <w:p>
      <w:pPr>
        <w:ind w:left="1440" w:hanging="841"/>
        <w:spacing w:after="0"/>
        <w:tabs>
          <w:tab w:leader="none" w:pos="1440" w:val="left"/>
        </w:tabs>
        <w:numPr>
          <w:ilvl w:val="0"/>
          <w:numId w:val="601"/>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Laws; and</w:t>
      </w:r>
    </w:p>
    <w:p>
      <w:pPr>
        <w:spacing w:after="0" w:line="244" w:lineRule="exact"/>
        <w:rPr>
          <w:rFonts w:ascii="Arial" w:cs="Arial" w:eastAsia="Arial" w:hAnsi="Arial"/>
          <w:sz w:val="20"/>
          <w:szCs w:val="20"/>
          <w:color w:val="auto"/>
        </w:rPr>
      </w:pPr>
    </w:p>
    <w:p>
      <w:pPr>
        <w:ind w:right="60" w:firstLine="599"/>
        <w:spacing w:after="0" w:line="272" w:lineRule="auto"/>
        <w:tabs>
          <w:tab w:leader="none" w:pos="1421" w:val="left"/>
        </w:tabs>
        <w:numPr>
          <w:ilvl w:val="0"/>
          <w:numId w:val="601"/>
        </w:numPr>
        <w:rPr>
          <w:rFonts w:ascii="Arial" w:cs="Arial" w:eastAsia="Arial" w:hAnsi="Arial"/>
          <w:sz w:val="20"/>
          <w:szCs w:val="20"/>
          <w:color w:val="auto"/>
        </w:rPr>
      </w:pPr>
      <w:r>
        <w:rPr>
          <w:rFonts w:ascii="Arial" w:cs="Arial" w:eastAsia="Arial" w:hAnsi="Arial"/>
          <w:sz w:val="20"/>
          <w:szCs w:val="20"/>
          <w:color w:val="auto"/>
        </w:rPr>
        <w:t>in the case of an assignment resulting from a Lender becoming a Non-Consenting Lender, the applicable assignee shall have consented to the applicable amendment, waiver or consent.</w:t>
      </w:r>
    </w:p>
    <w:p>
      <w:pPr>
        <w:spacing w:after="0" w:line="191"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20"/>
          <w:szCs w:val="20"/>
          <w:color w:val="auto"/>
        </w:rPr>
        <w:t xml:space="preserve">A Lender shall not be required to make any such assignment or delegation if, prior thereto, as a result of a waiver by such Lender or otherwise, the circumstances entitling the Borrower to require such assignment and delegation cease to apply. Each Lender agrees that, if the Borrower elects to replace such Lender in accordance with this Section 10.13, it shall promptly execute and deliver to the Administrative Agent an Assignment and Assumption to evidence the assignment and shall deliver to the Administrative Agent any Term Note (if a Term Note has been issued in respect of such Lender’s Loans) subject to such Assignment and Assumption;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failure of any such Lender to execute an Assignment and Assumption shall not render such assignment invalid and such assignment shall be recorded in the Register.</w:t>
      </w:r>
    </w:p>
    <w:p>
      <w:pPr>
        <w:spacing w:after="0" w:line="177"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20"/>
          <w:szCs w:val="20"/>
          <w:color w:val="auto"/>
        </w:rPr>
        <w:t>10.14.</w:t>
      </w:r>
      <w:r>
        <w:rPr>
          <w:sz w:val="20"/>
          <w:szCs w:val="20"/>
          <w:color w:val="auto"/>
        </w:rPr>
        <w:tab/>
      </w:r>
      <w:r>
        <w:rPr>
          <w:rFonts w:ascii="Arial" w:cs="Arial" w:eastAsia="Arial" w:hAnsi="Arial"/>
          <w:sz w:val="18"/>
          <w:szCs w:val="18"/>
          <w:u w:val="single" w:color="auto"/>
          <w:color w:val="auto"/>
        </w:rPr>
        <w:t>Governing Law; Jurisdiction; Etc.</w:t>
      </w:r>
    </w:p>
    <w:p>
      <w:pPr>
        <w:spacing w:after="0" w:line="245" w:lineRule="exact"/>
        <w:rPr>
          <w:sz w:val="20"/>
          <w:szCs w:val="20"/>
          <w:color w:val="auto"/>
        </w:rPr>
      </w:pPr>
    </w:p>
    <w:p>
      <w:pPr>
        <w:jc w:val="both"/>
        <w:ind w:firstLine="599"/>
        <w:spacing w:after="0" w:line="260" w:lineRule="auto"/>
        <w:tabs>
          <w:tab w:leader="none" w:pos="1421" w:val="left"/>
        </w:tabs>
        <w:numPr>
          <w:ilvl w:val="0"/>
          <w:numId w:val="602"/>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IN ACCORDANCE WITH, THE LAW OF THE STATE OF NEW YORK APPLICABLE TO CONTRACTS EXECUTED, AND TO BE FULLY PERFORMED, IN SUCH STATE.</w:t>
      </w:r>
    </w:p>
    <w:p>
      <w:pPr>
        <w:spacing w:after="0" w:line="202"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92</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97" w:name="page498"/>
    <w:bookmarkEnd w:id="497"/>
    <w:p>
      <w:pPr>
        <w:jc w:val="both"/>
        <w:ind w:firstLine="599"/>
        <w:spacing w:after="0" w:line="262" w:lineRule="auto"/>
        <w:tabs>
          <w:tab w:leader="none" w:pos="1432" w:val="left"/>
        </w:tabs>
        <w:numPr>
          <w:ilvl w:val="0"/>
          <w:numId w:val="603"/>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 WAIVER OF VENUE</w:t>
      </w:r>
      <w:r>
        <w:rPr>
          <w:rFonts w:ascii="Arial" w:cs="Arial" w:eastAsia="Arial" w:hAnsi="Arial"/>
          <w:sz w:val="19"/>
          <w:szCs w:val="19"/>
          <w:color w:val="auto"/>
        </w:rPr>
        <w:t>. EACH OF THE BORROWER AND THE REIT IRREVOCABLY AND UNCONDITIONALLY AGREES THAT IT WILL NOT COMMENCE ANY ACTION, LITIGATION OR PROCEEDING OF ANY KIND OR DESCRIPTION, WHETHER IN LAW OR EQUITY, WHETHER IN CONTRACT OR IN TORT OR OTHERWISE, AGAINST THE ADMINISTRATIVE AGENT, ANY LENDER, OR ANY AFFILIATE OF THE FOREGOING IN ANY WAY RELATING TO THIS AGREEMENT, ANY OTHER LOAN DOCUMENT, THE AGREEMENT REGARDING FEES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PROVIDED THAT NOTHING IN THIS AGREEMENT SHALL LIMIT THE RIGHT OF THE ADMINISTRATIVE AGENT OR LENDERS TO COMMENCE ANY PROCEEDING IN THE FEDERAL OR STATE COURTS OF ANY OTHER JURISDICTION TO THE EXTENT THE ADMINISTRATIVE AGENT OR SUCH LENDER DETERMINES THAT SUCH ACTION IS NECESSARY OR APPROPRIATE TO EXERCISE ITS RIGHTS OR REMEDIES UNDER THE LOAN DOCUMENTS. EACH OF THE PARTIES HERETO AGREES THAT A FINAL JUDGMENT IN ANY SUCH ACTION, LITIGATION OR PROCEEDING SHALL BE CONCLUSIVE AND MAY BE ENFORCED IN OTHER JURISDICTIONS BY SUIT ON THE JUDGMENT OR IN ANY OTHER MANNER PROVIDED BY LAW. EACH PARTY FURTHER WAIVES ANY OBJECTION THAT IT MAY NOW OR HEREAFTER HAVE TO THE VENUE OF ANY SUCH ACTION OR PROCEEDING IN ANY SUCH COURT OR THAT SUCH ACTION OR PROCEEDING WAS BROUGHT IN AN INCONVENIENT FORUM AND EACH AGREES NOT TO PLEAD OR CLAIM THE SAME. THE CHOICE OF FORUM SET FORTH IN THIS SECTION SHALL NOT (A) BE DEEMED TO PRECLUDE THE BRINGING OF ANY ACTION BY THE ADMINISTRATIVE AGENT, OR ANY LENDER OR THE ENFORCEMENT BY THE ADMINISTRATIVE AGENT, OR ANY LENDER OF ANY JUDGMENT OBTAINED IN SUCH FORUM IN ANY OTHER APPROPRIATE JURISDICTION OR (B) LIMIT THE RIGHT OF THE ADMINISTRATIVE AGENT OR LENDERS TO COMMENCE ANY PROCEEDING IN ANY OTHER FORUM TO THE EXTENT THE ADMINISTRATIVE AGENT OR SUCH LENDER DETERMINES THAT SUCH ACTION IS NECESSARY OR APPROPRIATE TO EXERCISE ITS RIGHTS OR REMEDIES UNDER THE LOAN DOCUMENTS.</w:t>
      </w:r>
    </w:p>
    <w:p>
      <w:pPr>
        <w:spacing w:after="0" w:line="200" w:lineRule="exact"/>
        <w:rPr>
          <w:rFonts w:ascii="Arial" w:cs="Arial" w:eastAsia="Arial" w:hAnsi="Arial"/>
          <w:sz w:val="19"/>
          <w:szCs w:val="19"/>
          <w:color w:val="auto"/>
        </w:rPr>
      </w:pPr>
    </w:p>
    <w:p>
      <w:pPr>
        <w:spacing w:after="0" w:line="244" w:lineRule="exact"/>
        <w:rPr>
          <w:rFonts w:ascii="Arial" w:cs="Arial" w:eastAsia="Arial" w:hAnsi="Arial"/>
          <w:sz w:val="19"/>
          <w:szCs w:val="19"/>
          <w:color w:val="auto"/>
        </w:rPr>
      </w:pPr>
    </w:p>
    <w:p>
      <w:pPr>
        <w:jc w:val="both"/>
        <w:ind w:firstLine="599"/>
        <w:spacing w:after="0" w:line="253" w:lineRule="auto"/>
        <w:tabs>
          <w:tab w:leader="none" w:pos="1421" w:val="left"/>
        </w:tabs>
        <w:numPr>
          <w:ilvl w:val="0"/>
          <w:numId w:val="603"/>
        </w:numPr>
        <w:rPr>
          <w:rFonts w:ascii="Arial" w:cs="Arial" w:eastAsia="Arial" w:hAnsi="Arial"/>
          <w:sz w:val="20"/>
          <w:szCs w:val="20"/>
          <w:color w:val="auto"/>
        </w:rPr>
      </w:pPr>
      <w:r>
        <w:rPr>
          <w:rFonts w:ascii="Arial" w:cs="Arial" w:eastAsia="Arial" w:hAnsi="Arial"/>
          <w:sz w:val="20"/>
          <w:szCs w:val="20"/>
          <w:u w:val="single" w:color="auto"/>
          <w:color w:val="auto"/>
        </w:rPr>
        <w:t>ADVICE OF COUNSEL</w:t>
      </w:r>
      <w:r>
        <w:rPr>
          <w:rFonts w:ascii="Arial" w:cs="Arial" w:eastAsia="Arial" w:hAnsi="Arial"/>
          <w:sz w:val="20"/>
          <w:szCs w:val="20"/>
          <w:color w:val="auto"/>
        </w:rPr>
        <w:t>. THE PROVISIONS OF THIS SECTION HAVE BEEN CONSIDERED BY EACH PARTY WITH THE ADVICE OF COUNSEL AND WITH A FULL UNDERSTANDING OF THE LEGAL CONSEQUENCES THEREOF, AND SHALL SURVIVE THE PAYMENT OF THE LOANS AND ALL OTHER AMOUNTS PAYABLE HEREUNDER OR UNDER THE OTHER LOAN DOCUMENTS AND UNDER THE AGREEMENT REGARDING FEES, AND THE TERMINATION OF THIS AGREEMENT.</w:t>
      </w:r>
    </w:p>
    <w:p>
      <w:pPr>
        <w:spacing w:after="0" w:line="211" w:lineRule="exact"/>
        <w:rPr>
          <w:rFonts w:ascii="Arial" w:cs="Arial" w:eastAsia="Arial" w:hAnsi="Arial"/>
          <w:sz w:val="20"/>
          <w:szCs w:val="20"/>
          <w:color w:val="auto"/>
        </w:rPr>
      </w:pPr>
    </w:p>
    <w:p>
      <w:pPr>
        <w:jc w:val="both"/>
        <w:ind w:firstLine="599"/>
        <w:spacing w:after="0" w:line="260" w:lineRule="auto"/>
        <w:tabs>
          <w:tab w:leader="none" w:pos="1432" w:val="left"/>
        </w:tabs>
        <w:numPr>
          <w:ilvl w:val="0"/>
          <w:numId w:val="603"/>
        </w:numPr>
        <w:rPr>
          <w:rFonts w:ascii="Arial" w:cs="Arial" w:eastAsia="Arial" w:hAnsi="Arial"/>
          <w:sz w:val="20"/>
          <w:szCs w:val="20"/>
          <w:color w:val="auto"/>
        </w:rPr>
      </w:pPr>
      <w:r>
        <w:rPr>
          <w:rFonts w:ascii="Arial" w:cs="Arial" w:eastAsia="Arial" w:hAnsi="Arial"/>
          <w:sz w:val="20"/>
          <w:szCs w:val="20"/>
          <w:u w:val="single" w:color="auto"/>
          <w:color w:val="auto"/>
        </w:rPr>
        <w:t>SERVICE OF PROCESS</w:t>
      </w:r>
      <w:r>
        <w:rPr>
          <w:rFonts w:ascii="Arial" w:cs="Arial" w:eastAsia="Arial" w:hAnsi="Arial"/>
          <w:sz w:val="20"/>
          <w:szCs w:val="20"/>
          <w:color w:val="auto"/>
        </w:rPr>
        <w:t xml:space="preserve">. EACH PARTY HERETO IRREVOCABLY CONSENTS TO SERVICE OF PROCESS IN THE MANNER PROVIDED FOR NOTICES IN </w:t>
      </w:r>
      <w:r>
        <w:rPr>
          <w:rFonts w:ascii="Arial" w:cs="Arial" w:eastAsia="Arial" w:hAnsi="Arial"/>
          <w:sz w:val="20"/>
          <w:szCs w:val="20"/>
          <w:u w:val="single" w:color="auto"/>
          <w:color w:val="auto"/>
        </w:rPr>
        <w:t>SECTION 10.02</w:t>
      </w:r>
      <w:r>
        <w:rPr>
          <w:rFonts w:ascii="Arial" w:cs="Arial" w:eastAsia="Arial" w:hAnsi="Arial"/>
          <w:sz w:val="20"/>
          <w:szCs w:val="20"/>
          <w:color w:val="auto"/>
        </w:rPr>
        <w:t>. NOTHING IN THIS AGREEMENT WILL AFFECT THE RIGHT OF ANY PARTY HERETO TO SERVE PROCESS IN ANY OTHER MANNER PERMITTED BY APPLICABLE LAW</w:t>
      </w:r>
    </w:p>
    <w:p>
      <w:pPr>
        <w:spacing w:after="0" w:line="200" w:lineRule="exact"/>
        <w:rPr>
          <w:sz w:val="20"/>
          <w:szCs w:val="20"/>
          <w:color w:val="auto"/>
        </w:rPr>
      </w:pPr>
    </w:p>
    <w:p>
      <w:pPr>
        <w:spacing w:after="0" w:line="239"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93</w:t>
      </w:r>
      <w:r>
        <w:rPr>
          <w:rFonts w:ascii="MS PGothic" w:cs="MS PGothic" w:eastAsia="MS PGothic" w:hAnsi="MS PGothic"/>
          <w:sz w:val="20"/>
          <w:szCs w:val="20"/>
          <w:color w:val="auto"/>
        </w:rPr>
        <w:t>‑</w:t>
      </w:r>
    </w:p>
    <w:p>
      <w:pPr>
        <w:sectPr>
          <w:pgSz w:w="11900" w:h="16838" w:orient="portrait"/>
          <w:cols w:equalWidth="0" w:num="1">
            <w:col w:w="11420"/>
          </w:cols>
          <w:pgMar w:left="240" w:top="1032" w:right="239" w:bottom="1440" w:gutter="0" w:footer="0" w:header="0"/>
        </w:sectPr>
      </w:pPr>
    </w:p>
    <w:bookmarkStart w:id="498" w:name="page499"/>
    <w:bookmarkEnd w:id="498"/>
    <w:p>
      <w:pPr>
        <w:jc w:val="both"/>
        <w:ind w:firstLine="599"/>
        <w:spacing w:after="0" w:line="265" w:lineRule="auto"/>
        <w:rPr>
          <w:sz w:val="20"/>
          <w:szCs w:val="20"/>
          <w:color w:val="auto"/>
        </w:rPr>
      </w:pPr>
      <w:r>
        <w:rPr>
          <w:rFonts w:ascii="Arial" w:cs="Arial" w:eastAsia="Arial" w:hAnsi="Arial"/>
          <w:sz w:val="19"/>
          <w:szCs w:val="19"/>
          <w:color w:val="auto"/>
        </w:rPr>
        <w:t xml:space="preserve">10.15.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202" w:lineRule="exact"/>
        <w:rPr>
          <w:sz w:val="20"/>
          <w:szCs w:val="20"/>
          <w:color w:val="auto"/>
        </w:rPr>
      </w:pPr>
    </w:p>
    <w:p>
      <w:pPr>
        <w:jc w:val="both"/>
        <w:ind w:firstLine="599"/>
        <w:spacing w:after="0" w:line="278"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 In connection with all aspects of each transaction contemplated hereby (including in connection with any amendment, waiver or other modification hereof or of any other Loan Document), each of the Borrower and the REIT acknowledges and agrees, and acknowledges its Affiliates’ understanding, that: (i) (A) the arranging and other services regarding this Agreement provided by the Administrative Agent and the Arrangers are arm’s-length commercial transactions between the Borrower, the REIT and their respective Affiliates, on the one hand, and the Administrative Agent, the Arrangers and the Lenders, on the other hand, (B) each of the Borrower and the REIT has consulted its own legal, accounting, regulatory and tax advisors to the extent it has deemed appropriate, and (C) each of the Borrower and the REIT is capable of evaluating, and understands and accepts, the terms, risks and conditions of the transactions contemplated hereby and by the other Loan Documents; (ii) (A) the Administrative Agent, the Arrangers and the Lenders each is and has been acting solely as a principal and, except as expressly agreed in writing by the relevant parties, has not been, is not, and will not be acting as an advisor, agent or fiduciary for the Borrower, the REIT or any of their respective Affiliates, or any other Person and (B) neither the Administrative Agent, the Arrangers, nor any Lender have any obligation to the Borrower, the REIT or any of their respective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Borrower, the REIT and their respective Affiliates, and neither the Administrative Agent, the Arrangers nor any Lender have any obligation to disclose any of such interests to the Borrower, the REIT or any of their respective Affiliates. To the fullest extent permitted by law, each of the Borrower and the REIT hereby waives and releases any claims that it may have against the Administrative Agent, the Arrangers and the Lenders with respect to any breach or alleged breach of agency or fiduciary duty in connection with any aspect of any transaction contemplated hereby.</w:t>
      </w:r>
    </w:p>
    <w:p>
      <w:pPr>
        <w:spacing w:after="0" w:line="193" w:lineRule="exact"/>
        <w:rPr>
          <w:sz w:val="20"/>
          <w:szCs w:val="20"/>
          <w:color w:val="auto"/>
        </w:rPr>
      </w:pPr>
    </w:p>
    <w:p>
      <w:pPr>
        <w:jc w:val="both"/>
        <w:ind w:firstLine="599"/>
        <w:spacing w:after="0" w:line="250" w:lineRule="auto"/>
        <w:rPr>
          <w:sz w:val="20"/>
          <w:szCs w:val="20"/>
          <w:color w:val="auto"/>
        </w:rPr>
      </w:pPr>
      <w:r>
        <w:rPr>
          <w:rFonts w:ascii="Arial" w:cs="Arial" w:eastAsia="Arial" w:hAnsi="Arial"/>
          <w:sz w:val="20"/>
          <w:szCs w:val="20"/>
          <w:color w:val="auto"/>
        </w:rPr>
        <w:t xml:space="preserve">10.17. </w:t>
      </w:r>
      <w:r>
        <w:rPr>
          <w:rFonts w:ascii="Arial" w:cs="Arial" w:eastAsia="Arial" w:hAnsi="Arial"/>
          <w:sz w:val="20"/>
          <w:szCs w:val="20"/>
          <w:u w:val="single" w:color="auto"/>
          <w:color w:val="auto"/>
        </w:rPr>
        <w:t>Electronic Execution of Assignments and Certain Other Documents</w:t>
      </w:r>
      <w:r>
        <w:rPr>
          <w:rFonts w:ascii="Arial" w:cs="Arial" w:eastAsia="Arial" w:hAnsi="Arial"/>
          <w:sz w:val="20"/>
          <w:szCs w:val="20"/>
          <w:color w:val="auto"/>
        </w:rPr>
        <w:t xml:space="preserve">. The words “execute,” “execution,” “signed,” “signature,” and words of like import in or related to any document to be signed in connection with this Agreement and the transactions contemplated hereby (including without limitation Assignment and Assumptions, amendments, amendment and restatements or other modifications,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anything contained herein to the contrary, the Administrative Agent is under no obligation</w:t>
      </w:r>
    </w:p>
    <w:p>
      <w:pPr>
        <w:spacing w:after="0" w:line="21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94</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499" w:name="page500"/>
    <w:bookmarkEnd w:id="499"/>
    <w:p>
      <w:pPr>
        <w:jc w:val="both"/>
        <w:spacing w:after="0" w:line="272" w:lineRule="auto"/>
        <w:rPr>
          <w:sz w:val="20"/>
          <w:szCs w:val="20"/>
          <w:color w:val="auto"/>
        </w:rPr>
      </w:pPr>
      <w:r>
        <w:rPr>
          <w:rFonts w:ascii="Arial" w:cs="Arial" w:eastAsia="Arial" w:hAnsi="Arial"/>
          <w:sz w:val="20"/>
          <w:szCs w:val="20"/>
          <w:color w:val="auto"/>
        </w:rPr>
        <w:t>to agree to accept electronic signatures in any form or in any format unless expressly agreed to by the Administrative Agent pursuant to procedures approved by it.</w:t>
      </w:r>
    </w:p>
    <w:p>
      <w:pPr>
        <w:spacing w:after="0" w:line="191"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20"/>
          <w:szCs w:val="20"/>
          <w:color w:val="auto"/>
        </w:rPr>
        <w:t xml:space="preserve">10.18. </w:t>
      </w:r>
      <w:r>
        <w:rPr>
          <w:rFonts w:ascii="Arial" w:cs="Arial" w:eastAsia="Arial" w:hAnsi="Arial"/>
          <w:sz w:val="20"/>
          <w:szCs w:val="20"/>
          <w:u w:val="single" w:color="auto"/>
          <w:color w:val="auto"/>
        </w:rPr>
        <w:t>USA PATRIOT Act</w:t>
      </w:r>
      <w:r>
        <w:rPr>
          <w:rFonts w:ascii="Arial" w:cs="Arial" w:eastAsia="Arial" w:hAnsi="Arial"/>
          <w:sz w:val="20"/>
          <w:szCs w:val="20"/>
          <w:color w:val="auto"/>
        </w:rPr>
        <w:t>. Each Lender that is subject to the Act (as hereinafter defined) and the Administrative Agent (for itself and not on behalf of any Lender) hereby notifies the Borrower that pursuant to the requirements of the USA Patriot Act (Title III of Pub. L. 107-56 (signed into law October 26, 2001)) (the “</w:t>
      </w:r>
      <w:r>
        <w:rPr>
          <w:rFonts w:ascii="Arial" w:cs="Arial" w:eastAsia="Arial" w:hAnsi="Arial"/>
          <w:sz w:val="20"/>
          <w:szCs w:val="20"/>
          <w:u w:val="single" w:color="auto"/>
          <w:color w:val="auto"/>
        </w:rPr>
        <w:t>Act</w:t>
      </w:r>
      <w:r>
        <w:rPr>
          <w:rFonts w:ascii="Arial" w:cs="Arial" w:eastAsia="Arial" w:hAnsi="Arial"/>
          <w:sz w:val="20"/>
          <w:szCs w:val="20"/>
          <w:color w:val="auto"/>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212"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20"/>
          <w:szCs w:val="20"/>
          <w:color w:val="auto"/>
        </w:rPr>
        <w:t>10.19.</w:t>
      </w:r>
      <w:r>
        <w:rPr>
          <w:sz w:val="20"/>
          <w:szCs w:val="20"/>
          <w:color w:val="auto"/>
        </w:rPr>
        <w:tab/>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45"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20"/>
          <w:szCs w:val="20"/>
          <w:color w:val="auto"/>
        </w:rPr>
        <w:t>10.20.</w:t>
      </w:r>
      <w:r>
        <w:rPr>
          <w:sz w:val="20"/>
          <w:szCs w:val="20"/>
          <w:color w:val="auto"/>
        </w:rPr>
        <w:tab/>
      </w:r>
      <w:r>
        <w:rPr>
          <w:rFonts w:ascii="Arial" w:cs="Arial" w:eastAsia="Arial" w:hAnsi="Arial"/>
          <w:sz w:val="19"/>
          <w:szCs w:val="19"/>
          <w:color w:val="auto"/>
        </w:rPr>
        <w:t>[Intentionally Omitted].</w:t>
      </w:r>
    </w:p>
    <w:p>
      <w:pPr>
        <w:spacing w:after="0" w:line="245"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20"/>
          <w:szCs w:val="20"/>
          <w:color w:val="auto"/>
        </w:rPr>
        <w:t>10.21.</w:t>
      </w:r>
      <w:r>
        <w:rPr>
          <w:sz w:val="20"/>
          <w:szCs w:val="20"/>
          <w:color w:val="auto"/>
        </w:rPr>
        <w:tab/>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w:t>
      </w:r>
    </w:p>
    <w:p>
      <w:pPr>
        <w:spacing w:after="0" w:line="245" w:lineRule="exact"/>
        <w:rPr>
          <w:sz w:val="20"/>
          <w:szCs w:val="20"/>
          <w:color w:val="auto"/>
        </w:rPr>
      </w:pPr>
    </w:p>
    <w:p>
      <w:pPr>
        <w:jc w:val="both"/>
        <w:ind w:firstLine="599"/>
        <w:spacing w:after="0" w:line="256" w:lineRule="auto"/>
        <w:tabs>
          <w:tab w:leader="none" w:pos="1421" w:val="left"/>
        </w:tabs>
        <w:numPr>
          <w:ilvl w:val="0"/>
          <w:numId w:val="604"/>
        </w:numPr>
        <w:rPr>
          <w:rFonts w:ascii="Arial" w:cs="Arial" w:eastAsia="Arial" w:hAnsi="Arial"/>
          <w:sz w:val="20"/>
          <w:szCs w:val="20"/>
          <w:color w:val="auto"/>
        </w:rPr>
      </w:pPr>
      <w:r>
        <w:rPr>
          <w:rFonts w:ascii="Arial" w:cs="Arial" w:eastAsia="Arial" w:hAnsi="Arial"/>
          <w:sz w:val="20"/>
          <w:szCs w:val="20"/>
          <w:color w:val="auto"/>
        </w:rPr>
        <w:t>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205" w:lineRule="exact"/>
        <w:rPr>
          <w:rFonts w:ascii="Arial" w:cs="Arial" w:eastAsia="Arial" w:hAnsi="Arial"/>
          <w:sz w:val="20"/>
          <w:szCs w:val="20"/>
          <w:color w:val="auto"/>
        </w:rPr>
      </w:pPr>
    </w:p>
    <w:p>
      <w:pPr>
        <w:ind w:firstLine="1199"/>
        <w:spacing w:after="0" w:line="272" w:lineRule="auto"/>
        <w:tabs>
          <w:tab w:leader="none" w:pos="1987" w:val="left"/>
        </w:tabs>
        <w:numPr>
          <w:ilvl w:val="1"/>
          <w:numId w:val="604"/>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an EEA Resolution Authority to any such liabilities arising hereunder which may be payable to it by any party hereto that is an EEA Financial Institution;</w:t>
      </w:r>
    </w:p>
    <w:p>
      <w:pPr>
        <w:spacing w:after="0" w:line="190" w:lineRule="exact"/>
        <w:rPr>
          <w:rFonts w:ascii="Arial" w:cs="Arial" w:eastAsia="Arial" w:hAnsi="Arial"/>
          <w:sz w:val="20"/>
          <w:szCs w:val="20"/>
          <w:color w:val="auto"/>
        </w:rPr>
      </w:pPr>
    </w:p>
    <w:p>
      <w:pPr>
        <w:ind w:left="2040" w:hanging="841"/>
        <w:spacing w:after="0"/>
        <w:tabs>
          <w:tab w:leader="none" w:pos="2040" w:val="left"/>
        </w:tabs>
        <w:numPr>
          <w:ilvl w:val="1"/>
          <w:numId w:val="604"/>
        </w:numPr>
        <w:rPr>
          <w:rFonts w:ascii="Arial" w:cs="Arial" w:eastAsia="Arial" w:hAnsi="Arial"/>
          <w:sz w:val="20"/>
          <w:szCs w:val="20"/>
          <w:color w:val="auto"/>
        </w:rPr>
      </w:pPr>
      <w:r>
        <w:rPr>
          <w:rFonts w:ascii="Arial" w:cs="Arial" w:eastAsia="Arial" w:hAnsi="Arial"/>
          <w:sz w:val="20"/>
          <w:szCs w:val="20"/>
          <w:color w:val="auto"/>
        </w:rPr>
        <w:t>and the effects of any Bail-In Action on any such liability, including, if applicable:</w:t>
      </w:r>
    </w:p>
    <w:p>
      <w:pPr>
        <w:spacing w:after="0" w:line="245" w:lineRule="exact"/>
        <w:rPr>
          <w:sz w:val="20"/>
          <w:szCs w:val="20"/>
          <w:color w:val="auto"/>
        </w:rPr>
      </w:pPr>
    </w:p>
    <w:p>
      <w:pPr>
        <w:ind w:left="2080" w:hanging="881"/>
        <w:spacing w:after="0"/>
        <w:tabs>
          <w:tab w:leader="none" w:pos="2080" w:val="left"/>
        </w:tabs>
        <w:numPr>
          <w:ilvl w:val="0"/>
          <w:numId w:val="605"/>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44" w:lineRule="exact"/>
        <w:rPr>
          <w:rFonts w:ascii="Arial" w:cs="Arial" w:eastAsia="Arial" w:hAnsi="Arial"/>
          <w:sz w:val="20"/>
          <w:szCs w:val="20"/>
          <w:color w:val="auto"/>
        </w:rPr>
      </w:pPr>
    </w:p>
    <w:p>
      <w:pPr>
        <w:jc w:val="both"/>
        <w:ind w:left="600" w:firstLine="599"/>
        <w:spacing w:after="0" w:line="256" w:lineRule="auto"/>
        <w:tabs>
          <w:tab w:leader="none" w:pos="2065" w:val="left"/>
        </w:tabs>
        <w:numPr>
          <w:ilvl w:val="0"/>
          <w:numId w:val="605"/>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05" w:lineRule="exact"/>
        <w:rPr>
          <w:rFonts w:ascii="Arial" w:cs="Arial" w:eastAsia="Arial" w:hAnsi="Arial"/>
          <w:sz w:val="20"/>
          <w:szCs w:val="20"/>
          <w:color w:val="auto"/>
        </w:rPr>
      </w:pPr>
    </w:p>
    <w:p>
      <w:pPr>
        <w:ind w:left="600" w:firstLine="599"/>
        <w:spacing w:after="0" w:line="272" w:lineRule="auto"/>
        <w:tabs>
          <w:tab w:leader="none" w:pos="2065" w:val="left"/>
        </w:tabs>
        <w:numPr>
          <w:ilvl w:val="0"/>
          <w:numId w:val="605"/>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95</w:t>
      </w:r>
      <w:r>
        <w:rPr>
          <w:rFonts w:ascii="MS PGothic" w:cs="MS PGothic" w:eastAsia="MS PGothic" w:hAnsi="MS PGothic"/>
          <w:sz w:val="20"/>
          <w:szCs w:val="20"/>
          <w:color w:val="auto"/>
        </w:rPr>
        <w:t>‑</w:t>
      </w:r>
    </w:p>
    <w:p>
      <w:pPr>
        <w:sectPr>
          <w:pgSz w:w="11900" w:h="16838" w:orient="portrait"/>
          <w:cols w:equalWidth="0" w:num="1">
            <w:col w:w="11420"/>
          </w:cols>
          <w:pgMar w:left="240" w:top="795" w:right="239" w:bottom="1440" w:gutter="0" w:footer="0" w:header="0"/>
        </w:sectPr>
      </w:pPr>
    </w:p>
    <w:bookmarkStart w:id="500" w:name="page501"/>
    <w:bookmarkEnd w:id="500"/>
    <w:p>
      <w:pPr>
        <w:spacing w:after="0"/>
        <w:rPr>
          <w:sz w:val="20"/>
          <w:szCs w:val="20"/>
          <w:color w:val="auto"/>
        </w:rPr>
      </w:pPr>
      <w:r>
        <w:rPr>
          <w:rFonts w:ascii="Arial" w:cs="Arial" w:eastAsia="Arial" w:hAnsi="Arial"/>
          <w:sz w:val="17"/>
          <w:szCs w:val="17"/>
          <w:i w:val="1"/>
          <w:iCs w:val="1"/>
          <w:color w:val="auto"/>
        </w:rPr>
        <w:t xml:space="preserve">IN WITNESS WHEREOF, </w:t>
      </w:r>
      <w:r>
        <w:rPr>
          <w:rFonts w:ascii="Arial" w:cs="Arial" w:eastAsia="Arial" w:hAnsi="Arial"/>
          <w:sz w:val="17"/>
          <w:szCs w:val="17"/>
          <w:color w:val="auto"/>
        </w:rPr>
        <w:t>the parties hereto have caused this Agreement to be duly executed as of the date first above written.</w:t>
      </w:r>
    </w:p>
    <w:p>
      <w:pPr>
        <w:sectPr>
          <w:pgSz w:w="11900" w:h="16838" w:orient="portrait"/>
          <w:cols w:equalWidth="0" w:num="1">
            <w:col w:w="10080"/>
          </w:cols>
          <w:pgMar w:left="840" w:top="794"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AMERICAN ASSETS TRUST, L.P.</w:t>
      </w:r>
    </w:p>
    <w:p>
      <w:pPr>
        <w:spacing w:after="0" w:line="100" w:lineRule="exact"/>
        <w:rPr>
          <w:sz w:val="20"/>
          <w:szCs w:val="20"/>
          <w:color w:val="auto"/>
        </w:rPr>
      </w:pPr>
    </w:p>
    <w:p>
      <w:pPr>
        <w:ind w:left="5180"/>
        <w:spacing w:after="0"/>
        <w:tabs>
          <w:tab w:leader="none" w:pos="5740" w:val="left"/>
        </w:tabs>
        <w:rPr>
          <w:sz w:val="20"/>
          <w:szCs w:val="20"/>
          <w:color w:val="auto"/>
        </w:rPr>
      </w:pPr>
      <w:r>
        <w:rPr>
          <w:rFonts w:ascii="Arial" w:cs="Arial" w:eastAsia="Arial" w:hAnsi="Arial"/>
          <w:sz w:val="40"/>
          <w:szCs w:val="40"/>
          <w:color w:val="auto"/>
          <w:vertAlign w:val="superscript"/>
        </w:rPr>
        <w:t>By:</w:t>
      </w:r>
      <w:r>
        <w:rPr>
          <w:sz w:val="20"/>
          <w:szCs w:val="20"/>
          <w:color w:val="auto"/>
        </w:rPr>
        <w:tab/>
      </w:r>
      <w:r>
        <w:rPr>
          <w:rFonts w:ascii="Arial" w:cs="Arial" w:eastAsia="Arial" w:hAnsi="Arial"/>
          <w:sz w:val="20"/>
          <w:szCs w:val="20"/>
          <w:color w:val="auto"/>
        </w:rPr>
        <w:t>AMERICAN ASSETS TRUST, INC.,</w:t>
      </w:r>
    </w:p>
    <w:p>
      <w:pPr>
        <w:spacing w:after="0" w:line="50"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its General Partner</w:t>
      </w:r>
    </w:p>
    <w:p>
      <w:pPr>
        <w:spacing w:after="0" w:line="304"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24765</wp:posOffset>
            </wp:positionV>
            <wp:extent cx="213360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33600" cy="7620"/>
                    </a:xfrm>
                    <a:prstGeom prst="rect">
                      <a:avLst/>
                    </a:prstGeom>
                    <a:noFill/>
                  </pic:spPr>
                </pic:pic>
              </a:graphicData>
            </a:graphic>
          </wp:anchor>
        </w:drawing>
      </w:r>
    </w:p>
    <w:p>
      <w:pPr>
        <w:spacing w:after="0" w:line="25"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Name:</w:t>
      </w:r>
    </w:p>
    <w:p>
      <w:pPr>
        <w:spacing w:after="0" w:line="45"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Title:</w:t>
      </w:r>
    </w:p>
    <w:p>
      <w:pPr>
        <w:spacing w:after="0" w:line="370"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24765</wp:posOffset>
            </wp:positionV>
            <wp:extent cx="213360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33600" cy="7620"/>
                    </a:xfrm>
                    <a:prstGeom prst="rect">
                      <a:avLst/>
                    </a:prstGeom>
                    <a:noFill/>
                  </pic:spPr>
                </pic:pic>
              </a:graphicData>
            </a:graphic>
          </wp:anchor>
        </w:drawing>
      </w:r>
    </w:p>
    <w:p>
      <w:pPr>
        <w:spacing w:after="0" w:line="37" w:lineRule="exact"/>
        <w:rPr>
          <w:sz w:val="20"/>
          <w:szCs w:val="20"/>
          <w:color w:val="auto"/>
        </w:rPr>
      </w:pPr>
    </w:p>
    <w:p>
      <w:pPr>
        <w:ind w:left="5180"/>
        <w:spacing w:after="0"/>
        <w:tabs>
          <w:tab w:leader="none" w:pos="5920" w:val="left"/>
        </w:tabs>
        <w:rPr>
          <w:sz w:val="20"/>
          <w:szCs w:val="20"/>
          <w:color w:val="auto"/>
        </w:rPr>
      </w:pPr>
      <w:r>
        <w:rPr>
          <w:rFonts w:ascii="Arial" w:cs="Arial" w:eastAsia="Arial" w:hAnsi="Arial"/>
          <w:sz w:val="20"/>
          <w:szCs w:val="20"/>
          <w:color w:val="auto"/>
        </w:rPr>
        <w:t>Name:</w:t>
        <w:tab/>
        <w:t>Robert F. Barton</w:t>
      </w:r>
    </w:p>
    <w:p>
      <w:pPr>
        <w:spacing w:after="0" w:line="45"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AMERICAN ASSETS TRUST, INC.</w:t>
      </w:r>
    </w:p>
    <w:p>
      <w:pPr>
        <w:spacing w:after="0" w:line="320"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24765</wp:posOffset>
            </wp:positionV>
            <wp:extent cx="213360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33600" cy="7620"/>
                    </a:xfrm>
                    <a:prstGeom prst="rect">
                      <a:avLst/>
                    </a:prstGeom>
                    <a:noFill/>
                  </pic:spPr>
                </pic:pic>
              </a:graphicData>
            </a:graphic>
          </wp:anchor>
        </w:drawing>
      </w:r>
    </w:p>
    <w:p>
      <w:pPr>
        <w:spacing w:after="0" w:line="37" w:lineRule="exact"/>
        <w:rPr>
          <w:sz w:val="20"/>
          <w:szCs w:val="20"/>
          <w:color w:val="auto"/>
        </w:rPr>
      </w:pPr>
    </w:p>
    <w:p>
      <w:pPr>
        <w:ind w:left="5180"/>
        <w:spacing w:after="0"/>
        <w:tabs>
          <w:tab w:leader="none" w:pos="5920" w:val="left"/>
        </w:tabs>
        <w:rPr>
          <w:sz w:val="20"/>
          <w:szCs w:val="20"/>
          <w:color w:val="auto"/>
        </w:rPr>
      </w:pPr>
      <w:r>
        <w:rPr>
          <w:rFonts w:ascii="Arial" w:cs="Arial" w:eastAsia="Arial" w:hAnsi="Arial"/>
          <w:sz w:val="20"/>
          <w:szCs w:val="20"/>
          <w:color w:val="auto"/>
        </w:rPr>
        <w:t>Name:</w:t>
        <w:tab/>
        <w:t>Ernest Rady</w:t>
      </w:r>
    </w:p>
    <w:p>
      <w:pPr>
        <w:spacing w:after="0" w:line="45"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Chairman, President and Chief</w:t>
      </w:r>
    </w:p>
    <w:p>
      <w:pPr>
        <w:spacing w:after="0" w:line="11" w:lineRule="exact"/>
        <w:rPr>
          <w:sz w:val="20"/>
          <w:szCs w:val="20"/>
          <w:color w:val="auto"/>
        </w:rPr>
      </w:pPr>
    </w:p>
    <w:p>
      <w:pPr>
        <w:ind w:left="5180"/>
        <w:spacing w:after="0"/>
        <w:tabs>
          <w:tab w:leader="none" w:pos="59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Executive Officer</w:t>
      </w:r>
    </w:p>
    <w:p>
      <w:pPr>
        <w:spacing w:after="0" w:line="304"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24765</wp:posOffset>
            </wp:positionV>
            <wp:extent cx="213360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33600" cy="7620"/>
                    </a:xfrm>
                    <a:prstGeom prst="rect">
                      <a:avLst/>
                    </a:prstGeom>
                    <a:noFill/>
                  </pic:spPr>
                </pic:pic>
              </a:graphicData>
            </a:graphic>
          </wp:anchor>
        </w:drawing>
      </w:r>
    </w:p>
    <w:p>
      <w:pPr>
        <w:spacing w:after="0" w:line="37" w:lineRule="exact"/>
        <w:rPr>
          <w:sz w:val="20"/>
          <w:szCs w:val="20"/>
          <w:color w:val="auto"/>
        </w:rPr>
      </w:pPr>
    </w:p>
    <w:p>
      <w:pPr>
        <w:ind w:left="5180"/>
        <w:spacing w:after="0"/>
        <w:tabs>
          <w:tab w:leader="none" w:pos="5920" w:val="left"/>
        </w:tabs>
        <w:rPr>
          <w:sz w:val="20"/>
          <w:szCs w:val="20"/>
          <w:color w:val="auto"/>
        </w:rPr>
      </w:pPr>
      <w:r>
        <w:rPr>
          <w:rFonts w:ascii="Arial" w:cs="Arial" w:eastAsia="Arial" w:hAnsi="Arial"/>
          <w:sz w:val="20"/>
          <w:szCs w:val="20"/>
          <w:color w:val="auto"/>
        </w:rPr>
        <w:t>Name:</w:t>
        <w:tab/>
        <w:t>Robert F. Barton</w:t>
      </w:r>
    </w:p>
    <w:p>
      <w:pPr>
        <w:spacing w:after="0" w:line="45" w:lineRule="exact"/>
        <w:rPr>
          <w:sz w:val="20"/>
          <w:szCs w:val="20"/>
          <w:color w:val="auto"/>
        </w:rPr>
      </w:pPr>
    </w:p>
    <w:p>
      <w:pPr>
        <w:jc w:val="right"/>
        <w:ind w:right="1080"/>
        <w:spacing w:after="0"/>
        <w:rPr>
          <w:sz w:val="20"/>
          <w:szCs w:val="20"/>
          <w:color w:val="auto"/>
        </w:rPr>
      </w:pPr>
      <w:r>
        <w:rPr>
          <w:rFonts w:ascii="Arial" w:cs="Arial" w:eastAsia="Arial" w:hAnsi="Arial"/>
          <w:sz w:val="20"/>
          <w:szCs w:val="20"/>
          <w:color w:val="auto"/>
        </w:rPr>
        <w:t>Chief Financial Officer and Executive</w:t>
      </w:r>
    </w:p>
    <w:p>
      <w:pPr>
        <w:spacing w:after="0" w:line="11" w:lineRule="exact"/>
        <w:rPr>
          <w:sz w:val="20"/>
          <w:szCs w:val="20"/>
          <w:color w:val="auto"/>
        </w:rPr>
      </w:pPr>
    </w:p>
    <w:p>
      <w:pPr>
        <w:ind w:left="5180"/>
        <w:spacing w:after="0"/>
        <w:tabs>
          <w:tab w:leader="none" w:pos="59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Vice President</w:t>
      </w:r>
    </w:p>
    <w:p>
      <w:pPr>
        <w:spacing w:after="0" w:line="200" w:lineRule="exact"/>
        <w:rPr>
          <w:sz w:val="20"/>
          <w:szCs w:val="20"/>
          <w:color w:val="auto"/>
        </w:rPr>
      </w:pP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10080"/>
          </w:cols>
          <w:pgMar w:left="840" w:top="794" w:right="979" w:bottom="1440" w:gutter="0" w:footer="0" w:header="0"/>
          <w:type w:val="continuous"/>
        </w:sectPr>
      </w:pPr>
    </w:p>
    <w:bookmarkStart w:id="501" w:name="page502"/>
    <w:bookmarkEnd w:id="501"/>
    <w:p>
      <w:pPr>
        <w:ind w:left="3720"/>
        <w:spacing w:after="0"/>
        <w:rPr>
          <w:sz w:val="20"/>
          <w:szCs w:val="20"/>
          <w:color w:val="auto"/>
        </w:rPr>
      </w:pPr>
      <w:r>
        <w:rPr>
          <w:rFonts w:ascii="Arial" w:cs="Arial" w:eastAsia="Arial" w:hAnsi="Arial"/>
          <w:sz w:val="19"/>
          <w:szCs w:val="19"/>
          <w:color w:val="auto"/>
        </w:rPr>
        <w:t>U.S. BANK NATIONAL ASSOCIATION,</w:t>
      </w:r>
    </w:p>
    <w:p>
      <w:pPr>
        <w:spacing w:after="0" w:line="22" w:lineRule="exact"/>
        <w:rPr>
          <w:sz w:val="20"/>
          <w:szCs w:val="20"/>
          <w:color w:val="auto"/>
        </w:rPr>
      </w:pPr>
    </w:p>
    <w:p>
      <w:pPr>
        <w:ind w:left="3720"/>
        <w:spacing w:after="0"/>
        <w:rPr>
          <w:sz w:val="20"/>
          <w:szCs w:val="20"/>
          <w:color w:val="auto"/>
        </w:rPr>
      </w:pPr>
      <w:r>
        <w:rPr>
          <w:rFonts w:ascii="Arial" w:cs="Arial" w:eastAsia="Arial" w:hAnsi="Arial"/>
          <w:sz w:val="19"/>
          <w:szCs w:val="19"/>
          <w:color w:val="auto"/>
        </w:rPr>
        <w:t>as Administrative Agent and as a Lender</w:t>
      </w:r>
    </w:p>
    <w:p>
      <w:pPr>
        <w:spacing w:after="0" w:line="315"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24765</wp:posOffset>
            </wp:positionV>
            <wp:extent cx="339471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94710" cy="762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019"/>
          </w:cols>
          <w:pgMar w:left="1440" w:top="932" w:right="1440" w:bottom="1440" w:gutter="0" w:footer="0" w:header="0"/>
        </w:sectPr>
      </w:pPr>
    </w:p>
    <w:bookmarkStart w:id="502" w:name="page503"/>
    <w:bookmarkEnd w:id="502"/>
    <w:p>
      <w:pPr>
        <w:ind w:left="4580"/>
        <w:spacing w:after="0"/>
        <w:rPr>
          <w:sz w:val="20"/>
          <w:szCs w:val="20"/>
          <w:color w:val="auto"/>
        </w:rPr>
      </w:pPr>
      <w:r>
        <w:rPr>
          <w:rFonts w:ascii="Arial" w:cs="Arial" w:eastAsia="Arial" w:hAnsi="Arial"/>
          <w:sz w:val="19"/>
          <w:szCs w:val="19"/>
          <w:color w:val="auto"/>
        </w:rPr>
        <w:t>PNC BANK, NATIONAL ASSOCIATION,</w:t>
      </w:r>
    </w:p>
    <w:p>
      <w:pPr>
        <w:spacing w:after="0" w:line="22"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as Syndication Agent and as a Lender</w:t>
      </w:r>
    </w:p>
    <w:p>
      <w:pPr>
        <w:spacing w:after="0" w:line="304" w:lineRule="exact"/>
        <w:rPr>
          <w:sz w:val="20"/>
          <w:szCs w:val="20"/>
          <w:color w:val="auto"/>
        </w:rPr>
      </w:pPr>
    </w:p>
    <w:p>
      <w:pPr>
        <w:jc w:val="center"/>
        <w:ind w:right="-4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24765</wp:posOffset>
            </wp:positionV>
            <wp:extent cx="2149475"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494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019"/>
          </w:cols>
          <w:pgMar w:left="1440" w:top="933" w:right="1440" w:bottom="1440" w:gutter="0" w:footer="0" w:header="0"/>
        </w:sectPr>
      </w:pPr>
    </w:p>
    <w:bookmarkStart w:id="503" w:name="page504"/>
    <w:bookmarkEnd w:id="503"/>
    <w:p>
      <w:pPr>
        <w:jc w:val="right"/>
        <w:spacing w:after="0"/>
        <w:rPr>
          <w:sz w:val="20"/>
          <w:szCs w:val="20"/>
          <w:color w:val="auto"/>
        </w:rPr>
      </w:pPr>
      <w:r>
        <w:rPr>
          <w:rFonts w:ascii="Arial" w:cs="Arial" w:eastAsia="Arial" w:hAnsi="Arial"/>
          <w:sz w:val="18"/>
          <w:szCs w:val="18"/>
          <w:b w:val="1"/>
          <w:bCs w:val="1"/>
          <w:i w:val="1"/>
          <w:iCs w:val="1"/>
          <w:color w:val="auto"/>
        </w:rPr>
        <w:t>SCHEDULE I</w:t>
      </w:r>
    </w:p>
    <w:p>
      <w:pPr>
        <w:spacing w:after="0" w:line="164"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RESERVED</w:t>
      </w:r>
    </w:p>
    <w:p>
      <w:pPr>
        <w:sectPr>
          <w:pgSz w:w="11900" w:h="16838" w:orient="portrait"/>
          <w:cols w:equalWidth="0" w:num="1">
            <w:col w:w="10220"/>
          </w:cols>
          <w:pgMar w:left="1440" w:top="785" w:right="239" w:bottom="1440" w:gutter="0" w:footer="0" w:header="0"/>
        </w:sectPr>
      </w:pPr>
    </w:p>
    <w:bookmarkStart w:id="504" w:name="page505"/>
    <w:bookmarkEnd w:id="504"/>
    <w:p>
      <w:pPr>
        <w:jc w:val="right"/>
        <w:spacing w:after="0"/>
        <w:rPr>
          <w:sz w:val="20"/>
          <w:szCs w:val="20"/>
          <w:color w:val="auto"/>
        </w:rPr>
      </w:pPr>
      <w:r>
        <w:rPr>
          <w:rFonts w:ascii="Arial" w:cs="Arial" w:eastAsia="Arial" w:hAnsi="Arial"/>
          <w:sz w:val="18"/>
          <w:szCs w:val="18"/>
          <w:b w:val="1"/>
          <w:bCs w:val="1"/>
          <w:i w:val="1"/>
          <w:iCs w:val="1"/>
          <w:color w:val="auto"/>
        </w:rPr>
        <w:t>SCHEDULE II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EXCEPTIONS TO RECOURSE LIABILITY</w:t>
      </w:r>
    </w:p>
    <w:p>
      <w:pPr>
        <w:spacing w:after="0" w:line="222" w:lineRule="exact"/>
        <w:rPr>
          <w:sz w:val="20"/>
          <w:szCs w:val="20"/>
          <w:color w:val="auto"/>
        </w:rPr>
      </w:pPr>
    </w:p>
    <w:p>
      <w:pPr>
        <w:jc w:val="both"/>
        <w:ind w:firstLine="599"/>
        <w:spacing w:after="0" w:line="290" w:lineRule="auto"/>
        <w:tabs>
          <w:tab w:leader="none" w:pos="1336" w:val="left"/>
        </w:tabs>
        <w:numPr>
          <w:ilvl w:val="0"/>
          <w:numId w:val="606"/>
        </w:numPr>
        <w:rPr>
          <w:rFonts w:ascii="Arial" w:cs="Arial" w:eastAsia="Arial" w:hAnsi="Arial"/>
          <w:sz w:val="18"/>
          <w:szCs w:val="18"/>
          <w:color w:val="auto"/>
        </w:rPr>
      </w:pPr>
      <w:r>
        <w:rPr>
          <w:rFonts w:ascii="Arial" w:cs="Arial" w:eastAsia="Arial" w:hAnsi="Arial"/>
          <w:sz w:val="18"/>
          <w:szCs w:val="18"/>
          <w:color w:val="auto"/>
        </w:rPr>
        <w:t>The Indemnification Agreement, dated as of January 19, 2011, by American Assets Trust, L.P., a Maryland limited partnership, to and for the benefit of John Hancock Life Insurance Company (U.S.A.), a Michigan corporation and the successor by merger to John Hancock Life Insurance Company, a Massachusetts corporation. (TRNC)</w:t>
      </w:r>
    </w:p>
    <w:p>
      <w:pPr>
        <w:spacing w:after="0" w:line="173" w:lineRule="exact"/>
        <w:rPr>
          <w:rFonts w:ascii="Arial" w:cs="Arial" w:eastAsia="Arial" w:hAnsi="Arial"/>
          <w:sz w:val="18"/>
          <w:szCs w:val="18"/>
          <w:color w:val="auto"/>
        </w:rPr>
      </w:pPr>
    </w:p>
    <w:p>
      <w:pPr>
        <w:jc w:val="both"/>
        <w:ind w:firstLine="599"/>
        <w:spacing w:after="0" w:line="290" w:lineRule="auto"/>
        <w:tabs>
          <w:tab w:leader="none" w:pos="1336" w:val="left"/>
        </w:tabs>
        <w:numPr>
          <w:ilvl w:val="0"/>
          <w:numId w:val="606"/>
        </w:numPr>
        <w:rPr>
          <w:rFonts w:ascii="Arial" w:cs="Arial" w:eastAsia="Arial" w:hAnsi="Arial"/>
          <w:sz w:val="18"/>
          <w:szCs w:val="18"/>
          <w:color w:val="auto"/>
        </w:rPr>
      </w:pPr>
      <w:r>
        <w:rPr>
          <w:rFonts w:ascii="Arial" w:cs="Arial" w:eastAsia="Arial" w:hAnsi="Arial"/>
          <w:sz w:val="18"/>
          <w:szCs w:val="18"/>
          <w:color w:val="auto"/>
        </w:rPr>
        <w:t>The Indemnity Agreement, dated as of March 29, 2012 by AAT One Beach, LLC, a Delaware limited liability company, and American Assets Trust, L.P., a Maryland limited partnership, in favor of PNC BANK, NATIONAL ASSOCIATION, a national banking c/o Midland Loan Services, Inc., Reference Loan Number 940960219. (One Beach)</w:t>
      </w:r>
    </w:p>
    <w:p>
      <w:pPr>
        <w:spacing w:after="0" w:line="173" w:lineRule="exact"/>
        <w:rPr>
          <w:rFonts w:ascii="Arial" w:cs="Arial" w:eastAsia="Arial" w:hAnsi="Arial"/>
          <w:sz w:val="18"/>
          <w:szCs w:val="18"/>
          <w:color w:val="auto"/>
        </w:rPr>
      </w:pPr>
    </w:p>
    <w:p>
      <w:pPr>
        <w:jc w:val="both"/>
        <w:ind w:firstLine="599"/>
        <w:spacing w:after="0" w:line="290" w:lineRule="auto"/>
        <w:tabs>
          <w:tab w:leader="none" w:pos="1336" w:val="left"/>
        </w:tabs>
        <w:numPr>
          <w:ilvl w:val="0"/>
          <w:numId w:val="606"/>
        </w:numPr>
        <w:rPr>
          <w:rFonts w:ascii="Arial" w:cs="Arial" w:eastAsia="Arial" w:hAnsi="Arial"/>
          <w:sz w:val="18"/>
          <w:szCs w:val="18"/>
          <w:color w:val="auto"/>
        </w:rPr>
      </w:pPr>
      <w:r>
        <w:rPr>
          <w:rFonts w:ascii="Arial" w:cs="Arial" w:eastAsia="Arial" w:hAnsi="Arial"/>
          <w:sz w:val="18"/>
          <w:szCs w:val="18"/>
          <w:color w:val="auto"/>
        </w:rPr>
        <w:t>The Indemnity Agreement, dated as of October 10, 2012 by AAT CC Bellevue, LLC, a Delaware limited liability company, and American Assets Trust, L.P., a Maryland limited partnership, in favor of PNC BANK, NATIONAL ASSOCIATION, a national banking association c/o Midland Loan Services, Inc., Reference Loan Number 940960335. (CCB)</w:t>
      </w:r>
    </w:p>
    <w:p>
      <w:pPr>
        <w:spacing w:after="0" w:line="173" w:lineRule="exact"/>
        <w:rPr>
          <w:rFonts w:ascii="Arial" w:cs="Arial" w:eastAsia="Arial" w:hAnsi="Arial"/>
          <w:sz w:val="18"/>
          <w:szCs w:val="18"/>
          <w:color w:val="auto"/>
        </w:rPr>
      </w:pPr>
    </w:p>
    <w:p>
      <w:pPr>
        <w:jc w:val="both"/>
        <w:ind w:firstLine="599"/>
        <w:spacing w:after="0" w:line="290" w:lineRule="auto"/>
        <w:tabs>
          <w:tab w:leader="none" w:pos="1336" w:val="left"/>
        </w:tabs>
        <w:numPr>
          <w:ilvl w:val="0"/>
          <w:numId w:val="606"/>
        </w:numPr>
        <w:rPr>
          <w:rFonts w:ascii="Arial" w:cs="Arial" w:eastAsia="Arial" w:hAnsi="Arial"/>
          <w:sz w:val="18"/>
          <w:szCs w:val="18"/>
          <w:color w:val="auto"/>
        </w:rPr>
      </w:pPr>
      <w:r>
        <w:rPr>
          <w:rFonts w:ascii="Arial" w:cs="Arial" w:eastAsia="Arial" w:hAnsi="Arial"/>
          <w:sz w:val="18"/>
          <w:szCs w:val="18"/>
          <w:color w:val="auto"/>
        </w:rPr>
        <w:t>The Guaranty Agreement, dated as of January 19, 2011, by American Assets Trust, L.P., a Maryland limited partnership, in favor of the Partnership and John Hancock Life Insurance Company (U.S.A.), a Michigan corporation and the successor by merger to John Hancock Life Insurance Company, a Massachusetts corporation. (TRNC)</w:t>
      </w:r>
    </w:p>
    <w:p>
      <w:pPr>
        <w:spacing w:after="0" w:line="173" w:lineRule="exact"/>
        <w:rPr>
          <w:rFonts w:ascii="Arial" w:cs="Arial" w:eastAsia="Arial" w:hAnsi="Arial"/>
          <w:sz w:val="18"/>
          <w:szCs w:val="18"/>
          <w:color w:val="auto"/>
        </w:rPr>
      </w:pPr>
    </w:p>
    <w:p>
      <w:pPr>
        <w:jc w:val="both"/>
        <w:ind w:firstLine="599"/>
        <w:spacing w:after="0" w:line="290" w:lineRule="auto"/>
        <w:tabs>
          <w:tab w:leader="none" w:pos="1336" w:val="left"/>
        </w:tabs>
        <w:numPr>
          <w:ilvl w:val="0"/>
          <w:numId w:val="606"/>
        </w:numPr>
        <w:rPr>
          <w:rFonts w:ascii="Arial" w:cs="Arial" w:eastAsia="Arial" w:hAnsi="Arial"/>
          <w:sz w:val="18"/>
          <w:szCs w:val="18"/>
          <w:color w:val="auto"/>
        </w:rPr>
      </w:pPr>
      <w:r>
        <w:rPr>
          <w:rFonts w:ascii="Arial" w:cs="Arial" w:eastAsia="Arial" w:hAnsi="Arial"/>
          <w:sz w:val="18"/>
          <w:szCs w:val="18"/>
          <w:color w:val="auto"/>
        </w:rPr>
        <w:t>The Guaranty of Recourse Obligations, dated as of January 19, 2011, by American Assets Trust, L.P., a Maryland limited partnership, for the benefit of U.S. Bank National Association, as Trustee for the registered holders of COMM 2010-C1 Mortgage Trust, COMM 2010-C1 Commercial Mortgage Pass-Through Certificates. (SBCC I-II)</w:t>
      </w:r>
    </w:p>
    <w:p>
      <w:pPr>
        <w:spacing w:after="0" w:line="173" w:lineRule="exact"/>
        <w:rPr>
          <w:rFonts w:ascii="Arial" w:cs="Arial" w:eastAsia="Arial" w:hAnsi="Arial"/>
          <w:sz w:val="18"/>
          <w:szCs w:val="18"/>
          <w:color w:val="auto"/>
        </w:rPr>
      </w:pPr>
    </w:p>
    <w:p>
      <w:pPr>
        <w:jc w:val="both"/>
        <w:ind w:firstLine="599"/>
        <w:spacing w:after="0" w:line="285" w:lineRule="auto"/>
        <w:tabs>
          <w:tab w:leader="none" w:pos="1336" w:val="left"/>
        </w:tabs>
        <w:numPr>
          <w:ilvl w:val="0"/>
          <w:numId w:val="606"/>
        </w:numPr>
        <w:rPr>
          <w:rFonts w:ascii="Arial" w:cs="Arial" w:eastAsia="Arial" w:hAnsi="Arial"/>
          <w:sz w:val="18"/>
          <w:szCs w:val="18"/>
          <w:color w:val="auto"/>
        </w:rPr>
      </w:pPr>
      <w:r>
        <w:rPr>
          <w:rFonts w:ascii="Arial" w:cs="Arial" w:eastAsia="Arial" w:hAnsi="Arial"/>
          <w:sz w:val="18"/>
          <w:szCs w:val="18"/>
          <w:color w:val="auto"/>
        </w:rPr>
        <w:t>The Environmental Indemnity Agreement, dated as of January 19, 2011, by SBCC Holdings, LLC, a Delaware limited liability company, and American Assets Trust, L.P., a Maryland limited partnership in favor of the U.S. Bank National Association, as Trustee for the registered holders of COMM 2010-C1 Mortgage Trust, COMM 2010-C1 Commercial Mortgage Pass-Through Certificates and the other indemnified parties named therein. (SBCC I-II)</w:t>
      </w:r>
    </w:p>
    <w:p>
      <w:pPr>
        <w:spacing w:after="0" w:line="178" w:lineRule="exact"/>
        <w:rPr>
          <w:rFonts w:ascii="Arial" w:cs="Arial" w:eastAsia="Arial" w:hAnsi="Arial"/>
          <w:sz w:val="18"/>
          <w:szCs w:val="18"/>
          <w:color w:val="auto"/>
        </w:rPr>
      </w:pPr>
    </w:p>
    <w:p>
      <w:pPr>
        <w:jc w:val="both"/>
        <w:ind w:firstLine="599"/>
        <w:spacing w:after="0" w:line="290" w:lineRule="auto"/>
        <w:tabs>
          <w:tab w:leader="none" w:pos="1336" w:val="left"/>
        </w:tabs>
        <w:numPr>
          <w:ilvl w:val="0"/>
          <w:numId w:val="606"/>
        </w:numPr>
        <w:rPr>
          <w:rFonts w:ascii="Arial" w:cs="Arial" w:eastAsia="Arial" w:hAnsi="Arial"/>
          <w:sz w:val="18"/>
          <w:szCs w:val="18"/>
          <w:color w:val="auto"/>
        </w:rPr>
      </w:pPr>
      <w:r>
        <w:rPr>
          <w:rFonts w:ascii="Arial" w:cs="Arial" w:eastAsia="Arial" w:hAnsi="Arial"/>
          <w:sz w:val="18"/>
          <w:szCs w:val="18"/>
          <w:color w:val="auto"/>
        </w:rPr>
        <w:t>The Guaranty of Recourse Obligations, dated as of January 19, 2011, by American Assets Trust, L.P., a Maryland limited partnership, for the benefit of U.S. Bank National Association, as Trustee for the registered holders of COMM 2010-C1 Mortgage Trust, COMM 2010-C1 Commercial Mortgage Pass-Through Certificates. (SBTC)</w:t>
      </w:r>
    </w:p>
    <w:p>
      <w:pPr>
        <w:spacing w:after="0" w:line="173" w:lineRule="exact"/>
        <w:rPr>
          <w:rFonts w:ascii="Arial" w:cs="Arial" w:eastAsia="Arial" w:hAnsi="Arial"/>
          <w:sz w:val="18"/>
          <w:szCs w:val="18"/>
          <w:color w:val="auto"/>
        </w:rPr>
      </w:pPr>
    </w:p>
    <w:p>
      <w:pPr>
        <w:jc w:val="both"/>
        <w:ind w:firstLine="599"/>
        <w:spacing w:after="0" w:line="285" w:lineRule="auto"/>
        <w:tabs>
          <w:tab w:leader="none" w:pos="1336" w:val="left"/>
        </w:tabs>
        <w:numPr>
          <w:ilvl w:val="0"/>
          <w:numId w:val="606"/>
        </w:numPr>
        <w:rPr>
          <w:rFonts w:ascii="Arial" w:cs="Arial" w:eastAsia="Arial" w:hAnsi="Arial"/>
          <w:sz w:val="18"/>
          <w:szCs w:val="18"/>
          <w:color w:val="auto"/>
        </w:rPr>
      </w:pPr>
      <w:r>
        <w:rPr>
          <w:rFonts w:ascii="Arial" w:cs="Arial" w:eastAsia="Arial" w:hAnsi="Arial"/>
          <w:sz w:val="18"/>
          <w:szCs w:val="18"/>
          <w:color w:val="auto"/>
        </w:rPr>
        <w:t>The Environmental Indemnity Agreement, dated as of January 19, 2011, by SBTC Holdings, LLC, a Delaware limited liability company, and American Assets Trust, L.P., a Maryland limited partnership, in favor of the U.S. Bank National Association, as Trustee for the registered holders of COMM 2010-C1 Mortgage Trust, COMM 2010-C1 Commercial Mortgage Pass-Through Certificates and the other indemnified parties named therein. (SBTC)</w:t>
      </w:r>
    </w:p>
    <w:p>
      <w:pPr>
        <w:spacing w:after="0" w:line="178" w:lineRule="exact"/>
        <w:rPr>
          <w:rFonts w:ascii="Arial" w:cs="Arial" w:eastAsia="Arial" w:hAnsi="Arial"/>
          <w:sz w:val="18"/>
          <w:szCs w:val="18"/>
          <w:color w:val="auto"/>
        </w:rPr>
      </w:pPr>
    </w:p>
    <w:p>
      <w:pPr>
        <w:jc w:val="both"/>
        <w:ind w:firstLine="599"/>
        <w:spacing w:after="0" w:line="290" w:lineRule="auto"/>
        <w:tabs>
          <w:tab w:leader="none" w:pos="1336" w:val="left"/>
        </w:tabs>
        <w:numPr>
          <w:ilvl w:val="0"/>
          <w:numId w:val="606"/>
        </w:numPr>
        <w:rPr>
          <w:rFonts w:ascii="Arial" w:cs="Arial" w:eastAsia="Arial" w:hAnsi="Arial"/>
          <w:sz w:val="18"/>
          <w:szCs w:val="18"/>
          <w:color w:val="auto"/>
        </w:rPr>
      </w:pPr>
      <w:r>
        <w:rPr>
          <w:rFonts w:ascii="Arial" w:cs="Arial" w:eastAsia="Arial" w:hAnsi="Arial"/>
          <w:sz w:val="18"/>
          <w:szCs w:val="18"/>
          <w:color w:val="auto"/>
        </w:rPr>
        <w:t>The Guaranty of Recourse Obligations, dated as of January 19, 2011, by American Assets Trust, L.P., a Maryland limited partnership, for the benefit of U.S. Bank National Association, as Trustee for the registered holders of COMM 2010-C1 Mortgage Trust, COMM 2010-C1 Commercial Mortgage Pass-Through Certificates. (TRVC)</w:t>
      </w:r>
    </w:p>
    <w:p>
      <w:pPr>
        <w:spacing w:after="0" w:line="173" w:lineRule="exact"/>
        <w:rPr>
          <w:rFonts w:ascii="Arial" w:cs="Arial" w:eastAsia="Arial" w:hAnsi="Arial"/>
          <w:sz w:val="18"/>
          <w:szCs w:val="18"/>
          <w:color w:val="auto"/>
        </w:rPr>
      </w:pPr>
    </w:p>
    <w:p>
      <w:pPr>
        <w:jc w:val="both"/>
        <w:ind w:firstLine="599"/>
        <w:spacing w:after="0" w:line="285" w:lineRule="auto"/>
        <w:tabs>
          <w:tab w:leader="none" w:pos="1428" w:val="left"/>
        </w:tabs>
        <w:numPr>
          <w:ilvl w:val="0"/>
          <w:numId w:val="606"/>
        </w:numPr>
        <w:rPr>
          <w:rFonts w:ascii="Arial" w:cs="Arial" w:eastAsia="Arial" w:hAnsi="Arial"/>
          <w:sz w:val="18"/>
          <w:szCs w:val="18"/>
          <w:color w:val="auto"/>
        </w:rPr>
      </w:pPr>
      <w:r>
        <w:rPr>
          <w:rFonts w:ascii="Arial" w:cs="Arial" w:eastAsia="Arial" w:hAnsi="Arial"/>
          <w:sz w:val="18"/>
          <w:szCs w:val="18"/>
          <w:color w:val="auto"/>
        </w:rPr>
        <w:t>The Environmental Indemnity Agreement, dated as of January 19, 2011, by Pacific VC Holdings, LLC, a Delaware limited liability company, and American Assets Trust, L.P., a Maryland limited partnership, in favor of the U.S. Bank National Association, as Trustee for the registered holders of COMM 2010-C1 Mortgage Trust, COMM 2010-C1 Commercial Mortgage Pass-Through Certificates and the other indemnified parties named therein. (TRVC)</w:t>
      </w:r>
    </w:p>
    <w:p>
      <w:pPr>
        <w:sectPr>
          <w:pgSz w:w="11900" w:h="16838" w:orient="portrait"/>
          <w:cols w:equalWidth="0" w:num="1">
            <w:col w:w="11420"/>
          </w:cols>
          <w:pgMar w:left="240" w:top="785" w:right="239" w:bottom="1440" w:gutter="0" w:footer="0" w:header="0"/>
        </w:sectPr>
      </w:pPr>
    </w:p>
    <w:bookmarkStart w:id="505" w:name="page506"/>
    <w:bookmarkEnd w:id="505"/>
    <w:p>
      <w:pPr>
        <w:jc w:val="both"/>
        <w:ind w:left="-599" w:firstLine="599"/>
        <w:spacing w:after="0" w:line="290" w:lineRule="auto"/>
        <w:tabs>
          <w:tab w:leader="none" w:pos="821" w:val="left"/>
        </w:tabs>
        <w:numPr>
          <w:ilvl w:val="0"/>
          <w:numId w:val="607"/>
        </w:numPr>
        <w:rPr>
          <w:rFonts w:ascii="Arial" w:cs="Arial" w:eastAsia="Arial" w:hAnsi="Arial"/>
          <w:sz w:val="18"/>
          <w:szCs w:val="18"/>
          <w:color w:val="auto"/>
        </w:rPr>
      </w:pPr>
      <w:r>
        <w:rPr>
          <w:rFonts w:ascii="Arial" w:cs="Arial" w:eastAsia="Arial" w:hAnsi="Arial"/>
          <w:sz w:val="18"/>
          <w:szCs w:val="18"/>
          <w:color w:val="auto"/>
        </w:rPr>
        <w:t>The Environmental Indemnity Agreement, dated as of March 29, 2012 by AAT One Beach, LLC, a Delaware limited liability company, and American Assets Trust, L.P., a Maryland limited partnership, in favor of PNC BANK, NATIONAL ASSOCIATION, a national banking association c/o Midland Loan Services, Inc., Reference Loan Number 940960219. (One Beach)</w:t>
      </w:r>
    </w:p>
    <w:p>
      <w:pPr>
        <w:spacing w:after="0" w:line="173" w:lineRule="exact"/>
        <w:rPr>
          <w:rFonts w:ascii="Arial" w:cs="Arial" w:eastAsia="Arial" w:hAnsi="Arial"/>
          <w:sz w:val="18"/>
          <w:szCs w:val="18"/>
          <w:color w:val="auto"/>
        </w:rPr>
      </w:pPr>
    </w:p>
    <w:p>
      <w:pPr>
        <w:jc w:val="both"/>
        <w:ind w:left="-599" w:firstLine="599"/>
        <w:spacing w:after="0" w:line="290" w:lineRule="auto"/>
        <w:tabs>
          <w:tab w:leader="none" w:pos="828" w:val="left"/>
        </w:tabs>
        <w:numPr>
          <w:ilvl w:val="0"/>
          <w:numId w:val="607"/>
        </w:numPr>
        <w:rPr>
          <w:rFonts w:ascii="Arial" w:cs="Arial" w:eastAsia="Arial" w:hAnsi="Arial"/>
          <w:sz w:val="18"/>
          <w:szCs w:val="18"/>
          <w:color w:val="auto"/>
        </w:rPr>
      </w:pPr>
      <w:r>
        <w:rPr>
          <w:rFonts w:ascii="Arial" w:cs="Arial" w:eastAsia="Arial" w:hAnsi="Arial"/>
          <w:sz w:val="18"/>
          <w:szCs w:val="18"/>
          <w:color w:val="auto"/>
        </w:rPr>
        <w:t>The Environmental Indemnity Agreement, dated as of October 10, 2012 by AAT CC Bellevue, LLC, a Delaware limited liability company, and American Assets Trust, L.P., a Maryland limited partnership, in favor of PNC BANK, NATIONAL ASSOCIATION, a national banking association c/o Midland Loan Services, Inc., Reference Loan Number 940960335. (CCB)</w:t>
      </w:r>
    </w:p>
    <w:p>
      <w:pPr>
        <w:spacing w:after="0" w:line="173" w:lineRule="exact"/>
        <w:rPr>
          <w:rFonts w:ascii="Arial" w:cs="Arial" w:eastAsia="Arial" w:hAnsi="Arial"/>
          <w:sz w:val="18"/>
          <w:szCs w:val="18"/>
          <w:color w:val="auto"/>
        </w:rPr>
      </w:pPr>
    </w:p>
    <w:p>
      <w:pPr>
        <w:ind w:left="-599" w:firstLine="599"/>
        <w:spacing w:after="0" w:line="305" w:lineRule="auto"/>
        <w:tabs>
          <w:tab w:leader="none" w:pos="828" w:val="left"/>
        </w:tabs>
        <w:numPr>
          <w:ilvl w:val="0"/>
          <w:numId w:val="607"/>
        </w:numPr>
        <w:rPr>
          <w:rFonts w:ascii="Arial" w:cs="Arial" w:eastAsia="Arial" w:hAnsi="Arial"/>
          <w:sz w:val="18"/>
          <w:szCs w:val="18"/>
          <w:color w:val="auto"/>
        </w:rPr>
      </w:pPr>
      <w:r>
        <w:rPr>
          <w:rFonts w:ascii="Arial" w:cs="Arial" w:eastAsia="Arial" w:hAnsi="Arial"/>
          <w:sz w:val="18"/>
          <w:szCs w:val="18"/>
          <w:color w:val="auto"/>
        </w:rPr>
        <w:t>The Guaranty, dated as of January 19, 2011, by American Assets Trust, L.P., a Maryland limited partnership, for the benefit of the Federal Home Loan Mortgage Corporation. (LP)</w:t>
      </w:r>
    </w:p>
    <w:p>
      <w:pPr>
        <w:sectPr>
          <w:pgSz w:w="11900" w:h="16838" w:orient="portrait"/>
          <w:cols w:equalWidth="0" w:num="1">
            <w:col w:w="10821"/>
          </w:cols>
          <w:pgMar w:left="839" w:top="1009" w:right="239" w:bottom="1440" w:gutter="0" w:footer="0" w:header="0"/>
        </w:sectPr>
      </w:pPr>
    </w:p>
    <w:bookmarkStart w:id="506" w:name="page507"/>
    <w:bookmarkEnd w:id="506"/>
    <w:p>
      <w:pPr>
        <w:jc w:val="right"/>
        <w:spacing w:after="0"/>
        <w:rPr>
          <w:sz w:val="20"/>
          <w:szCs w:val="20"/>
          <w:color w:val="auto"/>
        </w:rPr>
      </w:pPr>
      <w:r>
        <w:rPr>
          <w:rFonts w:ascii="Arial" w:cs="Arial" w:eastAsia="Arial" w:hAnsi="Arial"/>
          <w:sz w:val="18"/>
          <w:szCs w:val="18"/>
          <w:b w:val="1"/>
          <w:bCs w:val="1"/>
          <w:i w:val="1"/>
          <w:iCs w:val="1"/>
          <w:color w:val="auto"/>
        </w:rPr>
        <w:t>Schedule III</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Initial Unencumbered Eligible Properties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Retail:</w:t>
      </w:r>
    </w:p>
    <w:p>
      <w:pPr>
        <w:spacing w:after="0" w:line="168" w:lineRule="exact"/>
        <w:rPr>
          <w:sz w:val="20"/>
          <w:szCs w:val="20"/>
          <w:color w:val="auto"/>
        </w:rPr>
      </w:pPr>
    </w:p>
    <w:p>
      <w:pPr>
        <w:ind w:left="600" w:hanging="300"/>
        <w:spacing w:after="0"/>
        <w:tabs>
          <w:tab w:leader="none" w:pos="600" w:val="left"/>
        </w:tabs>
        <w:numPr>
          <w:ilvl w:val="0"/>
          <w:numId w:val="608"/>
        </w:numPr>
        <w:rPr>
          <w:rFonts w:ascii="Arial" w:cs="Arial" w:eastAsia="Arial" w:hAnsi="Arial"/>
          <w:sz w:val="17"/>
          <w:szCs w:val="17"/>
          <w:color w:val="auto"/>
        </w:rPr>
      </w:pPr>
      <w:r>
        <w:rPr>
          <w:rFonts w:ascii="Arial" w:cs="Arial" w:eastAsia="Arial" w:hAnsi="Arial"/>
          <w:sz w:val="18"/>
          <w:szCs w:val="18"/>
          <w:color w:val="auto"/>
        </w:rPr>
        <w:t>Carmel Country Plaza</w:t>
      </w:r>
    </w:p>
    <w:p>
      <w:pPr>
        <w:spacing w:after="0" w:line="21" w:lineRule="exact"/>
        <w:rPr>
          <w:rFonts w:ascii="Arial" w:cs="Arial" w:eastAsia="Arial" w:hAnsi="Arial"/>
          <w:sz w:val="17"/>
          <w:szCs w:val="17"/>
          <w:color w:val="auto"/>
        </w:rPr>
      </w:pPr>
    </w:p>
    <w:p>
      <w:pPr>
        <w:ind w:left="600" w:hanging="300"/>
        <w:spacing w:after="0"/>
        <w:tabs>
          <w:tab w:leader="none" w:pos="600" w:val="left"/>
        </w:tabs>
        <w:numPr>
          <w:ilvl w:val="0"/>
          <w:numId w:val="608"/>
        </w:numPr>
        <w:rPr>
          <w:rFonts w:ascii="Arial" w:cs="Arial" w:eastAsia="Arial" w:hAnsi="Arial"/>
          <w:sz w:val="17"/>
          <w:szCs w:val="17"/>
          <w:color w:val="auto"/>
        </w:rPr>
      </w:pPr>
      <w:r>
        <w:rPr>
          <w:rFonts w:ascii="Arial" w:cs="Arial" w:eastAsia="Arial" w:hAnsi="Arial"/>
          <w:sz w:val="18"/>
          <w:szCs w:val="18"/>
          <w:color w:val="auto"/>
        </w:rPr>
        <w:t>Carmel Mountain Plaza</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608"/>
        </w:numPr>
        <w:rPr>
          <w:rFonts w:ascii="Arial" w:cs="Arial" w:eastAsia="Arial" w:hAnsi="Arial"/>
          <w:sz w:val="17"/>
          <w:szCs w:val="17"/>
          <w:color w:val="auto"/>
        </w:rPr>
      </w:pPr>
      <w:r>
        <w:rPr>
          <w:rFonts w:ascii="Arial" w:cs="Arial" w:eastAsia="Arial" w:hAnsi="Arial"/>
          <w:sz w:val="18"/>
          <w:szCs w:val="18"/>
          <w:color w:val="auto"/>
        </w:rPr>
        <w:t>Lomas Santa Fe Plaza</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608"/>
        </w:numPr>
        <w:rPr>
          <w:rFonts w:ascii="Arial" w:cs="Arial" w:eastAsia="Arial" w:hAnsi="Arial"/>
          <w:sz w:val="17"/>
          <w:szCs w:val="17"/>
          <w:color w:val="auto"/>
        </w:rPr>
      </w:pPr>
      <w:r>
        <w:rPr>
          <w:rFonts w:ascii="Arial" w:cs="Arial" w:eastAsia="Arial" w:hAnsi="Arial"/>
          <w:sz w:val="18"/>
          <w:szCs w:val="18"/>
          <w:color w:val="auto"/>
        </w:rPr>
        <w:t>Alamo Quarry Market</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608"/>
        </w:numPr>
        <w:rPr>
          <w:rFonts w:ascii="Arial" w:cs="Arial" w:eastAsia="Arial" w:hAnsi="Arial"/>
          <w:sz w:val="17"/>
          <w:szCs w:val="17"/>
          <w:color w:val="auto"/>
        </w:rPr>
      </w:pPr>
      <w:r>
        <w:rPr>
          <w:rFonts w:ascii="Arial" w:cs="Arial" w:eastAsia="Arial" w:hAnsi="Arial"/>
          <w:sz w:val="18"/>
          <w:szCs w:val="18"/>
          <w:color w:val="auto"/>
        </w:rPr>
        <w:t>Geary Marketplace</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608"/>
        </w:numPr>
        <w:rPr>
          <w:rFonts w:ascii="Arial" w:cs="Arial" w:eastAsia="Arial" w:hAnsi="Arial"/>
          <w:sz w:val="17"/>
          <w:szCs w:val="17"/>
          <w:color w:val="auto"/>
        </w:rPr>
      </w:pPr>
      <w:r>
        <w:rPr>
          <w:rFonts w:ascii="Arial" w:cs="Arial" w:eastAsia="Arial" w:hAnsi="Arial"/>
          <w:sz w:val="18"/>
          <w:szCs w:val="18"/>
          <w:color w:val="auto"/>
        </w:rPr>
        <w:t>Waikele Center</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608"/>
        </w:numPr>
        <w:rPr>
          <w:rFonts w:ascii="Arial" w:cs="Arial" w:eastAsia="Arial" w:hAnsi="Arial"/>
          <w:sz w:val="17"/>
          <w:szCs w:val="17"/>
          <w:color w:val="auto"/>
        </w:rPr>
      </w:pPr>
      <w:r>
        <w:rPr>
          <w:rFonts w:ascii="Arial" w:cs="Arial" w:eastAsia="Arial" w:hAnsi="Arial"/>
          <w:sz w:val="18"/>
          <w:szCs w:val="18"/>
          <w:color w:val="auto"/>
        </w:rPr>
        <w:t>Southbay Marketplace</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608"/>
        </w:numPr>
        <w:rPr>
          <w:rFonts w:ascii="Arial" w:cs="Arial" w:eastAsia="Arial" w:hAnsi="Arial"/>
          <w:sz w:val="17"/>
          <w:szCs w:val="17"/>
          <w:color w:val="auto"/>
        </w:rPr>
      </w:pPr>
      <w:r>
        <w:rPr>
          <w:rFonts w:ascii="Arial" w:cs="Arial" w:eastAsia="Arial" w:hAnsi="Arial"/>
          <w:sz w:val="18"/>
          <w:szCs w:val="18"/>
          <w:color w:val="auto"/>
        </w:rPr>
        <w:t>The Shops of Kalakaua</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608"/>
        </w:numPr>
        <w:rPr>
          <w:rFonts w:ascii="Arial" w:cs="Arial" w:eastAsia="Arial" w:hAnsi="Arial"/>
          <w:sz w:val="17"/>
          <w:szCs w:val="17"/>
          <w:color w:val="auto"/>
        </w:rPr>
      </w:pPr>
      <w:r>
        <w:rPr>
          <w:rFonts w:ascii="Arial" w:cs="Arial" w:eastAsia="Arial" w:hAnsi="Arial"/>
          <w:sz w:val="18"/>
          <w:szCs w:val="18"/>
          <w:color w:val="auto"/>
        </w:rPr>
        <w:t>Del Monte Center</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608"/>
        </w:numPr>
        <w:rPr>
          <w:rFonts w:ascii="Arial" w:cs="Arial" w:eastAsia="Arial" w:hAnsi="Arial"/>
          <w:sz w:val="17"/>
          <w:szCs w:val="17"/>
          <w:color w:val="auto"/>
        </w:rPr>
      </w:pPr>
      <w:r>
        <w:rPr>
          <w:rFonts w:ascii="Arial" w:cs="Arial" w:eastAsia="Arial" w:hAnsi="Arial"/>
          <w:sz w:val="18"/>
          <w:szCs w:val="18"/>
          <w:color w:val="auto"/>
        </w:rPr>
        <w:t>Gateway Marketplace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Office:</w:t>
      </w:r>
    </w:p>
    <w:p>
      <w:pPr>
        <w:spacing w:after="0" w:line="168" w:lineRule="exact"/>
        <w:rPr>
          <w:sz w:val="20"/>
          <w:szCs w:val="20"/>
          <w:color w:val="auto"/>
        </w:rPr>
      </w:pPr>
    </w:p>
    <w:p>
      <w:pPr>
        <w:ind w:left="600" w:hanging="300"/>
        <w:spacing w:after="0"/>
        <w:tabs>
          <w:tab w:leader="none" w:pos="600" w:val="left"/>
        </w:tabs>
        <w:numPr>
          <w:ilvl w:val="0"/>
          <w:numId w:val="609"/>
        </w:numPr>
        <w:rPr>
          <w:rFonts w:ascii="Arial" w:cs="Arial" w:eastAsia="Arial" w:hAnsi="Arial"/>
          <w:sz w:val="17"/>
          <w:szCs w:val="17"/>
          <w:color w:val="auto"/>
        </w:rPr>
      </w:pPr>
      <w:r>
        <w:rPr>
          <w:rFonts w:ascii="Arial" w:cs="Arial" w:eastAsia="Arial" w:hAnsi="Arial"/>
          <w:sz w:val="18"/>
          <w:szCs w:val="18"/>
          <w:color w:val="auto"/>
        </w:rPr>
        <w:t>Torrey Reserve - Torrey Plaza</w:t>
      </w:r>
    </w:p>
    <w:p>
      <w:pPr>
        <w:spacing w:after="0" w:line="21" w:lineRule="exact"/>
        <w:rPr>
          <w:rFonts w:ascii="Arial" w:cs="Arial" w:eastAsia="Arial" w:hAnsi="Arial"/>
          <w:sz w:val="17"/>
          <w:szCs w:val="17"/>
          <w:color w:val="auto"/>
        </w:rPr>
      </w:pPr>
    </w:p>
    <w:p>
      <w:pPr>
        <w:ind w:left="600" w:hanging="300"/>
        <w:spacing w:after="0"/>
        <w:tabs>
          <w:tab w:leader="none" w:pos="600" w:val="left"/>
        </w:tabs>
        <w:numPr>
          <w:ilvl w:val="0"/>
          <w:numId w:val="609"/>
        </w:numPr>
        <w:rPr>
          <w:rFonts w:ascii="Arial" w:cs="Arial" w:eastAsia="Arial" w:hAnsi="Arial"/>
          <w:sz w:val="17"/>
          <w:szCs w:val="17"/>
          <w:color w:val="auto"/>
        </w:rPr>
      </w:pPr>
      <w:r>
        <w:rPr>
          <w:rFonts w:ascii="Arial" w:cs="Arial" w:eastAsia="Arial" w:hAnsi="Arial"/>
          <w:sz w:val="18"/>
          <w:szCs w:val="18"/>
          <w:color w:val="auto"/>
        </w:rPr>
        <w:t>Torrey Reserve - South Court</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609"/>
        </w:numPr>
        <w:rPr>
          <w:rFonts w:ascii="Arial" w:cs="Arial" w:eastAsia="Arial" w:hAnsi="Arial"/>
          <w:sz w:val="17"/>
          <w:szCs w:val="17"/>
          <w:color w:val="auto"/>
        </w:rPr>
      </w:pPr>
      <w:r>
        <w:rPr>
          <w:rFonts w:ascii="Arial" w:cs="Arial" w:eastAsia="Arial" w:hAnsi="Arial"/>
          <w:sz w:val="18"/>
          <w:szCs w:val="18"/>
          <w:color w:val="auto"/>
        </w:rPr>
        <w:t>Torrey Reserve - Daycare</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609"/>
        </w:numPr>
        <w:rPr>
          <w:rFonts w:ascii="Arial" w:cs="Arial" w:eastAsia="Arial" w:hAnsi="Arial"/>
          <w:sz w:val="17"/>
          <w:szCs w:val="17"/>
          <w:color w:val="auto"/>
        </w:rPr>
      </w:pPr>
      <w:r>
        <w:rPr>
          <w:rFonts w:ascii="Arial" w:cs="Arial" w:eastAsia="Arial" w:hAnsi="Arial"/>
          <w:sz w:val="18"/>
          <w:szCs w:val="18"/>
          <w:color w:val="auto"/>
        </w:rPr>
        <w:t>Torrey Reserve - Building 6</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609"/>
        </w:numPr>
        <w:rPr>
          <w:rFonts w:ascii="Arial" w:cs="Arial" w:eastAsia="Arial" w:hAnsi="Arial"/>
          <w:sz w:val="17"/>
          <w:szCs w:val="17"/>
          <w:color w:val="auto"/>
        </w:rPr>
      </w:pPr>
      <w:r>
        <w:rPr>
          <w:rFonts w:ascii="Arial" w:cs="Arial" w:eastAsia="Arial" w:hAnsi="Arial"/>
          <w:sz w:val="18"/>
          <w:szCs w:val="18"/>
          <w:color w:val="auto"/>
        </w:rPr>
        <w:t>Torrey Reserve - Building 5</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609"/>
        </w:numPr>
        <w:rPr>
          <w:rFonts w:ascii="Arial" w:cs="Arial" w:eastAsia="Arial" w:hAnsi="Arial"/>
          <w:sz w:val="17"/>
          <w:szCs w:val="17"/>
          <w:color w:val="auto"/>
        </w:rPr>
      </w:pPr>
      <w:r>
        <w:rPr>
          <w:rFonts w:ascii="Arial" w:cs="Arial" w:eastAsia="Arial" w:hAnsi="Arial"/>
          <w:sz w:val="18"/>
          <w:szCs w:val="18"/>
          <w:color w:val="auto"/>
        </w:rPr>
        <w:t>Torrey Reserve - Building 4</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609"/>
        </w:numPr>
        <w:rPr>
          <w:rFonts w:ascii="Arial" w:cs="Arial" w:eastAsia="Arial" w:hAnsi="Arial"/>
          <w:sz w:val="17"/>
          <w:szCs w:val="17"/>
          <w:color w:val="auto"/>
        </w:rPr>
      </w:pPr>
      <w:r>
        <w:rPr>
          <w:rFonts w:ascii="Arial" w:cs="Arial" w:eastAsia="Arial" w:hAnsi="Arial"/>
          <w:sz w:val="18"/>
          <w:szCs w:val="18"/>
          <w:color w:val="auto"/>
        </w:rPr>
        <w:t>Torrey Reserve - Building 13 and 14</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609"/>
        </w:numPr>
        <w:rPr>
          <w:rFonts w:ascii="Arial" w:cs="Arial" w:eastAsia="Arial" w:hAnsi="Arial"/>
          <w:sz w:val="17"/>
          <w:szCs w:val="17"/>
          <w:color w:val="auto"/>
        </w:rPr>
      </w:pPr>
      <w:r>
        <w:rPr>
          <w:rFonts w:ascii="Arial" w:cs="Arial" w:eastAsia="Arial" w:hAnsi="Arial"/>
          <w:sz w:val="18"/>
          <w:szCs w:val="18"/>
          <w:color w:val="auto"/>
        </w:rPr>
        <w:t>Lloyd District Portfolio</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609"/>
        </w:numPr>
        <w:rPr>
          <w:rFonts w:ascii="Arial" w:cs="Arial" w:eastAsia="Arial" w:hAnsi="Arial"/>
          <w:sz w:val="17"/>
          <w:szCs w:val="17"/>
          <w:color w:val="auto"/>
        </w:rPr>
      </w:pPr>
      <w:r>
        <w:rPr>
          <w:rFonts w:ascii="Arial" w:cs="Arial" w:eastAsia="Arial" w:hAnsi="Arial"/>
          <w:sz w:val="18"/>
          <w:szCs w:val="18"/>
          <w:color w:val="auto"/>
        </w:rPr>
        <w:t>Landmark at One Market</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609"/>
        </w:numPr>
        <w:rPr>
          <w:rFonts w:ascii="Arial" w:cs="Arial" w:eastAsia="Arial" w:hAnsi="Arial"/>
          <w:sz w:val="17"/>
          <w:szCs w:val="17"/>
          <w:color w:val="auto"/>
        </w:rPr>
      </w:pPr>
      <w:r>
        <w:rPr>
          <w:rFonts w:ascii="Arial" w:cs="Arial" w:eastAsia="Arial" w:hAnsi="Arial"/>
          <w:sz w:val="18"/>
          <w:szCs w:val="18"/>
          <w:color w:val="auto"/>
        </w:rPr>
        <w:t>First and Main</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609"/>
        </w:numPr>
        <w:rPr>
          <w:rFonts w:ascii="Arial" w:cs="Arial" w:eastAsia="Arial" w:hAnsi="Arial"/>
          <w:sz w:val="17"/>
          <w:szCs w:val="17"/>
          <w:color w:val="auto"/>
        </w:rPr>
      </w:pPr>
      <w:r>
        <w:rPr>
          <w:rFonts w:ascii="Arial" w:cs="Arial" w:eastAsia="Arial" w:hAnsi="Arial"/>
          <w:sz w:val="18"/>
          <w:szCs w:val="18"/>
          <w:color w:val="auto"/>
        </w:rPr>
        <w:t>Solana Beach Corporate Center - Building 3 and 4</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609"/>
        </w:numPr>
        <w:rPr>
          <w:rFonts w:ascii="Arial" w:cs="Arial" w:eastAsia="Arial" w:hAnsi="Arial"/>
          <w:sz w:val="17"/>
          <w:szCs w:val="17"/>
          <w:color w:val="auto"/>
        </w:rPr>
      </w:pPr>
      <w:r>
        <w:rPr>
          <w:rFonts w:ascii="Arial" w:cs="Arial" w:eastAsia="Arial" w:hAnsi="Arial"/>
          <w:sz w:val="18"/>
          <w:szCs w:val="18"/>
          <w:color w:val="auto"/>
        </w:rPr>
        <w:t>Torrey Point</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Multifamily:</w:t>
      </w:r>
    </w:p>
    <w:p>
      <w:pPr>
        <w:spacing w:after="0" w:line="168" w:lineRule="exact"/>
        <w:rPr>
          <w:sz w:val="20"/>
          <w:szCs w:val="20"/>
          <w:color w:val="auto"/>
        </w:rPr>
      </w:pPr>
    </w:p>
    <w:p>
      <w:pPr>
        <w:ind w:left="600" w:hanging="300"/>
        <w:spacing w:after="0"/>
        <w:tabs>
          <w:tab w:leader="none" w:pos="600" w:val="left"/>
        </w:tabs>
        <w:numPr>
          <w:ilvl w:val="0"/>
          <w:numId w:val="610"/>
        </w:numPr>
        <w:rPr>
          <w:rFonts w:ascii="Arial" w:cs="Arial" w:eastAsia="Arial" w:hAnsi="Arial"/>
          <w:sz w:val="17"/>
          <w:szCs w:val="17"/>
          <w:color w:val="auto"/>
        </w:rPr>
      </w:pPr>
      <w:r>
        <w:rPr>
          <w:rFonts w:ascii="Arial" w:cs="Arial" w:eastAsia="Arial" w:hAnsi="Arial"/>
          <w:sz w:val="18"/>
          <w:szCs w:val="18"/>
          <w:color w:val="auto"/>
        </w:rPr>
        <w:t>Santa Fe RV Park</w:t>
      </w:r>
    </w:p>
    <w:p>
      <w:pPr>
        <w:spacing w:after="0" w:line="21" w:lineRule="exact"/>
        <w:rPr>
          <w:rFonts w:ascii="Arial" w:cs="Arial" w:eastAsia="Arial" w:hAnsi="Arial"/>
          <w:sz w:val="17"/>
          <w:szCs w:val="17"/>
          <w:color w:val="auto"/>
        </w:rPr>
      </w:pPr>
    </w:p>
    <w:p>
      <w:pPr>
        <w:ind w:left="600" w:hanging="300"/>
        <w:spacing w:after="0"/>
        <w:tabs>
          <w:tab w:leader="none" w:pos="600" w:val="left"/>
        </w:tabs>
        <w:numPr>
          <w:ilvl w:val="0"/>
          <w:numId w:val="610"/>
        </w:numPr>
        <w:rPr>
          <w:rFonts w:ascii="Arial" w:cs="Arial" w:eastAsia="Arial" w:hAnsi="Arial"/>
          <w:sz w:val="17"/>
          <w:szCs w:val="17"/>
          <w:color w:val="auto"/>
        </w:rPr>
      </w:pPr>
      <w:r>
        <w:rPr>
          <w:rFonts w:ascii="Arial" w:cs="Arial" w:eastAsia="Arial" w:hAnsi="Arial"/>
          <w:sz w:val="18"/>
          <w:szCs w:val="18"/>
          <w:color w:val="auto"/>
        </w:rPr>
        <w:t>Hassalo on Eighth</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610"/>
        </w:numPr>
        <w:rPr>
          <w:rFonts w:ascii="Arial" w:cs="Arial" w:eastAsia="Arial" w:hAnsi="Arial"/>
          <w:sz w:val="17"/>
          <w:szCs w:val="17"/>
          <w:color w:val="auto"/>
        </w:rPr>
      </w:pPr>
      <w:r>
        <w:rPr>
          <w:rFonts w:ascii="Arial" w:cs="Arial" w:eastAsia="Arial" w:hAnsi="Arial"/>
          <w:sz w:val="18"/>
          <w:szCs w:val="18"/>
          <w:color w:val="auto"/>
        </w:rPr>
        <w:t>Imperial Beach Gardens</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610"/>
        </w:numPr>
        <w:rPr>
          <w:rFonts w:ascii="Arial" w:cs="Arial" w:eastAsia="Arial" w:hAnsi="Arial"/>
          <w:sz w:val="17"/>
          <w:szCs w:val="17"/>
          <w:color w:val="auto"/>
        </w:rPr>
      </w:pPr>
      <w:r>
        <w:rPr>
          <w:rFonts w:ascii="Arial" w:cs="Arial" w:eastAsia="Arial" w:hAnsi="Arial"/>
          <w:sz w:val="18"/>
          <w:szCs w:val="18"/>
          <w:color w:val="auto"/>
        </w:rPr>
        <w:t>Mariner’s Point</w:t>
      </w:r>
    </w:p>
    <w:p>
      <w:pPr>
        <w:spacing w:after="0" w:line="5" w:lineRule="exact"/>
        <w:rPr>
          <w:rFonts w:ascii="Arial" w:cs="Arial" w:eastAsia="Arial" w:hAnsi="Arial"/>
          <w:sz w:val="17"/>
          <w:szCs w:val="17"/>
          <w:color w:val="auto"/>
        </w:rPr>
      </w:pPr>
    </w:p>
    <w:p>
      <w:pPr>
        <w:ind w:left="600" w:hanging="300"/>
        <w:spacing w:after="0"/>
        <w:tabs>
          <w:tab w:leader="none" w:pos="600" w:val="left"/>
        </w:tabs>
        <w:numPr>
          <w:ilvl w:val="0"/>
          <w:numId w:val="610"/>
        </w:numPr>
        <w:rPr>
          <w:rFonts w:ascii="Arial" w:cs="Arial" w:eastAsia="Arial" w:hAnsi="Arial"/>
          <w:sz w:val="17"/>
          <w:szCs w:val="17"/>
          <w:color w:val="auto"/>
        </w:rPr>
      </w:pPr>
      <w:r>
        <w:rPr>
          <w:rFonts w:ascii="Arial" w:cs="Arial" w:eastAsia="Arial" w:hAnsi="Arial"/>
          <w:sz w:val="18"/>
          <w:szCs w:val="18"/>
          <w:color w:val="auto"/>
        </w:rPr>
        <w:t>Pacific Ridge Apartments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Mixed Use:</w:t>
      </w:r>
    </w:p>
    <w:p>
      <w:pPr>
        <w:spacing w:after="0" w:line="168" w:lineRule="exact"/>
        <w:rPr>
          <w:sz w:val="20"/>
          <w:szCs w:val="20"/>
          <w:color w:val="auto"/>
        </w:rPr>
      </w:pPr>
    </w:p>
    <w:p>
      <w:pPr>
        <w:ind w:left="600" w:hanging="300"/>
        <w:spacing w:after="0"/>
        <w:tabs>
          <w:tab w:leader="none" w:pos="600" w:val="left"/>
        </w:tabs>
        <w:numPr>
          <w:ilvl w:val="0"/>
          <w:numId w:val="611"/>
        </w:numPr>
        <w:rPr>
          <w:rFonts w:ascii="Arial" w:cs="Arial" w:eastAsia="Arial" w:hAnsi="Arial"/>
          <w:sz w:val="17"/>
          <w:szCs w:val="17"/>
          <w:color w:val="auto"/>
        </w:rPr>
      </w:pPr>
      <w:r>
        <w:rPr>
          <w:rFonts w:ascii="Arial" w:cs="Arial" w:eastAsia="Arial" w:hAnsi="Arial"/>
          <w:sz w:val="18"/>
          <w:szCs w:val="18"/>
          <w:color w:val="auto"/>
        </w:rPr>
        <w:t>Waikiki Beach Walk - Embassy Suites</w:t>
      </w:r>
    </w:p>
    <w:p>
      <w:pPr>
        <w:spacing w:after="0" w:line="21" w:lineRule="exact"/>
        <w:rPr>
          <w:rFonts w:ascii="Arial" w:cs="Arial" w:eastAsia="Arial" w:hAnsi="Arial"/>
          <w:sz w:val="17"/>
          <w:szCs w:val="17"/>
          <w:color w:val="auto"/>
        </w:rPr>
      </w:pPr>
    </w:p>
    <w:p>
      <w:pPr>
        <w:ind w:left="600" w:hanging="300"/>
        <w:spacing w:after="0"/>
        <w:tabs>
          <w:tab w:leader="none" w:pos="600" w:val="left"/>
        </w:tabs>
        <w:numPr>
          <w:ilvl w:val="0"/>
          <w:numId w:val="611"/>
        </w:numPr>
        <w:rPr>
          <w:rFonts w:ascii="Arial" w:cs="Arial" w:eastAsia="Arial" w:hAnsi="Arial"/>
          <w:sz w:val="17"/>
          <w:szCs w:val="17"/>
          <w:color w:val="auto"/>
        </w:rPr>
      </w:pPr>
      <w:r>
        <w:rPr>
          <w:rFonts w:ascii="Arial" w:cs="Arial" w:eastAsia="Arial" w:hAnsi="Arial"/>
          <w:sz w:val="18"/>
          <w:szCs w:val="18"/>
          <w:color w:val="auto"/>
        </w:rPr>
        <w:t>Waikiki Beach Walk - Retail</w:t>
      </w:r>
    </w:p>
    <w:p>
      <w:pPr>
        <w:sectPr>
          <w:pgSz w:w="11900" w:h="16838" w:orient="portrait"/>
          <w:cols w:equalWidth="0" w:num="1">
            <w:col w:w="11420"/>
          </w:cols>
          <w:pgMar w:left="240" w:top="784" w:right="239" w:bottom="1440" w:gutter="0" w:footer="0" w:header="0"/>
        </w:sectPr>
      </w:pPr>
    </w:p>
    <w:bookmarkStart w:id="507" w:name="page508"/>
    <w:bookmarkEnd w:id="507"/>
    <w:p>
      <w:pPr>
        <w:jc w:val="right"/>
        <w:spacing w:after="0"/>
        <w:rPr>
          <w:sz w:val="20"/>
          <w:szCs w:val="20"/>
          <w:color w:val="auto"/>
        </w:rPr>
      </w:pPr>
      <w:r>
        <w:rPr>
          <w:rFonts w:ascii="Arial" w:cs="Arial" w:eastAsia="Arial" w:hAnsi="Arial"/>
          <w:sz w:val="18"/>
          <w:szCs w:val="18"/>
          <w:b w:val="1"/>
          <w:bCs w:val="1"/>
          <w:i w:val="1"/>
          <w:iCs w:val="1"/>
          <w:color w:val="auto"/>
        </w:rPr>
        <w:t>SCHEDULE 2.01</w:t>
      </w:r>
    </w:p>
    <w:p>
      <w:pPr>
        <w:spacing w:after="0" w:line="201"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COMMITMENTS AND APPLICABLE PERCENTAGES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990" w:type="dxa"/>
        <w:tblCellMar>
          <w:top w:w="0" w:type="dxa"/>
          <w:left w:w="0" w:type="dxa"/>
          <w:bottom w:w="0" w:type="dxa"/>
          <w:right w:w="0" w:type="dxa"/>
        </w:tblCellMar>
      </w:tblPr>
      <w:tr>
        <w:trPr>
          <w:trHeight w:val="280"/>
        </w:trPr>
        <w:tc>
          <w:tcPr>
            <w:tcW w:w="3080" w:type="dxa"/>
            <w:vAlign w:val="bottom"/>
            <w:tcBorders>
              <w:top w:val="single" w:sz="8" w:color="auto"/>
              <w:left w:val="single" w:sz="8" w:color="auto"/>
              <w:bottom w:val="single" w:sz="8" w:color="D9D9D9"/>
              <w:right w:val="single" w:sz="8" w:color="auto"/>
            </w:tcBorders>
            <w:shd w:val="clear" w:color="auto" w:fill="D9D9D9"/>
          </w:tcPr>
          <w:p>
            <w:pPr>
              <w:ind w:left="1240"/>
              <w:spacing w:after="0"/>
              <w:rPr>
                <w:sz w:val="20"/>
                <w:szCs w:val="20"/>
                <w:color w:val="auto"/>
              </w:rPr>
            </w:pPr>
            <w:r>
              <w:rPr>
                <w:rFonts w:ascii="Arial" w:cs="Arial" w:eastAsia="Arial" w:hAnsi="Arial"/>
                <w:sz w:val="18"/>
                <w:szCs w:val="18"/>
                <w:b w:val="1"/>
                <w:bCs w:val="1"/>
                <w:color w:val="auto"/>
              </w:rPr>
              <w:t>Lender</w:t>
            </w:r>
          </w:p>
        </w:tc>
        <w:tc>
          <w:tcPr>
            <w:tcW w:w="1900" w:type="dxa"/>
            <w:vAlign w:val="bottom"/>
            <w:tcBorders>
              <w:top w:val="single" w:sz="8" w:color="auto"/>
              <w:bottom w:val="single" w:sz="8" w:color="D9D9D9"/>
              <w:right w:val="single" w:sz="8" w:color="auto"/>
            </w:tcBorders>
            <w:shd w:val="clear" w:color="auto" w:fill="D9D9D9"/>
          </w:tcPr>
          <w:p>
            <w:pPr>
              <w:jc w:val="right"/>
              <w:ind w:right="368"/>
              <w:spacing w:after="0"/>
              <w:rPr>
                <w:sz w:val="20"/>
                <w:szCs w:val="20"/>
                <w:color w:val="auto"/>
              </w:rPr>
            </w:pPr>
            <w:r>
              <w:rPr>
                <w:rFonts w:ascii="Arial" w:cs="Arial" w:eastAsia="Arial" w:hAnsi="Arial"/>
                <w:sz w:val="18"/>
                <w:szCs w:val="18"/>
                <w:b w:val="1"/>
                <w:bCs w:val="1"/>
                <w:color w:val="auto"/>
              </w:rPr>
              <w:t>Commitment</w:t>
            </w:r>
          </w:p>
        </w:tc>
        <w:tc>
          <w:tcPr>
            <w:tcW w:w="2120" w:type="dxa"/>
            <w:vAlign w:val="bottom"/>
            <w:tcBorders>
              <w:top w:val="single" w:sz="8" w:color="auto"/>
              <w:bottom w:val="single" w:sz="8" w:color="D9D9D9"/>
              <w:right w:val="single" w:sz="8" w:color="auto"/>
            </w:tcBorders>
            <w:shd w:val="clear" w:color="auto" w:fill="D9D9D9"/>
          </w:tcPr>
          <w:p>
            <w:pPr>
              <w:jc w:val="right"/>
              <w:ind w:right="108"/>
              <w:spacing w:after="0"/>
              <w:rPr>
                <w:sz w:val="20"/>
                <w:szCs w:val="20"/>
                <w:color w:val="auto"/>
              </w:rPr>
            </w:pPr>
            <w:r>
              <w:rPr>
                <w:rFonts w:ascii="Arial" w:cs="Arial" w:eastAsia="Arial" w:hAnsi="Arial"/>
                <w:sz w:val="18"/>
                <w:szCs w:val="18"/>
                <w:b w:val="1"/>
                <w:bCs w:val="1"/>
                <w:color w:val="auto"/>
                <w:w w:val="98"/>
              </w:rPr>
              <w:t>Applicable Percentage</w:t>
            </w:r>
          </w:p>
        </w:tc>
      </w:tr>
      <w:tr>
        <w:trPr>
          <w:trHeight w:val="234"/>
        </w:trPr>
        <w:tc>
          <w:tcPr>
            <w:tcW w:w="30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Bank National Association</w:t>
            </w:r>
          </w:p>
        </w:tc>
        <w:tc>
          <w:tcPr>
            <w:tcW w:w="1900" w:type="dxa"/>
            <w:vAlign w:val="bottom"/>
            <w:tcBorders>
              <w:top w:val="single" w:sz="8" w:color="auto"/>
              <w:right w:val="single" w:sz="8" w:color="auto"/>
            </w:tcBorders>
          </w:tcPr>
          <w:p>
            <w:pPr>
              <w:jc w:val="right"/>
              <w:ind w:right="888"/>
              <w:spacing w:after="0"/>
              <w:rPr>
                <w:sz w:val="20"/>
                <w:szCs w:val="20"/>
                <w:color w:val="auto"/>
              </w:rPr>
            </w:pPr>
            <w:r>
              <w:rPr>
                <w:rFonts w:ascii="Arial" w:cs="Arial" w:eastAsia="Arial" w:hAnsi="Arial"/>
                <w:sz w:val="18"/>
                <w:szCs w:val="18"/>
                <w:color w:val="auto"/>
                <w:w w:val="89"/>
              </w:rPr>
              <w:t>$50,000,000</w:t>
            </w:r>
          </w:p>
        </w:tc>
        <w:tc>
          <w:tcPr>
            <w:tcW w:w="2120" w:type="dxa"/>
            <w:vAlign w:val="bottom"/>
            <w:tcBorders>
              <w:top w:val="single" w:sz="8" w:color="auto"/>
              <w:right w:val="single" w:sz="8" w:color="auto"/>
            </w:tcBorders>
          </w:tcPr>
          <w:p>
            <w:pPr>
              <w:jc w:val="right"/>
              <w:ind w:right="1448"/>
              <w:spacing w:after="0"/>
              <w:rPr>
                <w:sz w:val="20"/>
                <w:szCs w:val="20"/>
                <w:color w:val="auto"/>
              </w:rPr>
            </w:pPr>
            <w:r>
              <w:rPr>
                <w:rFonts w:ascii="Arial" w:cs="Arial" w:eastAsia="Arial" w:hAnsi="Arial"/>
                <w:sz w:val="18"/>
                <w:szCs w:val="18"/>
                <w:color w:val="auto"/>
                <w:w w:val="91"/>
              </w:rPr>
              <w:t>33.34%</w:t>
            </w:r>
          </w:p>
        </w:tc>
      </w:tr>
      <w:tr>
        <w:trPr>
          <w:trHeight w:val="21"/>
        </w:trPr>
        <w:tc>
          <w:tcPr>
            <w:tcW w:w="3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PNC Bank, National Association</w:t>
            </w:r>
          </w:p>
        </w:tc>
        <w:tc>
          <w:tcPr>
            <w:tcW w:w="1900" w:type="dxa"/>
            <w:vAlign w:val="bottom"/>
            <w:tcBorders>
              <w:right w:val="single" w:sz="8" w:color="auto"/>
            </w:tcBorders>
          </w:tcPr>
          <w:p>
            <w:pPr>
              <w:jc w:val="right"/>
              <w:ind w:right="888"/>
              <w:spacing w:after="0"/>
              <w:rPr>
                <w:sz w:val="20"/>
                <w:szCs w:val="20"/>
                <w:color w:val="auto"/>
              </w:rPr>
            </w:pPr>
            <w:r>
              <w:rPr>
                <w:rFonts w:ascii="Arial" w:cs="Arial" w:eastAsia="Arial" w:hAnsi="Arial"/>
                <w:sz w:val="18"/>
                <w:szCs w:val="18"/>
                <w:color w:val="auto"/>
                <w:w w:val="89"/>
              </w:rPr>
              <w:t>$50,000,000</w:t>
            </w:r>
          </w:p>
        </w:tc>
        <w:tc>
          <w:tcPr>
            <w:tcW w:w="2120" w:type="dxa"/>
            <w:vAlign w:val="bottom"/>
            <w:tcBorders>
              <w:right w:val="single" w:sz="8" w:color="auto"/>
            </w:tcBorders>
          </w:tcPr>
          <w:p>
            <w:pPr>
              <w:jc w:val="right"/>
              <w:ind w:right="1448"/>
              <w:spacing w:after="0"/>
              <w:rPr>
                <w:sz w:val="20"/>
                <w:szCs w:val="20"/>
                <w:color w:val="auto"/>
              </w:rPr>
            </w:pPr>
            <w:r>
              <w:rPr>
                <w:rFonts w:ascii="Arial" w:cs="Arial" w:eastAsia="Arial" w:hAnsi="Arial"/>
                <w:sz w:val="18"/>
                <w:szCs w:val="18"/>
                <w:color w:val="auto"/>
                <w:w w:val="91"/>
              </w:rPr>
              <w:t>33.33%</w:t>
            </w:r>
          </w:p>
        </w:tc>
      </w:tr>
      <w:tr>
        <w:trPr>
          <w:trHeight w:val="21"/>
        </w:trPr>
        <w:tc>
          <w:tcPr>
            <w:tcW w:w="3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3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5"/>
              </w:rPr>
              <w:t>Wells Fargo Bank, National Association</w:t>
            </w:r>
          </w:p>
        </w:tc>
        <w:tc>
          <w:tcPr>
            <w:tcW w:w="1900" w:type="dxa"/>
            <w:vAlign w:val="bottom"/>
            <w:tcBorders>
              <w:right w:val="single" w:sz="8" w:color="auto"/>
            </w:tcBorders>
          </w:tcPr>
          <w:p>
            <w:pPr>
              <w:jc w:val="right"/>
              <w:ind w:right="888"/>
              <w:spacing w:after="0"/>
              <w:rPr>
                <w:sz w:val="20"/>
                <w:szCs w:val="20"/>
                <w:color w:val="auto"/>
              </w:rPr>
            </w:pPr>
            <w:r>
              <w:rPr>
                <w:rFonts w:ascii="Arial" w:cs="Arial" w:eastAsia="Arial" w:hAnsi="Arial"/>
                <w:sz w:val="18"/>
                <w:szCs w:val="18"/>
                <w:color w:val="auto"/>
                <w:w w:val="89"/>
              </w:rPr>
              <w:t>$50,000,000</w:t>
            </w:r>
          </w:p>
        </w:tc>
        <w:tc>
          <w:tcPr>
            <w:tcW w:w="2120" w:type="dxa"/>
            <w:vAlign w:val="bottom"/>
            <w:tcBorders>
              <w:right w:val="single" w:sz="8" w:color="auto"/>
            </w:tcBorders>
          </w:tcPr>
          <w:p>
            <w:pPr>
              <w:jc w:val="right"/>
              <w:ind w:right="1448"/>
              <w:spacing w:after="0"/>
              <w:rPr>
                <w:sz w:val="20"/>
                <w:szCs w:val="20"/>
                <w:color w:val="auto"/>
              </w:rPr>
            </w:pPr>
            <w:r>
              <w:rPr>
                <w:rFonts w:ascii="Arial" w:cs="Arial" w:eastAsia="Arial" w:hAnsi="Arial"/>
                <w:sz w:val="18"/>
                <w:szCs w:val="18"/>
                <w:color w:val="auto"/>
                <w:w w:val="91"/>
              </w:rPr>
              <w:t>33.33%</w:t>
            </w:r>
          </w:p>
        </w:tc>
      </w:tr>
      <w:tr>
        <w:trPr>
          <w:trHeight w:val="21"/>
        </w:trPr>
        <w:tc>
          <w:tcPr>
            <w:tcW w:w="3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0220"/>
          </w:cols>
          <w:pgMar w:left="1440" w:top="784" w:right="239" w:bottom="1440" w:gutter="0" w:footer="0" w:header="0"/>
        </w:sectPr>
      </w:pPr>
    </w:p>
    <w:bookmarkStart w:id="508" w:name="page509"/>
    <w:bookmarkEnd w:id="508"/>
    <w:p>
      <w:pPr>
        <w:jc w:val="right"/>
        <w:spacing w:after="0"/>
        <w:rPr>
          <w:sz w:val="20"/>
          <w:szCs w:val="20"/>
          <w:color w:val="auto"/>
        </w:rPr>
      </w:pPr>
      <w:r>
        <w:rPr>
          <w:rFonts w:ascii="Arial" w:cs="Arial" w:eastAsia="Arial" w:hAnsi="Arial"/>
          <w:sz w:val="18"/>
          <w:szCs w:val="18"/>
          <w:b w:val="1"/>
          <w:bCs w:val="1"/>
          <w:i w:val="1"/>
          <w:iCs w:val="1"/>
          <w:color w:val="auto"/>
        </w:rPr>
        <w:t>Schedule 5.09(c)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RELEASES OF HAZARDOUS MATERIAL</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985" w:right="239" w:bottom="1440" w:gutter="0" w:footer="0" w:header="0"/>
        </w:sectPr>
      </w:pPr>
    </w:p>
    <w:bookmarkStart w:id="509" w:name="page510"/>
    <w:bookmarkEnd w:id="509"/>
    <w:p>
      <w:pPr>
        <w:jc w:val="right"/>
        <w:spacing w:after="0"/>
        <w:rPr>
          <w:sz w:val="20"/>
          <w:szCs w:val="20"/>
          <w:color w:val="auto"/>
        </w:rPr>
      </w:pPr>
      <w:r>
        <w:rPr>
          <w:rFonts w:ascii="Arial" w:cs="Arial" w:eastAsia="Arial" w:hAnsi="Arial"/>
          <w:sz w:val="18"/>
          <w:szCs w:val="18"/>
          <w:b w:val="1"/>
          <w:bCs w:val="1"/>
          <w:i w:val="1"/>
          <w:iCs w:val="1"/>
          <w:color w:val="auto"/>
        </w:rPr>
        <w:t>Schedule 5.09(d)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ENVIRONMENTAL COMPLIANCE</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785" w:right="239" w:bottom="1440" w:gutter="0" w:footer="0" w:header="0"/>
        </w:sectPr>
      </w:pPr>
    </w:p>
    <w:bookmarkStart w:id="510" w:name="page511"/>
    <w:bookmarkEnd w:id="510"/>
    <w:p>
      <w:pPr>
        <w:jc w:val="right"/>
        <w:spacing w:after="0"/>
        <w:rPr>
          <w:sz w:val="20"/>
          <w:szCs w:val="20"/>
          <w:color w:val="auto"/>
        </w:rPr>
      </w:pPr>
      <w:r>
        <w:rPr>
          <w:rFonts w:ascii="Arial" w:cs="Arial" w:eastAsia="Arial" w:hAnsi="Arial"/>
          <w:sz w:val="18"/>
          <w:szCs w:val="18"/>
          <w:b w:val="1"/>
          <w:bCs w:val="1"/>
          <w:i w:val="1"/>
          <w:iCs w:val="1"/>
          <w:color w:val="auto"/>
        </w:rPr>
        <w:t>Schedule 5.11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SHARING AGREEMENTS</w:t>
      </w:r>
    </w:p>
    <w:p>
      <w:pPr>
        <w:spacing w:after="0" w:line="200" w:lineRule="exact"/>
        <w:rPr>
          <w:sz w:val="20"/>
          <w:szCs w:val="20"/>
          <w:color w:val="auto"/>
        </w:rPr>
      </w:pPr>
    </w:p>
    <w:p>
      <w:pPr>
        <w:spacing w:after="0" w:line="334"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Tax Protection Agreement, entered into as of January 19, 2011, by and among American Assets Trust, Inc., a Maryland corporation, American Assets Trust, L.P., a Maryland limited partnership (the “Operating Partnership”), and each limited partner of the Operating Partnership identified as a signatory thereto.</w:t>
      </w:r>
    </w:p>
    <w:p>
      <w:pPr>
        <w:sectPr>
          <w:pgSz w:w="11900" w:h="16838" w:orient="portrait"/>
          <w:cols w:equalWidth="0" w:num="1">
            <w:col w:w="11420"/>
          </w:cols>
          <w:pgMar w:left="240" w:top="785" w:right="239" w:bottom="1440" w:gutter="0" w:footer="0" w:header="0"/>
        </w:sectPr>
      </w:pPr>
    </w:p>
    <w:bookmarkStart w:id="511" w:name="page512"/>
    <w:bookmarkEnd w:id="511"/>
    <w:p>
      <w:pPr>
        <w:jc w:val="right"/>
        <w:spacing w:after="0"/>
        <w:rPr>
          <w:sz w:val="20"/>
          <w:szCs w:val="20"/>
          <w:color w:val="auto"/>
        </w:rPr>
      </w:pPr>
      <w:r>
        <w:rPr>
          <w:rFonts w:ascii="Arial" w:cs="Arial" w:eastAsia="Arial" w:hAnsi="Arial"/>
          <w:sz w:val="18"/>
          <w:szCs w:val="18"/>
          <w:b w:val="1"/>
          <w:bCs w:val="1"/>
          <w:i w:val="1"/>
          <w:iCs w:val="1"/>
          <w:color w:val="auto"/>
        </w:rPr>
        <w:t>Schedule 5.12(d)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PLANS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785" w:right="239" w:bottom="1440" w:gutter="0" w:footer="0" w:header="0"/>
        </w:sectPr>
      </w:pPr>
    </w:p>
    <w:bookmarkStart w:id="512" w:name="page513"/>
    <w:bookmarkEnd w:id="512"/>
    <w:p>
      <w:pPr>
        <w:jc w:val="right"/>
        <w:spacing w:after="0"/>
        <w:rPr>
          <w:sz w:val="20"/>
          <w:szCs w:val="20"/>
          <w:color w:val="auto"/>
        </w:rPr>
      </w:pPr>
      <w:r>
        <w:rPr>
          <w:rFonts w:ascii="Arial" w:cs="Arial" w:eastAsia="Arial" w:hAnsi="Arial"/>
          <w:sz w:val="18"/>
          <w:szCs w:val="18"/>
          <w:b w:val="1"/>
          <w:bCs w:val="1"/>
          <w:i w:val="1"/>
          <w:iCs w:val="1"/>
          <w:color w:val="auto"/>
        </w:rPr>
        <w:t>Schedule 5.13</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AND OTHER EQUITY INVESTMENTS; LOAN PARTIES</w:t>
      </w:r>
    </w:p>
    <w:p>
      <w:pPr>
        <w:spacing w:after="0" w:line="172" w:lineRule="exact"/>
        <w:rPr>
          <w:sz w:val="20"/>
          <w:szCs w:val="20"/>
          <w:color w:val="auto"/>
        </w:rPr>
      </w:pPr>
    </w:p>
    <w:p>
      <w:pPr>
        <w:ind w:left="340" w:hanging="340"/>
        <w:spacing w:after="0"/>
        <w:tabs>
          <w:tab w:leader="none" w:pos="340" w:val="left"/>
        </w:tabs>
        <w:numPr>
          <w:ilvl w:val="0"/>
          <w:numId w:val="612"/>
        </w:numPr>
        <w:rPr>
          <w:rFonts w:ascii="Arial" w:cs="Arial" w:eastAsia="Arial" w:hAnsi="Arial"/>
          <w:sz w:val="17"/>
          <w:szCs w:val="17"/>
          <w:color w:val="auto"/>
        </w:rPr>
      </w:pPr>
      <w:r>
        <w:rPr>
          <w:rFonts w:ascii="Arial" w:cs="Arial" w:eastAsia="Arial" w:hAnsi="Arial"/>
          <w:sz w:val="18"/>
          <w:szCs w:val="18"/>
          <w:color w:val="auto"/>
        </w:rPr>
        <w:t>List all Subsidiaries of each Loan Party</w:t>
      </w:r>
    </w:p>
    <w:p>
      <w:pPr>
        <w:spacing w:after="0" w:line="200" w:lineRule="exact"/>
        <w:rPr>
          <w:sz w:val="20"/>
          <w:szCs w:val="20"/>
          <w:color w:val="auto"/>
        </w:rPr>
      </w:pPr>
    </w:p>
    <w:p>
      <w:pPr>
        <w:spacing w:after="0" w:line="289" w:lineRule="exact"/>
        <w:rPr>
          <w:sz w:val="20"/>
          <w:szCs w:val="20"/>
          <w:color w:val="auto"/>
        </w:rPr>
      </w:pPr>
    </w:p>
    <w:tbl>
      <w:tblPr>
        <w:tblLayout w:type="fixed"/>
        <w:tblInd w:w="410" w:type="dxa"/>
        <w:tblCellMar>
          <w:top w:w="0" w:type="dxa"/>
          <w:left w:w="0" w:type="dxa"/>
          <w:bottom w:w="0" w:type="dxa"/>
          <w:right w:w="0" w:type="dxa"/>
        </w:tblCellMar>
      </w:tblPr>
      <w:tr>
        <w:trPr>
          <w:trHeight w:val="212"/>
        </w:trPr>
        <w:tc>
          <w:tcPr>
            <w:tcW w:w="1740" w:type="dxa"/>
            <w:vAlign w:val="bottom"/>
            <w:tcBorders>
              <w:top w:val="single" w:sz="8" w:color="auto"/>
              <w:left w:val="single" w:sz="8" w:color="auto"/>
              <w:bottom w:val="single" w:sz="8" w:color="D9D9D9"/>
            </w:tcBorders>
            <w:shd w:val="clear" w:color="auto" w:fill="D9D9D9"/>
          </w:tcPr>
          <w:p>
            <w:pPr>
              <w:spacing w:after="0"/>
              <w:rPr>
                <w:sz w:val="18"/>
                <w:szCs w:val="18"/>
                <w:color w:val="auto"/>
              </w:rPr>
            </w:pPr>
          </w:p>
        </w:tc>
        <w:tc>
          <w:tcPr>
            <w:tcW w:w="900" w:type="dxa"/>
            <w:vAlign w:val="bottom"/>
            <w:tcBorders>
              <w:top w:val="single" w:sz="8" w:color="auto"/>
              <w:bottom w:val="single" w:sz="8" w:color="auto"/>
            </w:tcBorders>
            <w:vMerge w:val="restart"/>
            <w:shd w:val="clear" w:color="auto" w:fill="D9D9D9"/>
          </w:tcPr>
          <w:p>
            <w:pPr>
              <w:spacing w:after="0"/>
              <w:rPr>
                <w:sz w:val="20"/>
                <w:szCs w:val="20"/>
                <w:color w:val="auto"/>
              </w:rPr>
            </w:pPr>
            <w:r>
              <w:rPr>
                <w:rFonts w:ascii="Arial" w:cs="Arial" w:eastAsia="Arial" w:hAnsi="Arial"/>
                <w:sz w:val="18"/>
                <w:szCs w:val="18"/>
                <w:b w:val="1"/>
                <w:bCs w:val="1"/>
                <w:color w:val="auto"/>
                <w:w w:val="94"/>
              </w:rPr>
              <w:t>Loan Party</w:t>
            </w:r>
          </w:p>
        </w:tc>
        <w:tc>
          <w:tcPr>
            <w:tcW w:w="1760" w:type="dxa"/>
            <w:vAlign w:val="bottom"/>
            <w:tcBorders>
              <w:top w:val="single" w:sz="8" w:color="auto"/>
              <w:bottom w:val="single" w:sz="8" w:color="auto"/>
              <w:right w:val="single" w:sz="8" w:color="auto"/>
            </w:tcBorders>
            <w:vMerge w:val="restart"/>
            <w:shd w:val="clear" w:color="auto" w:fill="D9D9D9"/>
          </w:tcPr>
          <w:p>
            <w:pPr>
              <w:spacing w:after="0"/>
              <w:rPr>
                <w:sz w:val="18"/>
                <w:szCs w:val="18"/>
                <w:color w:val="auto"/>
              </w:rPr>
            </w:pPr>
          </w:p>
        </w:tc>
        <w:tc>
          <w:tcPr>
            <w:tcW w:w="4460" w:type="dxa"/>
            <w:vAlign w:val="bottom"/>
            <w:tcBorders>
              <w:top w:val="single" w:sz="8" w:color="auto"/>
              <w:bottom w:val="single" w:sz="8" w:color="auto"/>
              <w:right w:val="single" w:sz="8" w:color="auto"/>
            </w:tcBorders>
            <w:gridSpan w:val="3"/>
            <w:vMerge w:val="restart"/>
            <w:shd w:val="clear" w:color="auto" w:fill="D9D9D9"/>
          </w:tcPr>
          <w:p>
            <w:pPr>
              <w:ind w:left="1540"/>
              <w:spacing w:after="0"/>
              <w:rPr>
                <w:sz w:val="20"/>
                <w:szCs w:val="20"/>
                <w:color w:val="auto"/>
              </w:rPr>
            </w:pPr>
            <w:r>
              <w:rPr>
                <w:rFonts w:ascii="Arial" w:cs="Arial" w:eastAsia="Arial" w:hAnsi="Arial"/>
                <w:sz w:val="18"/>
                <w:szCs w:val="18"/>
                <w:b w:val="1"/>
                <w:bCs w:val="1"/>
                <w:color w:val="auto"/>
              </w:rPr>
              <w:t>Subsidiary Name</w:t>
            </w:r>
          </w:p>
        </w:tc>
        <w:tc>
          <w:tcPr>
            <w:tcW w:w="460" w:type="dxa"/>
            <w:vAlign w:val="bottom"/>
            <w:tcBorders>
              <w:top w:val="single" w:sz="8" w:color="auto"/>
              <w:bottom w:val="single" w:sz="8" w:color="D9D9D9"/>
              <w:right w:val="single" w:sz="8" w:color="D9D9D9"/>
            </w:tcBorders>
            <w:shd w:val="clear" w:color="auto" w:fill="D9D9D9"/>
          </w:tcPr>
          <w:p>
            <w:pPr>
              <w:spacing w:after="0"/>
              <w:rPr>
                <w:sz w:val="18"/>
                <w:szCs w:val="18"/>
                <w:color w:val="auto"/>
              </w:rPr>
            </w:pPr>
          </w:p>
        </w:tc>
        <w:tc>
          <w:tcPr>
            <w:tcW w:w="160" w:type="dxa"/>
            <w:vAlign w:val="bottom"/>
            <w:tcBorders>
              <w:top w:val="single" w:sz="8" w:color="auto"/>
              <w:bottom w:val="single" w:sz="8" w:color="D9D9D9"/>
            </w:tcBorders>
            <w:shd w:val="clear" w:color="auto" w:fill="D9D9D9"/>
          </w:tcPr>
          <w:p>
            <w:pPr>
              <w:spacing w:after="0"/>
              <w:rPr>
                <w:sz w:val="18"/>
                <w:szCs w:val="18"/>
                <w:color w:val="auto"/>
              </w:rPr>
            </w:pPr>
          </w:p>
        </w:tc>
        <w:tc>
          <w:tcPr>
            <w:tcW w:w="520" w:type="dxa"/>
            <w:vAlign w:val="bottom"/>
            <w:tcBorders>
              <w:top w:val="single" w:sz="8" w:color="auto"/>
              <w:bottom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4"/>
              </w:rPr>
              <w:t>Share/</w:t>
            </w:r>
          </w:p>
        </w:tc>
        <w:tc>
          <w:tcPr>
            <w:tcW w:w="660" w:type="dxa"/>
            <w:vAlign w:val="bottom"/>
            <w:tcBorders>
              <w:top w:val="single" w:sz="8" w:color="auto"/>
              <w:bottom w:val="single" w:sz="8" w:color="D9D9D9"/>
              <w:right w:val="single" w:sz="8" w:color="auto"/>
            </w:tcBorders>
            <w:gridSpan w:val="2"/>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740" w:type="dxa"/>
            <w:vAlign w:val="bottom"/>
            <w:tcBorders>
              <w:left w:val="single" w:sz="8" w:color="auto"/>
            </w:tcBorders>
            <w:shd w:val="clear" w:color="auto" w:fill="D9D9D9"/>
          </w:tcPr>
          <w:p>
            <w:pPr>
              <w:spacing w:after="0"/>
              <w:rPr>
                <w:sz w:val="16"/>
                <w:szCs w:val="16"/>
                <w:color w:val="auto"/>
              </w:rPr>
            </w:pPr>
          </w:p>
        </w:tc>
        <w:tc>
          <w:tcPr>
            <w:tcW w:w="900" w:type="dxa"/>
            <w:vAlign w:val="bottom"/>
            <w:vMerge w:val="continue"/>
            <w:shd w:val="clear" w:color="auto" w:fill="D9D9D9"/>
          </w:tcPr>
          <w:p>
            <w:pPr>
              <w:spacing w:after="0"/>
              <w:rPr>
                <w:sz w:val="16"/>
                <w:szCs w:val="16"/>
                <w:color w:val="auto"/>
              </w:rPr>
            </w:pPr>
          </w:p>
        </w:tc>
        <w:tc>
          <w:tcPr>
            <w:tcW w:w="1760" w:type="dxa"/>
            <w:vAlign w:val="bottom"/>
            <w:tcBorders>
              <w:right w:val="single" w:sz="8" w:color="auto"/>
            </w:tcBorders>
            <w:vMerge w:val="continue"/>
            <w:shd w:val="clear" w:color="auto" w:fill="D9D9D9"/>
          </w:tcPr>
          <w:p>
            <w:pPr>
              <w:spacing w:after="0"/>
              <w:rPr>
                <w:sz w:val="16"/>
                <w:szCs w:val="16"/>
                <w:color w:val="auto"/>
              </w:rPr>
            </w:pPr>
          </w:p>
        </w:tc>
        <w:tc>
          <w:tcPr>
            <w:tcW w:w="4460" w:type="dxa"/>
            <w:vAlign w:val="bottom"/>
            <w:tcBorders>
              <w:right w:val="single" w:sz="8" w:color="auto"/>
            </w:tcBorders>
            <w:gridSpan w:val="3"/>
            <w:vMerge w:val="continue"/>
            <w:shd w:val="clear" w:color="auto" w:fill="D9D9D9"/>
          </w:tcPr>
          <w:p>
            <w:pPr>
              <w:spacing w:after="0"/>
              <w:rPr>
                <w:sz w:val="16"/>
                <w:szCs w:val="16"/>
                <w:color w:val="auto"/>
              </w:rPr>
            </w:pPr>
          </w:p>
        </w:tc>
        <w:tc>
          <w:tcPr>
            <w:tcW w:w="460" w:type="dxa"/>
            <w:vAlign w:val="bottom"/>
            <w:tcBorders>
              <w:right w:val="single" w:sz="8" w:color="D9D9D9"/>
            </w:tcBorders>
            <w:shd w:val="clear" w:color="auto" w:fill="D9D9D9"/>
          </w:tcPr>
          <w:p>
            <w:pPr>
              <w:spacing w:after="0"/>
              <w:rPr>
                <w:sz w:val="16"/>
                <w:szCs w:val="16"/>
                <w:color w:val="auto"/>
              </w:rPr>
            </w:pPr>
          </w:p>
        </w:tc>
        <w:tc>
          <w:tcPr>
            <w:tcW w:w="1340" w:type="dxa"/>
            <w:vAlign w:val="bottom"/>
            <w:tcBorders>
              <w:right w:val="single" w:sz="8" w:color="auto"/>
            </w:tcBorders>
            <w:gridSpan w:val="4"/>
            <w:shd w:val="clear" w:color="auto" w:fill="D9D9D9"/>
          </w:tcPr>
          <w:p>
            <w:pPr>
              <w:jc w:val="center"/>
              <w:ind w:right="480"/>
              <w:spacing w:after="0" w:line="193" w:lineRule="exact"/>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0"/>
        </w:trPr>
        <w:tc>
          <w:tcPr>
            <w:tcW w:w="1740" w:type="dxa"/>
            <w:vAlign w:val="bottom"/>
            <w:tcBorders>
              <w:left w:val="single" w:sz="8" w:color="auto"/>
            </w:tcBorders>
            <w:shd w:val="clear" w:color="auto" w:fill="D9D9D9"/>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760" w:type="dxa"/>
            <w:vAlign w:val="bottom"/>
            <w:tcBorders>
              <w:right w:val="single" w:sz="8" w:color="auto"/>
            </w:tcBorders>
            <w:shd w:val="clear" w:color="auto" w:fill="D9D9D9"/>
          </w:tcPr>
          <w:p>
            <w:pPr>
              <w:spacing w:after="0" w:line="20" w:lineRule="exact"/>
              <w:rPr>
                <w:sz w:val="1"/>
                <w:szCs w:val="1"/>
                <w:color w:val="auto"/>
              </w:rPr>
            </w:pPr>
          </w:p>
        </w:tc>
        <w:tc>
          <w:tcPr>
            <w:tcW w:w="1540" w:type="dxa"/>
            <w:vAlign w:val="bottom"/>
            <w:shd w:val="clear" w:color="auto" w:fill="D9D9D9"/>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80" w:type="dxa"/>
            <w:vAlign w:val="bottom"/>
            <w:tcBorders>
              <w:right w:val="single" w:sz="8" w:color="auto"/>
            </w:tcBorders>
            <w:shd w:val="clear" w:color="auto" w:fill="D9D9D9"/>
          </w:tcPr>
          <w:p>
            <w:pPr>
              <w:spacing w:after="0" w:line="20" w:lineRule="exact"/>
              <w:rPr>
                <w:sz w:val="1"/>
                <w:szCs w:val="1"/>
                <w:color w:val="auto"/>
              </w:rPr>
            </w:pPr>
          </w:p>
        </w:tc>
        <w:tc>
          <w:tcPr>
            <w:tcW w:w="460" w:type="dxa"/>
            <w:vAlign w:val="bottom"/>
            <w:tcBorders>
              <w:right w:val="single" w:sz="8" w:color="D9D9D9"/>
            </w:tcBorders>
            <w:shd w:val="clear" w:color="auto" w:fill="D9D9D9"/>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740" w:type="dxa"/>
            <w:vAlign w:val="bottom"/>
            <w:tcBorders>
              <w:left w:val="single" w:sz="8" w:color="auto"/>
              <w:bottom w:val="single" w:sz="8" w:color="auto"/>
            </w:tcBorders>
            <w:shd w:val="clear" w:color="auto" w:fill="D9D9D9"/>
          </w:tcPr>
          <w:p>
            <w:pPr>
              <w:spacing w:after="0"/>
              <w:rPr>
                <w:sz w:val="22"/>
                <w:szCs w:val="22"/>
                <w:color w:val="auto"/>
              </w:rPr>
            </w:pPr>
          </w:p>
        </w:tc>
        <w:tc>
          <w:tcPr>
            <w:tcW w:w="900" w:type="dxa"/>
            <w:vAlign w:val="bottom"/>
            <w:tcBorders>
              <w:bottom w:val="single" w:sz="8" w:color="auto"/>
            </w:tcBorders>
            <w:shd w:val="clear" w:color="auto" w:fill="D9D9D9"/>
          </w:tcPr>
          <w:p>
            <w:pPr>
              <w:spacing w:after="0"/>
              <w:rPr>
                <w:sz w:val="22"/>
                <w:szCs w:val="22"/>
                <w:color w:val="auto"/>
              </w:rPr>
            </w:pPr>
          </w:p>
        </w:tc>
        <w:tc>
          <w:tcPr>
            <w:tcW w:w="1760" w:type="dxa"/>
            <w:vAlign w:val="bottom"/>
            <w:tcBorders>
              <w:bottom w:val="single" w:sz="8" w:color="auto"/>
              <w:right w:val="single" w:sz="8" w:color="auto"/>
            </w:tcBorders>
            <w:shd w:val="clear" w:color="auto" w:fill="D9D9D9"/>
          </w:tcPr>
          <w:p>
            <w:pPr>
              <w:spacing w:after="0"/>
              <w:rPr>
                <w:sz w:val="22"/>
                <w:szCs w:val="22"/>
                <w:color w:val="auto"/>
              </w:rPr>
            </w:pPr>
          </w:p>
        </w:tc>
        <w:tc>
          <w:tcPr>
            <w:tcW w:w="1540" w:type="dxa"/>
            <w:vAlign w:val="bottom"/>
            <w:tcBorders>
              <w:bottom w:val="single" w:sz="8" w:color="auto"/>
            </w:tcBorders>
            <w:shd w:val="clear" w:color="auto" w:fill="D9D9D9"/>
          </w:tcPr>
          <w:p>
            <w:pPr>
              <w:spacing w:after="0"/>
              <w:rPr>
                <w:sz w:val="22"/>
                <w:szCs w:val="22"/>
                <w:color w:val="auto"/>
              </w:rPr>
            </w:pPr>
          </w:p>
        </w:tc>
        <w:tc>
          <w:tcPr>
            <w:tcW w:w="1340" w:type="dxa"/>
            <w:vAlign w:val="bottom"/>
            <w:tcBorders>
              <w:bottom w:val="single" w:sz="8" w:color="auto"/>
            </w:tcBorders>
            <w:shd w:val="clear" w:color="auto" w:fill="D9D9D9"/>
          </w:tcPr>
          <w:p>
            <w:pPr>
              <w:spacing w:after="0"/>
              <w:rPr>
                <w:sz w:val="22"/>
                <w:szCs w:val="22"/>
                <w:color w:val="auto"/>
              </w:rPr>
            </w:pPr>
          </w:p>
        </w:tc>
        <w:tc>
          <w:tcPr>
            <w:tcW w:w="1580" w:type="dxa"/>
            <w:vAlign w:val="bottom"/>
            <w:tcBorders>
              <w:bottom w:val="single" w:sz="8" w:color="auto"/>
              <w:right w:val="single" w:sz="8" w:color="auto"/>
            </w:tcBorders>
            <w:shd w:val="clear" w:color="auto" w:fill="D9D9D9"/>
          </w:tcPr>
          <w:p>
            <w:pPr>
              <w:spacing w:after="0"/>
              <w:rPr>
                <w:sz w:val="22"/>
                <w:szCs w:val="22"/>
                <w:color w:val="auto"/>
              </w:rPr>
            </w:pPr>
          </w:p>
        </w:tc>
        <w:tc>
          <w:tcPr>
            <w:tcW w:w="460" w:type="dxa"/>
            <w:vAlign w:val="bottom"/>
            <w:tcBorders>
              <w:bottom w:val="single" w:sz="8" w:color="auto"/>
              <w:right w:val="single" w:sz="8" w:color="D9D9D9"/>
            </w:tcBorders>
            <w:shd w:val="clear" w:color="auto" w:fill="D9D9D9"/>
          </w:tcPr>
          <w:p>
            <w:pPr>
              <w:spacing w:after="0"/>
              <w:rPr>
                <w:sz w:val="22"/>
                <w:szCs w:val="22"/>
                <w:color w:val="auto"/>
              </w:rPr>
            </w:pPr>
          </w:p>
        </w:tc>
        <w:tc>
          <w:tcPr>
            <w:tcW w:w="1340" w:type="dxa"/>
            <w:vAlign w:val="bottom"/>
            <w:tcBorders>
              <w:bottom w:val="single" w:sz="8" w:color="auto"/>
              <w:right w:val="single" w:sz="8" w:color="auto"/>
            </w:tcBorders>
            <w:gridSpan w:val="4"/>
            <w:shd w:val="clear" w:color="auto" w:fill="D9D9D9"/>
          </w:tcPr>
          <w:p>
            <w:pPr>
              <w:jc w:val="center"/>
              <w:ind w:right="480"/>
              <w:spacing w:after="0" w:line="193" w:lineRule="exact"/>
              <w:rPr>
                <w:sz w:val="20"/>
                <w:szCs w:val="20"/>
                <w:color w:val="auto"/>
              </w:rPr>
            </w:pPr>
            <w:r>
              <w:rPr>
                <w:rFonts w:ascii="Arial" w:cs="Arial" w:eastAsia="Arial" w:hAnsi="Arial"/>
                <w:sz w:val="18"/>
                <w:szCs w:val="18"/>
                <w:b w:val="1"/>
                <w:bCs w:val="1"/>
                <w:color w:val="auto"/>
                <w:w w:val="92"/>
              </w:rPr>
              <w:t>Ownership</w:t>
            </w: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Inc.</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American Assets Trust, L.P.</w:t>
            </w:r>
          </w:p>
        </w:tc>
        <w:tc>
          <w:tcPr>
            <w:tcW w:w="180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18"/>
                <w:szCs w:val="18"/>
                <w:color w:val="auto"/>
                <w:w w:val="96"/>
              </w:rPr>
              <w:t>Approx. 73%</w:t>
            </w: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Pacific Del Mar Assets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Carmel Country Plaza, L.P.</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88"/>
              </w:rPr>
              <w:t>99%</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Pacific Carmel Mountain Assets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Pacific Carmel Mountain Holdings, L.P.</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88"/>
              </w:rPr>
              <w:t>99%</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Carmel Mountain Pad,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Pacific Solana Beach Assets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Pacific Solana Beach Holdings, L.P.</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88"/>
              </w:rPr>
              <w:t>80%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AAT Del Monte,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AAT Del Monte 2,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Beach Walk Holdings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ABW Lewers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88"/>
              </w:rPr>
              <w:t>20%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ICW Plaza Merger Sub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Pacific North Court GP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Pacific North Court Holdings, L.P.</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88"/>
              </w:rPr>
              <w:t>99%</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Pacific South Court Assets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Pacific South Court Holdings, L.P.</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88"/>
              </w:rPr>
              <w:t>99%</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Pacific Torrey Daycare Assets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Pacific Torrey Daycare Holdings, L.P.</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88"/>
              </w:rPr>
              <w:t>99%</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Landmark Venture JV,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Pacific Firecreek Holdings,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AAT Oregon Office I,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AAT Lloyd District,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AAT One Beach,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AAT CC Bellevue,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Imperial Strand Holdings,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Mariner’s Point Holdings,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AAT Waikele Center,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Broadway 225 Stonecrest Holdings,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Broadway 225 Sorrento Holdings,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EBW Hotel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Waikele Venture Holdings,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AAT Alamo Quarry,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AAT Solana 101,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AAT Geary Marketplace,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Pacific Santa Fe Assets LLC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Pacific Santa Fe Holdings, L.P.</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88"/>
              </w:rPr>
              <w:t>99%</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American Assets Services, Inc.</w:t>
            </w:r>
          </w:p>
        </w:tc>
        <w:tc>
          <w:tcPr>
            <w:tcW w:w="1140" w:type="dxa"/>
            <w:vAlign w:val="bottom"/>
            <w:gridSpan w:val="3"/>
          </w:tcPr>
          <w:p>
            <w:pPr>
              <w:jc w:val="center"/>
              <w:ind w:left="528"/>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84" w:right="239" w:bottom="1440" w:gutter="0" w:footer="0" w:header="0"/>
        </w:sectPr>
      </w:pPr>
    </w:p>
    <w:bookmarkStart w:id="513" w:name="page514"/>
    <w:bookmarkEnd w:id="513"/>
    <w:p>
      <w:pPr>
        <w:spacing w:after="0" w:line="1" w:lineRule="exact"/>
        <w:rPr>
          <w:sz w:val="20"/>
          <w:szCs w:val="20"/>
          <w:color w:val="auto"/>
        </w:rPr>
      </w:pPr>
    </w:p>
    <w:tbl>
      <w:tblPr>
        <w:tblLayout w:type="fixed"/>
        <w:tblInd w:w="410" w:type="dxa"/>
        <w:tblCellMar>
          <w:top w:w="0" w:type="dxa"/>
          <w:left w:w="0" w:type="dxa"/>
          <w:bottom w:w="0" w:type="dxa"/>
          <w:right w:w="0" w:type="dxa"/>
        </w:tblCellMar>
      </w:tblPr>
      <w:tr>
        <w:trPr>
          <w:trHeight w:val="254"/>
        </w:trPr>
        <w:tc>
          <w:tcPr>
            <w:tcW w:w="44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American Assets Trust Management, LLC</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100%</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Southbay Marketplace Holdings, LLC</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100%</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SB Towne Centre LLC</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100%</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Pacific Waikiki Assets, LLC</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100%</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Pacific Waikiki Holdings, L.P.</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75%</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Pacific VC Holdings, LLC</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100%</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AAT Torrey Reserve 6, LLC</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100%</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AAT Torrey Reserve 5, LLC</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100%</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AAT Torrey 13-14, LLC</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100%</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AAT Torrey Point, LLC</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100%</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SB Corporate Centre, LLC</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100%</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Loma Palisades GP LLC</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100%</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Loma Palisades, a California general partnership</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SB Corporate Centre III-IV LLC</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100%</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AAT Pacific Ridge, LLC</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100%</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4"/>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Assets Trust, L.P.</w:t>
            </w:r>
          </w:p>
        </w:tc>
        <w:tc>
          <w:tcPr>
            <w:tcW w:w="4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AAT Gateway Marketplace, LLC</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100%</w:t>
            </w:r>
          </w:p>
        </w:tc>
      </w:tr>
      <w:tr>
        <w:trPr>
          <w:trHeight w:val="21"/>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bl>
    <w:p>
      <w:pPr>
        <w:spacing w:after="0" w:line="345" w:lineRule="exact"/>
        <w:rPr>
          <w:sz w:val="20"/>
          <w:szCs w:val="20"/>
          <w:color w:val="auto"/>
        </w:rPr>
      </w:pPr>
    </w:p>
    <w:p>
      <w:pPr>
        <w:jc w:val="both"/>
        <w:ind w:left="340" w:hanging="340"/>
        <w:spacing w:after="0" w:line="283" w:lineRule="auto"/>
        <w:tabs>
          <w:tab w:leader="none" w:pos="340" w:val="left"/>
        </w:tabs>
        <w:numPr>
          <w:ilvl w:val="0"/>
          <w:numId w:val="613"/>
        </w:numPr>
        <w:rPr>
          <w:rFonts w:ascii="Arial" w:cs="Arial" w:eastAsia="Arial" w:hAnsi="Arial"/>
          <w:sz w:val="16"/>
          <w:szCs w:val="16"/>
          <w:color w:val="auto"/>
        </w:rPr>
      </w:pPr>
      <w:r>
        <w:rPr>
          <w:rFonts w:ascii="Arial" w:cs="Arial" w:eastAsia="Arial" w:hAnsi="Arial"/>
          <w:sz w:val="17"/>
          <w:szCs w:val="17"/>
          <w:color w:val="auto"/>
        </w:rPr>
        <w:t>List a complete and accurate list of all Loan Parties, showing (as to each Loan Party) the jurisdiction of its incorporation or organization, the address of its principal place of business and its U.S. taxpayer identification number or, in the case of any non-U.S. Loan Party that does not have a U.S. taxpayer identification number, its unique identification number issued to it by the jurisdiction of its incorporation or organization</w:t>
      </w:r>
    </w:p>
    <w:p>
      <w:pPr>
        <w:spacing w:after="0" w:line="67" w:lineRule="exact"/>
        <w:rPr>
          <w:sz w:val="20"/>
          <w:szCs w:val="20"/>
          <w:color w:val="auto"/>
        </w:rPr>
      </w:pPr>
    </w:p>
    <w:tbl>
      <w:tblPr>
        <w:tblLayout w:type="fixed"/>
        <w:tblInd w:w="390" w:type="dxa"/>
        <w:tblCellMar>
          <w:top w:w="0" w:type="dxa"/>
          <w:left w:w="0" w:type="dxa"/>
          <w:bottom w:w="0" w:type="dxa"/>
          <w:right w:w="0" w:type="dxa"/>
        </w:tblCellMar>
      </w:tblPr>
      <w:tr>
        <w:trPr>
          <w:trHeight w:val="212"/>
        </w:trPr>
        <w:tc>
          <w:tcPr>
            <w:tcW w:w="1280" w:type="dxa"/>
            <w:vAlign w:val="bottom"/>
            <w:tcBorders>
              <w:top w:val="single" w:sz="8" w:color="auto"/>
              <w:left w:val="single" w:sz="8" w:color="auto"/>
              <w:bottom w:val="single" w:sz="8" w:color="D9D9D9"/>
            </w:tcBorders>
            <w:shd w:val="clear" w:color="auto" w:fill="D9D9D9"/>
          </w:tcPr>
          <w:p>
            <w:pPr>
              <w:spacing w:after="0"/>
              <w:rPr>
                <w:sz w:val="18"/>
                <w:szCs w:val="18"/>
                <w:color w:val="auto"/>
              </w:rPr>
            </w:pPr>
          </w:p>
        </w:tc>
        <w:tc>
          <w:tcPr>
            <w:tcW w:w="880" w:type="dxa"/>
            <w:vAlign w:val="bottom"/>
            <w:tcBorders>
              <w:top w:val="single" w:sz="8" w:color="auto"/>
              <w:bottom w:val="single" w:sz="8" w:color="D9D9D9"/>
            </w:tcBorders>
            <w:shd w:val="clear" w:color="auto" w:fill="D9D9D9"/>
          </w:tcPr>
          <w:p>
            <w:pPr>
              <w:spacing w:after="0"/>
              <w:rPr>
                <w:sz w:val="18"/>
                <w:szCs w:val="18"/>
                <w:color w:val="auto"/>
              </w:rPr>
            </w:pPr>
          </w:p>
        </w:tc>
        <w:tc>
          <w:tcPr>
            <w:tcW w:w="1280" w:type="dxa"/>
            <w:vAlign w:val="bottom"/>
            <w:tcBorders>
              <w:top w:val="single" w:sz="8" w:color="auto"/>
              <w:bottom w:val="single" w:sz="8" w:color="D9D9D9"/>
              <w:right w:val="single" w:sz="8" w:color="auto"/>
            </w:tcBorders>
            <w:shd w:val="clear" w:color="auto" w:fill="D9D9D9"/>
          </w:tcPr>
          <w:p>
            <w:pPr>
              <w:spacing w:after="0"/>
              <w:rPr>
                <w:sz w:val="18"/>
                <w:szCs w:val="18"/>
                <w:color w:val="auto"/>
              </w:rPr>
            </w:pPr>
          </w:p>
        </w:tc>
        <w:tc>
          <w:tcPr>
            <w:tcW w:w="2140" w:type="dxa"/>
            <w:vAlign w:val="bottom"/>
            <w:tcBorders>
              <w:top w:val="single" w:sz="8" w:color="auto"/>
              <w:bottom w:val="single" w:sz="8" w:color="auto"/>
              <w:right w:val="single" w:sz="8" w:color="auto"/>
            </w:tcBorders>
            <w:gridSpan w:val="4"/>
            <w:vMerge w:val="restart"/>
            <w:shd w:val="clear" w:color="auto" w:fill="D9D9D9"/>
          </w:tcPr>
          <w:p>
            <w:pPr>
              <w:jc w:val="center"/>
              <w:ind w:right="20"/>
              <w:spacing w:after="0"/>
              <w:rPr>
                <w:sz w:val="20"/>
                <w:szCs w:val="20"/>
                <w:color w:val="auto"/>
              </w:rPr>
            </w:pPr>
            <w:r>
              <w:rPr>
                <w:rFonts w:ascii="Arial" w:cs="Arial" w:eastAsia="Arial" w:hAnsi="Arial"/>
                <w:sz w:val="18"/>
                <w:szCs w:val="18"/>
                <w:b w:val="1"/>
                <w:bCs w:val="1"/>
                <w:color w:val="auto"/>
                <w:w w:val="90"/>
              </w:rPr>
              <w:t>Jurisdiction of</w:t>
            </w:r>
          </w:p>
        </w:tc>
        <w:tc>
          <w:tcPr>
            <w:tcW w:w="280" w:type="dxa"/>
            <w:vAlign w:val="bottom"/>
            <w:tcBorders>
              <w:top w:val="single" w:sz="8" w:color="auto"/>
              <w:bottom w:val="single" w:sz="8" w:color="D9D9D9"/>
            </w:tcBorders>
            <w:shd w:val="clear" w:color="auto" w:fill="D9D9D9"/>
          </w:tcPr>
          <w:p>
            <w:pPr>
              <w:spacing w:after="0"/>
              <w:rPr>
                <w:sz w:val="18"/>
                <w:szCs w:val="18"/>
                <w:color w:val="auto"/>
              </w:rPr>
            </w:pPr>
          </w:p>
        </w:tc>
        <w:tc>
          <w:tcPr>
            <w:tcW w:w="2600" w:type="dxa"/>
            <w:vAlign w:val="bottom"/>
            <w:tcBorders>
              <w:top w:val="single" w:sz="8" w:color="auto"/>
              <w:bottom w:val="single" w:sz="8" w:color="auto"/>
              <w:right w:val="single" w:sz="8" w:color="auto"/>
            </w:tcBorders>
            <w:gridSpan w:val="4"/>
            <w:vMerge w:val="restart"/>
            <w:shd w:val="clear" w:color="auto" w:fill="D9D9D9"/>
          </w:tcPr>
          <w:p>
            <w:pPr>
              <w:jc w:val="center"/>
              <w:ind w:right="320"/>
              <w:spacing w:after="0"/>
              <w:rPr>
                <w:sz w:val="20"/>
                <w:szCs w:val="20"/>
                <w:color w:val="auto"/>
              </w:rPr>
            </w:pPr>
            <w:r>
              <w:rPr>
                <w:rFonts w:ascii="Arial" w:cs="Arial" w:eastAsia="Arial" w:hAnsi="Arial"/>
                <w:sz w:val="18"/>
                <w:szCs w:val="18"/>
                <w:b w:val="1"/>
                <w:bCs w:val="1"/>
                <w:color w:val="auto"/>
                <w:w w:val="91"/>
              </w:rPr>
              <w:t>Address of Principal Place of</w:t>
            </w:r>
          </w:p>
        </w:tc>
        <w:tc>
          <w:tcPr>
            <w:tcW w:w="300" w:type="dxa"/>
            <w:vAlign w:val="bottom"/>
            <w:tcBorders>
              <w:top w:val="single" w:sz="8" w:color="auto"/>
              <w:bottom w:val="single" w:sz="8" w:color="D9D9D9"/>
            </w:tcBorders>
            <w:shd w:val="clear" w:color="auto" w:fill="D9D9D9"/>
          </w:tcPr>
          <w:p>
            <w:pPr>
              <w:spacing w:after="0"/>
              <w:rPr>
                <w:sz w:val="18"/>
                <w:szCs w:val="18"/>
                <w:color w:val="auto"/>
              </w:rPr>
            </w:pPr>
          </w:p>
        </w:tc>
        <w:tc>
          <w:tcPr>
            <w:tcW w:w="40" w:type="dxa"/>
            <w:vAlign w:val="bottom"/>
            <w:tcBorders>
              <w:top w:val="single" w:sz="8" w:color="auto"/>
              <w:bottom w:val="single" w:sz="8" w:color="D9D9D9"/>
            </w:tcBorders>
            <w:shd w:val="clear" w:color="auto" w:fill="D9D9D9"/>
          </w:tcPr>
          <w:p>
            <w:pPr>
              <w:spacing w:after="0"/>
              <w:rPr>
                <w:sz w:val="18"/>
                <w:szCs w:val="18"/>
                <w:color w:val="auto"/>
              </w:rPr>
            </w:pPr>
          </w:p>
        </w:tc>
        <w:tc>
          <w:tcPr>
            <w:tcW w:w="100" w:type="dxa"/>
            <w:vAlign w:val="bottom"/>
            <w:tcBorders>
              <w:top w:val="single" w:sz="8" w:color="auto"/>
              <w:bottom w:val="single" w:sz="8" w:color="D9D9D9"/>
            </w:tcBorders>
            <w:shd w:val="clear" w:color="auto" w:fill="D9D9D9"/>
          </w:tcPr>
          <w:p>
            <w:pPr>
              <w:spacing w:after="0"/>
              <w:rPr>
                <w:sz w:val="18"/>
                <w:szCs w:val="18"/>
                <w:color w:val="auto"/>
              </w:rPr>
            </w:pPr>
          </w:p>
        </w:tc>
        <w:tc>
          <w:tcPr>
            <w:tcW w:w="1320" w:type="dxa"/>
            <w:vAlign w:val="bottom"/>
            <w:tcBorders>
              <w:top w:val="single" w:sz="8" w:color="auto"/>
              <w:bottom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6"/>
              </w:rPr>
              <w:t>U.S Taxpayer ID</w:t>
            </w:r>
          </w:p>
        </w:tc>
        <w:tc>
          <w:tcPr>
            <w:tcW w:w="480" w:type="dxa"/>
            <w:vAlign w:val="bottom"/>
            <w:tcBorders>
              <w:top w:val="single" w:sz="8" w:color="auto"/>
              <w:bottom w:val="single" w:sz="8" w:color="D9D9D9"/>
              <w:right w:val="single" w:sz="8" w:color="auto"/>
            </w:tcBorders>
            <w:gridSpan w:val="3"/>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3440" w:type="dxa"/>
            <w:vAlign w:val="bottom"/>
            <w:tcBorders>
              <w:left w:val="single" w:sz="8" w:color="auto"/>
              <w:right w:val="single" w:sz="8" w:color="auto"/>
            </w:tcBorders>
            <w:gridSpan w:val="3"/>
            <w:vMerge w:val="restart"/>
            <w:shd w:val="clear" w:color="auto" w:fill="D9D9D9"/>
          </w:tcPr>
          <w:p>
            <w:pPr>
              <w:ind w:left="1280"/>
              <w:spacing w:after="0" w:line="193" w:lineRule="exact"/>
              <w:rPr>
                <w:sz w:val="20"/>
                <w:szCs w:val="20"/>
                <w:color w:val="auto"/>
              </w:rPr>
            </w:pPr>
            <w:r>
              <w:rPr>
                <w:rFonts w:ascii="Arial" w:cs="Arial" w:eastAsia="Arial" w:hAnsi="Arial"/>
                <w:sz w:val="18"/>
                <w:szCs w:val="18"/>
                <w:b w:val="1"/>
                <w:bCs w:val="1"/>
                <w:color w:val="auto"/>
              </w:rPr>
              <w:t>Loan Party</w:t>
            </w:r>
          </w:p>
        </w:tc>
        <w:tc>
          <w:tcPr>
            <w:tcW w:w="2140" w:type="dxa"/>
            <w:vAlign w:val="bottom"/>
            <w:tcBorders>
              <w:right w:val="single" w:sz="8" w:color="auto"/>
            </w:tcBorders>
            <w:gridSpan w:val="4"/>
            <w:vMerge w:val="continue"/>
            <w:shd w:val="clear" w:color="auto" w:fill="D9D9D9"/>
          </w:tcPr>
          <w:p>
            <w:pPr>
              <w:spacing w:after="0"/>
              <w:rPr>
                <w:sz w:val="6"/>
                <w:szCs w:val="6"/>
                <w:color w:val="auto"/>
              </w:rPr>
            </w:pPr>
          </w:p>
        </w:tc>
        <w:tc>
          <w:tcPr>
            <w:tcW w:w="280" w:type="dxa"/>
            <w:vAlign w:val="bottom"/>
            <w:shd w:val="clear" w:color="auto" w:fill="D9D9D9"/>
          </w:tcPr>
          <w:p>
            <w:pPr>
              <w:spacing w:after="0"/>
              <w:rPr>
                <w:sz w:val="6"/>
                <w:szCs w:val="6"/>
                <w:color w:val="auto"/>
              </w:rPr>
            </w:pPr>
          </w:p>
        </w:tc>
        <w:tc>
          <w:tcPr>
            <w:tcW w:w="2600" w:type="dxa"/>
            <w:vAlign w:val="bottom"/>
            <w:tcBorders>
              <w:right w:val="single" w:sz="8" w:color="auto"/>
            </w:tcBorders>
            <w:gridSpan w:val="4"/>
            <w:vMerge w:val="continue"/>
            <w:shd w:val="clear" w:color="auto" w:fill="D9D9D9"/>
          </w:tcPr>
          <w:p>
            <w:pPr>
              <w:spacing w:after="0"/>
              <w:rPr>
                <w:sz w:val="6"/>
                <w:szCs w:val="6"/>
                <w:color w:val="auto"/>
              </w:rPr>
            </w:pPr>
          </w:p>
        </w:tc>
        <w:tc>
          <w:tcPr>
            <w:tcW w:w="300" w:type="dxa"/>
            <w:vAlign w:val="bottom"/>
            <w:shd w:val="clear" w:color="auto" w:fill="D9D9D9"/>
          </w:tcPr>
          <w:p>
            <w:pPr>
              <w:spacing w:after="0"/>
              <w:rPr>
                <w:sz w:val="6"/>
                <w:szCs w:val="6"/>
                <w:color w:val="auto"/>
              </w:rPr>
            </w:pPr>
          </w:p>
        </w:tc>
        <w:tc>
          <w:tcPr>
            <w:tcW w:w="1940" w:type="dxa"/>
            <w:vAlign w:val="bottom"/>
            <w:tcBorders>
              <w:right w:val="single" w:sz="8" w:color="auto"/>
            </w:tcBorders>
            <w:gridSpan w:val="6"/>
            <w:vMerge w:val="restart"/>
            <w:shd w:val="clear" w:color="auto" w:fill="D9D9D9"/>
          </w:tcPr>
          <w:p>
            <w:pPr>
              <w:jc w:val="center"/>
              <w:ind w:right="340"/>
              <w:spacing w:after="0" w:line="193" w:lineRule="exact"/>
              <w:rPr>
                <w:sz w:val="20"/>
                <w:szCs w:val="20"/>
                <w:color w:val="auto"/>
              </w:rPr>
            </w:pPr>
            <w:r>
              <w:rPr>
                <w:rFonts w:ascii="Arial" w:cs="Arial" w:eastAsia="Arial" w:hAnsi="Arial"/>
                <w:sz w:val="18"/>
                <w:szCs w:val="18"/>
                <w:b w:val="1"/>
                <w:bCs w:val="1"/>
                <w:color w:val="auto"/>
                <w:w w:val="94"/>
              </w:rPr>
              <w:t>Number or non-U.S.</w:t>
            </w:r>
          </w:p>
        </w:tc>
        <w:tc>
          <w:tcPr>
            <w:tcW w:w="0" w:type="dxa"/>
            <w:vAlign w:val="bottom"/>
          </w:tcPr>
          <w:p>
            <w:pPr>
              <w:spacing w:after="0"/>
              <w:rPr>
                <w:sz w:val="1"/>
                <w:szCs w:val="1"/>
                <w:color w:val="auto"/>
              </w:rPr>
            </w:pPr>
          </w:p>
        </w:tc>
      </w:tr>
      <w:tr>
        <w:trPr>
          <w:trHeight w:val="92"/>
        </w:trPr>
        <w:tc>
          <w:tcPr>
            <w:tcW w:w="3440" w:type="dxa"/>
            <w:vAlign w:val="bottom"/>
            <w:tcBorders>
              <w:top w:val="single" w:sz="8" w:color="D9D9D9"/>
              <w:left w:val="single" w:sz="8" w:color="auto"/>
              <w:right w:val="single" w:sz="8" w:color="auto"/>
            </w:tcBorders>
            <w:gridSpan w:val="3"/>
            <w:vMerge w:val="continue"/>
            <w:shd w:val="clear" w:color="auto" w:fill="D9D9D9"/>
          </w:tcPr>
          <w:p>
            <w:pPr>
              <w:spacing w:after="0"/>
              <w:rPr>
                <w:sz w:val="8"/>
                <w:szCs w:val="8"/>
                <w:color w:val="auto"/>
              </w:rPr>
            </w:pPr>
          </w:p>
        </w:tc>
        <w:tc>
          <w:tcPr>
            <w:tcW w:w="500" w:type="dxa"/>
            <w:vAlign w:val="bottom"/>
            <w:tcBorders>
              <w:top w:val="single" w:sz="8" w:color="D9D9D9"/>
            </w:tcBorders>
            <w:shd w:val="clear" w:color="auto" w:fill="D9D9D9"/>
          </w:tcPr>
          <w:p>
            <w:pPr>
              <w:spacing w:after="0"/>
              <w:rPr>
                <w:sz w:val="8"/>
                <w:szCs w:val="8"/>
                <w:color w:val="auto"/>
              </w:rPr>
            </w:pPr>
          </w:p>
        </w:tc>
        <w:tc>
          <w:tcPr>
            <w:tcW w:w="1120" w:type="dxa"/>
            <w:vAlign w:val="bottom"/>
            <w:tcBorders>
              <w:top w:val="single" w:sz="8" w:color="auto"/>
            </w:tcBorders>
            <w:gridSpan w:val="2"/>
            <w:vMerge w:val="restart"/>
            <w:shd w:val="clear" w:color="auto" w:fill="D9D9D9"/>
          </w:tcPr>
          <w:p>
            <w:pPr>
              <w:jc w:val="center"/>
              <w:ind w:right="20"/>
              <w:spacing w:after="0" w:line="193" w:lineRule="exact"/>
              <w:rPr>
                <w:sz w:val="20"/>
                <w:szCs w:val="20"/>
                <w:color w:val="auto"/>
              </w:rPr>
            </w:pPr>
            <w:r>
              <w:rPr>
                <w:rFonts w:ascii="Arial" w:cs="Arial" w:eastAsia="Arial" w:hAnsi="Arial"/>
                <w:sz w:val="18"/>
                <w:szCs w:val="18"/>
                <w:b w:val="1"/>
                <w:bCs w:val="1"/>
                <w:color w:val="auto"/>
                <w:w w:val="94"/>
              </w:rPr>
              <w:t>Incorporation</w:t>
            </w:r>
          </w:p>
        </w:tc>
        <w:tc>
          <w:tcPr>
            <w:tcW w:w="520" w:type="dxa"/>
            <w:vAlign w:val="bottom"/>
            <w:tcBorders>
              <w:top w:val="single" w:sz="8" w:color="D9D9D9"/>
              <w:right w:val="single" w:sz="8" w:color="auto"/>
            </w:tcBorders>
            <w:vMerge w:val="restart"/>
            <w:shd w:val="clear" w:color="auto" w:fill="D9D9D9"/>
          </w:tcPr>
          <w:p>
            <w:pPr>
              <w:spacing w:after="0"/>
              <w:rPr>
                <w:sz w:val="8"/>
                <w:szCs w:val="8"/>
                <w:color w:val="auto"/>
              </w:rPr>
            </w:pPr>
          </w:p>
        </w:tc>
        <w:tc>
          <w:tcPr>
            <w:tcW w:w="280" w:type="dxa"/>
            <w:vAlign w:val="bottom"/>
            <w:tcBorders>
              <w:top w:val="single" w:sz="8" w:color="D9D9D9"/>
            </w:tcBorders>
            <w:shd w:val="clear" w:color="auto" w:fill="D9D9D9"/>
          </w:tcPr>
          <w:p>
            <w:pPr>
              <w:spacing w:after="0"/>
              <w:rPr>
                <w:sz w:val="8"/>
                <w:szCs w:val="8"/>
                <w:color w:val="auto"/>
              </w:rPr>
            </w:pPr>
          </w:p>
        </w:tc>
        <w:tc>
          <w:tcPr>
            <w:tcW w:w="800" w:type="dxa"/>
            <w:vAlign w:val="bottom"/>
            <w:tcBorders>
              <w:top w:val="single" w:sz="8" w:color="auto"/>
            </w:tcBorders>
            <w:shd w:val="clear" w:color="auto" w:fill="D9D9D9"/>
          </w:tcPr>
          <w:p>
            <w:pPr>
              <w:spacing w:after="0"/>
              <w:rPr>
                <w:sz w:val="8"/>
                <w:szCs w:val="8"/>
                <w:color w:val="auto"/>
              </w:rPr>
            </w:pPr>
          </w:p>
        </w:tc>
        <w:tc>
          <w:tcPr>
            <w:tcW w:w="1480" w:type="dxa"/>
            <w:vAlign w:val="bottom"/>
            <w:tcBorders>
              <w:top w:val="single" w:sz="8" w:color="auto"/>
            </w:tcBorders>
            <w:gridSpan w:val="2"/>
            <w:vMerge w:val="restart"/>
            <w:shd w:val="clear" w:color="auto" w:fill="D9D9D9"/>
          </w:tcPr>
          <w:p>
            <w:pPr>
              <w:jc w:val="center"/>
              <w:ind w:right="800"/>
              <w:spacing w:after="0" w:line="193" w:lineRule="exact"/>
              <w:rPr>
                <w:sz w:val="20"/>
                <w:szCs w:val="20"/>
                <w:color w:val="auto"/>
              </w:rPr>
            </w:pPr>
            <w:r>
              <w:rPr>
                <w:rFonts w:ascii="Arial" w:cs="Arial" w:eastAsia="Arial" w:hAnsi="Arial"/>
                <w:sz w:val="18"/>
                <w:szCs w:val="18"/>
                <w:b w:val="1"/>
                <w:bCs w:val="1"/>
                <w:color w:val="auto"/>
                <w:w w:val="84"/>
              </w:rPr>
              <w:t>Business</w:t>
            </w:r>
          </w:p>
        </w:tc>
        <w:tc>
          <w:tcPr>
            <w:tcW w:w="320" w:type="dxa"/>
            <w:vAlign w:val="bottom"/>
            <w:tcBorders>
              <w:top w:val="single" w:sz="8" w:color="D9D9D9"/>
              <w:right w:val="single" w:sz="8" w:color="auto"/>
            </w:tcBorders>
            <w:vMerge w:val="restart"/>
            <w:shd w:val="clear" w:color="auto" w:fill="D9D9D9"/>
          </w:tcPr>
          <w:p>
            <w:pPr>
              <w:spacing w:after="0"/>
              <w:rPr>
                <w:sz w:val="8"/>
                <w:szCs w:val="8"/>
                <w:color w:val="auto"/>
              </w:rPr>
            </w:pPr>
          </w:p>
        </w:tc>
        <w:tc>
          <w:tcPr>
            <w:tcW w:w="300" w:type="dxa"/>
            <w:vAlign w:val="bottom"/>
            <w:tcBorders>
              <w:top w:val="single" w:sz="8" w:color="D9D9D9"/>
            </w:tcBorders>
            <w:shd w:val="clear" w:color="auto" w:fill="D9D9D9"/>
          </w:tcPr>
          <w:p>
            <w:pPr>
              <w:spacing w:after="0"/>
              <w:rPr>
                <w:sz w:val="8"/>
                <w:szCs w:val="8"/>
                <w:color w:val="auto"/>
              </w:rPr>
            </w:pPr>
          </w:p>
        </w:tc>
        <w:tc>
          <w:tcPr>
            <w:tcW w:w="1940" w:type="dxa"/>
            <w:vAlign w:val="bottom"/>
            <w:tcBorders>
              <w:top w:val="single" w:sz="8" w:color="D9D9D9"/>
              <w:right w:val="single" w:sz="8" w:color="auto"/>
            </w:tcBorders>
            <w:gridSpan w:val="6"/>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280" w:type="dxa"/>
            <w:vAlign w:val="bottom"/>
            <w:tcBorders>
              <w:top w:val="single" w:sz="8" w:color="D9D9D9"/>
              <w:left w:val="single" w:sz="8" w:color="auto"/>
            </w:tcBorders>
            <w:shd w:val="clear" w:color="auto" w:fill="D9D9D9"/>
          </w:tcPr>
          <w:p>
            <w:pPr>
              <w:spacing w:after="0"/>
              <w:rPr>
                <w:sz w:val="6"/>
                <w:szCs w:val="6"/>
                <w:color w:val="auto"/>
              </w:rPr>
            </w:pPr>
          </w:p>
        </w:tc>
        <w:tc>
          <w:tcPr>
            <w:tcW w:w="880" w:type="dxa"/>
            <w:vAlign w:val="bottom"/>
            <w:tcBorders>
              <w:top w:val="single" w:sz="8" w:color="auto"/>
            </w:tcBorders>
            <w:shd w:val="clear" w:color="auto" w:fill="D9D9D9"/>
          </w:tcPr>
          <w:p>
            <w:pPr>
              <w:spacing w:after="0"/>
              <w:rPr>
                <w:sz w:val="6"/>
                <w:szCs w:val="6"/>
                <w:color w:val="auto"/>
              </w:rPr>
            </w:pPr>
          </w:p>
        </w:tc>
        <w:tc>
          <w:tcPr>
            <w:tcW w:w="1280" w:type="dxa"/>
            <w:vAlign w:val="bottom"/>
            <w:tcBorders>
              <w:top w:val="single" w:sz="8" w:color="D9D9D9"/>
              <w:right w:val="single" w:sz="8" w:color="auto"/>
            </w:tcBorders>
            <w:shd w:val="clear" w:color="auto" w:fill="D9D9D9"/>
          </w:tcPr>
          <w:p>
            <w:pPr>
              <w:spacing w:after="0"/>
              <w:rPr>
                <w:sz w:val="6"/>
                <w:szCs w:val="6"/>
                <w:color w:val="auto"/>
              </w:rPr>
            </w:pPr>
          </w:p>
        </w:tc>
        <w:tc>
          <w:tcPr>
            <w:tcW w:w="500" w:type="dxa"/>
            <w:vAlign w:val="bottom"/>
            <w:tcBorders>
              <w:top w:val="single" w:sz="8" w:color="D9D9D9"/>
            </w:tcBorders>
            <w:shd w:val="clear" w:color="auto" w:fill="D9D9D9"/>
          </w:tcPr>
          <w:p>
            <w:pPr>
              <w:spacing w:after="0"/>
              <w:rPr>
                <w:sz w:val="6"/>
                <w:szCs w:val="6"/>
                <w:color w:val="auto"/>
              </w:rPr>
            </w:pPr>
          </w:p>
        </w:tc>
        <w:tc>
          <w:tcPr>
            <w:tcW w:w="1120" w:type="dxa"/>
            <w:vAlign w:val="bottom"/>
            <w:tcBorders>
              <w:top w:val="single" w:sz="8" w:color="auto"/>
            </w:tcBorders>
            <w:gridSpan w:val="2"/>
            <w:vMerge w:val="continue"/>
            <w:shd w:val="clear" w:color="auto" w:fill="D9D9D9"/>
          </w:tcPr>
          <w:p>
            <w:pPr>
              <w:spacing w:after="0"/>
              <w:rPr>
                <w:sz w:val="6"/>
                <w:szCs w:val="6"/>
                <w:color w:val="auto"/>
              </w:rPr>
            </w:pPr>
          </w:p>
        </w:tc>
        <w:tc>
          <w:tcPr>
            <w:tcW w:w="520" w:type="dxa"/>
            <w:vAlign w:val="bottom"/>
            <w:tcBorders>
              <w:top w:val="single" w:sz="8" w:color="D9D9D9"/>
              <w:right w:val="single" w:sz="8" w:color="auto"/>
            </w:tcBorders>
            <w:vMerge w:val="continue"/>
            <w:shd w:val="clear" w:color="auto" w:fill="D9D9D9"/>
          </w:tcPr>
          <w:p>
            <w:pPr>
              <w:spacing w:after="0"/>
              <w:rPr>
                <w:sz w:val="6"/>
                <w:szCs w:val="6"/>
                <w:color w:val="auto"/>
              </w:rPr>
            </w:pPr>
          </w:p>
        </w:tc>
        <w:tc>
          <w:tcPr>
            <w:tcW w:w="280" w:type="dxa"/>
            <w:vAlign w:val="bottom"/>
            <w:tcBorders>
              <w:top w:val="single" w:sz="8" w:color="D9D9D9"/>
            </w:tcBorders>
            <w:shd w:val="clear" w:color="auto" w:fill="D9D9D9"/>
          </w:tcPr>
          <w:p>
            <w:pPr>
              <w:spacing w:after="0"/>
              <w:rPr>
                <w:sz w:val="6"/>
                <w:szCs w:val="6"/>
                <w:color w:val="auto"/>
              </w:rPr>
            </w:pPr>
          </w:p>
        </w:tc>
        <w:tc>
          <w:tcPr>
            <w:tcW w:w="800" w:type="dxa"/>
            <w:vAlign w:val="bottom"/>
            <w:tcBorders>
              <w:top w:val="single" w:sz="8" w:color="D9D9D9"/>
            </w:tcBorders>
            <w:shd w:val="clear" w:color="auto" w:fill="D9D9D9"/>
          </w:tcPr>
          <w:p>
            <w:pPr>
              <w:spacing w:after="0"/>
              <w:rPr>
                <w:sz w:val="6"/>
                <w:szCs w:val="6"/>
                <w:color w:val="auto"/>
              </w:rPr>
            </w:pPr>
          </w:p>
        </w:tc>
        <w:tc>
          <w:tcPr>
            <w:tcW w:w="1480" w:type="dxa"/>
            <w:vAlign w:val="bottom"/>
            <w:tcBorders>
              <w:top w:val="single" w:sz="8" w:color="auto"/>
            </w:tcBorders>
            <w:gridSpan w:val="2"/>
            <w:vMerge w:val="continue"/>
            <w:shd w:val="clear" w:color="auto" w:fill="D9D9D9"/>
          </w:tcPr>
          <w:p>
            <w:pPr>
              <w:spacing w:after="0"/>
              <w:rPr>
                <w:sz w:val="6"/>
                <w:szCs w:val="6"/>
                <w:color w:val="auto"/>
              </w:rPr>
            </w:pPr>
          </w:p>
        </w:tc>
        <w:tc>
          <w:tcPr>
            <w:tcW w:w="320" w:type="dxa"/>
            <w:vAlign w:val="bottom"/>
            <w:tcBorders>
              <w:top w:val="single" w:sz="8" w:color="D9D9D9"/>
              <w:right w:val="single" w:sz="8" w:color="auto"/>
            </w:tcBorders>
            <w:vMerge w:val="continue"/>
            <w:shd w:val="clear" w:color="auto" w:fill="D9D9D9"/>
          </w:tcPr>
          <w:p>
            <w:pPr>
              <w:spacing w:after="0"/>
              <w:rPr>
                <w:sz w:val="6"/>
                <w:szCs w:val="6"/>
                <w:color w:val="auto"/>
              </w:rPr>
            </w:pPr>
          </w:p>
        </w:tc>
        <w:tc>
          <w:tcPr>
            <w:tcW w:w="300" w:type="dxa"/>
            <w:vAlign w:val="bottom"/>
            <w:tcBorders>
              <w:top w:val="single" w:sz="8" w:color="D9D9D9"/>
            </w:tcBorders>
            <w:shd w:val="clear" w:color="auto" w:fill="D9D9D9"/>
          </w:tcPr>
          <w:p>
            <w:pPr>
              <w:spacing w:after="0"/>
              <w:rPr>
                <w:sz w:val="6"/>
                <w:szCs w:val="6"/>
                <w:color w:val="auto"/>
              </w:rPr>
            </w:pPr>
          </w:p>
        </w:tc>
        <w:tc>
          <w:tcPr>
            <w:tcW w:w="40" w:type="dxa"/>
            <w:vAlign w:val="bottom"/>
            <w:tcBorders>
              <w:top w:val="single" w:sz="8" w:color="auto"/>
            </w:tcBorders>
            <w:shd w:val="clear" w:color="auto" w:fill="D9D9D9"/>
          </w:tcPr>
          <w:p>
            <w:pPr>
              <w:spacing w:after="0"/>
              <w:rPr>
                <w:sz w:val="6"/>
                <w:szCs w:val="6"/>
                <w:color w:val="auto"/>
              </w:rPr>
            </w:pPr>
          </w:p>
        </w:tc>
        <w:tc>
          <w:tcPr>
            <w:tcW w:w="1560" w:type="dxa"/>
            <w:vAlign w:val="bottom"/>
            <w:tcBorders>
              <w:top w:val="single" w:sz="8" w:color="auto"/>
            </w:tcBorders>
            <w:gridSpan w:val="4"/>
            <w:vMerge w:val="restart"/>
            <w:shd w:val="clear" w:color="auto" w:fill="D9D9D9"/>
          </w:tcPr>
          <w:p>
            <w:pPr>
              <w:jc w:val="center"/>
              <w:ind w:right="40"/>
              <w:spacing w:after="0" w:line="193" w:lineRule="exact"/>
              <w:rPr>
                <w:sz w:val="20"/>
                <w:szCs w:val="20"/>
                <w:color w:val="auto"/>
              </w:rPr>
            </w:pPr>
            <w:r>
              <w:rPr>
                <w:rFonts w:ascii="Arial" w:cs="Arial" w:eastAsia="Arial" w:hAnsi="Arial"/>
                <w:sz w:val="18"/>
                <w:szCs w:val="18"/>
                <w:b w:val="1"/>
                <w:bCs w:val="1"/>
                <w:color w:val="auto"/>
                <w:w w:val="96"/>
              </w:rPr>
              <w:t>Unique ID Number</w:t>
            </w:r>
          </w:p>
        </w:tc>
        <w:tc>
          <w:tcPr>
            <w:tcW w:w="340" w:type="dxa"/>
            <w:vAlign w:val="bottom"/>
            <w:tcBorders>
              <w:top w:val="single" w:sz="8" w:color="D9D9D9"/>
              <w:right w:val="single" w:sz="8" w:color="auto"/>
            </w:tcBorders>
            <w:vMerge w:val="restart"/>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1280" w:type="dxa"/>
            <w:vAlign w:val="bottom"/>
            <w:tcBorders>
              <w:top w:val="single" w:sz="8" w:color="D9D9D9"/>
              <w:left w:val="single" w:sz="8" w:color="auto"/>
              <w:bottom w:val="single" w:sz="8" w:color="auto"/>
            </w:tcBorders>
            <w:shd w:val="clear" w:color="auto" w:fill="D9D9D9"/>
          </w:tcPr>
          <w:p>
            <w:pPr>
              <w:spacing w:after="0"/>
              <w:rPr>
                <w:sz w:val="13"/>
                <w:szCs w:val="13"/>
                <w:color w:val="auto"/>
              </w:rPr>
            </w:pPr>
          </w:p>
        </w:tc>
        <w:tc>
          <w:tcPr>
            <w:tcW w:w="880" w:type="dxa"/>
            <w:vAlign w:val="bottom"/>
            <w:tcBorders>
              <w:top w:val="single" w:sz="8" w:color="D9D9D9"/>
              <w:bottom w:val="single" w:sz="8" w:color="auto"/>
            </w:tcBorders>
            <w:shd w:val="clear" w:color="auto" w:fill="D9D9D9"/>
          </w:tcPr>
          <w:p>
            <w:pPr>
              <w:spacing w:after="0"/>
              <w:rPr>
                <w:sz w:val="13"/>
                <w:szCs w:val="13"/>
                <w:color w:val="auto"/>
              </w:rPr>
            </w:pPr>
          </w:p>
        </w:tc>
        <w:tc>
          <w:tcPr>
            <w:tcW w:w="1280" w:type="dxa"/>
            <w:vAlign w:val="bottom"/>
            <w:tcBorders>
              <w:top w:val="single" w:sz="8" w:color="D9D9D9"/>
              <w:bottom w:val="single" w:sz="8" w:color="auto"/>
              <w:right w:val="single" w:sz="8" w:color="auto"/>
            </w:tcBorders>
            <w:shd w:val="clear" w:color="auto" w:fill="D9D9D9"/>
          </w:tcPr>
          <w:p>
            <w:pPr>
              <w:spacing w:after="0"/>
              <w:rPr>
                <w:sz w:val="13"/>
                <w:szCs w:val="13"/>
                <w:color w:val="auto"/>
              </w:rPr>
            </w:pPr>
          </w:p>
        </w:tc>
        <w:tc>
          <w:tcPr>
            <w:tcW w:w="500" w:type="dxa"/>
            <w:vAlign w:val="bottom"/>
            <w:tcBorders>
              <w:top w:val="single" w:sz="8" w:color="D9D9D9"/>
              <w:bottom w:val="single" w:sz="8" w:color="auto"/>
            </w:tcBorders>
            <w:shd w:val="clear" w:color="auto" w:fill="D9D9D9"/>
          </w:tcPr>
          <w:p>
            <w:pPr>
              <w:spacing w:after="0"/>
              <w:rPr>
                <w:sz w:val="13"/>
                <w:szCs w:val="13"/>
                <w:color w:val="auto"/>
              </w:rPr>
            </w:pPr>
          </w:p>
        </w:tc>
        <w:tc>
          <w:tcPr>
            <w:tcW w:w="1100" w:type="dxa"/>
            <w:vAlign w:val="bottom"/>
            <w:tcBorders>
              <w:top w:val="single" w:sz="8" w:color="auto"/>
              <w:bottom w:val="single" w:sz="8" w:color="auto"/>
            </w:tcBorders>
            <w:shd w:val="clear" w:color="auto" w:fill="D9D9D9"/>
          </w:tcPr>
          <w:p>
            <w:pPr>
              <w:spacing w:after="0"/>
              <w:rPr>
                <w:sz w:val="13"/>
                <w:szCs w:val="13"/>
                <w:color w:val="auto"/>
              </w:rPr>
            </w:pPr>
          </w:p>
        </w:tc>
        <w:tc>
          <w:tcPr>
            <w:tcW w:w="20" w:type="dxa"/>
            <w:vAlign w:val="bottom"/>
            <w:tcBorders>
              <w:top w:val="single" w:sz="8" w:color="D9D9D9"/>
              <w:bottom w:val="single" w:sz="8" w:color="auto"/>
            </w:tcBorders>
            <w:shd w:val="clear" w:color="auto" w:fill="D9D9D9"/>
          </w:tcPr>
          <w:p>
            <w:pPr>
              <w:spacing w:after="0"/>
              <w:rPr>
                <w:sz w:val="13"/>
                <w:szCs w:val="13"/>
                <w:color w:val="auto"/>
              </w:rPr>
            </w:pPr>
          </w:p>
        </w:tc>
        <w:tc>
          <w:tcPr>
            <w:tcW w:w="520" w:type="dxa"/>
            <w:vAlign w:val="bottom"/>
            <w:tcBorders>
              <w:top w:val="single" w:sz="8" w:color="D9D9D9"/>
              <w:bottom w:val="single" w:sz="8" w:color="auto"/>
              <w:right w:val="single" w:sz="8" w:color="auto"/>
            </w:tcBorders>
            <w:shd w:val="clear" w:color="auto" w:fill="D9D9D9"/>
          </w:tcPr>
          <w:p>
            <w:pPr>
              <w:spacing w:after="0"/>
              <w:rPr>
                <w:sz w:val="13"/>
                <w:szCs w:val="13"/>
                <w:color w:val="auto"/>
              </w:rPr>
            </w:pPr>
          </w:p>
        </w:tc>
        <w:tc>
          <w:tcPr>
            <w:tcW w:w="280" w:type="dxa"/>
            <w:vAlign w:val="bottom"/>
            <w:tcBorders>
              <w:top w:val="single" w:sz="8" w:color="D9D9D9"/>
              <w:bottom w:val="single" w:sz="8" w:color="auto"/>
            </w:tcBorders>
            <w:shd w:val="clear" w:color="auto" w:fill="D9D9D9"/>
          </w:tcPr>
          <w:p>
            <w:pPr>
              <w:spacing w:after="0"/>
              <w:rPr>
                <w:sz w:val="13"/>
                <w:szCs w:val="13"/>
                <w:color w:val="auto"/>
              </w:rPr>
            </w:pPr>
          </w:p>
        </w:tc>
        <w:tc>
          <w:tcPr>
            <w:tcW w:w="800" w:type="dxa"/>
            <w:vAlign w:val="bottom"/>
            <w:tcBorders>
              <w:top w:val="single" w:sz="8" w:color="D9D9D9"/>
              <w:bottom w:val="single" w:sz="8" w:color="auto"/>
            </w:tcBorders>
            <w:shd w:val="clear" w:color="auto" w:fill="D9D9D9"/>
          </w:tcPr>
          <w:p>
            <w:pPr>
              <w:spacing w:after="0"/>
              <w:rPr>
                <w:sz w:val="13"/>
                <w:szCs w:val="13"/>
                <w:color w:val="auto"/>
              </w:rPr>
            </w:pPr>
          </w:p>
        </w:tc>
        <w:tc>
          <w:tcPr>
            <w:tcW w:w="680" w:type="dxa"/>
            <w:vAlign w:val="bottom"/>
            <w:tcBorders>
              <w:top w:val="single" w:sz="8" w:color="auto"/>
              <w:bottom w:val="single" w:sz="8" w:color="auto"/>
            </w:tcBorders>
            <w:shd w:val="clear" w:color="auto" w:fill="D9D9D9"/>
          </w:tcPr>
          <w:p>
            <w:pPr>
              <w:spacing w:after="0"/>
              <w:rPr>
                <w:sz w:val="13"/>
                <w:szCs w:val="13"/>
                <w:color w:val="auto"/>
              </w:rPr>
            </w:pPr>
          </w:p>
        </w:tc>
        <w:tc>
          <w:tcPr>
            <w:tcW w:w="800" w:type="dxa"/>
            <w:vAlign w:val="bottom"/>
            <w:tcBorders>
              <w:top w:val="single" w:sz="8" w:color="D9D9D9"/>
              <w:bottom w:val="single" w:sz="8" w:color="auto"/>
            </w:tcBorders>
            <w:shd w:val="clear" w:color="auto" w:fill="D9D9D9"/>
          </w:tcPr>
          <w:p>
            <w:pPr>
              <w:spacing w:after="0"/>
              <w:rPr>
                <w:sz w:val="13"/>
                <w:szCs w:val="13"/>
                <w:color w:val="auto"/>
              </w:rPr>
            </w:pPr>
          </w:p>
        </w:tc>
        <w:tc>
          <w:tcPr>
            <w:tcW w:w="320" w:type="dxa"/>
            <w:vAlign w:val="bottom"/>
            <w:tcBorders>
              <w:top w:val="single" w:sz="8" w:color="D9D9D9"/>
              <w:bottom w:val="single" w:sz="8" w:color="auto"/>
              <w:right w:val="single" w:sz="8" w:color="auto"/>
            </w:tcBorders>
            <w:shd w:val="clear" w:color="auto" w:fill="D9D9D9"/>
          </w:tcPr>
          <w:p>
            <w:pPr>
              <w:spacing w:after="0"/>
              <w:rPr>
                <w:sz w:val="13"/>
                <w:szCs w:val="13"/>
                <w:color w:val="auto"/>
              </w:rPr>
            </w:pPr>
          </w:p>
        </w:tc>
        <w:tc>
          <w:tcPr>
            <w:tcW w:w="300" w:type="dxa"/>
            <w:vAlign w:val="bottom"/>
            <w:tcBorders>
              <w:top w:val="single" w:sz="8" w:color="D9D9D9"/>
              <w:bottom w:val="single" w:sz="8" w:color="auto"/>
            </w:tcBorders>
            <w:shd w:val="clear" w:color="auto" w:fill="D9D9D9"/>
          </w:tcPr>
          <w:p>
            <w:pPr>
              <w:spacing w:after="0"/>
              <w:rPr>
                <w:sz w:val="13"/>
                <w:szCs w:val="13"/>
                <w:color w:val="auto"/>
              </w:rPr>
            </w:pPr>
          </w:p>
        </w:tc>
        <w:tc>
          <w:tcPr>
            <w:tcW w:w="40" w:type="dxa"/>
            <w:vAlign w:val="bottom"/>
            <w:tcBorders>
              <w:top w:val="single" w:sz="8" w:color="D9D9D9"/>
              <w:bottom w:val="single" w:sz="8" w:color="auto"/>
            </w:tcBorders>
            <w:shd w:val="clear" w:color="auto" w:fill="D9D9D9"/>
          </w:tcPr>
          <w:p>
            <w:pPr>
              <w:spacing w:after="0"/>
              <w:rPr>
                <w:sz w:val="13"/>
                <w:szCs w:val="13"/>
                <w:color w:val="auto"/>
              </w:rPr>
            </w:pPr>
          </w:p>
        </w:tc>
        <w:tc>
          <w:tcPr>
            <w:tcW w:w="1560" w:type="dxa"/>
            <w:vAlign w:val="bottom"/>
            <w:tcBorders>
              <w:top w:val="single" w:sz="8" w:color="auto"/>
              <w:bottom w:val="single" w:sz="8" w:color="auto"/>
            </w:tcBorders>
            <w:gridSpan w:val="4"/>
            <w:vMerge w:val="continue"/>
            <w:shd w:val="clear" w:color="auto" w:fill="D9D9D9"/>
          </w:tcPr>
          <w:p>
            <w:pPr>
              <w:spacing w:after="0"/>
              <w:rPr>
                <w:sz w:val="13"/>
                <w:szCs w:val="13"/>
                <w:color w:val="auto"/>
              </w:rPr>
            </w:pPr>
          </w:p>
        </w:tc>
        <w:tc>
          <w:tcPr>
            <w:tcW w:w="340" w:type="dxa"/>
            <w:vAlign w:val="bottom"/>
            <w:tcBorders>
              <w:top w:val="single" w:sz="8" w:color="D9D9D9"/>
              <w:bottom w:val="single" w:sz="8" w:color="auto"/>
              <w:right w:val="single" w:sz="8" w:color="auto"/>
            </w:tcBorders>
            <w:vMerge w:val="continue"/>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280" w:type="dxa"/>
            <w:vAlign w:val="bottom"/>
            <w:tcBorders>
              <w:lef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11455 El Camino Real,</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4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Inc.</w:t>
            </w:r>
          </w:p>
        </w:tc>
        <w:tc>
          <w:tcPr>
            <w:tcW w:w="500" w:type="dxa"/>
            <w:vAlign w:val="bottom"/>
          </w:tcPr>
          <w:p>
            <w:pPr>
              <w:spacing w:after="0"/>
              <w:rPr>
                <w:sz w:val="20"/>
                <w:szCs w:val="20"/>
                <w:color w:val="auto"/>
              </w:rPr>
            </w:pPr>
          </w:p>
        </w:tc>
        <w:tc>
          <w:tcPr>
            <w:tcW w:w="1640" w:type="dxa"/>
            <w:vAlign w:val="bottom"/>
            <w:tcBorders>
              <w:right w:val="single" w:sz="8" w:color="auto"/>
            </w:tcBorders>
            <w:gridSpan w:val="3"/>
          </w:tcPr>
          <w:p>
            <w:pPr>
              <w:jc w:val="center"/>
              <w:ind w:right="520"/>
              <w:spacing w:after="0"/>
              <w:rPr>
                <w:sz w:val="20"/>
                <w:szCs w:val="20"/>
                <w:color w:val="auto"/>
              </w:rPr>
            </w:pPr>
            <w:r>
              <w:rPr>
                <w:rFonts w:ascii="Arial" w:cs="Arial" w:eastAsia="Arial" w:hAnsi="Arial"/>
                <w:sz w:val="18"/>
                <w:szCs w:val="18"/>
                <w:color w:val="auto"/>
                <w:w w:val="97"/>
              </w:rPr>
              <w:t>Maryland</w:t>
            </w:r>
          </w:p>
        </w:tc>
        <w:tc>
          <w:tcPr>
            <w:tcW w:w="288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Ste. 200, San Diego, CA</w:t>
            </w:r>
          </w:p>
        </w:tc>
        <w:tc>
          <w:tcPr>
            <w:tcW w:w="1760" w:type="dxa"/>
            <w:vAlign w:val="bottom"/>
            <w:gridSpan w:val="4"/>
          </w:tcPr>
          <w:p>
            <w:pPr>
              <w:jc w:val="center"/>
              <w:ind w:left="348"/>
              <w:spacing w:after="0"/>
              <w:rPr>
                <w:sz w:val="20"/>
                <w:szCs w:val="20"/>
                <w:color w:val="auto"/>
              </w:rPr>
            </w:pPr>
            <w:r>
              <w:rPr>
                <w:rFonts w:ascii="Arial" w:cs="Arial" w:eastAsia="Arial" w:hAnsi="Arial"/>
                <w:sz w:val="18"/>
                <w:szCs w:val="18"/>
                <w:color w:val="auto"/>
                <w:w w:val="91"/>
              </w:rPr>
              <w:t>27-3338708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280" w:type="dxa"/>
            <w:vAlign w:val="bottom"/>
            <w:tcBorders>
              <w:left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1280" w:type="dxa"/>
            <w:vAlign w:val="bottom"/>
            <w:tcBorders>
              <w:lef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11455 El Camino Real,</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4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American Assets Trust, L.P.</w:t>
            </w:r>
          </w:p>
        </w:tc>
        <w:tc>
          <w:tcPr>
            <w:tcW w:w="500" w:type="dxa"/>
            <w:vAlign w:val="bottom"/>
          </w:tcPr>
          <w:p>
            <w:pPr>
              <w:spacing w:after="0"/>
              <w:rPr>
                <w:sz w:val="20"/>
                <w:szCs w:val="20"/>
                <w:color w:val="auto"/>
              </w:rPr>
            </w:pPr>
          </w:p>
        </w:tc>
        <w:tc>
          <w:tcPr>
            <w:tcW w:w="1640" w:type="dxa"/>
            <w:vAlign w:val="bottom"/>
            <w:tcBorders>
              <w:right w:val="single" w:sz="8" w:color="auto"/>
            </w:tcBorders>
            <w:gridSpan w:val="3"/>
          </w:tcPr>
          <w:p>
            <w:pPr>
              <w:jc w:val="center"/>
              <w:ind w:right="520"/>
              <w:spacing w:after="0"/>
              <w:rPr>
                <w:sz w:val="20"/>
                <w:szCs w:val="20"/>
                <w:color w:val="auto"/>
              </w:rPr>
            </w:pPr>
            <w:r>
              <w:rPr>
                <w:rFonts w:ascii="Arial" w:cs="Arial" w:eastAsia="Arial" w:hAnsi="Arial"/>
                <w:sz w:val="18"/>
                <w:szCs w:val="18"/>
                <w:color w:val="auto"/>
                <w:w w:val="97"/>
              </w:rPr>
              <w:t>Maryland</w:t>
            </w:r>
          </w:p>
        </w:tc>
        <w:tc>
          <w:tcPr>
            <w:tcW w:w="288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Ste. 200, San Diego, CA</w:t>
            </w:r>
          </w:p>
        </w:tc>
        <w:tc>
          <w:tcPr>
            <w:tcW w:w="1760" w:type="dxa"/>
            <w:vAlign w:val="bottom"/>
            <w:gridSpan w:val="4"/>
          </w:tcPr>
          <w:p>
            <w:pPr>
              <w:jc w:val="center"/>
              <w:ind w:left="348"/>
              <w:spacing w:after="0"/>
              <w:rPr>
                <w:sz w:val="20"/>
                <w:szCs w:val="20"/>
                <w:color w:val="auto"/>
              </w:rPr>
            </w:pPr>
            <w:r>
              <w:rPr>
                <w:rFonts w:ascii="Arial" w:cs="Arial" w:eastAsia="Arial" w:hAnsi="Arial"/>
                <w:sz w:val="18"/>
                <w:szCs w:val="18"/>
                <w:color w:val="auto"/>
                <w:w w:val="91"/>
              </w:rPr>
              <w:t>27-3338894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280" w:type="dxa"/>
            <w:vAlign w:val="bottom"/>
            <w:tcBorders>
              <w:left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7" w:right="239" w:bottom="1440" w:gutter="0" w:footer="0" w:header="0"/>
        </w:sectPr>
      </w:pPr>
    </w:p>
    <w:bookmarkStart w:id="514" w:name="page515"/>
    <w:bookmarkEnd w:id="5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1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7"/>
              </w:rPr>
              <w:t>Schedule 7.01(m)</w:t>
            </w:r>
          </w:p>
        </w:tc>
      </w:tr>
      <w:tr>
        <w:trPr>
          <w:trHeight w:val="375"/>
        </w:trPr>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60" w:type="dxa"/>
            <w:vAlign w:val="bottom"/>
            <w:gridSpan w:val="5"/>
          </w:tcPr>
          <w:p>
            <w:pPr>
              <w:ind w:left="660"/>
              <w:spacing w:after="0"/>
              <w:rPr>
                <w:sz w:val="20"/>
                <w:szCs w:val="20"/>
                <w:color w:val="auto"/>
              </w:rPr>
            </w:pPr>
            <w:r>
              <w:rPr>
                <w:rFonts w:ascii="Arial" w:cs="Arial" w:eastAsia="Arial" w:hAnsi="Arial"/>
                <w:sz w:val="18"/>
                <w:szCs w:val="18"/>
                <w:b w:val="1"/>
                <w:bCs w:val="1"/>
                <w:color w:val="auto"/>
              </w:rPr>
              <w:t>Existing LIENS</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83"/>
        </w:trPr>
        <w:tc>
          <w:tcPr>
            <w:tcW w:w="1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r>
        <w:trPr>
          <w:trHeight w:val="255"/>
        </w:trPr>
        <w:tc>
          <w:tcPr>
            <w:tcW w:w="1260" w:type="dxa"/>
            <w:vAlign w:val="bottom"/>
            <w:tcBorders>
              <w:left w:val="single" w:sz="8" w:color="auto"/>
              <w:bottom w:val="single" w:sz="8" w:color="auto"/>
            </w:tcBorders>
            <w:shd w:val="clear" w:color="auto" w:fill="D9D9D9"/>
          </w:tcPr>
          <w:p>
            <w:pPr>
              <w:spacing w:after="0"/>
              <w:rPr>
                <w:sz w:val="22"/>
                <w:szCs w:val="22"/>
                <w:color w:val="auto"/>
              </w:rPr>
            </w:pPr>
          </w:p>
        </w:tc>
        <w:tc>
          <w:tcPr>
            <w:tcW w:w="2280" w:type="dxa"/>
            <w:vAlign w:val="bottom"/>
            <w:tcBorders>
              <w:bottom w:val="single" w:sz="8" w:color="auto"/>
              <w:right w:val="single" w:sz="8" w:color="auto"/>
            </w:tcBorders>
            <w:gridSpan w:val="2"/>
            <w:shd w:val="clear" w:color="auto" w:fill="D9D9D9"/>
          </w:tcPr>
          <w:p>
            <w:pPr>
              <w:spacing w:after="0" w:line="193" w:lineRule="exact"/>
              <w:rPr>
                <w:sz w:val="20"/>
                <w:szCs w:val="20"/>
                <w:color w:val="auto"/>
              </w:rPr>
            </w:pPr>
            <w:r>
              <w:rPr>
                <w:rFonts w:ascii="Arial" w:cs="Arial" w:eastAsia="Arial" w:hAnsi="Arial"/>
                <w:sz w:val="18"/>
                <w:szCs w:val="18"/>
                <w:b w:val="1"/>
                <w:bCs w:val="1"/>
                <w:color w:val="auto"/>
              </w:rPr>
              <w:t>Entity Name</w:t>
            </w:r>
          </w:p>
        </w:tc>
        <w:tc>
          <w:tcPr>
            <w:tcW w:w="500" w:type="dxa"/>
            <w:vAlign w:val="bottom"/>
            <w:tcBorders>
              <w:bottom w:val="single" w:sz="8" w:color="auto"/>
            </w:tcBorders>
            <w:shd w:val="clear" w:color="auto" w:fill="D9D9D9"/>
          </w:tcPr>
          <w:p>
            <w:pPr>
              <w:spacing w:after="0"/>
              <w:rPr>
                <w:sz w:val="22"/>
                <w:szCs w:val="22"/>
                <w:color w:val="auto"/>
              </w:rPr>
            </w:pPr>
          </w:p>
        </w:tc>
        <w:tc>
          <w:tcPr>
            <w:tcW w:w="1620" w:type="dxa"/>
            <w:vAlign w:val="bottom"/>
            <w:tcBorders>
              <w:bottom w:val="single" w:sz="8" w:color="auto"/>
              <w:right w:val="single" w:sz="8" w:color="auto"/>
            </w:tcBorders>
            <w:gridSpan w:val="2"/>
            <w:shd w:val="clear" w:color="auto" w:fill="D9D9D9"/>
          </w:tcPr>
          <w:p>
            <w:pPr>
              <w:spacing w:after="0" w:line="193" w:lineRule="exact"/>
              <w:rPr>
                <w:sz w:val="20"/>
                <w:szCs w:val="20"/>
                <w:color w:val="auto"/>
              </w:rPr>
            </w:pPr>
            <w:r>
              <w:rPr>
                <w:rFonts w:ascii="Arial" w:cs="Arial" w:eastAsia="Arial" w:hAnsi="Arial"/>
                <w:sz w:val="18"/>
                <w:szCs w:val="18"/>
                <w:b w:val="1"/>
                <w:bCs w:val="1"/>
                <w:color w:val="auto"/>
              </w:rPr>
              <w:t>UCC Number</w:t>
            </w:r>
          </w:p>
        </w:tc>
        <w:tc>
          <w:tcPr>
            <w:tcW w:w="800" w:type="dxa"/>
            <w:vAlign w:val="bottom"/>
            <w:tcBorders>
              <w:bottom w:val="single" w:sz="8" w:color="auto"/>
            </w:tcBorders>
            <w:shd w:val="clear" w:color="auto" w:fill="D9D9D9"/>
          </w:tcPr>
          <w:p>
            <w:pPr>
              <w:spacing w:after="0"/>
              <w:rPr>
                <w:sz w:val="22"/>
                <w:szCs w:val="22"/>
                <w:color w:val="auto"/>
              </w:rPr>
            </w:pPr>
          </w:p>
        </w:tc>
        <w:tc>
          <w:tcPr>
            <w:tcW w:w="1540" w:type="dxa"/>
            <w:vAlign w:val="bottom"/>
            <w:tcBorders>
              <w:bottom w:val="single" w:sz="8" w:color="auto"/>
              <w:right w:val="single" w:sz="8" w:color="auto"/>
            </w:tcBorders>
            <w:gridSpan w:val="2"/>
            <w:shd w:val="clear" w:color="auto" w:fill="D9D9D9"/>
          </w:tcPr>
          <w:p>
            <w:pPr>
              <w:jc w:val="center"/>
              <w:ind w:right="840"/>
              <w:spacing w:after="0" w:line="193" w:lineRule="exact"/>
              <w:rPr>
                <w:sz w:val="20"/>
                <w:szCs w:val="20"/>
                <w:color w:val="auto"/>
              </w:rPr>
            </w:pPr>
            <w:r>
              <w:rPr>
                <w:rFonts w:ascii="Arial" w:cs="Arial" w:eastAsia="Arial" w:hAnsi="Arial"/>
                <w:sz w:val="18"/>
                <w:szCs w:val="18"/>
                <w:b w:val="1"/>
                <w:bCs w:val="1"/>
                <w:color w:val="auto"/>
                <w:w w:val="93"/>
              </w:rPr>
              <w:t>Location</w:t>
            </w:r>
          </w:p>
        </w:tc>
        <w:tc>
          <w:tcPr>
            <w:tcW w:w="2660" w:type="dxa"/>
            <w:vAlign w:val="bottom"/>
            <w:tcBorders>
              <w:bottom w:val="single" w:sz="8" w:color="auto"/>
              <w:right w:val="single" w:sz="8" w:color="auto"/>
            </w:tcBorders>
            <w:gridSpan w:val="3"/>
            <w:shd w:val="clear" w:color="auto" w:fill="D9D9D9"/>
          </w:tcPr>
          <w:p>
            <w:pPr>
              <w:ind w:left="920"/>
              <w:spacing w:after="0" w:line="193" w:lineRule="exact"/>
              <w:rPr>
                <w:sz w:val="20"/>
                <w:szCs w:val="20"/>
                <w:color w:val="auto"/>
              </w:rPr>
            </w:pPr>
            <w:r>
              <w:rPr>
                <w:rFonts w:ascii="Arial" w:cs="Arial" w:eastAsia="Arial" w:hAnsi="Arial"/>
                <w:sz w:val="18"/>
                <w:szCs w:val="18"/>
                <w:b w:val="1"/>
                <w:bCs w:val="1"/>
                <w:color w:val="auto"/>
              </w:rPr>
              <w:t>Collateral</w:t>
            </w:r>
          </w:p>
        </w:tc>
        <w:tc>
          <w:tcPr>
            <w:tcW w:w="360" w:type="dxa"/>
            <w:vAlign w:val="bottom"/>
          </w:tcPr>
          <w:p>
            <w:pPr>
              <w:spacing w:after="0"/>
              <w:rPr>
                <w:sz w:val="22"/>
                <w:szCs w:val="22"/>
                <w:color w:val="auto"/>
              </w:rPr>
            </w:pPr>
          </w:p>
        </w:tc>
      </w:tr>
      <w:tr>
        <w:trPr>
          <w:trHeight w:val="213"/>
        </w:trPr>
        <w:tc>
          <w:tcPr>
            <w:tcW w:w="3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ABW Lewers LLC</w:t>
            </w:r>
          </w:p>
        </w:tc>
        <w:tc>
          <w:tcPr>
            <w:tcW w:w="1580" w:type="dxa"/>
            <w:vAlign w:val="bottom"/>
            <w:gridSpan w:val="2"/>
          </w:tcPr>
          <w:p>
            <w:pPr>
              <w:jc w:val="center"/>
              <w:ind w:left="428"/>
              <w:spacing w:after="0"/>
              <w:rPr>
                <w:sz w:val="20"/>
                <w:szCs w:val="20"/>
                <w:color w:val="auto"/>
              </w:rPr>
            </w:pPr>
            <w:r>
              <w:rPr>
                <w:rFonts w:ascii="Arial" w:cs="Arial" w:eastAsia="Arial" w:hAnsi="Arial"/>
                <w:sz w:val="18"/>
                <w:szCs w:val="18"/>
                <w:color w:val="auto"/>
                <w:w w:val="92"/>
              </w:rPr>
              <w:t>2006-227575</w:t>
            </w:r>
          </w:p>
        </w:tc>
        <w:tc>
          <w:tcPr>
            <w:tcW w:w="5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Hawaii Bureau of</w:t>
            </w:r>
          </w:p>
        </w:tc>
        <w:tc>
          <w:tcPr>
            <w:tcW w:w="26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Equipment Lease Filing</w:t>
            </w:r>
          </w:p>
        </w:tc>
        <w:tc>
          <w:tcPr>
            <w:tcW w:w="360" w:type="dxa"/>
            <w:vAlign w:val="bottom"/>
          </w:tcPr>
          <w:p>
            <w:pPr>
              <w:spacing w:after="0"/>
              <w:rPr>
                <w:sz w:val="18"/>
                <w:szCs w:val="18"/>
                <w:color w:val="auto"/>
              </w:rPr>
            </w:pPr>
          </w:p>
        </w:tc>
      </w:tr>
      <w:tr>
        <w:trPr>
          <w:trHeight w:val="233"/>
        </w:trPr>
        <w:tc>
          <w:tcPr>
            <w:tcW w:w="1260" w:type="dxa"/>
            <w:vAlign w:val="bottom"/>
            <w:tcBorders>
              <w:left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Conveyances</w:t>
            </w: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r>
      <w:tr>
        <w:trPr>
          <w:trHeight w:val="21"/>
        </w:trPr>
        <w:tc>
          <w:tcPr>
            <w:tcW w:w="1260" w:type="dxa"/>
            <w:vAlign w:val="bottom"/>
            <w:tcBorders>
              <w:left w:val="single" w:sz="8" w:color="auto"/>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4"/>
        </w:trPr>
        <w:tc>
          <w:tcPr>
            <w:tcW w:w="3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Del Monte Centre Holdings LLC</w:t>
            </w:r>
          </w:p>
        </w:tc>
        <w:tc>
          <w:tcPr>
            <w:tcW w:w="21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08-7176897215</w:t>
            </w:r>
          </w:p>
        </w:tc>
        <w:tc>
          <w:tcPr>
            <w:tcW w:w="23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3"/>
              </w:rPr>
              <w:t>California Secretary of State</w:t>
            </w:r>
          </w:p>
        </w:tc>
        <w:tc>
          <w:tcPr>
            <w:tcW w:w="26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Equipment Lease Filing</w:t>
            </w:r>
          </w:p>
        </w:tc>
        <w:tc>
          <w:tcPr>
            <w:tcW w:w="360" w:type="dxa"/>
            <w:vAlign w:val="bottom"/>
          </w:tcPr>
          <w:p>
            <w:pPr>
              <w:spacing w:after="0"/>
              <w:rPr>
                <w:sz w:val="20"/>
                <w:szCs w:val="20"/>
                <w:color w:val="auto"/>
              </w:rPr>
            </w:pPr>
          </w:p>
        </w:tc>
      </w:tr>
      <w:tr>
        <w:trPr>
          <w:trHeight w:val="21"/>
        </w:trPr>
        <w:tc>
          <w:tcPr>
            <w:tcW w:w="1260" w:type="dxa"/>
            <w:vAlign w:val="bottom"/>
            <w:tcBorders>
              <w:left w:val="single" w:sz="8" w:color="auto"/>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3"/>
        </w:trPr>
        <w:tc>
          <w:tcPr>
            <w:tcW w:w="3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EBW Hotel LLC</w:t>
            </w:r>
          </w:p>
        </w:tc>
        <w:tc>
          <w:tcPr>
            <w:tcW w:w="1580" w:type="dxa"/>
            <w:vAlign w:val="bottom"/>
            <w:gridSpan w:val="2"/>
          </w:tcPr>
          <w:p>
            <w:pPr>
              <w:jc w:val="center"/>
              <w:ind w:left="428"/>
              <w:spacing w:after="0"/>
              <w:rPr>
                <w:sz w:val="20"/>
                <w:szCs w:val="20"/>
                <w:color w:val="auto"/>
              </w:rPr>
            </w:pPr>
            <w:r>
              <w:rPr>
                <w:rFonts w:ascii="Arial" w:cs="Arial" w:eastAsia="Arial" w:hAnsi="Arial"/>
                <w:sz w:val="18"/>
                <w:szCs w:val="18"/>
                <w:color w:val="auto"/>
                <w:w w:val="92"/>
              </w:rPr>
              <w:t>2007-045320</w:t>
            </w:r>
          </w:p>
        </w:tc>
        <w:tc>
          <w:tcPr>
            <w:tcW w:w="5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Hawaii Bureau of</w:t>
            </w:r>
          </w:p>
        </w:tc>
        <w:tc>
          <w:tcPr>
            <w:tcW w:w="26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Equipment Lease Filing</w:t>
            </w:r>
          </w:p>
        </w:tc>
        <w:tc>
          <w:tcPr>
            <w:tcW w:w="360" w:type="dxa"/>
            <w:vAlign w:val="bottom"/>
          </w:tcPr>
          <w:p>
            <w:pPr>
              <w:spacing w:after="0"/>
              <w:rPr>
                <w:sz w:val="18"/>
                <w:szCs w:val="18"/>
                <w:color w:val="auto"/>
              </w:rPr>
            </w:pPr>
          </w:p>
        </w:tc>
      </w:tr>
      <w:tr>
        <w:trPr>
          <w:trHeight w:val="233"/>
        </w:trPr>
        <w:tc>
          <w:tcPr>
            <w:tcW w:w="1260" w:type="dxa"/>
            <w:vAlign w:val="bottom"/>
            <w:tcBorders>
              <w:left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Conveyances</w:t>
            </w: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r>
      <w:tr>
        <w:trPr>
          <w:trHeight w:val="21"/>
        </w:trPr>
        <w:tc>
          <w:tcPr>
            <w:tcW w:w="1260" w:type="dxa"/>
            <w:vAlign w:val="bottom"/>
            <w:tcBorders>
              <w:left w:val="single" w:sz="8" w:color="auto"/>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4"/>
        </w:trPr>
        <w:tc>
          <w:tcPr>
            <w:tcW w:w="3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Pacific Oceanside Holdings LLC</w:t>
            </w:r>
          </w:p>
        </w:tc>
        <w:tc>
          <w:tcPr>
            <w:tcW w:w="1580" w:type="dxa"/>
            <w:vAlign w:val="bottom"/>
            <w:gridSpan w:val="2"/>
          </w:tcPr>
          <w:p>
            <w:pPr>
              <w:jc w:val="center"/>
              <w:ind w:left="428"/>
              <w:spacing w:after="0"/>
              <w:rPr>
                <w:sz w:val="20"/>
                <w:szCs w:val="20"/>
                <w:color w:val="auto"/>
              </w:rPr>
            </w:pPr>
            <w:r>
              <w:rPr>
                <w:rFonts w:ascii="Arial" w:cs="Arial" w:eastAsia="Arial" w:hAnsi="Arial"/>
                <w:sz w:val="18"/>
                <w:szCs w:val="18"/>
                <w:color w:val="auto"/>
                <w:w w:val="91"/>
              </w:rPr>
              <w:t>09-720959113</w:t>
            </w:r>
          </w:p>
        </w:tc>
        <w:tc>
          <w:tcPr>
            <w:tcW w:w="54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3"/>
              </w:rPr>
              <w:t>California Secretary of State</w:t>
            </w:r>
          </w:p>
        </w:tc>
        <w:tc>
          <w:tcPr>
            <w:tcW w:w="26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Equipment Lease Filing</w:t>
            </w:r>
          </w:p>
        </w:tc>
        <w:tc>
          <w:tcPr>
            <w:tcW w:w="360" w:type="dxa"/>
            <w:vAlign w:val="bottom"/>
          </w:tcPr>
          <w:p>
            <w:pPr>
              <w:spacing w:after="0"/>
              <w:rPr>
                <w:sz w:val="20"/>
                <w:szCs w:val="20"/>
                <w:color w:val="auto"/>
              </w:rPr>
            </w:pPr>
          </w:p>
        </w:tc>
      </w:tr>
      <w:tr>
        <w:trPr>
          <w:trHeight w:val="21"/>
        </w:trPr>
        <w:tc>
          <w:tcPr>
            <w:tcW w:w="1260" w:type="dxa"/>
            <w:vAlign w:val="bottom"/>
            <w:tcBorders>
              <w:left w:val="single" w:sz="8" w:color="auto"/>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ectPr>
          <w:pgSz w:w="11900" w:h="16838" w:orient="portrait"/>
          <w:cols w:equalWidth="0" w:num="1">
            <w:col w:w="11020"/>
          </w:cols>
          <w:pgMar w:left="640" w:top="785" w:right="239" w:bottom="1440" w:gutter="0" w:footer="0" w:header="0"/>
        </w:sectPr>
      </w:pPr>
    </w:p>
    <w:bookmarkStart w:id="515" w:name="page516"/>
    <w:bookmarkEnd w:id="515"/>
    <w:p>
      <w:pPr>
        <w:jc w:val="right"/>
        <w:spacing w:after="0"/>
        <w:rPr>
          <w:sz w:val="20"/>
          <w:szCs w:val="20"/>
          <w:color w:val="auto"/>
        </w:rPr>
      </w:pPr>
      <w:r>
        <w:rPr>
          <w:rFonts w:ascii="Arial" w:cs="Arial" w:eastAsia="Arial" w:hAnsi="Arial"/>
          <w:sz w:val="18"/>
          <w:szCs w:val="18"/>
          <w:b w:val="1"/>
          <w:bCs w:val="1"/>
          <w:i w:val="1"/>
          <w:iCs w:val="1"/>
          <w:color w:val="auto"/>
        </w:rPr>
        <w:t>Schedule 7.03</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Existing investments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785" w:right="239" w:bottom="1440" w:gutter="0" w:footer="0" w:header="0"/>
        </w:sectPr>
      </w:pPr>
    </w:p>
    <w:bookmarkStart w:id="516" w:name="page517"/>
    <w:bookmarkEnd w:id="516"/>
    <w:p>
      <w:pPr>
        <w:jc w:val="right"/>
        <w:spacing w:after="0"/>
        <w:rPr>
          <w:sz w:val="20"/>
          <w:szCs w:val="20"/>
          <w:color w:val="auto"/>
        </w:rPr>
      </w:pPr>
      <w:r>
        <w:rPr>
          <w:rFonts w:ascii="Arial" w:cs="Arial" w:eastAsia="Arial" w:hAnsi="Arial"/>
          <w:sz w:val="18"/>
          <w:szCs w:val="18"/>
          <w:b w:val="1"/>
          <w:bCs w:val="1"/>
          <w:i w:val="1"/>
          <w:iCs w:val="1"/>
          <w:color w:val="auto"/>
        </w:rPr>
        <w:t>Schedule 10.02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ADMINISTRATIVE AGENT’S OFFICE, CERTAIN ADDRESSES FOR NOTICES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Robert F. Barton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EVP, 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11455 El Camino Real, Suite 200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rbarton@americanassets.com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Telephone: (858) 350-2600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Fax: (858) 350-2620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Adam Wyll</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SVP, General Counsel</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11455 El Camino Real, Suite 200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awyll@americanassets.com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Telephone: (858) 350-2600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Fax: (858) 350-2620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Website: </w:t>
      </w:r>
      <w:r>
        <w:rPr>
          <w:rFonts w:ascii="Arial" w:cs="Arial" w:eastAsia="Arial" w:hAnsi="Arial"/>
          <w:sz w:val="18"/>
          <w:szCs w:val="18"/>
          <w:u w:val="single" w:color="auto"/>
          <w:color w:val="0000FF"/>
        </w:rPr>
        <w:t>www.americanassetstrust.com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Robert F. Barton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EVP, 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11455 El Camino Real, Suite 200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rbarton@americanassets.com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Telephone: (858) 350-2600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Fax: (858) 350-2620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Adam Wyll</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SVP, General Counsel</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11455 El Camino Real, Suite 200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awyll@americanassets.com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Telephone: (858) 350-2600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Fax: (858) 350-2620</w:t>
      </w:r>
    </w:p>
    <w:p>
      <w:pPr>
        <w:sectPr>
          <w:pgSz w:w="11900" w:h="16838" w:orient="portrait"/>
          <w:cols w:equalWidth="0" w:num="1">
            <w:col w:w="11420"/>
          </w:cols>
          <w:pgMar w:left="240" w:top="784" w:right="239" w:bottom="1440" w:gutter="0" w:footer="0" w:header="0"/>
        </w:sectPr>
      </w:pPr>
    </w:p>
    <w:bookmarkStart w:id="517" w:name="page518"/>
    <w:bookmarkEnd w:id="517"/>
    <w:p>
      <w:pPr>
        <w:spacing w:after="0"/>
        <w:rPr>
          <w:sz w:val="20"/>
          <w:szCs w:val="20"/>
          <w:color w:val="auto"/>
        </w:rPr>
      </w:pPr>
      <w:r>
        <w:rPr>
          <w:rFonts w:ascii="Arial" w:cs="Arial" w:eastAsia="Arial" w:hAnsi="Arial"/>
          <w:sz w:val="18"/>
          <w:szCs w:val="18"/>
          <w:b w:val="1"/>
          <w:bCs w:val="1"/>
          <w:color w:val="auto"/>
        </w:rPr>
        <w:t>ADMINISTRATIVE AGENT: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4747 Executive Drive</w:t>
      </w:r>
    </w:p>
    <w:p>
      <w:pPr>
        <w:spacing w:after="0" w:line="197" w:lineRule="auto"/>
        <w:rPr>
          <w:sz w:val="20"/>
          <w:szCs w:val="20"/>
          <w:color w:val="auto"/>
        </w:rPr>
      </w:pPr>
      <w:r>
        <w:rPr>
          <w:rFonts w:ascii="Arial" w:cs="Arial" w:eastAsia="Arial" w:hAnsi="Arial"/>
          <w:sz w:val="18"/>
          <w:szCs w:val="18"/>
          <w:color w:val="auto"/>
        </w:rPr>
        <w:t>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Attention: U.S. Bank Commercial Real Estate</w:t>
      </w:r>
    </w:p>
    <w:p>
      <w:pPr>
        <w:sectPr>
          <w:pgSz w:w="11900" w:h="16838" w:orient="portrait"/>
          <w:cols w:equalWidth="0" w:num="1">
            <w:col w:w="10219"/>
          </w:cols>
          <w:pgMar w:left="240" w:top="780" w:right="1440" w:bottom="1440" w:gutter="0" w:footer="0" w:header="0"/>
        </w:sectPr>
      </w:pPr>
    </w:p>
    <w:bookmarkStart w:id="518" w:name="page519"/>
    <w:bookmarkEnd w:id="518"/>
    <w:p>
      <w:pPr>
        <w:jc w:val="right"/>
        <w:spacing w:after="0"/>
        <w:rPr>
          <w:sz w:val="20"/>
          <w:szCs w:val="20"/>
          <w:color w:val="auto"/>
        </w:rPr>
      </w:pPr>
      <w:r>
        <w:rPr>
          <w:rFonts w:ascii="Arial" w:cs="Arial" w:eastAsia="Arial" w:hAnsi="Arial"/>
          <w:sz w:val="20"/>
          <w:szCs w:val="20"/>
          <w:b w:val="1"/>
          <w:bCs w:val="1"/>
          <w:i w:val="1"/>
          <w:iCs w:val="1"/>
          <w:color w:val="auto"/>
        </w:rPr>
        <w:t>EXHIBIT A</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LOAN NOTICE</w:t>
      </w:r>
    </w:p>
    <w:p>
      <w:pPr>
        <w:spacing w:after="0" w:line="213" w:lineRule="exact"/>
        <w:rPr>
          <w:sz w:val="20"/>
          <w:szCs w:val="20"/>
          <w:color w:val="auto"/>
        </w:rPr>
      </w:pPr>
    </w:p>
    <w:p>
      <w:pPr>
        <w:ind w:left="9240"/>
        <w:spacing w:after="0"/>
        <w:rPr>
          <w:sz w:val="20"/>
          <w:szCs w:val="20"/>
          <w:color w:val="auto"/>
        </w:rPr>
      </w:pPr>
      <w:r>
        <w:rPr>
          <w:rFonts w:ascii="Arial" w:cs="Arial" w:eastAsia="Arial" w:hAnsi="Arial"/>
          <w:sz w:val="17"/>
          <w:szCs w:val="17"/>
          <w:color w:val="auto"/>
        </w:rPr>
        <w:t>Date: ___________, _____</w:t>
      </w:r>
    </w:p>
    <w:p>
      <w:pPr>
        <w:spacing w:after="0" w:line="58"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U.S. Bank National Association, as Administrative Agent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Reference is made to that certain Term Loan Credit Agreement, dated as of March 1, 2016 (as amended, restated, extended, supplemented or otherwise modified in writing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the terms defined therein being used herein as therein defined), among American Assets Trust, Inc., a Maryland corporation, American Assets Trust, L.P., a Maryland limited partnership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and U.S. Bank National Association, as Administrative Agent.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The undersigned hereby requests (select one):</w:t>
      </w:r>
    </w:p>
    <w:p>
      <w:pPr>
        <w:spacing w:after="0" w:line="200" w:lineRule="exact"/>
        <w:rPr>
          <w:sz w:val="20"/>
          <w:szCs w:val="20"/>
          <w:color w:val="auto"/>
        </w:rPr>
      </w:pPr>
    </w:p>
    <w:p>
      <w:pPr>
        <w:spacing w:after="0" w:line="24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 xml:space="preserve">o </w:t>
      </w:r>
      <w:r>
        <w:rPr>
          <w:rFonts w:ascii="Arial" w:cs="Arial" w:eastAsia="Arial" w:hAnsi="Arial"/>
          <w:sz w:val="19"/>
          <w:szCs w:val="19"/>
          <w:color w:val="auto"/>
        </w:rPr>
        <w:t>A Borrowing</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20"/>
          <w:szCs w:val="20"/>
          <w:color w:val="auto"/>
        </w:rPr>
        <w:t>o A conversion or continuation of</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Term Loans</w:t>
      </w:r>
    </w:p>
    <w:p>
      <w:pPr>
        <w:spacing w:after="0" w:line="200" w:lineRule="exact"/>
        <w:rPr>
          <w:sz w:val="20"/>
          <w:szCs w:val="20"/>
          <w:color w:val="auto"/>
        </w:rPr>
      </w:pPr>
    </w:p>
    <w:p>
      <w:pPr>
        <w:spacing w:after="0" w:line="316" w:lineRule="exact"/>
        <w:rPr>
          <w:sz w:val="20"/>
          <w:szCs w:val="20"/>
          <w:color w:val="auto"/>
        </w:rPr>
      </w:pPr>
    </w:p>
    <w:p>
      <w:pPr>
        <w:ind w:left="340" w:hanging="340"/>
        <w:spacing w:after="0"/>
        <w:tabs>
          <w:tab w:leader="none" w:pos="340" w:val="left"/>
        </w:tabs>
        <w:numPr>
          <w:ilvl w:val="0"/>
          <w:numId w:val="614"/>
        </w:numPr>
        <w:rPr>
          <w:rFonts w:ascii="Arial" w:cs="Arial" w:eastAsia="Arial" w:hAnsi="Arial"/>
          <w:sz w:val="20"/>
          <w:szCs w:val="20"/>
          <w:color w:val="auto"/>
        </w:rPr>
      </w:pPr>
      <w:r>
        <w:rPr>
          <w:rFonts w:ascii="Arial" w:cs="Arial" w:eastAsia="Arial" w:hAnsi="Arial"/>
          <w:sz w:val="20"/>
          <w:szCs w:val="20"/>
          <w:color w:val="auto"/>
        </w:rPr>
        <w:t>On ___________________________ (a Business Day).</w:t>
      </w:r>
    </w:p>
    <w:p>
      <w:pPr>
        <w:spacing w:after="0" w:line="207" w:lineRule="exact"/>
        <w:rPr>
          <w:rFonts w:ascii="Arial" w:cs="Arial" w:eastAsia="Arial" w:hAnsi="Arial"/>
          <w:sz w:val="20"/>
          <w:szCs w:val="20"/>
          <w:color w:val="auto"/>
        </w:rPr>
      </w:pPr>
    </w:p>
    <w:p>
      <w:pPr>
        <w:ind w:left="320" w:hanging="320"/>
        <w:spacing w:after="0"/>
        <w:tabs>
          <w:tab w:leader="none" w:pos="320" w:val="left"/>
        </w:tabs>
        <w:numPr>
          <w:ilvl w:val="0"/>
          <w:numId w:val="614"/>
        </w:numPr>
        <w:rPr>
          <w:rFonts w:ascii="Arial" w:cs="Arial" w:eastAsia="Arial" w:hAnsi="Arial"/>
          <w:sz w:val="20"/>
          <w:szCs w:val="20"/>
          <w:color w:val="auto"/>
        </w:rPr>
      </w:pPr>
      <w:r>
        <w:rPr>
          <w:rFonts w:ascii="Arial" w:cs="Arial" w:eastAsia="Arial" w:hAnsi="Arial"/>
          <w:sz w:val="20"/>
          <w:szCs w:val="20"/>
          <w:color w:val="auto"/>
        </w:rPr>
        <w:t>In the amount of $________________.</w:t>
      </w:r>
    </w:p>
    <w:p>
      <w:pPr>
        <w:spacing w:after="0" w:line="219" w:lineRule="exact"/>
        <w:rPr>
          <w:rFonts w:ascii="Arial" w:cs="Arial" w:eastAsia="Arial" w:hAnsi="Arial"/>
          <w:sz w:val="20"/>
          <w:szCs w:val="20"/>
          <w:color w:val="auto"/>
        </w:rPr>
      </w:pPr>
    </w:p>
    <w:p>
      <w:pPr>
        <w:ind w:left="1200" w:right="7020" w:hanging="1200"/>
        <w:spacing w:after="0" w:line="514" w:lineRule="auto"/>
        <w:tabs>
          <w:tab w:leader="none" w:pos="317" w:val="left"/>
        </w:tabs>
        <w:numPr>
          <w:ilvl w:val="0"/>
          <w:numId w:val="614"/>
        </w:numPr>
        <w:rPr>
          <w:rFonts w:ascii="Arial" w:cs="Arial" w:eastAsia="Arial" w:hAnsi="Arial"/>
          <w:sz w:val="18"/>
          <w:szCs w:val="18"/>
          <w:color w:val="auto"/>
        </w:rPr>
      </w:pPr>
      <w:r>
        <w:rPr>
          <w:rFonts w:ascii="Arial" w:cs="Arial" w:eastAsia="Arial" w:hAnsi="Arial"/>
          <w:sz w:val="18"/>
          <w:szCs w:val="18"/>
          <w:color w:val="auto"/>
        </w:rPr>
        <w:t>Comprised of _____________________________. [Type of Term Loan requested]</w:t>
      </w:r>
    </w:p>
    <w:p>
      <w:pPr>
        <w:ind w:left="320" w:hanging="320"/>
        <w:spacing w:after="0"/>
        <w:tabs>
          <w:tab w:leader="none" w:pos="320" w:val="left"/>
        </w:tabs>
        <w:numPr>
          <w:ilvl w:val="0"/>
          <w:numId w:val="614"/>
        </w:numPr>
        <w:rPr>
          <w:rFonts w:ascii="Arial" w:cs="Arial" w:eastAsia="Arial" w:hAnsi="Arial"/>
          <w:sz w:val="20"/>
          <w:szCs w:val="20"/>
          <w:color w:val="auto"/>
        </w:rPr>
      </w:pPr>
      <w:r>
        <w:rPr>
          <w:rFonts w:ascii="Arial" w:cs="Arial" w:eastAsia="Arial" w:hAnsi="Arial"/>
          <w:sz w:val="20"/>
          <w:szCs w:val="20"/>
          <w:color w:val="auto"/>
        </w:rPr>
        <w:t>For Eurodollar Rate Loans: with an Interest Period of _____ months.</w:t>
      </w:r>
    </w:p>
    <w:p>
      <w:pPr>
        <w:spacing w:after="0" w:line="219" w:lineRule="exact"/>
        <w:rPr>
          <w:rFonts w:ascii="Arial" w:cs="Arial" w:eastAsia="Arial" w:hAnsi="Arial"/>
          <w:sz w:val="20"/>
          <w:szCs w:val="20"/>
          <w:color w:val="auto"/>
        </w:rPr>
      </w:pPr>
    </w:p>
    <w:p>
      <w:pPr>
        <w:ind w:left="600" w:hanging="600"/>
        <w:spacing w:after="0"/>
        <w:tabs>
          <w:tab w:leader="none" w:pos="600" w:val="left"/>
        </w:tabs>
        <w:numPr>
          <w:ilvl w:val="0"/>
          <w:numId w:val="614"/>
        </w:numPr>
        <w:rPr>
          <w:rFonts w:ascii="Arial" w:cs="Arial" w:eastAsia="Arial" w:hAnsi="Arial"/>
          <w:sz w:val="20"/>
          <w:szCs w:val="20"/>
          <w:color w:val="auto"/>
        </w:rPr>
      </w:pPr>
      <w:r>
        <w:rPr>
          <w:rFonts w:ascii="Arial" w:cs="Arial" w:eastAsia="Arial" w:hAnsi="Arial"/>
          <w:sz w:val="20"/>
          <w:szCs w:val="20"/>
          <w:color w:val="auto"/>
        </w:rPr>
        <w:t>The Term Loans borrowed hereunder, if any, shall be disbursed to the following deposit account:</w:t>
      </w:r>
    </w:p>
    <w:p>
      <w:pPr>
        <w:spacing w:after="0" w:line="23" w:lineRule="exact"/>
        <w:rPr>
          <w:rFonts w:ascii="Arial" w:cs="Arial" w:eastAsia="Arial" w:hAnsi="Arial"/>
          <w:sz w:val="20"/>
          <w:szCs w:val="20"/>
          <w:color w:val="auto"/>
        </w:rPr>
      </w:pPr>
    </w:p>
    <w:p>
      <w:pPr>
        <w:ind w:left="600"/>
        <w:spacing w:after="0"/>
        <w:rPr>
          <w:rFonts w:ascii="Arial" w:cs="Arial" w:eastAsia="Arial" w:hAnsi="Arial"/>
          <w:sz w:val="20"/>
          <w:szCs w:val="20"/>
          <w:color w:val="auto"/>
        </w:rPr>
      </w:pPr>
      <w:r>
        <w:rPr>
          <w:rFonts w:ascii="Arial" w:cs="Arial" w:eastAsia="Arial" w:hAnsi="Arial"/>
          <w:sz w:val="20"/>
          <w:szCs w:val="20"/>
          <w:color w:val="auto"/>
        </w:rPr>
        <w:t>____________________</w:t>
      </w:r>
    </w:p>
    <w:p>
      <w:pPr>
        <w:spacing w:after="0" w:line="7" w:lineRule="exact"/>
        <w:rPr>
          <w:rFonts w:ascii="Arial" w:cs="Arial" w:eastAsia="Arial" w:hAnsi="Arial"/>
          <w:sz w:val="20"/>
          <w:szCs w:val="20"/>
          <w:color w:val="auto"/>
        </w:rPr>
      </w:pPr>
    </w:p>
    <w:p>
      <w:pPr>
        <w:ind w:left="600"/>
        <w:spacing w:after="0"/>
        <w:rPr>
          <w:rFonts w:ascii="Arial" w:cs="Arial" w:eastAsia="Arial" w:hAnsi="Arial"/>
          <w:sz w:val="20"/>
          <w:szCs w:val="20"/>
          <w:color w:val="auto"/>
        </w:rPr>
      </w:pPr>
      <w:r>
        <w:rPr>
          <w:rFonts w:ascii="Arial" w:cs="Arial" w:eastAsia="Arial" w:hAnsi="Arial"/>
          <w:sz w:val="20"/>
          <w:szCs w:val="20"/>
          <w:color w:val="auto"/>
        </w:rPr>
        <w:t>____________________</w:t>
      </w:r>
    </w:p>
    <w:p>
      <w:pPr>
        <w:spacing w:after="0" w:line="7" w:lineRule="exact"/>
        <w:rPr>
          <w:rFonts w:ascii="Arial" w:cs="Arial" w:eastAsia="Arial" w:hAnsi="Arial"/>
          <w:sz w:val="20"/>
          <w:szCs w:val="20"/>
          <w:color w:val="auto"/>
        </w:rPr>
      </w:pPr>
    </w:p>
    <w:p>
      <w:pPr>
        <w:ind w:left="600"/>
        <w:spacing w:after="0"/>
        <w:rPr>
          <w:rFonts w:ascii="Arial" w:cs="Arial" w:eastAsia="Arial" w:hAnsi="Arial"/>
          <w:sz w:val="20"/>
          <w:szCs w:val="20"/>
          <w:color w:val="auto"/>
        </w:rPr>
      </w:pPr>
      <w:r>
        <w:rPr>
          <w:rFonts w:ascii="Arial" w:cs="Arial" w:eastAsia="Arial" w:hAnsi="Arial"/>
          <w:sz w:val="20"/>
          <w:szCs w:val="20"/>
          <w:color w:val="auto"/>
        </w:rPr>
        <w:t>____________________</w:t>
      </w:r>
    </w:p>
    <w:p>
      <w:pPr>
        <w:sectPr>
          <w:pgSz w:w="11900" w:h="16838" w:orient="portrait"/>
          <w:cols w:equalWidth="0" w:num="1">
            <w:col w:w="11420"/>
          </w:cols>
          <w:pgMar w:left="240" w:top="357" w:right="239" w:bottom="1440" w:gutter="0" w:footer="0" w:header="0"/>
        </w:sectPr>
      </w:pPr>
    </w:p>
    <w:bookmarkStart w:id="519" w:name="page520"/>
    <w:bookmarkEnd w:id="519"/>
    <w:p>
      <w:pPr>
        <w:spacing w:after="0" w:line="282" w:lineRule="auto"/>
        <w:rPr>
          <w:sz w:val="20"/>
          <w:szCs w:val="20"/>
          <w:color w:val="auto"/>
        </w:rPr>
      </w:pPr>
      <w:r>
        <w:rPr>
          <w:rFonts w:ascii="Arial" w:cs="Arial" w:eastAsia="Arial" w:hAnsi="Arial"/>
          <w:sz w:val="18"/>
          <w:szCs w:val="18"/>
          <w:color w:val="auto"/>
        </w:rPr>
        <w:t xml:space="preserve">[The Borrower hereby represents and warrants that the conditions specified in </w:t>
      </w:r>
      <w:r>
        <w:rPr>
          <w:rFonts w:ascii="Arial" w:cs="Arial" w:eastAsia="Arial" w:hAnsi="Arial"/>
          <w:sz w:val="18"/>
          <w:szCs w:val="18"/>
          <w:u w:val="single" w:color="auto"/>
          <w:color w:val="auto"/>
        </w:rPr>
        <w:t>Sections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be satisfied on and as of the date of the proposed Credit Extension.]</w:t>
      </w:r>
      <w:r>
        <w:rPr>
          <w:rFonts w:ascii="Arial" w:cs="Arial" w:eastAsia="Arial" w:hAnsi="Arial"/>
          <w:sz w:val="23"/>
          <w:szCs w:val="23"/>
          <w:color w:val="auto"/>
          <w:vertAlign w:val="superscript"/>
        </w:rPr>
        <w:t>1</w:t>
      </w:r>
    </w:p>
    <w:p>
      <w:pPr>
        <w:spacing w:after="0" w:line="175"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AMERICAN ASSETS TRUST, L.P.</w:t>
      </w:r>
    </w:p>
    <w:p>
      <w:pPr>
        <w:spacing w:after="0" w:line="21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color w:val="auto"/>
        </w:rPr>
        <w:t>___________________________________________</w:t>
      </w:r>
    </w:p>
    <w:p>
      <w:pPr>
        <w:spacing w:after="0" w:line="131" w:lineRule="exact"/>
        <w:rPr>
          <w:sz w:val="20"/>
          <w:szCs w:val="20"/>
          <w:color w:val="auto"/>
        </w:rPr>
      </w:pPr>
    </w:p>
    <w:p>
      <w:pPr>
        <w:ind w:left="3600"/>
        <w:spacing w:after="0"/>
        <w:tabs>
          <w:tab w:leader="none" w:pos="42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20"/>
          <w:szCs w:val="20"/>
          <w:color w:val="auto"/>
        </w:rPr>
        <w:t>________________________________________</w:t>
      </w:r>
    </w:p>
    <w:p>
      <w:pPr>
        <w:spacing w:after="0" w:line="12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9"/>
          <w:szCs w:val="19"/>
          <w:color w:val="auto"/>
        </w:rPr>
        <w:t>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w:t>
      </w:r>
    </w:p>
    <w:p>
      <w:pPr>
        <w:spacing w:after="0" w:line="63" w:lineRule="exact"/>
        <w:rPr>
          <w:sz w:val="20"/>
          <w:szCs w:val="20"/>
          <w:color w:val="auto"/>
        </w:rPr>
      </w:pPr>
    </w:p>
    <w:p>
      <w:pPr>
        <w:ind w:left="80" w:hanging="80"/>
        <w:spacing w:after="0"/>
        <w:tabs>
          <w:tab w:leader="none" w:pos="80" w:val="left"/>
        </w:tabs>
        <w:numPr>
          <w:ilvl w:val="0"/>
          <w:numId w:val="615"/>
        </w:numPr>
        <w:rPr>
          <w:rFonts w:ascii="Arial" w:cs="Arial" w:eastAsia="Arial" w:hAnsi="Arial"/>
          <w:sz w:val="21"/>
          <w:szCs w:val="21"/>
          <w:color w:val="auto"/>
          <w:vertAlign w:val="superscript"/>
        </w:rPr>
      </w:pPr>
      <w:r>
        <w:rPr>
          <w:rFonts w:ascii="Arial" w:cs="Arial" w:eastAsia="Arial" w:hAnsi="Arial"/>
          <w:sz w:val="17"/>
          <w:szCs w:val="17"/>
          <w:color w:val="auto"/>
        </w:rPr>
        <w:t>Only applicable to a Borrowing.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Loan Notice</w:t>
      </w:r>
    </w:p>
    <w:p>
      <w:pPr>
        <w:sectPr>
          <w:pgSz w:w="11900" w:h="16838" w:orient="portrait"/>
          <w:cols w:equalWidth="0" w:num="1">
            <w:col w:w="11420"/>
          </w:cols>
          <w:pgMar w:left="240" w:top="348" w:right="239" w:bottom="1440" w:gutter="0" w:footer="0" w:header="0"/>
        </w:sectPr>
      </w:pPr>
    </w:p>
    <w:bookmarkStart w:id="520" w:name="page521"/>
    <w:bookmarkEnd w:id="520"/>
    <w:p>
      <w:pPr>
        <w:jc w:val="right"/>
        <w:spacing w:after="0"/>
        <w:rPr>
          <w:sz w:val="20"/>
          <w:szCs w:val="20"/>
          <w:color w:val="auto"/>
        </w:rPr>
      </w:pPr>
      <w:r>
        <w:rPr>
          <w:rFonts w:ascii="Arial" w:cs="Arial" w:eastAsia="Arial" w:hAnsi="Arial"/>
          <w:sz w:val="20"/>
          <w:szCs w:val="20"/>
          <w:b w:val="1"/>
          <w:bCs w:val="1"/>
          <w:i w:val="1"/>
          <w:iCs w:val="1"/>
          <w:color w:val="auto"/>
        </w:rPr>
        <w:t>EXHIBIT B</w:t>
      </w:r>
    </w:p>
    <w:p>
      <w:pPr>
        <w:spacing w:after="0" w:line="9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[RESERVED]</w:t>
      </w:r>
    </w:p>
    <w:p>
      <w:pPr>
        <w:spacing w:after="0" w:line="200" w:lineRule="exact"/>
        <w:rPr>
          <w:sz w:val="20"/>
          <w:szCs w:val="20"/>
          <w:color w:val="auto"/>
        </w:rPr>
      </w:pPr>
    </w:p>
    <w:p>
      <w:pPr>
        <w:spacing w:after="0" w:line="244"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B-1</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[RESERVED]</w:t>
      </w:r>
    </w:p>
    <w:p>
      <w:pPr>
        <w:sectPr>
          <w:pgSz w:w="11900" w:h="16838" w:orient="portrait"/>
          <w:cols w:equalWidth="0" w:num="1">
            <w:col w:w="10220"/>
          </w:cols>
          <w:pgMar w:left="1440" w:top="795" w:right="239" w:bottom="1440" w:gutter="0" w:footer="0" w:header="0"/>
        </w:sectPr>
      </w:pPr>
    </w:p>
    <w:bookmarkStart w:id="521" w:name="page522"/>
    <w:bookmarkEnd w:id="521"/>
    <w:p>
      <w:pPr>
        <w:jc w:val="right"/>
        <w:spacing w:after="0"/>
        <w:rPr>
          <w:sz w:val="20"/>
          <w:szCs w:val="20"/>
          <w:color w:val="auto"/>
        </w:rPr>
      </w:pPr>
      <w:r>
        <w:rPr>
          <w:rFonts w:ascii="Arial" w:cs="Arial" w:eastAsia="Arial" w:hAnsi="Arial"/>
          <w:sz w:val="20"/>
          <w:szCs w:val="20"/>
          <w:b w:val="1"/>
          <w:bCs w:val="1"/>
          <w:i w:val="1"/>
          <w:iCs w:val="1"/>
          <w:color w:val="auto"/>
        </w:rPr>
        <w:t>EXHIBIT C-1</w:t>
      </w:r>
    </w:p>
    <w:p>
      <w:pPr>
        <w:spacing w:after="0" w:line="20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[RESERVED]</w:t>
      </w:r>
    </w:p>
    <w:p>
      <w:pPr>
        <w:spacing w:after="0" w:line="200" w:lineRule="exact"/>
        <w:rPr>
          <w:sz w:val="20"/>
          <w:szCs w:val="20"/>
          <w:color w:val="auto"/>
        </w:rPr>
      </w:pP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C-1-1</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[RESERVED]</w:t>
      </w:r>
    </w:p>
    <w:p>
      <w:pPr>
        <w:sectPr>
          <w:pgSz w:w="11900" w:h="16838" w:orient="portrait"/>
          <w:cols w:equalWidth="0" w:num="1">
            <w:col w:w="10220"/>
          </w:cols>
          <w:pgMar w:left="1440" w:top="795" w:right="239" w:bottom="1440" w:gutter="0" w:footer="0" w:header="0"/>
        </w:sectPr>
      </w:pPr>
    </w:p>
    <w:bookmarkStart w:id="522" w:name="page523"/>
    <w:bookmarkEnd w:id="522"/>
    <w:tbl>
      <w:tblPr>
        <w:tblLayout w:type="fixed"/>
        <w:tblInd w:w="4700" w:type="dxa"/>
        <w:tblCellMar>
          <w:top w:w="0" w:type="dxa"/>
          <w:left w:w="0" w:type="dxa"/>
          <w:bottom w:w="0" w:type="dxa"/>
          <w:right w:w="0" w:type="dxa"/>
        </w:tblCellMar>
      </w:tblPr>
      <w:tr>
        <w:trPr>
          <w:trHeight w:val="212"/>
        </w:trPr>
        <w:tc>
          <w:tcPr>
            <w:tcW w:w="420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EXHIBIT C-2</w:t>
            </w:r>
          </w:p>
        </w:tc>
        <w:tc>
          <w:tcPr>
            <w:tcW w:w="0" w:type="dxa"/>
            <w:vAlign w:val="bottom"/>
          </w:tcPr>
          <w:p>
            <w:pPr>
              <w:spacing w:after="0"/>
              <w:rPr>
                <w:sz w:val="1"/>
                <w:szCs w:val="1"/>
                <w:color w:val="auto"/>
              </w:rPr>
            </w:pPr>
          </w:p>
        </w:tc>
      </w:tr>
      <w:tr>
        <w:trPr>
          <w:trHeight w:val="233"/>
        </w:trPr>
        <w:tc>
          <w:tcPr>
            <w:tcW w:w="4200" w:type="dxa"/>
            <w:vAlign w:val="bottom"/>
          </w:tcPr>
          <w:p>
            <w:pPr>
              <w:jc w:val="right"/>
              <w:ind w:right="508"/>
              <w:spacing w:after="0"/>
              <w:rPr>
                <w:sz w:val="20"/>
                <w:szCs w:val="20"/>
                <w:color w:val="auto"/>
              </w:rPr>
            </w:pPr>
            <w:r>
              <w:rPr>
                <w:rFonts w:ascii="Arial" w:cs="Arial" w:eastAsia="Arial" w:hAnsi="Arial"/>
                <w:sz w:val="18"/>
                <w:szCs w:val="18"/>
                <w:color w:val="auto"/>
              </w:rPr>
              <w:t>$ ___________</w:t>
            </w:r>
          </w:p>
        </w:tc>
        <w:tc>
          <w:tcPr>
            <w:tcW w:w="2520" w:type="dxa"/>
            <w:vAlign w:val="bottom"/>
          </w:tcPr>
          <w:p>
            <w:pPr>
              <w:jc w:val="right"/>
              <w:spacing w:after="0"/>
              <w:rPr>
                <w:sz w:val="20"/>
                <w:szCs w:val="20"/>
                <w:color w:val="auto"/>
              </w:rPr>
            </w:pPr>
            <w:r>
              <w:rPr>
                <w:rFonts w:ascii="Arial" w:cs="Arial" w:eastAsia="Arial" w:hAnsi="Arial"/>
                <w:sz w:val="18"/>
                <w:szCs w:val="18"/>
                <w:color w:val="auto"/>
              </w:rPr>
              <w:t>New York, New York</w:t>
            </w:r>
          </w:p>
        </w:tc>
        <w:tc>
          <w:tcPr>
            <w:tcW w:w="0" w:type="dxa"/>
            <w:vAlign w:val="bottom"/>
          </w:tcPr>
          <w:p>
            <w:pPr>
              <w:spacing w:after="0"/>
              <w:rPr>
                <w:sz w:val="1"/>
                <w:szCs w:val="1"/>
                <w:color w:val="auto"/>
              </w:rPr>
            </w:pPr>
          </w:p>
        </w:tc>
      </w:tr>
      <w:tr>
        <w:trPr>
          <w:trHeight w:val="425"/>
        </w:trPr>
        <w:tc>
          <w:tcPr>
            <w:tcW w:w="4200" w:type="dxa"/>
            <w:vAlign w:val="bottom"/>
          </w:tcPr>
          <w:p>
            <w:pPr>
              <w:jc w:val="right"/>
              <w:ind w:right="2088"/>
              <w:spacing w:after="0"/>
              <w:rPr>
                <w:sz w:val="20"/>
                <w:szCs w:val="20"/>
                <w:color w:val="auto"/>
              </w:rPr>
            </w:pPr>
            <w:r>
              <w:rPr>
                <w:rFonts w:ascii="Arial" w:cs="Arial" w:eastAsia="Arial" w:hAnsi="Arial"/>
                <w:sz w:val="18"/>
                <w:szCs w:val="18"/>
                <w:b w:val="1"/>
                <w:bCs w:val="1"/>
                <w:color w:val="auto"/>
              </w:rPr>
              <w:t>FORM OF TERM NOTE</w:t>
            </w:r>
          </w:p>
        </w:tc>
        <w:tc>
          <w:tcPr>
            <w:tcW w:w="2520" w:type="dxa"/>
            <w:vAlign w:val="bottom"/>
            <w:vMerge w:val="restart"/>
          </w:tcPr>
          <w:p>
            <w:pPr>
              <w:jc w:val="right"/>
              <w:spacing w:after="0"/>
              <w:rPr>
                <w:sz w:val="20"/>
                <w:szCs w:val="20"/>
                <w:color w:val="auto"/>
              </w:rPr>
            </w:pPr>
            <w:r>
              <w:rPr>
                <w:rFonts w:ascii="Arial" w:cs="Arial" w:eastAsia="Arial" w:hAnsi="Arial"/>
                <w:sz w:val="18"/>
                <w:szCs w:val="18"/>
                <w:color w:val="auto"/>
              </w:rPr>
              <w:t>_____________________</w:t>
            </w:r>
          </w:p>
        </w:tc>
        <w:tc>
          <w:tcPr>
            <w:tcW w:w="0" w:type="dxa"/>
            <w:vAlign w:val="bottom"/>
          </w:tcPr>
          <w:p>
            <w:pPr>
              <w:spacing w:after="0"/>
              <w:rPr>
                <w:sz w:val="1"/>
                <w:szCs w:val="1"/>
                <w:color w:val="auto"/>
              </w:rPr>
            </w:pPr>
          </w:p>
        </w:tc>
      </w:tr>
      <w:tr>
        <w:trPr>
          <w:trHeight w:val="212"/>
        </w:trPr>
        <w:tc>
          <w:tcPr>
            <w:tcW w:w="4200" w:type="dxa"/>
            <w:vAlign w:val="bottom"/>
          </w:tcPr>
          <w:p>
            <w:pPr>
              <w:spacing w:after="0"/>
              <w:rPr>
                <w:sz w:val="18"/>
                <w:szCs w:val="18"/>
                <w:color w:val="auto"/>
              </w:rPr>
            </w:pP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the undersigned (the “</w:t>
      </w:r>
      <w:r>
        <w:rPr>
          <w:rFonts w:ascii="Arial" w:cs="Arial" w:eastAsia="Arial" w:hAnsi="Arial"/>
          <w:sz w:val="16"/>
          <w:szCs w:val="16"/>
          <w:u w:val="single" w:color="auto"/>
          <w:color w:val="auto"/>
        </w:rPr>
        <w:t>Borrower</w:t>
      </w:r>
      <w:r>
        <w:rPr>
          <w:rFonts w:ascii="Arial" w:cs="Arial" w:eastAsia="Arial" w:hAnsi="Arial"/>
          <w:sz w:val="16"/>
          <w:szCs w:val="16"/>
          <w:color w:val="auto"/>
        </w:rPr>
        <w:t>”), hereby promises to pay to _____________________ or its registered assigns (the “</w:t>
      </w:r>
      <w:r>
        <w:rPr>
          <w:rFonts w:ascii="Arial" w:cs="Arial" w:eastAsia="Arial" w:hAnsi="Arial"/>
          <w:sz w:val="16"/>
          <w:szCs w:val="16"/>
          <w:u w:val="single" w:color="auto"/>
          <w:color w:val="auto"/>
        </w:rPr>
        <w:t>Lender</w:t>
      </w:r>
      <w:r>
        <w:rPr>
          <w:rFonts w:ascii="Arial" w:cs="Arial" w:eastAsia="Arial" w:hAnsi="Arial"/>
          <w:sz w:val="16"/>
          <w:szCs w:val="16"/>
          <w:color w:val="auto"/>
        </w:rPr>
        <w:t>”),</w:t>
      </w:r>
    </w:p>
    <w:p>
      <w:pPr>
        <w:spacing w:after="0" w:line="4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accordance with the provisions of the Agreement (as hereinafter defined), the principal sum of [__] Dollars ($[__.__]), or such lesser amount as shall equal the aggregate unpaid principal amount of the Term Loans made by the Lender to the Borrower under that certain Term Loan Agreement, dated as of March 1, 2016 (as amended, restated, extended, supplemented or otherwise modified in writing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the terms defined therein being used herein as therein defined), among American Assets Trust, Inc., a Maryland corporation, the Borrower, the Lenders from time to time party thereto, and U.S. Bank National Association, as Administrative Agent.</w:t>
      </w:r>
    </w:p>
    <w:p>
      <w:pPr>
        <w:spacing w:after="0" w:line="17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Borrower promises to pay interest on the unpaid principal amount of the Term Loans made by the Lender to the Borrower from the date of each such Term Loan until such principal amount is paid in full, at such interest rates and at such times as provided in the Agreement. All payments of principal and interest shall be made to the Administrative Agent for the account of the Lender in Dollars in immediately available funds at the Administrative Agent’s Office. If any amount is not paid in full when due hereunder, such unpaid amount shall bear interest, to be paid upon demand, from the due date thereof until the date of actual payment (and before as well as after judgment) computed at the per annum rate set forth in the Agreement.</w:t>
      </w:r>
    </w:p>
    <w:p>
      <w:pPr>
        <w:spacing w:after="0" w:line="1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Term Note is one of the Term Notes referred to in the Agreement, is entitled to the benefits thereof and may be prepaid in whole or in part subject to the terms and conditions provided therein. This Term Note is also entitled to the benefits of the Guaranty Agreement. Upon the occurrence and continuation of one or more of the Events of Default specified in the Agreement, all amounts then remaining unpaid on this Term Note shall become, or may be declared to be, immediately due and payable all as provided in the Agreement. Term Loans made by the Lender shall be evidenced by one or more loan accounts or records maintained by the Lender in the ordinary course of business. The Lender may also attach schedules to this Term Note and endorse thereon the date, amount and maturity of its Term Loans and payments with respect thereto.</w:t>
      </w:r>
    </w:p>
    <w:p>
      <w:pPr>
        <w:spacing w:after="0" w:line="159"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The Borrower, for itself, its successors and assigns, hereby waives diligence, presentment, protest and demand and notice of protest, demand, dishonor and non-payment of this Term Note.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Term Note</w:t>
      </w:r>
    </w:p>
    <w:p>
      <w:pPr>
        <w:sectPr>
          <w:pgSz w:w="11900" w:h="16838" w:orient="portrait"/>
          <w:cols w:equalWidth="0" w:num="1">
            <w:col w:w="11420"/>
          </w:cols>
          <w:pgMar w:left="240" w:top="785" w:right="239" w:bottom="1440" w:gutter="0" w:footer="0" w:header="0"/>
        </w:sectPr>
      </w:pPr>
    </w:p>
    <w:bookmarkStart w:id="523" w:name="page524"/>
    <w:bookmarkEnd w:id="523"/>
    <w:p>
      <w:pPr>
        <w:spacing w:after="0" w:line="276" w:lineRule="auto"/>
        <w:rPr>
          <w:sz w:val="20"/>
          <w:szCs w:val="20"/>
          <w:color w:val="auto"/>
        </w:rPr>
      </w:pPr>
      <w:r>
        <w:rPr>
          <w:rFonts w:ascii="Arial" w:cs="Arial" w:eastAsia="Arial" w:hAnsi="Arial"/>
          <w:sz w:val="18"/>
          <w:szCs w:val="18"/>
          <w:color w:val="auto"/>
        </w:rPr>
        <w:t>THIS TERM NOTE SHALL BE GOVERNED BY AND CONSTRUED IN ACCORDANCE WITH THE LAW OF THE STATE OF NEW YORK APPLICABLE TO CONTRACTS EXECUTED, AND TO BE FULLY PERFORMED, IN SUCH STATE.</w:t>
      </w:r>
    </w:p>
    <w:p>
      <w:pPr>
        <w:spacing w:after="0" w:line="29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AMERICAN ASSETS TRUST, L.P.</w:t>
      </w:r>
    </w:p>
    <w:p>
      <w:pPr>
        <w:spacing w:after="0" w:line="15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By: __________________________________________</w:t>
      </w:r>
    </w:p>
    <w:p>
      <w:pPr>
        <w:spacing w:after="0" w:line="105" w:lineRule="exact"/>
        <w:rPr>
          <w:sz w:val="20"/>
          <w:szCs w:val="20"/>
          <w:color w:val="auto"/>
        </w:rPr>
      </w:pPr>
    </w:p>
    <w:p>
      <w:pPr>
        <w:ind w:left="3600"/>
        <w:spacing w:after="0"/>
        <w:tabs>
          <w:tab w:leader="none" w:pos="4320" w:val="left"/>
        </w:tabs>
        <w:rPr>
          <w:sz w:val="20"/>
          <w:szCs w:val="20"/>
          <w:color w:val="auto"/>
        </w:rPr>
      </w:pPr>
      <w:r>
        <w:rPr>
          <w:rFonts w:ascii="Arial" w:cs="Arial" w:eastAsia="Arial" w:hAnsi="Arial"/>
          <w:sz w:val="18"/>
          <w:szCs w:val="18"/>
          <w:color w:val="auto"/>
        </w:rPr>
        <w:t>Name:</w:t>
        <w:tab/>
        <w:t>_______________________________________</w:t>
      </w:r>
    </w:p>
    <w:p>
      <w:pPr>
        <w:spacing w:after="0" w:line="10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Title: _________________________________________</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Term Note</w:t>
      </w:r>
    </w:p>
    <w:p>
      <w:pPr>
        <w:sectPr>
          <w:pgSz w:w="11900" w:h="16838" w:orient="portrait"/>
          <w:cols w:equalWidth="0" w:num="1">
            <w:col w:w="11420"/>
          </w:cols>
          <w:pgMar w:left="240" w:top="784" w:right="239" w:bottom="1440" w:gutter="0" w:footer="0" w:header="0"/>
        </w:sectPr>
      </w:pPr>
    </w:p>
    <w:bookmarkStart w:id="524" w:name="page525"/>
    <w:bookmarkEnd w:id="524"/>
    <w:tbl>
      <w:tblPr>
        <w:tblLayout w:type="fixed"/>
        <w:tblInd w:w="0" w:type="dxa"/>
        <w:tblCellMar>
          <w:top w:w="0" w:type="dxa"/>
          <w:left w:w="0" w:type="dxa"/>
          <w:bottom w:w="0" w:type="dxa"/>
          <w:right w:w="0" w:type="dxa"/>
        </w:tblCellMar>
      </w:tblPr>
      <w:tr>
        <w:trPr>
          <w:trHeight w:val="237"/>
        </w:trPr>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8"/>
          </w:tcPr>
          <w:p>
            <w:pPr>
              <w:jc w:val="center"/>
              <w:ind w:left="228"/>
              <w:spacing w:after="0"/>
              <w:rPr>
                <w:sz w:val="20"/>
                <w:szCs w:val="20"/>
                <w:color w:val="auto"/>
              </w:rPr>
            </w:pPr>
            <w:r>
              <w:rPr>
                <w:rFonts w:ascii="Arial" w:cs="Arial" w:eastAsia="Arial" w:hAnsi="Arial"/>
                <w:sz w:val="18"/>
                <w:szCs w:val="18"/>
                <w:b w:val="1"/>
                <w:bCs w:val="1"/>
                <w:color w:val="auto"/>
              </w:rPr>
              <w:t>TERM LOANS AND PAYMENTS WITH RESPECT THERETO</w:t>
            </w: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7"/>
        </w:trPr>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Amount of</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80" w:type="dxa"/>
            <w:vAlign w:val="bottom"/>
            <w:gridSpan w:val="2"/>
            <w:vMerge w:val="restart"/>
          </w:tcPr>
          <w:p>
            <w:pPr>
              <w:jc w:val="center"/>
              <w:ind w:right="28"/>
              <w:spacing w:after="0"/>
              <w:rPr>
                <w:sz w:val="20"/>
                <w:szCs w:val="20"/>
                <w:color w:val="auto"/>
              </w:rPr>
            </w:pPr>
            <w:r>
              <w:rPr>
                <w:rFonts w:ascii="Arial" w:cs="Arial" w:eastAsia="Arial" w:hAnsi="Arial"/>
                <w:sz w:val="18"/>
                <w:szCs w:val="18"/>
                <w:b w:val="1"/>
                <w:bCs w:val="1"/>
                <w:color w:val="auto"/>
                <w:w w:val="90"/>
              </w:rPr>
              <w:t>Type of</w:t>
            </w: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3"/>
              </w:rPr>
              <w:t>Amount of</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Principal or</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Outstanding</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2"/>
              </w:rPr>
              <w:t>End of Interest</w:t>
            </w:r>
          </w:p>
        </w:tc>
        <w:tc>
          <w:tcPr>
            <w:tcW w:w="1700" w:type="dxa"/>
            <w:vAlign w:val="bottom"/>
            <w:gridSpan w:val="3"/>
            <w:vMerge w:val="restart"/>
          </w:tcPr>
          <w:p>
            <w:pPr>
              <w:jc w:val="center"/>
              <w:ind w:right="220"/>
              <w:spacing w:after="0"/>
              <w:rPr>
                <w:sz w:val="20"/>
                <w:szCs w:val="20"/>
                <w:color w:val="auto"/>
              </w:rPr>
            </w:pPr>
            <w:r>
              <w:rPr>
                <w:rFonts w:ascii="Arial" w:cs="Arial" w:eastAsia="Arial" w:hAnsi="Arial"/>
                <w:sz w:val="18"/>
                <w:szCs w:val="18"/>
                <w:b w:val="1"/>
                <w:bCs w:val="1"/>
                <w:color w:val="auto"/>
                <w:w w:val="93"/>
              </w:rPr>
              <w:t>Interest Paid This</w:t>
            </w:r>
          </w:p>
        </w:tc>
        <w:tc>
          <w:tcPr>
            <w:tcW w:w="16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Principal Balance</w:t>
            </w: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580" w:type="dxa"/>
            <w:vAlign w:val="bottom"/>
            <w:gridSpan w:val="2"/>
            <w:vMerge w:val="restart"/>
          </w:tcPr>
          <w:p>
            <w:pPr>
              <w:jc w:val="center"/>
              <w:ind w:right="48"/>
              <w:spacing w:after="0"/>
              <w:rPr>
                <w:sz w:val="20"/>
                <w:szCs w:val="20"/>
                <w:color w:val="auto"/>
              </w:rPr>
            </w:pPr>
            <w:r>
              <w:rPr>
                <w:rFonts w:ascii="Arial" w:cs="Arial" w:eastAsia="Arial" w:hAnsi="Arial"/>
                <w:sz w:val="18"/>
                <w:szCs w:val="18"/>
                <w:b w:val="1"/>
                <w:bCs w:val="1"/>
                <w:color w:val="auto"/>
                <w:w w:val="95"/>
              </w:rPr>
              <w:t>Term Loan Made</w:t>
            </w: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5"/>
              </w:rPr>
              <w:t>Term Loan Made</w:t>
            </w:r>
          </w:p>
        </w:tc>
        <w:tc>
          <w:tcPr>
            <w:tcW w:w="1600" w:type="dxa"/>
            <w:vAlign w:val="bottom"/>
            <w:gridSpan w:val="2"/>
            <w:vMerge w:val="continue"/>
          </w:tcPr>
          <w:p>
            <w:pPr>
              <w:spacing w:after="0"/>
              <w:rPr>
                <w:sz w:val="6"/>
                <w:szCs w:val="6"/>
                <w:color w:val="auto"/>
              </w:rPr>
            </w:pPr>
          </w:p>
        </w:tc>
        <w:tc>
          <w:tcPr>
            <w:tcW w:w="1700" w:type="dxa"/>
            <w:vAlign w:val="bottom"/>
            <w:gridSpan w:val="3"/>
            <w:vMerge w:val="continue"/>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1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1040" w:type="dxa"/>
            <w:vAlign w:val="bottom"/>
          </w:tcPr>
          <w:p>
            <w:pPr>
              <w:ind w:left="620"/>
              <w:spacing w:after="0"/>
              <w:rPr>
                <w:sz w:val="20"/>
                <w:szCs w:val="20"/>
                <w:color w:val="auto"/>
              </w:rPr>
            </w:pPr>
            <w:r>
              <w:rPr>
                <w:rFonts w:ascii="Arial" w:cs="Arial" w:eastAsia="Arial" w:hAnsi="Arial"/>
                <w:sz w:val="18"/>
                <w:szCs w:val="18"/>
                <w:b w:val="1"/>
                <w:bCs w:val="1"/>
                <w:color w:val="auto"/>
              </w:rPr>
              <w:t>Date</w:t>
            </w:r>
          </w:p>
        </w:tc>
        <w:tc>
          <w:tcPr>
            <w:tcW w:w="70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Period</w:t>
            </w:r>
          </w:p>
        </w:tc>
        <w:tc>
          <w:tcPr>
            <w:tcW w:w="1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Date</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This Date</w:t>
            </w: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Notation Made By</w:t>
            </w:r>
          </w:p>
        </w:tc>
        <w:tc>
          <w:tcPr>
            <w:tcW w:w="0" w:type="dxa"/>
            <w:vAlign w:val="bottom"/>
          </w:tcPr>
          <w:p>
            <w:pPr>
              <w:spacing w:after="0"/>
              <w:rPr>
                <w:sz w:val="1"/>
                <w:szCs w:val="1"/>
                <w:color w:val="auto"/>
              </w:rPr>
            </w:pPr>
          </w:p>
        </w:tc>
      </w:tr>
      <w:tr>
        <w:trPr>
          <w:trHeight w:val="21"/>
        </w:trPr>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5"/>
        </w:trPr>
        <w:tc>
          <w:tcPr>
            <w:tcW w:w="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Term Note</w:t>
      </w:r>
    </w:p>
    <w:p>
      <w:pPr>
        <w:sectPr>
          <w:pgSz w:w="11900" w:h="16838" w:orient="portrait"/>
          <w:cols w:equalWidth="0" w:num="1">
            <w:col w:w="11420"/>
          </w:cols>
          <w:pgMar w:left="240" w:top="781" w:right="239" w:bottom="1440" w:gutter="0" w:footer="0" w:header="0"/>
        </w:sectPr>
      </w:pPr>
    </w:p>
    <w:bookmarkStart w:id="525" w:name="page526"/>
    <w:bookmarkEnd w:id="525"/>
    <w:p>
      <w:pPr>
        <w:jc w:val="right"/>
        <w:spacing w:after="0"/>
        <w:rPr>
          <w:sz w:val="20"/>
          <w:szCs w:val="20"/>
          <w:color w:val="auto"/>
        </w:rPr>
      </w:pPr>
      <w:r>
        <w:rPr>
          <w:rFonts w:ascii="Arial" w:cs="Arial" w:eastAsia="Arial" w:hAnsi="Arial"/>
          <w:sz w:val="20"/>
          <w:szCs w:val="20"/>
          <w:b w:val="1"/>
          <w:bCs w:val="1"/>
          <w:i w:val="1"/>
          <w:iCs w:val="1"/>
          <w:color w:val="auto"/>
        </w:rPr>
        <w:t>EXHIBIT 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COMPLIANCE CERTIFICATE</w:t>
      </w:r>
    </w:p>
    <w:p>
      <w:pPr>
        <w:spacing w:after="0" w:line="191" w:lineRule="exact"/>
        <w:rPr>
          <w:sz w:val="20"/>
          <w:szCs w:val="20"/>
          <w:color w:val="auto"/>
        </w:rPr>
      </w:pPr>
    </w:p>
    <w:p>
      <w:pPr>
        <w:ind w:left="9260"/>
        <w:spacing w:after="0"/>
        <w:rPr>
          <w:sz w:val="20"/>
          <w:szCs w:val="20"/>
          <w:color w:val="auto"/>
        </w:rPr>
      </w:pPr>
      <w:r>
        <w:rPr>
          <w:rFonts w:ascii="Arial" w:cs="Arial" w:eastAsia="Arial" w:hAnsi="Arial"/>
          <w:sz w:val="17"/>
          <w:szCs w:val="17"/>
          <w:color w:val="auto"/>
        </w:rPr>
        <w:t>Financial Statement Date: ,</w:t>
      </w:r>
    </w:p>
    <w:p>
      <w:pPr>
        <w:spacing w:after="0" w:line="58"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U.S Bank National Association, as Administrative Agent</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Reference is made to that certain Term Loan Agreement, dated as of March 1, 2016 (as amended, restated, extended, supplemented or otherwise modified in writing from time to time, the “</w:t>
      </w:r>
      <w:r>
        <w:rPr>
          <w:rFonts w:ascii="Arial" w:cs="Arial" w:eastAsia="Arial" w:hAnsi="Arial"/>
          <w:sz w:val="19"/>
          <w:szCs w:val="19"/>
          <w:u w:val="single" w:color="auto"/>
          <w:color w:val="auto"/>
        </w:rPr>
        <w:t>Agreement</w:t>
      </w:r>
      <w:r>
        <w:rPr>
          <w:rFonts w:ascii="Arial" w:cs="Arial" w:eastAsia="Arial" w:hAnsi="Arial"/>
          <w:sz w:val="19"/>
          <w:szCs w:val="19"/>
          <w:color w:val="auto"/>
        </w:rPr>
        <w:t>;” the terms defined therein being used herein as therein defined), among American Assets Trust, Inc., a Maryland corporation (the “</w:t>
      </w:r>
      <w:r>
        <w:rPr>
          <w:rFonts w:ascii="Arial" w:cs="Arial" w:eastAsia="Arial" w:hAnsi="Arial"/>
          <w:sz w:val="19"/>
          <w:szCs w:val="19"/>
          <w:u w:val="single" w:color="auto"/>
          <w:color w:val="auto"/>
        </w:rPr>
        <w:t>REIT</w:t>
      </w:r>
      <w:r>
        <w:rPr>
          <w:rFonts w:ascii="Arial" w:cs="Arial" w:eastAsia="Arial" w:hAnsi="Arial"/>
          <w:sz w:val="19"/>
          <w:szCs w:val="19"/>
          <w:color w:val="auto"/>
        </w:rPr>
        <w:t>”), American Assets Trust, L.P., a Maryland limited partnership (the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from time to time party thereto, and U.S. Bank National Association, as Administrative Agent.</w:t>
      </w:r>
    </w:p>
    <w:p>
      <w:pPr>
        <w:spacing w:after="0" w:line="155"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 xml:space="preserve">The undersigned Responsible Officer of the REIT hereby certifies as of the date hereof that he/she is the </w:t>
      </w:r>
      <w:r>
        <w:rPr>
          <w:rFonts w:ascii="Arial" w:cs="Arial" w:eastAsia="Arial" w:hAnsi="Arial"/>
          <w:sz w:val="18"/>
          <w:szCs w:val="18"/>
          <w:u w:val="single" w:color="auto"/>
          <w:color w:val="auto"/>
        </w:rPr>
        <w:t>[CEO/CFO/Treasurer/Controller]</w:t>
      </w:r>
      <w:r>
        <w:rPr>
          <w:rFonts w:ascii="Arial" w:cs="Arial" w:eastAsia="Arial" w:hAnsi="Arial"/>
          <w:sz w:val="18"/>
          <w:szCs w:val="18"/>
          <w:color w:val="auto"/>
        </w:rPr>
        <w:t xml:space="preserve"> of the REIT, and that, as such, he/she is authorized to execute and deliver this Compliance Certificate to the Administrative Agent on behalf of the REIT, in his/her capacity as a Responsible Officer of the REIT (and not in any individual capacity), and that: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20"/>
          <w:szCs w:val="20"/>
          <w:i w:val="1"/>
          <w:iCs w:val="1"/>
          <w:color w:val="auto"/>
        </w:rPr>
        <w:t xml:space="preserve">[Use following paragraph 1 for fiscal </w:t>
      </w:r>
      <w:r>
        <w:rPr>
          <w:rFonts w:ascii="Arial" w:cs="Arial" w:eastAsia="Arial" w:hAnsi="Arial"/>
          <w:sz w:val="20"/>
          <w:szCs w:val="20"/>
          <w:b w:val="1"/>
          <w:bCs w:val="1"/>
          <w:i w:val="1"/>
          <w:iCs w:val="1"/>
          <w:color w:val="auto"/>
        </w:rPr>
        <w:t>year-end</w:t>
      </w:r>
      <w:r>
        <w:rPr>
          <w:rFonts w:ascii="Arial" w:cs="Arial" w:eastAsia="Arial" w:hAnsi="Arial"/>
          <w:sz w:val="20"/>
          <w:szCs w:val="20"/>
          <w:i w:val="1"/>
          <w:iCs w:val="1"/>
          <w:color w:val="auto"/>
        </w:rPr>
        <w:t xml:space="preserve"> financial statements]</w:t>
      </w:r>
    </w:p>
    <w:p>
      <w:pPr>
        <w:spacing w:after="0" w:line="207" w:lineRule="exact"/>
        <w:rPr>
          <w:sz w:val="20"/>
          <w:szCs w:val="20"/>
          <w:color w:val="auto"/>
        </w:rPr>
      </w:pPr>
    </w:p>
    <w:p>
      <w:pPr>
        <w:jc w:val="both"/>
        <w:spacing w:after="0" w:line="266" w:lineRule="auto"/>
        <w:tabs>
          <w:tab w:leader="none" w:pos="341" w:val="left"/>
        </w:tabs>
        <w:numPr>
          <w:ilvl w:val="0"/>
          <w:numId w:val="616"/>
        </w:numPr>
        <w:rPr>
          <w:rFonts w:ascii="Arial" w:cs="Arial" w:eastAsia="Arial" w:hAnsi="Arial"/>
          <w:sz w:val="20"/>
          <w:szCs w:val="20"/>
          <w:color w:val="auto"/>
        </w:rPr>
      </w:pPr>
      <w:r>
        <w:rPr>
          <w:rFonts w:ascii="Arial" w:cs="Arial" w:eastAsia="Arial" w:hAnsi="Arial"/>
          <w:sz w:val="20"/>
          <w:szCs w:val="20"/>
          <w:color w:val="auto"/>
        </w:rPr>
        <w:t xml:space="preserve">The Borrower has delivered the year-end audited financial statements required by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of the Agreement for the fiscal year of the REIT ended as of the above date, together with the report and opinion of an independent certified public accountant required by such section.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xml:space="preserve">[Use following paragraph 1 for fiscal </w:t>
      </w:r>
      <w:r>
        <w:rPr>
          <w:rFonts w:ascii="Arial" w:cs="Arial" w:eastAsia="Arial" w:hAnsi="Arial"/>
          <w:sz w:val="20"/>
          <w:szCs w:val="20"/>
          <w:b w:val="1"/>
          <w:bCs w:val="1"/>
          <w:i w:val="1"/>
          <w:iCs w:val="1"/>
          <w:color w:val="auto"/>
        </w:rPr>
        <w:t>quarter-end</w:t>
      </w:r>
      <w:r>
        <w:rPr>
          <w:rFonts w:ascii="Arial" w:cs="Arial" w:eastAsia="Arial" w:hAnsi="Arial"/>
          <w:sz w:val="20"/>
          <w:szCs w:val="20"/>
          <w:i w:val="1"/>
          <w:iCs w:val="1"/>
          <w:color w:val="auto"/>
        </w:rPr>
        <w:t xml:space="preserve"> financial statements]</w:t>
      </w:r>
    </w:p>
    <w:p>
      <w:pPr>
        <w:spacing w:after="0" w:line="207" w:lineRule="exact"/>
        <w:rPr>
          <w:sz w:val="20"/>
          <w:szCs w:val="20"/>
          <w:color w:val="auto"/>
        </w:rPr>
      </w:pPr>
    </w:p>
    <w:p>
      <w:pPr>
        <w:jc w:val="both"/>
        <w:spacing w:after="0" w:line="260" w:lineRule="auto"/>
        <w:tabs>
          <w:tab w:leader="none" w:pos="341" w:val="left"/>
        </w:tabs>
        <w:numPr>
          <w:ilvl w:val="0"/>
          <w:numId w:val="617"/>
        </w:numPr>
        <w:rPr>
          <w:rFonts w:ascii="Arial" w:cs="Arial" w:eastAsia="Arial" w:hAnsi="Arial"/>
          <w:sz w:val="20"/>
          <w:szCs w:val="20"/>
          <w:color w:val="auto"/>
        </w:rPr>
      </w:pPr>
      <w:r>
        <w:rPr>
          <w:rFonts w:ascii="Arial" w:cs="Arial" w:eastAsia="Arial" w:hAnsi="Arial"/>
          <w:sz w:val="20"/>
          <w:szCs w:val="20"/>
          <w:color w:val="auto"/>
        </w:rPr>
        <w:t xml:space="preserve">The Borrower has delivered the unaudited financial statements required by </w:t>
      </w:r>
      <w:r>
        <w:rPr>
          <w:rFonts w:ascii="Arial" w:cs="Arial" w:eastAsia="Arial" w:hAnsi="Arial"/>
          <w:sz w:val="20"/>
          <w:szCs w:val="20"/>
          <w:u w:val="single" w:color="auto"/>
          <w:color w:val="auto"/>
        </w:rPr>
        <w:t>Section 6.01(b)</w:t>
      </w:r>
      <w:r>
        <w:rPr>
          <w:rFonts w:ascii="Arial" w:cs="Arial" w:eastAsia="Arial" w:hAnsi="Arial"/>
          <w:sz w:val="20"/>
          <w:szCs w:val="20"/>
          <w:color w:val="auto"/>
        </w:rPr>
        <w:t xml:space="preserve"> of the Agreement for the fiscal quarter of the REIT ended as of the above date. Such financial statements fairly present the financial condition, results of operations, shareholder’s equity and cash flows of the Consolidated Group in accordance with GAAP as at such date and for such period, subject only to customary year-end audit adjustments and the absence of footnotes.</w:t>
      </w:r>
    </w:p>
    <w:p>
      <w:pPr>
        <w:spacing w:after="0" w:line="164" w:lineRule="exact"/>
        <w:rPr>
          <w:rFonts w:ascii="Arial" w:cs="Arial" w:eastAsia="Arial" w:hAnsi="Arial"/>
          <w:sz w:val="20"/>
          <w:szCs w:val="20"/>
          <w:color w:val="auto"/>
        </w:rPr>
      </w:pPr>
    </w:p>
    <w:p>
      <w:pPr>
        <w:jc w:val="both"/>
        <w:spacing w:after="0" w:line="266" w:lineRule="auto"/>
        <w:tabs>
          <w:tab w:leader="none" w:pos="379" w:val="left"/>
        </w:tabs>
        <w:numPr>
          <w:ilvl w:val="0"/>
          <w:numId w:val="617"/>
        </w:numPr>
        <w:rPr>
          <w:rFonts w:ascii="Arial" w:cs="Arial" w:eastAsia="Arial" w:hAnsi="Arial"/>
          <w:sz w:val="20"/>
          <w:szCs w:val="20"/>
          <w:color w:val="auto"/>
        </w:rPr>
      </w:pPr>
      <w:r>
        <w:rPr>
          <w:rFonts w:ascii="Arial" w:cs="Arial" w:eastAsia="Arial" w:hAnsi="Arial"/>
          <w:sz w:val="20"/>
          <w:szCs w:val="20"/>
          <w:color w:val="auto"/>
        </w:rPr>
        <w:t>The undersigned has reviewed and is familiar with the terms of the Agreement and has made, or has caused to be made under his/her supervision, a detailed review of the transactions and condition (financial or otherwise) of the Loan Parties during the accounting period covered by such financial statements.</w:t>
      </w:r>
    </w:p>
    <w:p>
      <w:pPr>
        <w:spacing w:after="0" w:line="159" w:lineRule="exact"/>
        <w:rPr>
          <w:rFonts w:ascii="Arial" w:cs="Arial" w:eastAsia="Arial" w:hAnsi="Arial"/>
          <w:sz w:val="20"/>
          <w:szCs w:val="20"/>
          <w:color w:val="auto"/>
        </w:rPr>
      </w:pPr>
    </w:p>
    <w:p>
      <w:pPr>
        <w:jc w:val="both"/>
        <w:spacing w:after="0" w:line="257" w:lineRule="auto"/>
        <w:tabs>
          <w:tab w:leader="none" w:pos="366" w:val="left"/>
        </w:tabs>
        <w:numPr>
          <w:ilvl w:val="0"/>
          <w:numId w:val="617"/>
        </w:numPr>
        <w:rPr>
          <w:rFonts w:ascii="Arial" w:cs="Arial" w:eastAsia="Arial" w:hAnsi="Arial"/>
          <w:sz w:val="20"/>
          <w:szCs w:val="20"/>
          <w:color w:val="auto"/>
        </w:rPr>
      </w:pPr>
      <w:r>
        <w:rPr>
          <w:rFonts w:ascii="Arial" w:cs="Arial" w:eastAsia="Arial" w:hAnsi="Arial"/>
          <w:sz w:val="20"/>
          <w:szCs w:val="20"/>
          <w:color w:val="auto"/>
        </w:rPr>
        <w:t>A review of the activities of the Loan Parties during such fiscal period has been made under the supervision of the undersigned with a view to determining whether during such fiscal period the Loan Parties performed and observed all their Obligations under the Loan Documents, and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[select one:]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Compliance Certificate</w:t>
      </w:r>
    </w:p>
    <w:p>
      <w:pPr>
        <w:sectPr>
          <w:pgSz w:w="11900" w:h="16838" w:orient="portrait"/>
          <w:cols w:equalWidth="0" w:num="1">
            <w:col w:w="11420"/>
          </w:cols>
          <w:pgMar w:left="240" w:top="795" w:right="239" w:bottom="1440" w:gutter="0" w:footer="0" w:header="0"/>
        </w:sectPr>
      </w:pPr>
    </w:p>
    <w:bookmarkStart w:id="526" w:name="page527"/>
    <w:bookmarkEnd w:id="526"/>
    <w:p>
      <w:pPr>
        <w:spacing w:after="0" w:line="259" w:lineRule="auto"/>
        <w:rPr>
          <w:sz w:val="20"/>
          <w:szCs w:val="20"/>
          <w:color w:val="auto"/>
        </w:rPr>
      </w:pPr>
      <w:r>
        <w:rPr>
          <w:rFonts w:ascii="Arial" w:cs="Arial" w:eastAsia="Arial" w:hAnsi="Arial"/>
          <w:sz w:val="20"/>
          <w:szCs w:val="20"/>
          <w:b w:val="1"/>
          <w:bCs w:val="1"/>
          <w:color w:val="auto"/>
        </w:rPr>
        <w:t>[during such fiscal period each of the Loan Parties performed and observed in all material respects each covenant and condition of the Loan Documents applicable to it, and no Default has occurred and is continuing.]</w:t>
      </w:r>
    </w:p>
    <w:p>
      <w:pPr>
        <w:jc w:val="center"/>
        <w:spacing w:after="0"/>
        <w:rPr>
          <w:sz w:val="20"/>
          <w:szCs w:val="20"/>
          <w:color w:val="auto"/>
        </w:rPr>
      </w:pPr>
      <w:r>
        <w:rPr>
          <w:rFonts w:ascii="Arial" w:cs="Arial" w:eastAsia="Arial" w:hAnsi="Arial"/>
          <w:sz w:val="20"/>
          <w:szCs w:val="20"/>
          <w:b w:val="1"/>
          <w:bCs w:val="1"/>
          <w:i w:val="1"/>
          <w:iCs w:val="1"/>
          <w:color w:val="auto"/>
        </w:rPr>
        <w:t>--or--</w:t>
      </w:r>
    </w:p>
    <w:p>
      <w:pPr>
        <w:spacing w:after="0" w:line="7" w:lineRule="exact"/>
        <w:rPr>
          <w:sz w:val="20"/>
          <w:szCs w:val="20"/>
          <w:color w:val="auto"/>
        </w:rPr>
      </w:pPr>
    </w:p>
    <w:p>
      <w:pPr>
        <w:spacing w:after="0" w:line="256" w:lineRule="auto"/>
        <w:rPr>
          <w:sz w:val="20"/>
          <w:szCs w:val="20"/>
          <w:color w:val="auto"/>
        </w:rPr>
      </w:pPr>
      <w:r>
        <w:rPr>
          <w:rFonts w:ascii="Arial" w:cs="Arial" w:eastAsia="Arial" w:hAnsi="Arial"/>
          <w:sz w:val="20"/>
          <w:szCs w:val="20"/>
          <w:b w:val="1"/>
          <w:bCs w:val="1"/>
          <w:color w:val="auto"/>
        </w:rPr>
        <w:t>[during such fiscal period the following covenants or conditions have not been performed or observed and the following is a list of each such Default and its nature and status:]</w:t>
      </w:r>
    </w:p>
    <w:p>
      <w:pPr>
        <w:spacing w:after="0" w:line="168" w:lineRule="exact"/>
        <w:rPr>
          <w:sz w:val="20"/>
          <w:szCs w:val="20"/>
          <w:color w:val="auto"/>
        </w:rPr>
      </w:pPr>
    </w:p>
    <w:p>
      <w:pPr>
        <w:spacing w:after="0" w:line="285" w:lineRule="auto"/>
        <w:tabs>
          <w:tab w:leader="none" w:pos="354" w:val="left"/>
        </w:tabs>
        <w:numPr>
          <w:ilvl w:val="0"/>
          <w:numId w:val="618"/>
        </w:numPr>
        <w:rPr>
          <w:rFonts w:ascii="Arial" w:cs="Arial" w:eastAsia="Arial" w:hAnsi="Arial"/>
          <w:sz w:val="20"/>
          <w:szCs w:val="20"/>
          <w:color w:val="auto"/>
        </w:rPr>
      </w:pPr>
      <w:r>
        <w:rPr>
          <w:rFonts w:ascii="Arial" w:cs="Arial" w:eastAsia="Arial" w:hAnsi="Arial"/>
          <w:sz w:val="20"/>
          <w:szCs w:val="20"/>
          <w:color w:val="auto"/>
        </w:rPr>
        <w:t xml:space="preserve">The financial covenant analyses and information set forth on </w:t>
      </w:r>
      <w:r>
        <w:rPr>
          <w:rFonts w:ascii="Arial" w:cs="Arial" w:eastAsia="Arial" w:hAnsi="Arial"/>
          <w:sz w:val="20"/>
          <w:szCs w:val="20"/>
          <w:u w:val="single" w:color="auto"/>
          <w:color w:val="auto"/>
        </w:rPr>
        <w:t>Schedule 1</w:t>
      </w:r>
      <w:r>
        <w:rPr>
          <w:rFonts w:ascii="Arial" w:cs="Arial" w:eastAsia="Arial" w:hAnsi="Arial"/>
          <w:sz w:val="20"/>
          <w:szCs w:val="20"/>
          <w:color w:val="auto"/>
        </w:rPr>
        <w:t xml:space="preserve"> attached hereto are true and accurate in all material respects on and as of the date of this Certificate.</w:t>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IN WITNESS WHEREOF, </w:t>
      </w:r>
      <w:r>
        <w:rPr>
          <w:rFonts w:ascii="Arial" w:cs="Arial" w:eastAsia="Arial" w:hAnsi="Arial"/>
          <w:sz w:val="20"/>
          <w:szCs w:val="20"/>
          <w:color w:val="auto"/>
        </w:rPr>
        <w:t>the undersigned has executed this Certificate as of _______________, _______.</w:t>
      </w:r>
    </w:p>
    <w:p>
      <w:pPr>
        <w:spacing w:after="0" w:line="207" w:lineRule="exact"/>
        <w:rPr>
          <w:sz w:val="20"/>
          <w:szCs w:val="20"/>
          <w:color w:val="auto"/>
        </w:rPr>
      </w:pPr>
    </w:p>
    <w:p>
      <w:pPr>
        <w:ind w:left="2240" w:hanging="442"/>
        <w:spacing w:after="0"/>
        <w:tabs>
          <w:tab w:leader="none" w:pos="2240" w:val="left"/>
        </w:tabs>
        <w:numPr>
          <w:ilvl w:val="0"/>
          <w:numId w:val="619"/>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313"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AMERICAN ASSETS TRUST, INC.</w:t>
      </w:r>
    </w:p>
    <w:p>
      <w:pPr>
        <w:spacing w:after="0" w:line="200" w:lineRule="exact"/>
        <w:rPr>
          <w:sz w:val="20"/>
          <w:szCs w:val="20"/>
          <w:color w:val="auto"/>
        </w:rPr>
      </w:pPr>
    </w:p>
    <w:p>
      <w:pPr>
        <w:spacing w:after="0" w:line="25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color w:val="auto"/>
        </w:rPr>
        <w:t>___________________________________________</w:t>
      </w:r>
    </w:p>
    <w:p>
      <w:pPr>
        <w:spacing w:after="0" w:line="131" w:lineRule="exact"/>
        <w:rPr>
          <w:sz w:val="20"/>
          <w:szCs w:val="20"/>
          <w:color w:val="auto"/>
        </w:rPr>
      </w:pPr>
    </w:p>
    <w:p>
      <w:pPr>
        <w:ind w:left="3600"/>
        <w:spacing w:after="0"/>
        <w:tabs>
          <w:tab w:leader="none" w:pos="42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20"/>
          <w:szCs w:val="20"/>
          <w:color w:val="auto"/>
        </w:rPr>
        <w:t>________________________________________</w:t>
      </w:r>
    </w:p>
    <w:p>
      <w:pPr>
        <w:spacing w:after="0" w:line="12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9"/>
          <w:szCs w:val="19"/>
          <w:color w:val="auto"/>
        </w:rPr>
        <w:t>_________________________________________</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Compliance Certificate</w:t>
      </w:r>
    </w:p>
    <w:p>
      <w:pPr>
        <w:sectPr>
          <w:pgSz w:w="11900" w:h="16838" w:orient="portrait"/>
          <w:cols w:equalWidth="0" w:num="1">
            <w:col w:w="11420"/>
          </w:cols>
          <w:pgMar w:left="240" w:top="789" w:right="239" w:bottom="1440" w:gutter="0" w:footer="0" w:header="0"/>
        </w:sectPr>
      </w:pPr>
    </w:p>
    <w:bookmarkStart w:id="527" w:name="page528"/>
    <w:bookmarkEnd w:id="527"/>
    <w:p>
      <w:pPr>
        <w:spacing w:after="0"/>
        <w:rPr>
          <w:sz w:val="20"/>
          <w:szCs w:val="20"/>
          <w:color w:val="auto"/>
        </w:rPr>
      </w:pPr>
      <w:r>
        <w:rPr>
          <w:rFonts w:ascii="Arial" w:cs="Arial" w:eastAsia="Arial" w:hAnsi="Arial"/>
          <w:sz w:val="20"/>
          <w:szCs w:val="20"/>
          <w:color w:val="auto"/>
        </w:rPr>
        <w:t>For the Quarter/Year ended ___________________(“Statement Date”)</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the Compliance Certificate</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in 000’s)</w:t>
      </w:r>
    </w:p>
    <w:p>
      <w:pPr>
        <w:sectPr>
          <w:pgSz w:w="11900" w:h="16838" w:orient="portrait"/>
          <w:cols w:equalWidth="0" w:num="1">
            <w:col w:w="11140"/>
          </w:cols>
          <w:pgMar w:left="380" w:top="1032" w:right="379" w:bottom="1440" w:gutter="0" w:footer="0" w:header="0"/>
        </w:sectPr>
      </w:pPr>
    </w:p>
    <w:p>
      <w:pPr>
        <w:spacing w:after="0" w:line="339" w:lineRule="exact"/>
        <w:rPr>
          <w:sz w:val="20"/>
          <w:szCs w:val="20"/>
          <w:color w:val="auto"/>
        </w:rPr>
      </w:pPr>
    </w:p>
    <w:p>
      <w:pPr>
        <w:ind w:left="460" w:hanging="450"/>
        <w:spacing w:after="0"/>
        <w:tabs>
          <w:tab w:leader="none" w:pos="460" w:val="left"/>
        </w:tabs>
        <w:numPr>
          <w:ilvl w:val="0"/>
          <w:numId w:val="6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7.02(b) – Aggregate Amount of Recourse Indebtedness (other than Pari Passu Obligations)</w:t>
      </w:r>
    </w:p>
    <w:p>
      <w:pPr>
        <w:spacing w:after="0" w:line="73" w:lineRule="exact"/>
        <w:rPr>
          <w:rFonts w:ascii="Arial" w:cs="Arial" w:eastAsia="Arial" w:hAnsi="Arial"/>
          <w:sz w:val="18"/>
          <w:szCs w:val="18"/>
          <w:b w:val="1"/>
          <w:bCs w:val="1"/>
          <w:color w:val="auto"/>
        </w:rPr>
      </w:pPr>
    </w:p>
    <w:p>
      <w:pPr>
        <w:ind w:left="1020" w:hanging="561"/>
        <w:spacing w:after="0"/>
        <w:tabs>
          <w:tab w:leader="none" w:pos="1020" w:val="left"/>
        </w:tabs>
        <w:numPr>
          <w:ilvl w:val="1"/>
          <w:numId w:val="620"/>
        </w:numPr>
        <w:rPr>
          <w:rFonts w:ascii="Arial" w:cs="Arial" w:eastAsia="Arial" w:hAnsi="Arial"/>
          <w:sz w:val="18"/>
          <w:szCs w:val="18"/>
          <w:color w:val="auto"/>
        </w:rPr>
      </w:pPr>
      <w:r>
        <w:rPr>
          <w:rFonts w:ascii="Arial" w:cs="Arial" w:eastAsia="Arial" w:hAnsi="Arial"/>
          <w:sz w:val="18"/>
          <w:szCs w:val="18"/>
          <w:color w:val="auto"/>
        </w:rPr>
        <w:t>Aggregate amount of Recourse Indebtedness (other than Pari Passu Obligations) at Statement Date</w:t>
      </w:r>
    </w:p>
    <w:p>
      <w:pPr>
        <w:spacing w:after="0" w:line="67" w:lineRule="exact"/>
        <w:rPr>
          <w:rFonts w:ascii="Arial" w:cs="Arial" w:eastAsia="Arial" w:hAnsi="Arial"/>
          <w:sz w:val="18"/>
          <w:szCs w:val="18"/>
          <w:color w:val="auto"/>
        </w:rPr>
      </w:pPr>
    </w:p>
    <w:p>
      <w:pPr>
        <w:ind w:left="1580" w:hanging="559"/>
        <w:spacing w:after="0" w:line="289" w:lineRule="auto"/>
        <w:tabs>
          <w:tab w:leader="none" w:pos="1580" w:val="left"/>
        </w:tabs>
        <w:numPr>
          <w:ilvl w:val="2"/>
          <w:numId w:val="620"/>
        </w:numPr>
        <w:rPr>
          <w:rFonts w:ascii="Arial" w:cs="Arial" w:eastAsia="Arial" w:hAnsi="Arial"/>
          <w:sz w:val="18"/>
          <w:szCs w:val="18"/>
          <w:color w:val="auto"/>
        </w:rPr>
      </w:pPr>
      <w:r>
        <w:rPr>
          <w:rFonts w:ascii="Arial" w:cs="Arial" w:eastAsia="Arial" w:hAnsi="Arial"/>
          <w:sz w:val="18"/>
          <w:szCs w:val="18"/>
          <w:color w:val="auto"/>
        </w:rPr>
        <w:t>Aggregate amount of Secured Recourse Indebtedness owed by the Borrower or any Guarantor to Persons that are not members of the Consolidated Group as of the Statement Date:</w:t>
      </w:r>
    </w:p>
    <w:p>
      <w:pPr>
        <w:spacing w:after="0" w:line="1" w:lineRule="exact"/>
        <w:rPr>
          <w:rFonts w:ascii="Arial" w:cs="Arial" w:eastAsia="Arial" w:hAnsi="Arial"/>
          <w:sz w:val="18"/>
          <w:szCs w:val="18"/>
          <w:color w:val="auto"/>
        </w:rPr>
      </w:pPr>
    </w:p>
    <w:p>
      <w:pPr>
        <w:ind w:left="1580" w:right="420" w:hanging="559"/>
        <w:spacing w:after="0" w:line="247" w:lineRule="auto"/>
        <w:tabs>
          <w:tab w:leader="none" w:pos="1580" w:val="left"/>
        </w:tabs>
        <w:numPr>
          <w:ilvl w:val="2"/>
          <w:numId w:val="620"/>
        </w:numPr>
        <w:rPr>
          <w:rFonts w:ascii="Arial" w:cs="Arial" w:eastAsia="Arial" w:hAnsi="Arial"/>
          <w:sz w:val="20"/>
          <w:szCs w:val="20"/>
          <w:color w:val="auto"/>
        </w:rPr>
      </w:pPr>
      <w:r>
        <w:rPr>
          <w:rFonts w:ascii="Arial" w:cs="Arial" w:eastAsia="Arial" w:hAnsi="Arial"/>
          <w:sz w:val="20"/>
          <w:szCs w:val="20"/>
          <w:color w:val="auto"/>
        </w:rPr>
        <w:t>Aggregate amount of Recourse Indebtedness (other than Pari Passu Obligations) owed by Subsidiaries of the Borrower that are not Guarantors to Persons that are not members of the Consolidated Group as of the Statement Date:</w:t>
      </w:r>
    </w:p>
    <w:p>
      <w:pPr>
        <w:spacing w:after="0" w:line="14" w:lineRule="exact"/>
        <w:rPr>
          <w:rFonts w:ascii="Arial" w:cs="Arial" w:eastAsia="Arial" w:hAnsi="Arial"/>
          <w:sz w:val="20"/>
          <w:szCs w:val="20"/>
          <w:color w:val="auto"/>
        </w:rPr>
      </w:pPr>
    </w:p>
    <w:p>
      <w:pPr>
        <w:ind w:left="1580" w:right="140" w:hanging="559"/>
        <w:spacing w:after="0" w:line="259" w:lineRule="auto"/>
        <w:tabs>
          <w:tab w:leader="none" w:pos="1580" w:val="left"/>
        </w:tabs>
        <w:numPr>
          <w:ilvl w:val="2"/>
          <w:numId w:val="620"/>
        </w:numPr>
        <w:rPr>
          <w:rFonts w:ascii="Arial" w:cs="Arial" w:eastAsia="Arial" w:hAnsi="Arial"/>
          <w:sz w:val="20"/>
          <w:szCs w:val="20"/>
          <w:color w:val="auto"/>
        </w:rPr>
      </w:pPr>
      <w:r>
        <w:rPr>
          <w:rFonts w:ascii="Arial" w:cs="Arial" w:eastAsia="Arial" w:hAnsi="Arial"/>
          <w:sz w:val="20"/>
          <w:szCs w:val="20"/>
          <w:color w:val="auto"/>
        </w:rPr>
        <w:t>Aggregate amount of Recourse Indebtedness (other than Pari Passu Obligations) (Line I.A.1. + Line I.A.2.):</w:t>
      </w:r>
    </w:p>
    <w:p>
      <w:pPr>
        <w:spacing w:after="0" w:line="3" w:lineRule="exact"/>
        <w:rPr>
          <w:rFonts w:ascii="Arial" w:cs="Arial" w:eastAsia="Arial" w:hAnsi="Arial"/>
          <w:sz w:val="20"/>
          <w:szCs w:val="20"/>
          <w:color w:val="auto"/>
        </w:rPr>
      </w:pPr>
    </w:p>
    <w:p>
      <w:pPr>
        <w:ind w:left="1020" w:hanging="561"/>
        <w:spacing w:after="0"/>
        <w:tabs>
          <w:tab w:leader="none" w:pos="1020" w:val="left"/>
        </w:tabs>
        <w:numPr>
          <w:ilvl w:val="1"/>
          <w:numId w:val="620"/>
        </w:numPr>
        <w:rPr>
          <w:rFonts w:ascii="Arial" w:cs="Arial" w:eastAsia="Arial" w:hAnsi="Arial"/>
          <w:sz w:val="20"/>
          <w:szCs w:val="20"/>
          <w:color w:val="auto"/>
        </w:rPr>
      </w:pPr>
      <w:r>
        <w:rPr>
          <w:rFonts w:ascii="Arial" w:cs="Arial" w:eastAsia="Arial" w:hAnsi="Arial"/>
          <w:sz w:val="20"/>
          <w:szCs w:val="20"/>
          <w:color w:val="auto"/>
        </w:rPr>
        <w:t>Total Asset Value at Statement Date (Line II.B.15.):</w:t>
      </w:r>
    </w:p>
    <w:p>
      <w:pPr>
        <w:spacing w:after="0" w:line="51" w:lineRule="exact"/>
        <w:rPr>
          <w:sz w:val="20"/>
          <w:szCs w:val="20"/>
          <w:color w:val="auto"/>
        </w:rPr>
      </w:pPr>
    </w:p>
    <w:p>
      <w:pPr>
        <w:ind w:left="460" w:right="100"/>
        <w:spacing w:after="0" w:line="260" w:lineRule="auto"/>
        <w:rPr>
          <w:sz w:val="20"/>
          <w:szCs w:val="20"/>
          <w:color w:val="auto"/>
        </w:rPr>
      </w:pPr>
      <w:r>
        <w:rPr>
          <w:rFonts w:ascii="Arial" w:cs="Arial" w:eastAsia="Arial" w:hAnsi="Arial"/>
          <w:sz w:val="20"/>
          <w:szCs w:val="20"/>
          <w:b w:val="1"/>
          <w:bCs w:val="1"/>
          <w:color w:val="auto"/>
        </w:rPr>
        <w:t>Ratio of Recourse Indebtedness (other than Pari Passu Obligations) to Total Asset Value (Line I.A.3. as a percentage of Line I.B.):</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Maximum Permitted Aggregate Amount of Recourse Indebtedness (other than Pari Passu Obligations):</w:t>
      </w:r>
    </w:p>
    <w:p>
      <w:pPr>
        <w:spacing w:after="0" w:line="393" w:lineRule="exact"/>
        <w:rPr>
          <w:sz w:val="20"/>
          <w:szCs w:val="20"/>
          <w:color w:val="auto"/>
        </w:rPr>
      </w:pPr>
    </w:p>
    <w:p>
      <w:pPr>
        <w:ind w:left="460" w:hanging="450"/>
        <w:spacing w:after="0"/>
        <w:tabs>
          <w:tab w:leader="none" w:pos="460" w:val="left"/>
        </w:tabs>
        <w:numPr>
          <w:ilvl w:val="0"/>
          <w:numId w:val="62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Section 7.11(a) – Consolidated Secured Leverage Ratio</w:t>
      </w:r>
    </w:p>
    <w:p>
      <w:pPr>
        <w:spacing w:after="0" w:line="50" w:lineRule="exact"/>
        <w:rPr>
          <w:rFonts w:ascii="Arial" w:cs="Arial" w:eastAsia="Arial" w:hAnsi="Arial"/>
          <w:sz w:val="20"/>
          <w:szCs w:val="20"/>
          <w:b w:val="1"/>
          <w:bCs w:val="1"/>
          <w:color w:val="auto"/>
        </w:rPr>
      </w:pPr>
    </w:p>
    <w:p>
      <w:pPr>
        <w:ind w:left="1020" w:hanging="561"/>
        <w:spacing w:after="0"/>
        <w:tabs>
          <w:tab w:leader="none" w:pos="1020" w:val="left"/>
        </w:tabs>
        <w:numPr>
          <w:ilvl w:val="1"/>
          <w:numId w:val="621"/>
        </w:numPr>
        <w:rPr>
          <w:rFonts w:ascii="Arial" w:cs="Arial" w:eastAsia="Arial" w:hAnsi="Arial"/>
          <w:sz w:val="20"/>
          <w:szCs w:val="20"/>
          <w:color w:val="auto"/>
        </w:rPr>
      </w:pPr>
      <w:r>
        <w:rPr>
          <w:rFonts w:ascii="Arial" w:cs="Arial" w:eastAsia="Arial" w:hAnsi="Arial"/>
          <w:sz w:val="20"/>
          <w:szCs w:val="20"/>
          <w:color w:val="auto"/>
        </w:rPr>
        <w:t>Consolidated Total Secured Indebtedness at Statement Date:</w:t>
      </w:r>
    </w:p>
    <w:p>
      <w:pPr>
        <w:spacing w:after="0" w:line="44" w:lineRule="exact"/>
        <w:rPr>
          <w:rFonts w:ascii="Arial" w:cs="Arial" w:eastAsia="Arial" w:hAnsi="Arial"/>
          <w:sz w:val="20"/>
          <w:szCs w:val="20"/>
          <w:color w:val="auto"/>
        </w:rPr>
      </w:pPr>
    </w:p>
    <w:p>
      <w:pPr>
        <w:jc w:val="both"/>
        <w:ind w:left="1580" w:right="240" w:hanging="559"/>
        <w:spacing w:after="0" w:line="270" w:lineRule="auto"/>
        <w:tabs>
          <w:tab w:leader="none" w:pos="1580" w:val="left"/>
        </w:tabs>
        <w:numPr>
          <w:ilvl w:val="2"/>
          <w:numId w:val="621"/>
        </w:numPr>
        <w:rPr>
          <w:rFonts w:ascii="Arial" w:cs="Arial" w:eastAsia="Arial" w:hAnsi="Arial"/>
          <w:sz w:val="17"/>
          <w:szCs w:val="17"/>
          <w:color w:val="auto"/>
        </w:rPr>
      </w:pPr>
      <w:r>
        <w:rPr>
          <w:rFonts w:ascii="Arial" w:cs="Arial" w:eastAsia="Arial" w:hAnsi="Arial"/>
          <w:sz w:val="17"/>
          <w:szCs w:val="17"/>
          <w:color w:val="auto"/>
        </w:rPr>
        <w:t>Aggregate amount of all Secured Indebtedness</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owed by members of the Consolidated Group (excluding in any event Indebtedness outstanding under the Credit Agreement) that would be reflected on a consolidated balance sheet of the Consolidated Group as of the Statement Date:</w:t>
      </w:r>
    </w:p>
    <w:p>
      <w:pPr>
        <w:ind w:left="1580" w:hanging="559"/>
        <w:spacing w:after="0" w:line="247" w:lineRule="auto"/>
        <w:tabs>
          <w:tab w:leader="none" w:pos="1580" w:val="left"/>
        </w:tabs>
        <w:numPr>
          <w:ilvl w:val="2"/>
          <w:numId w:val="621"/>
        </w:numPr>
        <w:rPr>
          <w:rFonts w:ascii="Arial" w:cs="Arial" w:eastAsia="Arial" w:hAnsi="Arial"/>
          <w:sz w:val="20"/>
          <w:szCs w:val="20"/>
          <w:color w:val="auto"/>
        </w:rPr>
      </w:pPr>
      <w:r>
        <w:rPr>
          <w:rFonts w:ascii="Arial" w:cs="Arial" w:eastAsia="Arial" w:hAnsi="Arial"/>
          <w:sz w:val="20"/>
          <w:szCs w:val="20"/>
          <w:color w:val="auto"/>
        </w:rPr>
        <w:t>Consolidated Group Pro Rata Share of the aggregate amount of all Secured Indebtedness of each Unconsolidated Affiliate that would be reflected on a balance sheet of such Unconsolidated Affiliate as of the Statement Date:</w:t>
      </w:r>
    </w:p>
    <w:p>
      <w:pPr>
        <w:spacing w:after="0" w:line="14" w:lineRule="exact"/>
        <w:rPr>
          <w:rFonts w:ascii="Arial" w:cs="Arial" w:eastAsia="Arial" w:hAnsi="Arial"/>
          <w:sz w:val="20"/>
          <w:szCs w:val="20"/>
          <w:color w:val="auto"/>
        </w:rPr>
      </w:pPr>
    </w:p>
    <w:p>
      <w:pPr>
        <w:ind w:left="1580" w:hanging="559"/>
        <w:spacing w:after="0"/>
        <w:tabs>
          <w:tab w:leader="none" w:pos="1580" w:val="left"/>
        </w:tabs>
        <w:numPr>
          <w:ilvl w:val="2"/>
          <w:numId w:val="621"/>
        </w:numPr>
        <w:rPr>
          <w:rFonts w:ascii="Arial" w:cs="Arial" w:eastAsia="Arial" w:hAnsi="Arial"/>
          <w:sz w:val="20"/>
          <w:szCs w:val="20"/>
          <w:color w:val="auto"/>
        </w:rPr>
      </w:pPr>
      <w:r>
        <w:rPr>
          <w:rFonts w:ascii="Arial" w:cs="Arial" w:eastAsia="Arial" w:hAnsi="Arial"/>
          <w:sz w:val="20"/>
          <w:szCs w:val="20"/>
          <w:u w:val="single" w:color="auto"/>
          <w:color w:val="auto"/>
        </w:rPr>
        <w:t>Consolidated Total Secured Indebtedness</w:t>
      </w:r>
      <w:r>
        <w:rPr>
          <w:rFonts w:ascii="Arial" w:cs="Arial" w:eastAsia="Arial" w:hAnsi="Arial"/>
          <w:sz w:val="20"/>
          <w:szCs w:val="20"/>
          <w:color w:val="auto"/>
        </w:rPr>
        <w:t xml:space="preserve"> (Line II.A.1. + Line II.A.2.):</w:t>
      </w:r>
    </w:p>
    <w:p>
      <w:pPr>
        <w:spacing w:after="0" w:line="57" w:lineRule="exact"/>
        <w:rPr>
          <w:rFonts w:ascii="Arial" w:cs="Arial" w:eastAsia="Arial" w:hAnsi="Arial"/>
          <w:sz w:val="20"/>
          <w:szCs w:val="20"/>
          <w:color w:val="auto"/>
        </w:rPr>
      </w:pPr>
    </w:p>
    <w:p>
      <w:pPr>
        <w:ind w:left="1020" w:hanging="561"/>
        <w:spacing w:after="0"/>
        <w:tabs>
          <w:tab w:leader="none" w:pos="1020" w:val="left"/>
        </w:tabs>
        <w:numPr>
          <w:ilvl w:val="1"/>
          <w:numId w:val="621"/>
        </w:numPr>
        <w:rPr>
          <w:rFonts w:ascii="Arial" w:cs="Arial" w:eastAsia="Arial" w:hAnsi="Arial"/>
          <w:sz w:val="20"/>
          <w:szCs w:val="20"/>
          <w:color w:val="auto"/>
        </w:rPr>
      </w:pPr>
      <w:r>
        <w:rPr>
          <w:rFonts w:ascii="Arial" w:cs="Arial" w:eastAsia="Arial" w:hAnsi="Arial"/>
          <w:sz w:val="20"/>
          <w:szCs w:val="20"/>
          <w:color w:val="auto"/>
        </w:rPr>
        <w:t>Secured Total Asset Value at Statement Date:</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20"/>
          <w:szCs w:val="20"/>
          <w:u w:val="single" w:color="auto"/>
          <w:color w:val="auto"/>
        </w:rPr>
        <w:t>Total Asset Value:</w:t>
      </w:r>
    </w:p>
    <w:p>
      <w:pPr>
        <w:spacing w:after="0" w:line="45" w:lineRule="exact"/>
        <w:rPr>
          <w:sz w:val="20"/>
          <w:szCs w:val="20"/>
          <w:color w:val="auto"/>
        </w:rPr>
      </w:pPr>
    </w:p>
    <w:p>
      <w:pPr>
        <w:ind w:left="1580" w:right="100" w:hanging="559"/>
        <w:spacing w:after="0" w:line="271" w:lineRule="auto"/>
        <w:tabs>
          <w:tab w:leader="none" w:pos="1580" w:val="left"/>
        </w:tabs>
        <w:numPr>
          <w:ilvl w:val="0"/>
          <w:numId w:val="622"/>
        </w:numPr>
        <w:rPr>
          <w:rFonts w:ascii="Arial" w:cs="Arial" w:eastAsia="Arial" w:hAnsi="Arial"/>
          <w:sz w:val="18"/>
          <w:szCs w:val="18"/>
          <w:color w:val="auto"/>
        </w:rPr>
      </w:pPr>
      <w:r>
        <w:rPr>
          <w:rFonts w:ascii="Arial" w:cs="Arial" w:eastAsia="Arial" w:hAnsi="Arial"/>
          <w:sz w:val="18"/>
          <w:szCs w:val="18"/>
          <w:color w:val="auto"/>
        </w:rPr>
        <w:t xml:space="preserve">Amount equal to (i) the sum of the Portfolio Property Net Operating Income of each Portfolio Property (excluding each Disposed Portfolio Property, each Newly-Acquired Portfolio Property and each Non-Stabilized Portfolio Property) owned, or ground leased pursuant to an Eligible Ground Lease, by the Consolidated Group for the fiscal quarter ending on above date (“Subject Period”)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the Applicable Capitalization Rate for each such Portfolio Property (see Annex I attached hereto for calculation),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(ii)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192405</wp:posOffset>
            </wp:positionV>
            <wp:extent cx="709803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28575</wp:posOffset>
            </wp:positionV>
            <wp:extent cx="113411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3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28575</wp:posOffset>
            </wp:positionV>
            <wp:extent cx="113411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48" w:lineRule="exact"/>
        <w:rPr>
          <w:sz w:val="20"/>
          <w:szCs w:val="20"/>
          <w:color w:val="auto"/>
        </w:rPr>
      </w:pPr>
    </w:p>
    <w:p>
      <w:pPr>
        <w:sectPr>
          <w:pgSz w:w="11900" w:h="16838" w:orient="portrait"/>
          <w:cols w:equalWidth="0" w:num="2">
            <w:col w:w="9320" w:space="80"/>
            <w:col w:w="1740"/>
          </w:cols>
          <w:pgMar w:left="380" w:top="1032" w:right="379" w:bottom="1440" w:gutter="0" w:footer="0" w:header="0"/>
          <w:type w:val="continuous"/>
        </w:sectPr>
      </w:pPr>
    </w:p>
    <w:p>
      <w:pPr>
        <w:spacing w:after="0" w:line="124" w:lineRule="exact"/>
        <w:rPr>
          <w:sz w:val="20"/>
          <w:szCs w:val="20"/>
          <w:color w:val="auto"/>
        </w:rPr>
      </w:pPr>
    </w:p>
    <w:p>
      <w:pPr>
        <w:ind w:left="460" w:right="400" w:hanging="450"/>
        <w:spacing w:after="0" w:line="251" w:lineRule="auto"/>
        <w:tabs>
          <w:tab w:leader="none" w:pos="460" w:val="left"/>
        </w:tabs>
        <w:numPr>
          <w:ilvl w:val="0"/>
          <w:numId w:val="623"/>
        </w:numPr>
        <w:rPr>
          <w:rFonts w:ascii="Arial" w:cs="Arial" w:eastAsia="Arial" w:hAnsi="Arial"/>
          <w:sz w:val="13"/>
          <w:szCs w:val="13"/>
          <w:b w:val="1"/>
          <w:bCs w:val="1"/>
          <w:color w:val="auto"/>
        </w:rPr>
      </w:pPr>
      <w:r>
        <w:rPr>
          <w:rFonts w:ascii="Arial" w:cs="Arial" w:eastAsia="Arial" w:hAnsi="Arial"/>
          <w:sz w:val="13"/>
          <w:szCs w:val="13"/>
          <w:color w:val="auto"/>
        </w:rPr>
        <w:t>"Secured Indebtedness” means, with respect to any Person, all Indebtedness of such Person that is secured by a mortgage, deed of trust, lien, pledge, encumbrance, security interest or other Lien (excluding in any event Indebtedness outstanding under the Credit Agreement).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Compliance Certificate</w:t>
      </w:r>
    </w:p>
    <w:p>
      <w:pPr>
        <w:sectPr>
          <w:pgSz w:w="11900" w:h="16838" w:orient="portrait"/>
          <w:cols w:equalWidth="0" w:num="1">
            <w:col w:w="11140"/>
          </w:cols>
          <w:pgMar w:left="380" w:top="1032" w:right="379" w:bottom="1440" w:gutter="0" w:footer="0" w:header="0"/>
          <w:type w:val="continuous"/>
        </w:sectPr>
      </w:pPr>
    </w:p>
    <w:bookmarkStart w:id="528" w:name="page529"/>
    <w:bookmarkEnd w:id="528"/>
    <w:tbl>
      <w:tblPr>
        <w:tblLayout w:type="fixed"/>
        <w:tblInd w:w="1020" w:type="dxa"/>
        <w:tblCellMar>
          <w:top w:w="0" w:type="dxa"/>
          <w:left w:w="0" w:type="dxa"/>
          <w:bottom w:w="0" w:type="dxa"/>
          <w:right w:w="0" w:type="dxa"/>
        </w:tblCellMar>
      </w:tblPr>
      <w:tr>
        <w:trPr>
          <w:trHeight w:val="230"/>
        </w:trPr>
        <w:tc>
          <w:tcPr>
            <w:tcW w:w="360" w:type="dxa"/>
            <w:vAlign w:val="bottom"/>
          </w:tcPr>
          <w:p>
            <w:pPr>
              <w:jc w:val="right"/>
              <w:ind w:right="100"/>
              <w:spacing w:after="0"/>
              <w:rPr>
                <w:sz w:val="20"/>
                <w:szCs w:val="20"/>
                <w:color w:val="auto"/>
              </w:rPr>
            </w:pPr>
            <w:r>
              <w:rPr>
                <w:rFonts w:ascii="Arial" w:cs="Arial" w:eastAsia="Arial" w:hAnsi="Arial"/>
                <w:sz w:val="20"/>
                <w:szCs w:val="20"/>
                <w:color w:val="auto"/>
                <w:w w:val="83"/>
              </w:rPr>
              <w:t>2.</w:t>
            </w:r>
          </w:p>
        </w:tc>
        <w:tc>
          <w:tcPr>
            <w:tcW w:w="7560" w:type="dxa"/>
            <w:vAlign w:val="bottom"/>
          </w:tcPr>
          <w:p>
            <w:pPr>
              <w:ind w:left="200"/>
              <w:spacing w:after="0"/>
              <w:rPr>
                <w:sz w:val="20"/>
                <w:szCs w:val="20"/>
                <w:color w:val="auto"/>
              </w:rPr>
            </w:pPr>
            <w:r>
              <w:rPr>
                <w:rFonts w:ascii="Arial" w:cs="Arial" w:eastAsia="Arial" w:hAnsi="Arial"/>
                <w:sz w:val="20"/>
                <w:szCs w:val="20"/>
                <w:color w:val="auto"/>
                <w:w w:val="98"/>
              </w:rPr>
              <w:t>Aggregate acquisition cost paid by Consolidated Group for Newly-Acquired Portfolio</w:t>
            </w:r>
          </w:p>
        </w:tc>
        <w:tc>
          <w:tcPr>
            <w:tcW w:w="5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4"/>
        </w:trPr>
        <w:tc>
          <w:tcPr>
            <w:tcW w:w="360" w:type="dxa"/>
            <w:vAlign w:val="bottom"/>
          </w:tcPr>
          <w:p>
            <w:pPr>
              <w:spacing w:after="0"/>
              <w:rPr>
                <w:sz w:val="22"/>
                <w:szCs w:val="22"/>
                <w:color w:val="auto"/>
              </w:rPr>
            </w:pPr>
          </w:p>
        </w:tc>
        <w:tc>
          <w:tcPr>
            <w:tcW w:w="7560" w:type="dxa"/>
            <w:vAlign w:val="bottom"/>
          </w:tcPr>
          <w:p>
            <w:pPr>
              <w:ind w:left="200"/>
              <w:spacing w:after="0"/>
              <w:rPr>
                <w:sz w:val="20"/>
                <w:szCs w:val="20"/>
                <w:color w:val="auto"/>
              </w:rPr>
            </w:pPr>
            <w:r>
              <w:rPr>
                <w:rFonts w:ascii="Arial" w:cs="Arial" w:eastAsia="Arial" w:hAnsi="Arial"/>
                <w:sz w:val="20"/>
                <w:szCs w:val="20"/>
                <w:color w:val="auto"/>
              </w:rPr>
              <w:t>Properties:</w:t>
            </w:r>
          </w:p>
        </w:tc>
        <w:tc>
          <w:tcPr>
            <w:tcW w:w="5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9525</wp:posOffset>
            </wp:positionV>
            <wp:extent cx="113411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1" w:lineRule="exact"/>
        <w:rPr>
          <w:sz w:val="20"/>
          <w:szCs w:val="20"/>
          <w:color w:val="auto"/>
        </w:rPr>
      </w:pPr>
    </w:p>
    <w:p>
      <w:pPr>
        <w:ind w:left="1580" w:hanging="559"/>
        <w:spacing w:after="0"/>
        <w:tabs>
          <w:tab w:leader="none" w:pos="1580" w:val="left"/>
        </w:tabs>
        <w:numPr>
          <w:ilvl w:val="0"/>
          <w:numId w:val="624"/>
        </w:numPr>
        <w:rPr>
          <w:rFonts w:ascii="Arial" w:cs="Arial" w:eastAsia="Arial" w:hAnsi="Arial"/>
          <w:sz w:val="20"/>
          <w:szCs w:val="20"/>
          <w:color w:val="auto"/>
        </w:rPr>
      </w:pPr>
      <w:r>
        <w:rPr>
          <w:rFonts w:ascii="Arial" w:cs="Arial" w:eastAsia="Arial" w:hAnsi="Arial"/>
          <w:sz w:val="20"/>
          <w:szCs w:val="20"/>
          <w:color w:val="auto"/>
        </w:rPr>
        <w:t>Aggregate book value of all Permitted Investments owned by Consolidated Group at Statement</w:t>
      </w:r>
    </w:p>
    <w:p>
      <w:pPr>
        <w:spacing w:after="0" w:line="11" w:lineRule="exact"/>
        <w:rPr>
          <w:sz w:val="20"/>
          <w:szCs w:val="20"/>
          <w:color w:val="auto"/>
        </w:rPr>
      </w:pPr>
    </w:p>
    <w:p>
      <w:pPr>
        <w:ind w:left="1580"/>
        <w:spacing w:after="0"/>
        <w:tabs>
          <w:tab w:leader="none" w:pos="938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14605</wp:posOffset>
            </wp:positionV>
            <wp:extent cx="113411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9" w:lineRule="exact"/>
        <w:rPr>
          <w:sz w:val="20"/>
          <w:szCs w:val="20"/>
          <w:color w:val="auto"/>
        </w:rPr>
      </w:pPr>
    </w:p>
    <w:p>
      <w:pPr>
        <w:ind w:left="1580" w:hanging="559"/>
        <w:spacing w:after="0"/>
        <w:tabs>
          <w:tab w:leader="none" w:pos="1580" w:val="left"/>
        </w:tabs>
        <w:numPr>
          <w:ilvl w:val="0"/>
          <w:numId w:val="625"/>
        </w:numPr>
        <w:rPr>
          <w:rFonts w:ascii="Arial" w:cs="Arial" w:eastAsia="Arial" w:hAnsi="Arial"/>
          <w:sz w:val="20"/>
          <w:szCs w:val="20"/>
          <w:color w:val="auto"/>
        </w:rPr>
      </w:pPr>
      <w:r>
        <w:rPr>
          <w:rFonts w:ascii="Arial" w:cs="Arial" w:eastAsia="Arial" w:hAnsi="Arial"/>
          <w:sz w:val="20"/>
          <w:szCs w:val="20"/>
          <w:color w:val="auto"/>
        </w:rPr>
        <w:t>Aggregate undepreciated book value of all Qualified Development Properties and all Non-</w:t>
      </w:r>
    </w:p>
    <w:p>
      <w:pPr>
        <w:spacing w:after="0" w:line="11" w:lineRule="exact"/>
        <w:rPr>
          <w:sz w:val="20"/>
          <w:szCs w:val="20"/>
          <w:color w:val="auto"/>
        </w:rPr>
      </w:pPr>
    </w:p>
    <w:tbl>
      <w:tblPr>
        <w:tblLayout w:type="fixed"/>
        <w:tblInd w:w="1020" w:type="dxa"/>
        <w:tblCellMar>
          <w:top w:w="0" w:type="dxa"/>
          <w:left w:w="0" w:type="dxa"/>
          <w:bottom w:w="0" w:type="dxa"/>
          <w:right w:w="0" w:type="dxa"/>
        </w:tblCellMar>
      </w:tblPr>
      <w:tr>
        <w:trPr>
          <w:trHeight w:val="253"/>
        </w:trPr>
        <w:tc>
          <w:tcPr>
            <w:tcW w:w="360" w:type="dxa"/>
            <w:vAlign w:val="bottom"/>
          </w:tcPr>
          <w:p>
            <w:pPr>
              <w:spacing w:after="0"/>
              <w:rPr>
                <w:sz w:val="22"/>
                <w:szCs w:val="22"/>
                <w:color w:val="auto"/>
              </w:rPr>
            </w:pPr>
          </w:p>
        </w:tc>
        <w:tc>
          <w:tcPr>
            <w:tcW w:w="8000" w:type="dxa"/>
            <w:vAlign w:val="bottom"/>
          </w:tcPr>
          <w:p>
            <w:pPr>
              <w:ind w:left="200"/>
              <w:spacing w:after="0"/>
              <w:rPr>
                <w:sz w:val="20"/>
                <w:szCs w:val="20"/>
                <w:color w:val="auto"/>
              </w:rPr>
            </w:pPr>
            <w:r>
              <w:rPr>
                <w:rFonts w:ascii="Arial" w:cs="Arial" w:eastAsia="Arial" w:hAnsi="Arial"/>
                <w:sz w:val="20"/>
                <w:szCs w:val="20"/>
                <w:color w:val="auto"/>
              </w:rPr>
              <w:t>Stabilized Portfolio Properties at Statement Date:</w:t>
            </w:r>
          </w:p>
        </w:tc>
        <w:tc>
          <w:tcPr>
            <w:tcW w:w="1780" w:type="dxa"/>
            <w:vAlign w:val="bottom"/>
            <w:tcBorders>
              <w:bottom w:val="single" w:sz="8" w:color="auto"/>
            </w:tcBorders>
          </w:tcPr>
          <w:p>
            <w:pPr>
              <w:jc w:val="right"/>
              <w:ind w:right="1560"/>
              <w:spacing w:after="0"/>
              <w:rPr>
                <w:sz w:val="20"/>
                <w:szCs w:val="20"/>
                <w:color w:val="auto"/>
              </w:rPr>
            </w:pPr>
            <w:r>
              <w:rPr>
                <w:rFonts w:ascii="Arial" w:cs="Arial" w:eastAsia="Arial" w:hAnsi="Arial"/>
                <w:sz w:val="20"/>
                <w:szCs w:val="20"/>
                <w:color w:val="auto"/>
                <w:w w:val="89"/>
              </w:rPr>
              <w:t>$</w:t>
            </w:r>
          </w:p>
        </w:tc>
      </w:tr>
      <w:tr>
        <w:trPr>
          <w:trHeight w:val="252"/>
        </w:trPr>
        <w:tc>
          <w:tcPr>
            <w:tcW w:w="360" w:type="dxa"/>
            <w:vAlign w:val="bottom"/>
          </w:tcPr>
          <w:p>
            <w:pPr>
              <w:jc w:val="right"/>
              <w:ind w:right="100"/>
              <w:spacing w:after="0"/>
              <w:rPr>
                <w:sz w:val="20"/>
                <w:szCs w:val="20"/>
                <w:color w:val="auto"/>
              </w:rPr>
            </w:pPr>
            <w:r>
              <w:rPr>
                <w:rFonts w:ascii="Arial" w:cs="Arial" w:eastAsia="Arial" w:hAnsi="Arial"/>
                <w:sz w:val="20"/>
                <w:szCs w:val="20"/>
                <w:color w:val="auto"/>
                <w:w w:val="83"/>
              </w:rPr>
              <w:t>5.</w:t>
            </w:r>
          </w:p>
        </w:tc>
        <w:tc>
          <w:tcPr>
            <w:tcW w:w="8000" w:type="dxa"/>
            <w:vAlign w:val="bottom"/>
          </w:tcPr>
          <w:p>
            <w:pPr>
              <w:ind w:left="200"/>
              <w:spacing w:after="0"/>
              <w:rPr>
                <w:sz w:val="20"/>
                <w:szCs w:val="20"/>
                <w:color w:val="auto"/>
              </w:rPr>
            </w:pPr>
            <w:r>
              <w:rPr>
                <w:rFonts w:ascii="Arial" w:cs="Arial" w:eastAsia="Arial" w:hAnsi="Arial"/>
                <w:sz w:val="20"/>
                <w:szCs w:val="20"/>
                <w:color w:val="auto"/>
              </w:rPr>
              <w:t>Line II.B.1. + Line II.B.2. + Line II.B.3. + Line II.B.4:</w:t>
            </w:r>
          </w:p>
        </w:tc>
        <w:tc>
          <w:tcPr>
            <w:tcW w:w="1780" w:type="dxa"/>
            <w:vAlign w:val="bottom"/>
          </w:tcPr>
          <w:p>
            <w:pPr>
              <w:jc w:val="right"/>
              <w:ind w:right="1560"/>
              <w:spacing w:after="0"/>
              <w:rPr>
                <w:sz w:val="20"/>
                <w:szCs w:val="20"/>
                <w:color w:val="auto"/>
              </w:rPr>
            </w:pPr>
            <w:r>
              <w:rPr>
                <w:rFonts w:ascii="Arial" w:cs="Arial" w:eastAsia="Arial" w:hAnsi="Arial"/>
                <w:sz w:val="20"/>
                <w:szCs w:val="20"/>
                <w:color w:val="auto"/>
                <w:w w:val="8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9525</wp:posOffset>
            </wp:positionV>
            <wp:extent cx="113411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1" w:lineRule="exact"/>
        <w:rPr>
          <w:sz w:val="20"/>
          <w:szCs w:val="20"/>
          <w:color w:val="auto"/>
        </w:rPr>
      </w:pPr>
    </w:p>
    <w:p>
      <w:pPr>
        <w:ind w:left="1580" w:hanging="559"/>
        <w:spacing w:after="0"/>
        <w:tabs>
          <w:tab w:leader="none" w:pos="1580" w:val="left"/>
        </w:tabs>
        <w:numPr>
          <w:ilvl w:val="0"/>
          <w:numId w:val="626"/>
        </w:numPr>
        <w:rPr>
          <w:rFonts w:ascii="Arial" w:cs="Arial" w:eastAsia="Arial" w:hAnsi="Arial"/>
          <w:sz w:val="20"/>
          <w:szCs w:val="20"/>
          <w:color w:val="auto"/>
        </w:rPr>
      </w:pPr>
      <w:r>
        <w:rPr>
          <w:rFonts w:ascii="Arial" w:cs="Arial" w:eastAsia="Arial" w:hAnsi="Arial"/>
          <w:sz w:val="20"/>
          <w:szCs w:val="20"/>
          <w:color w:val="auto"/>
        </w:rPr>
        <w:t>Consolidated Group Pro Rata Share of items referenced in Lines II.B.1. through II.B.4. (and the</w:t>
      </w:r>
    </w:p>
    <w:p>
      <w:pPr>
        <w:spacing w:after="0" w:line="11" w:lineRule="exact"/>
        <w:rPr>
          <w:sz w:val="20"/>
          <w:szCs w:val="20"/>
          <w:color w:val="auto"/>
        </w:rPr>
      </w:pPr>
    </w:p>
    <w:p>
      <w:pPr>
        <w:ind w:left="1580" w:right="1960"/>
        <w:spacing w:after="0" w:line="260" w:lineRule="auto"/>
        <w:rPr>
          <w:sz w:val="20"/>
          <w:szCs w:val="20"/>
          <w:color w:val="auto"/>
        </w:rPr>
      </w:pPr>
      <w:r>
        <w:rPr>
          <w:rFonts w:ascii="Arial" w:cs="Arial" w:eastAsia="Arial" w:hAnsi="Arial"/>
          <w:sz w:val="18"/>
          <w:szCs w:val="18"/>
          <w:color w:val="auto"/>
        </w:rPr>
        <w:t>components thereof) to the extent relating to Portfolio Properties, Permitted Investments, Qualified Development Properties or Non-Stabilized Portfolio Properties, as applicable, owned</w:t>
      </w:r>
    </w:p>
    <w:p>
      <w:pPr>
        <w:spacing w:after="0" w:line="1" w:lineRule="exact"/>
        <w:rPr>
          <w:sz w:val="20"/>
          <w:szCs w:val="20"/>
          <w:color w:val="auto"/>
        </w:rPr>
      </w:pPr>
    </w:p>
    <w:p>
      <w:pPr>
        <w:ind w:left="1580"/>
        <w:spacing w:after="0"/>
        <w:tabs>
          <w:tab w:leader="none" w:pos="9380" w:val="left"/>
        </w:tabs>
        <w:rPr>
          <w:sz w:val="20"/>
          <w:szCs w:val="20"/>
          <w:color w:val="auto"/>
        </w:rPr>
      </w:pPr>
      <w:r>
        <w:rPr>
          <w:rFonts w:ascii="Arial" w:cs="Arial" w:eastAsia="Arial" w:hAnsi="Arial"/>
          <w:sz w:val="20"/>
          <w:szCs w:val="20"/>
          <w:color w:val="auto"/>
        </w:rPr>
        <w:t>by Unconsolidated Affiliates: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14605</wp:posOffset>
            </wp:positionV>
            <wp:extent cx="113411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9" w:lineRule="exact"/>
        <w:rPr>
          <w:sz w:val="20"/>
          <w:szCs w:val="20"/>
          <w:color w:val="auto"/>
        </w:rPr>
      </w:pPr>
    </w:p>
    <w:p>
      <w:pPr>
        <w:ind w:left="1580" w:hanging="559"/>
        <w:spacing w:after="0"/>
        <w:tabs>
          <w:tab w:leader="none" w:pos="1580" w:val="left"/>
        </w:tabs>
        <w:numPr>
          <w:ilvl w:val="0"/>
          <w:numId w:val="627"/>
        </w:numPr>
        <w:rPr>
          <w:rFonts w:ascii="Arial" w:cs="Arial" w:eastAsia="Arial" w:hAnsi="Arial"/>
          <w:sz w:val="20"/>
          <w:szCs w:val="20"/>
          <w:color w:val="auto"/>
        </w:rPr>
      </w:pPr>
      <w:r>
        <w:rPr>
          <w:rFonts w:ascii="Arial" w:cs="Arial" w:eastAsia="Arial" w:hAnsi="Arial"/>
          <w:sz w:val="20"/>
          <w:szCs w:val="20"/>
          <w:color w:val="auto"/>
        </w:rPr>
        <w:t>Cash and Cash Equivalents owned by members of the Consolidated Group on the Statement</w:t>
      </w:r>
    </w:p>
    <w:p>
      <w:pPr>
        <w:spacing w:after="0" w:line="11" w:lineRule="exact"/>
        <w:rPr>
          <w:sz w:val="20"/>
          <w:szCs w:val="20"/>
          <w:color w:val="auto"/>
        </w:rPr>
      </w:pPr>
    </w:p>
    <w:p>
      <w:pPr>
        <w:ind w:left="1580"/>
        <w:spacing w:after="0"/>
        <w:tabs>
          <w:tab w:leader="none" w:pos="938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14605</wp:posOffset>
            </wp:positionV>
            <wp:extent cx="113411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9" w:lineRule="exact"/>
        <w:rPr>
          <w:sz w:val="20"/>
          <w:szCs w:val="20"/>
          <w:color w:val="auto"/>
        </w:rPr>
      </w:pPr>
    </w:p>
    <w:p>
      <w:pPr>
        <w:ind w:left="1580" w:hanging="559"/>
        <w:spacing w:after="0"/>
        <w:tabs>
          <w:tab w:leader="none" w:pos="1580" w:val="left"/>
        </w:tabs>
        <w:numPr>
          <w:ilvl w:val="0"/>
          <w:numId w:val="628"/>
        </w:numPr>
        <w:rPr>
          <w:rFonts w:ascii="Arial" w:cs="Arial" w:eastAsia="Arial" w:hAnsi="Arial"/>
          <w:sz w:val="20"/>
          <w:szCs w:val="20"/>
          <w:color w:val="auto"/>
        </w:rPr>
      </w:pPr>
      <w:r>
        <w:rPr>
          <w:rFonts w:ascii="Arial" w:cs="Arial" w:eastAsia="Arial" w:hAnsi="Arial"/>
          <w:sz w:val="20"/>
          <w:szCs w:val="20"/>
          <w:color w:val="auto"/>
        </w:rPr>
        <w:t>Line II.B.5. + Line II.B.6. + Line II.B.7.:</w:t>
      </w:r>
    </w:p>
    <w:p>
      <w:pPr>
        <w:spacing w:after="0" w:line="11" w:lineRule="exact"/>
        <w:rPr>
          <w:sz w:val="20"/>
          <w:szCs w:val="20"/>
          <w:color w:val="auto"/>
        </w:rPr>
      </w:pPr>
    </w:p>
    <w:p>
      <w:pPr>
        <w:ind w:left="940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14605</wp:posOffset>
            </wp:positionV>
            <wp:extent cx="113411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9" w:lineRule="exact"/>
        <w:rPr>
          <w:sz w:val="20"/>
          <w:szCs w:val="20"/>
          <w:color w:val="auto"/>
        </w:rPr>
      </w:pPr>
    </w:p>
    <w:p>
      <w:pPr>
        <w:ind w:left="1580" w:hanging="559"/>
        <w:spacing w:after="0"/>
        <w:tabs>
          <w:tab w:leader="none" w:pos="1580" w:val="left"/>
        </w:tabs>
        <w:numPr>
          <w:ilvl w:val="0"/>
          <w:numId w:val="629"/>
        </w:numPr>
        <w:rPr>
          <w:rFonts w:ascii="Arial" w:cs="Arial" w:eastAsia="Arial" w:hAnsi="Arial"/>
          <w:sz w:val="20"/>
          <w:szCs w:val="20"/>
          <w:color w:val="auto"/>
        </w:rPr>
      </w:pPr>
      <w:r>
        <w:rPr>
          <w:rFonts w:ascii="Arial" w:cs="Arial" w:eastAsia="Arial" w:hAnsi="Arial"/>
          <w:sz w:val="20"/>
          <w:szCs w:val="20"/>
          <w:color w:val="auto"/>
        </w:rPr>
        <w:t>Percentage of Line II.B.8. attributable to costs to construct Portfolio Properties (i.e.,</w:t>
      </w:r>
    </w:p>
    <w:p>
      <w:pPr>
        <w:spacing w:after="0" w:line="11" w:lineRule="exact"/>
        <w:rPr>
          <w:sz w:val="20"/>
          <w:szCs w:val="20"/>
          <w:color w:val="auto"/>
        </w:rPr>
      </w:pPr>
    </w:p>
    <w:p>
      <w:pPr>
        <w:ind w:left="1580"/>
        <w:spacing w:after="0"/>
        <w:tabs>
          <w:tab w:leader="none" w:pos="10920" w:val="left"/>
        </w:tabs>
        <w:rPr>
          <w:sz w:val="20"/>
          <w:szCs w:val="20"/>
          <w:color w:val="auto"/>
        </w:rPr>
      </w:pPr>
      <w:r>
        <w:rPr>
          <w:rFonts w:ascii="Arial" w:cs="Arial" w:eastAsia="Arial" w:hAnsi="Arial"/>
          <w:sz w:val="20"/>
          <w:szCs w:val="20"/>
          <w:color w:val="auto"/>
        </w:rPr>
        <w:t>construction-in-progress) and real property assets under development:</w:t>
      </w:r>
      <w:r>
        <w:rPr>
          <w:sz w:val="20"/>
          <w:szCs w:val="20"/>
          <w:color w:val="auto"/>
        </w:rPr>
        <w:tab/>
      </w: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14605</wp:posOffset>
            </wp:positionV>
            <wp:extent cx="113411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9" w:lineRule="exact"/>
        <w:rPr>
          <w:sz w:val="20"/>
          <w:szCs w:val="20"/>
          <w:color w:val="auto"/>
        </w:rPr>
      </w:pPr>
    </w:p>
    <w:p>
      <w:pPr>
        <w:ind w:left="1580" w:hanging="559"/>
        <w:spacing w:after="0"/>
        <w:tabs>
          <w:tab w:leader="none" w:pos="1580" w:val="left"/>
        </w:tabs>
        <w:numPr>
          <w:ilvl w:val="0"/>
          <w:numId w:val="630"/>
        </w:numPr>
        <w:rPr>
          <w:rFonts w:ascii="Arial" w:cs="Arial" w:eastAsia="Arial" w:hAnsi="Arial"/>
          <w:sz w:val="20"/>
          <w:szCs w:val="20"/>
          <w:color w:val="auto"/>
        </w:rPr>
      </w:pPr>
      <w:r>
        <w:rPr>
          <w:rFonts w:ascii="Arial" w:cs="Arial" w:eastAsia="Arial" w:hAnsi="Arial"/>
          <w:sz w:val="20"/>
          <w:szCs w:val="20"/>
          <w:color w:val="auto"/>
        </w:rPr>
        <w:t>Percentage of Line II.B.8. attributable to unimproved land holdings (excluding, for the</w:t>
      </w:r>
    </w:p>
    <w:p>
      <w:pPr>
        <w:ind w:left="1580"/>
        <w:spacing w:after="0"/>
        <w:tabs>
          <w:tab w:leader="none" w:pos="10920" w:val="left"/>
        </w:tabs>
        <w:rPr>
          <w:sz w:val="20"/>
          <w:szCs w:val="20"/>
          <w:color w:val="auto"/>
        </w:rPr>
      </w:pPr>
      <w:r>
        <w:rPr>
          <w:rFonts w:ascii="Arial" w:cs="Arial" w:eastAsia="Arial" w:hAnsi="Arial"/>
          <w:sz w:val="20"/>
          <w:szCs w:val="20"/>
          <w:color w:val="auto"/>
        </w:rPr>
        <w:t>avoidance of doubt, Investments accounted for in Line II.B.9):</w:t>
      </w:r>
      <w:r>
        <w:rPr>
          <w:rFonts w:ascii="Arial" w:cs="Arial" w:eastAsia="Arial" w:hAnsi="Arial"/>
          <w:sz w:val="26"/>
          <w:szCs w:val="26"/>
          <w:color w:val="auto"/>
          <w:vertAlign w:val="superscript"/>
        </w:rPr>
        <w:t>3</w:t>
      </w:r>
      <w:r>
        <w:rPr>
          <w:sz w:val="20"/>
          <w:szCs w:val="20"/>
          <w:color w:val="auto"/>
        </w:rPr>
        <w:tab/>
      </w: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-12700</wp:posOffset>
            </wp:positionV>
            <wp:extent cx="113411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ind w:left="1580" w:hanging="559"/>
        <w:spacing w:after="0" w:line="231" w:lineRule="auto"/>
        <w:tabs>
          <w:tab w:leader="none" w:pos="1580" w:val="left"/>
        </w:tabs>
        <w:numPr>
          <w:ilvl w:val="0"/>
          <w:numId w:val="631"/>
        </w:numPr>
        <w:rPr>
          <w:rFonts w:ascii="Arial" w:cs="Arial" w:eastAsia="Arial" w:hAnsi="Arial"/>
          <w:sz w:val="20"/>
          <w:szCs w:val="20"/>
          <w:color w:val="auto"/>
        </w:rPr>
      </w:pPr>
      <w:r>
        <w:rPr>
          <w:rFonts w:ascii="Arial" w:cs="Arial" w:eastAsia="Arial" w:hAnsi="Arial"/>
          <w:sz w:val="20"/>
          <w:szCs w:val="20"/>
          <w:color w:val="auto"/>
        </w:rPr>
        <w:t>Percentage of Line II.B.8. attributable to commercial mortgage loans and commercial real estate-</w:t>
      </w:r>
    </w:p>
    <w:tbl>
      <w:tblPr>
        <w:tblLayout w:type="fixed"/>
        <w:tblInd w:w="1020" w:type="dxa"/>
        <w:tblCellMar>
          <w:top w:w="0" w:type="dxa"/>
          <w:left w:w="0" w:type="dxa"/>
          <w:bottom w:w="0" w:type="dxa"/>
          <w:right w:w="0" w:type="dxa"/>
        </w:tblCellMar>
      </w:tblPr>
      <w:tr>
        <w:trPr>
          <w:trHeight w:val="257"/>
        </w:trPr>
        <w:tc>
          <w:tcPr>
            <w:tcW w:w="560" w:type="dxa"/>
            <w:vAlign w:val="bottom"/>
          </w:tcPr>
          <w:p>
            <w:pPr>
              <w:spacing w:after="0"/>
              <w:rPr>
                <w:sz w:val="22"/>
                <w:szCs w:val="22"/>
                <w:color w:val="auto"/>
              </w:rPr>
            </w:pPr>
          </w:p>
        </w:tc>
        <w:tc>
          <w:tcPr>
            <w:tcW w:w="7800" w:type="dxa"/>
            <w:vAlign w:val="bottom"/>
            <w:gridSpan w:val="2"/>
          </w:tcPr>
          <w:p>
            <w:pPr>
              <w:spacing w:after="0" w:line="257" w:lineRule="exact"/>
              <w:rPr>
                <w:sz w:val="20"/>
                <w:szCs w:val="20"/>
                <w:color w:val="auto"/>
              </w:rPr>
            </w:pPr>
            <w:r>
              <w:rPr>
                <w:rFonts w:ascii="Arial" w:cs="Arial" w:eastAsia="Arial" w:hAnsi="Arial"/>
                <w:sz w:val="20"/>
                <w:szCs w:val="20"/>
                <w:color w:val="auto"/>
              </w:rPr>
              <w:t>related mezzanine loans:</w:t>
            </w:r>
            <w:r>
              <w:rPr>
                <w:rFonts w:ascii="Arial" w:cs="Arial" w:eastAsia="Arial" w:hAnsi="Arial"/>
                <w:sz w:val="26"/>
                <w:szCs w:val="26"/>
                <w:color w:val="auto"/>
                <w:vertAlign w:val="superscript"/>
              </w:rPr>
              <w:t>4</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r>
      <w:tr>
        <w:trPr>
          <w:trHeight w:val="267"/>
        </w:trPr>
        <w:tc>
          <w:tcPr>
            <w:tcW w:w="560" w:type="dxa"/>
            <w:vAlign w:val="bottom"/>
          </w:tcPr>
          <w:p>
            <w:pPr>
              <w:jc w:val="right"/>
              <w:ind w:right="200"/>
              <w:spacing w:after="0"/>
              <w:rPr>
                <w:sz w:val="20"/>
                <w:szCs w:val="20"/>
                <w:color w:val="auto"/>
              </w:rPr>
            </w:pPr>
            <w:r>
              <w:rPr>
                <w:rFonts w:ascii="Arial" w:cs="Arial" w:eastAsia="Arial" w:hAnsi="Arial"/>
                <w:sz w:val="20"/>
                <w:szCs w:val="20"/>
                <w:color w:val="auto"/>
                <w:w w:val="86"/>
              </w:rPr>
              <w:t>12.</w:t>
            </w:r>
          </w:p>
        </w:tc>
        <w:tc>
          <w:tcPr>
            <w:tcW w:w="7800" w:type="dxa"/>
            <w:vAlign w:val="bottom"/>
            <w:gridSpan w:val="2"/>
          </w:tcPr>
          <w:p>
            <w:pPr>
              <w:spacing w:after="0"/>
              <w:rPr>
                <w:sz w:val="20"/>
                <w:szCs w:val="20"/>
                <w:color w:val="auto"/>
              </w:rPr>
            </w:pPr>
            <w:r>
              <w:rPr>
                <w:rFonts w:ascii="Arial" w:cs="Arial" w:eastAsia="Arial" w:hAnsi="Arial"/>
                <w:sz w:val="20"/>
                <w:szCs w:val="20"/>
                <w:color w:val="auto"/>
              </w:rPr>
              <w:t xml:space="preserve">Percentage of Line II.B.8. attributable to Investments in Unconsolidated Affiliates: </w:t>
            </w:r>
            <w:r>
              <w:rPr>
                <w:rFonts w:ascii="Arial" w:cs="Arial" w:eastAsia="Arial" w:hAnsi="Arial"/>
                <w:sz w:val="23"/>
                <w:szCs w:val="23"/>
                <w:color w:val="auto"/>
                <w:vertAlign w:val="superscript"/>
              </w:rPr>
              <w:t>5</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r>
      <w:tr>
        <w:trPr>
          <w:trHeight w:val="267"/>
        </w:trPr>
        <w:tc>
          <w:tcPr>
            <w:tcW w:w="560" w:type="dxa"/>
            <w:vAlign w:val="bottom"/>
          </w:tcPr>
          <w:p>
            <w:pPr>
              <w:jc w:val="right"/>
              <w:ind w:right="200"/>
              <w:spacing w:after="0"/>
              <w:rPr>
                <w:sz w:val="20"/>
                <w:szCs w:val="20"/>
                <w:color w:val="auto"/>
              </w:rPr>
            </w:pPr>
            <w:r>
              <w:rPr>
                <w:rFonts w:ascii="Arial" w:cs="Arial" w:eastAsia="Arial" w:hAnsi="Arial"/>
                <w:sz w:val="20"/>
                <w:szCs w:val="20"/>
                <w:color w:val="auto"/>
                <w:w w:val="86"/>
              </w:rPr>
              <w:t>13.</w:t>
            </w:r>
          </w:p>
        </w:tc>
        <w:tc>
          <w:tcPr>
            <w:tcW w:w="7800" w:type="dxa"/>
            <w:vAlign w:val="bottom"/>
            <w:gridSpan w:val="2"/>
          </w:tcPr>
          <w:p>
            <w:pPr>
              <w:spacing w:after="0"/>
              <w:rPr>
                <w:sz w:val="20"/>
                <w:szCs w:val="20"/>
                <w:color w:val="auto"/>
              </w:rPr>
            </w:pPr>
            <w:r>
              <w:rPr>
                <w:rFonts w:ascii="Arial" w:cs="Arial" w:eastAsia="Arial" w:hAnsi="Arial"/>
                <w:sz w:val="20"/>
                <w:szCs w:val="20"/>
                <w:color w:val="auto"/>
              </w:rPr>
              <w:t>Percentage of Line II.B.8. attributable to Specified Investments:</w:t>
            </w:r>
            <w:r>
              <w:rPr>
                <w:rFonts w:ascii="Arial" w:cs="Arial" w:eastAsia="Arial" w:hAnsi="Arial"/>
                <w:sz w:val="23"/>
                <w:szCs w:val="23"/>
                <w:color w:val="auto"/>
                <w:vertAlign w:val="superscript"/>
              </w:rPr>
              <w:t>6</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r>
      <w:tr>
        <w:trPr>
          <w:trHeight w:val="260"/>
        </w:trPr>
        <w:tc>
          <w:tcPr>
            <w:tcW w:w="560" w:type="dxa"/>
            <w:vAlign w:val="bottom"/>
          </w:tcPr>
          <w:p>
            <w:pPr>
              <w:jc w:val="right"/>
              <w:ind w:right="200"/>
              <w:spacing w:after="0"/>
              <w:rPr>
                <w:sz w:val="20"/>
                <w:szCs w:val="20"/>
                <w:color w:val="auto"/>
              </w:rPr>
            </w:pPr>
            <w:r>
              <w:rPr>
                <w:rFonts w:ascii="Arial" w:cs="Arial" w:eastAsia="Arial" w:hAnsi="Arial"/>
                <w:sz w:val="20"/>
                <w:szCs w:val="20"/>
                <w:color w:val="auto"/>
                <w:w w:val="86"/>
              </w:rPr>
              <w:t>14.</w:t>
            </w:r>
          </w:p>
        </w:tc>
        <w:tc>
          <w:tcPr>
            <w:tcW w:w="7800" w:type="dxa"/>
            <w:vAlign w:val="bottom"/>
            <w:gridSpan w:val="2"/>
          </w:tcPr>
          <w:p>
            <w:pPr>
              <w:spacing w:after="0"/>
              <w:rPr>
                <w:sz w:val="20"/>
                <w:szCs w:val="20"/>
                <w:color w:val="auto"/>
              </w:rPr>
            </w:pPr>
            <w:r>
              <w:rPr>
                <w:rFonts w:ascii="Arial" w:cs="Arial" w:eastAsia="Arial" w:hAnsi="Arial"/>
                <w:sz w:val="20"/>
                <w:szCs w:val="20"/>
                <w:color w:val="auto"/>
              </w:rPr>
              <w:t>Adjustment (if any) to reflect limitations referenced in Line II.B.9. through Line II.B.13.:</w:t>
            </w:r>
          </w:p>
        </w:tc>
        <w:tc>
          <w:tcPr>
            <w:tcW w:w="17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 )</w:t>
            </w:r>
          </w:p>
        </w:tc>
      </w:tr>
      <w:tr>
        <w:trPr>
          <w:trHeight w:val="200"/>
        </w:trPr>
        <w:tc>
          <w:tcPr>
            <w:tcW w:w="560" w:type="dxa"/>
            <w:vAlign w:val="bottom"/>
          </w:tcPr>
          <w:p>
            <w:pPr>
              <w:jc w:val="right"/>
              <w:ind w:right="200"/>
              <w:spacing w:after="0" w:line="180" w:lineRule="exact"/>
              <w:rPr>
                <w:sz w:val="20"/>
                <w:szCs w:val="20"/>
                <w:color w:val="auto"/>
              </w:rPr>
            </w:pPr>
            <w:r>
              <w:rPr>
                <w:rFonts w:ascii="Arial" w:cs="Arial" w:eastAsia="Arial" w:hAnsi="Arial"/>
                <w:sz w:val="20"/>
                <w:szCs w:val="20"/>
                <w:color w:val="auto"/>
                <w:w w:val="86"/>
              </w:rPr>
              <w:t>15.</w:t>
            </w:r>
          </w:p>
        </w:tc>
        <w:tc>
          <w:tcPr>
            <w:tcW w:w="7800" w:type="dxa"/>
            <w:vAlign w:val="bottom"/>
            <w:gridSpan w:val="2"/>
          </w:tcPr>
          <w:p>
            <w:pPr>
              <w:spacing w:after="0" w:line="180" w:lineRule="exact"/>
              <w:rPr>
                <w:sz w:val="20"/>
                <w:szCs w:val="20"/>
                <w:color w:val="auto"/>
              </w:rPr>
            </w:pPr>
            <w:r>
              <w:rPr>
                <w:rFonts w:ascii="Arial" w:cs="Arial" w:eastAsia="Arial" w:hAnsi="Arial"/>
                <w:sz w:val="20"/>
                <w:szCs w:val="20"/>
                <w:color w:val="auto"/>
              </w:rPr>
              <w:t>Total Asset Value (Line II.B.8. - Line II.B.14.):</w:t>
            </w:r>
          </w:p>
        </w:tc>
        <w:tc>
          <w:tcPr>
            <w:tcW w:w="1780" w:type="dxa"/>
            <w:vAlign w:val="bottom"/>
          </w:tcPr>
          <w:p>
            <w:pPr>
              <w:ind w:left="20"/>
              <w:spacing w:after="0" w:line="180" w:lineRule="exact"/>
              <w:rPr>
                <w:sz w:val="20"/>
                <w:szCs w:val="20"/>
                <w:color w:val="auto"/>
              </w:rPr>
            </w:pPr>
            <w:r>
              <w:rPr>
                <w:rFonts w:ascii="Arial" w:cs="Arial" w:eastAsia="Arial" w:hAnsi="Arial"/>
                <w:sz w:val="20"/>
                <w:szCs w:val="20"/>
                <w:color w:val="auto"/>
              </w:rPr>
              <w:t>$</w:t>
            </w:r>
          </w:p>
        </w:tc>
      </w:tr>
      <w:tr>
        <w:trPr>
          <w:trHeight w:val="20"/>
        </w:trPr>
        <w:tc>
          <w:tcPr>
            <w:tcW w:w="5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39370</wp:posOffset>
            </wp:positionV>
            <wp:extent cx="113411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48" w:lineRule="exact"/>
        <w:rPr>
          <w:sz w:val="20"/>
          <w:szCs w:val="20"/>
          <w:color w:val="auto"/>
        </w:rPr>
      </w:pPr>
    </w:p>
    <w:p>
      <w:pPr>
        <w:ind w:left="1580" w:right="2180" w:hanging="559"/>
        <w:spacing w:after="0" w:line="259" w:lineRule="auto"/>
        <w:tabs>
          <w:tab w:leader="none" w:pos="1580" w:val="left"/>
        </w:tabs>
        <w:numPr>
          <w:ilvl w:val="0"/>
          <w:numId w:val="632"/>
        </w:numPr>
        <w:rPr>
          <w:rFonts w:ascii="Arial" w:cs="Arial" w:eastAsia="Arial" w:hAnsi="Arial"/>
          <w:sz w:val="20"/>
          <w:szCs w:val="20"/>
          <w:color w:val="auto"/>
        </w:rPr>
      </w:pPr>
      <w:r>
        <w:rPr>
          <w:rFonts w:ascii="Arial" w:cs="Arial" w:eastAsia="Arial" w:hAnsi="Arial"/>
          <w:sz w:val="20"/>
          <w:szCs w:val="20"/>
          <w:color w:val="auto"/>
        </w:rPr>
        <w:t>Consolidated Group Pro Rata Share of cash and Cash Equivalents owned by Unconsolidated Affiliates on the Statement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-1270</wp:posOffset>
            </wp:positionV>
            <wp:extent cx="113411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ectPr>
          <w:pgSz w:w="11900" w:h="16838" w:orient="portrait"/>
          <w:cols w:equalWidth="0" w:num="1">
            <w:col w:w="11160"/>
          </w:cols>
          <w:pgMar w:left="380" w:top="1027" w:right="359" w:bottom="1440" w:gutter="0" w:footer="0" w:header="0"/>
        </w:sectPr>
      </w:pPr>
    </w:p>
    <w:p>
      <w:pPr>
        <w:spacing w:after="0" w:line="3" w:lineRule="exact"/>
        <w:rPr>
          <w:sz w:val="20"/>
          <w:szCs w:val="20"/>
          <w:color w:val="auto"/>
        </w:rPr>
      </w:pPr>
    </w:p>
    <w:p>
      <w:pPr>
        <w:jc w:val="both"/>
        <w:ind w:left="1020"/>
        <w:spacing w:after="0"/>
        <w:tabs>
          <w:tab w:leader="none" w:pos="1560" w:val="left"/>
          <w:tab w:leader="none" w:pos="938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20"/>
          <w:szCs w:val="20"/>
          <w:u w:val="single" w:color="auto"/>
          <w:color w:val="auto"/>
        </w:rPr>
        <w:t>Secured Total Asset Value</w:t>
      </w:r>
      <w:r>
        <w:rPr>
          <w:rFonts w:ascii="Arial" w:cs="Arial" w:eastAsia="Arial" w:hAnsi="Arial"/>
          <w:sz w:val="20"/>
          <w:szCs w:val="20"/>
          <w:color w:val="auto"/>
        </w:rPr>
        <w:t>: (Line II.B.15. + Line II.B.16):</w:t>
      </w:r>
      <w:r>
        <w:rPr>
          <w:sz w:val="20"/>
          <w:szCs w:val="20"/>
          <w:color w:val="auto"/>
        </w:rPr>
        <w:tab/>
      </w:r>
      <w:r>
        <w:rPr>
          <w:rFonts w:ascii="Arial" w:cs="Arial" w:eastAsia="Arial" w:hAnsi="Arial"/>
          <w:sz w:val="17"/>
          <w:szCs w:val="17"/>
          <w:color w:val="auto"/>
        </w:rPr>
        <w: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Consolidated Secured Leverage Ratio (Line II.A.3. as a percentage of Line II.B.17):</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Maximum Permitted Consolidated Secured 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234950</wp:posOffset>
            </wp:positionV>
            <wp:extent cx="709803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371" w:lineRule="exact"/>
        <w:rPr>
          <w:sz w:val="20"/>
          <w:szCs w:val="20"/>
          <w:color w:val="auto"/>
        </w:rPr>
      </w:pPr>
    </w:p>
    <w:p>
      <w:pPr>
        <w:ind w:left="460" w:hanging="450"/>
        <w:spacing w:after="0"/>
        <w:tabs>
          <w:tab w:leader="none" w:pos="460" w:val="left"/>
        </w:tabs>
        <w:numPr>
          <w:ilvl w:val="0"/>
          <w:numId w:val="633"/>
        </w:numPr>
        <w:rPr>
          <w:rFonts w:ascii="Arial" w:cs="Arial" w:eastAsia="Arial" w:hAnsi="Arial"/>
          <w:sz w:val="12"/>
          <w:szCs w:val="12"/>
          <w:b w:val="1"/>
          <w:bCs w:val="1"/>
          <w:color w:val="auto"/>
        </w:rPr>
      </w:pPr>
      <w:r>
        <w:rPr>
          <w:rFonts w:ascii="Arial" w:cs="Arial" w:eastAsia="Arial" w:hAnsi="Arial"/>
          <w:sz w:val="12"/>
          <w:szCs w:val="12"/>
          <w:color w:val="auto"/>
        </w:rPr>
        <w:t>Not more than 25% of the TAV may be attributable to costs to construct Portfolio Properties (i.e., construction-in-progress) and real property assets under development</w:t>
      </w:r>
    </w:p>
    <w:p>
      <w:pPr>
        <w:spacing w:after="0" w:line="45"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3"/>
          <w:szCs w:val="13"/>
          <w:b w:val="1"/>
          <w:bCs w:val="1"/>
          <w:color w:val="auto"/>
        </w:rPr>
        <w:t>3</w:t>
      </w:r>
      <w:r>
        <w:rPr>
          <w:rFonts w:ascii="Arial" w:cs="Arial" w:eastAsia="Arial" w:hAnsi="Arial"/>
          <w:sz w:val="12"/>
          <w:szCs w:val="12"/>
          <w:color w:val="auto"/>
        </w:rPr>
        <w:t>Not more than 5% of the TAV may be may be attributable to unimproved land holdings</w:t>
      </w:r>
    </w:p>
    <w:p>
      <w:pPr>
        <w:spacing w:after="0" w:line="37"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3"/>
          <w:szCs w:val="13"/>
          <w:b w:val="1"/>
          <w:bCs w:val="1"/>
          <w:color w:val="auto"/>
        </w:rPr>
        <w:t>4</w:t>
      </w:r>
      <w:r>
        <w:rPr>
          <w:rFonts w:ascii="Arial" w:cs="Arial" w:eastAsia="Arial" w:hAnsi="Arial"/>
          <w:sz w:val="12"/>
          <w:szCs w:val="12"/>
          <w:color w:val="auto"/>
        </w:rPr>
        <w:t>Not more than 10% of the TAV may be attributable to commercial mortgage loans and commercial real estate-related mezzanine loans</w:t>
      </w:r>
    </w:p>
    <w:p>
      <w:pPr>
        <w:spacing w:after="0" w:line="37"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3"/>
          <w:szCs w:val="13"/>
          <w:b w:val="1"/>
          <w:bCs w:val="1"/>
          <w:color w:val="auto"/>
        </w:rPr>
        <w:t>5</w:t>
      </w:r>
      <w:r>
        <w:rPr>
          <w:rFonts w:ascii="Arial" w:cs="Arial" w:eastAsia="Arial" w:hAnsi="Arial"/>
          <w:sz w:val="12"/>
          <w:szCs w:val="12"/>
          <w:color w:val="auto"/>
        </w:rPr>
        <w:t>Not more than 20% of the TAV may be attributable to Investments in Unconsolidated Affiliates</w:t>
      </w:r>
    </w:p>
    <w:p>
      <w:pPr>
        <w:spacing w:after="0" w:line="37"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3"/>
          <w:szCs w:val="13"/>
          <w:b w:val="1"/>
          <w:bCs w:val="1"/>
          <w:color w:val="auto"/>
        </w:rPr>
        <w:t>6</w:t>
      </w:r>
      <w:r>
        <w:rPr>
          <w:rFonts w:ascii="Arial" w:cs="Arial" w:eastAsia="Arial" w:hAnsi="Arial"/>
          <w:sz w:val="12"/>
          <w:szCs w:val="12"/>
          <w:color w:val="auto"/>
        </w:rPr>
        <w:t>Not more than 25% of the TAV may be attributable to Specified Investments</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right"/>
        <w:ind w:right="20"/>
        <w:spacing w:after="0"/>
        <w:rPr>
          <w:sz w:val="20"/>
          <w:szCs w:val="20"/>
          <w:color w:val="auto"/>
        </w:rPr>
      </w:pP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-864870</wp:posOffset>
            </wp:positionH>
            <wp:positionV relativeFrom="paragraph">
              <wp:posOffset>28575</wp:posOffset>
            </wp:positionV>
            <wp:extent cx="113411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134110" cy="7620"/>
                    </a:xfrm>
                    <a:prstGeom prst="rect">
                      <a:avLst/>
                    </a:prstGeom>
                    <a:noFill/>
                  </pic:spPr>
                </pic:pic>
              </a:graphicData>
            </a:graphic>
          </wp:anchor>
        </w:drawing>
        <w:drawing>
          <wp:anchor simplePos="0" relativeHeight="251657728" behindDoc="1" locked="0" layoutInCell="0" allowOverlap="1">
            <wp:simplePos x="0" y="0"/>
            <wp:positionH relativeFrom="column">
              <wp:posOffset>-864870</wp:posOffset>
            </wp:positionH>
            <wp:positionV relativeFrom="paragraph">
              <wp:posOffset>-153035</wp:posOffset>
            </wp:positionV>
            <wp:extent cx="113411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37" w:lineRule="exact"/>
        <w:rPr>
          <w:sz w:val="20"/>
          <w:szCs w:val="20"/>
          <w:color w:val="auto"/>
        </w:rPr>
      </w:pPr>
    </w:p>
    <w:p>
      <w:pPr>
        <w:jc w:val="right"/>
        <w:ind w:right="20"/>
        <w:spacing w:after="0"/>
        <w:rPr>
          <w:sz w:val="20"/>
          <w:szCs w:val="20"/>
          <w:color w:val="auto"/>
        </w:rPr>
      </w:pPr>
      <w:r>
        <w:rPr>
          <w:rFonts w:ascii="Arial" w:cs="Arial" w:eastAsia="Arial" w:hAnsi="Arial"/>
          <w:sz w:val="19"/>
          <w:szCs w:val="19"/>
          <w:b w:val="1"/>
          <w:bCs w:val="1"/>
          <w:color w:val="auto"/>
        </w:rPr>
        <w:t>40%</w:t>
      </w:r>
    </w:p>
    <w:p>
      <w:pPr>
        <w:spacing w:after="0" w:line="1484" w:lineRule="exact"/>
        <w:rPr>
          <w:sz w:val="20"/>
          <w:szCs w:val="20"/>
          <w:color w:val="auto"/>
        </w:rPr>
      </w:pPr>
    </w:p>
    <w:p>
      <w:pPr>
        <w:sectPr>
          <w:pgSz w:w="11900" w:h="16838" w:orient="portrait"/>
          <w:cols w:equalWidth="0" w:num="2">
            <w:col w:w="10020" w:space="720"/>
            <w:col w:w="420"/>
          </w:cols>
          <w:pgMar w:left="380" w:top="102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Compliance Certificate</w:t>
      </w:r>
    </w:p>
    <w:p>
      <w:pPr>
        <w:sectPr>
          <w:pgSz w:w="11900" w:h="16838" w:orient="portrait"/>
          <w:cols w:equalWidth="0" w:num="1">
            <w:col w:w="11160"/>
          </w:cols>
          <w:pgMar w:left="380" w:top="1027" w:right="359" w:bottom="1440" w:gutter="0" w:footer="0" w:header="0"/>
          <w:type w:val="continuous"/>
        </w:sectPr>
      </w:pPr>
    </w:p>
    <w:bookmarkStart w:id="529" w:name="page530"/>
    <w:bookmarkEnd w:id="529"/>
    <w:p>
      <w:pPr>
        <w:ind w:left="460" w:hanging="450"/>
        <w:spacing w:after="0"/>
        <w:tabs>
          <w:tab w:leader="none" w:pos="460" w:val="left"/>
        </w:tabs>
        <w:numPr>
          <w:ilvl w:val="0"/>
          <w:numId w:val="63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Section 7.11(b) – Consolidated Total Leverage Ratio</w:t>
      </w:r>
    </w:p>
    <w:p>
      <w:pPr>
        <w:spacing w:after="0" w:line="50" w:lineRule="exact"/>
        <w:rPr>
          <w:rFonts w:ascii="Arial" w:cs="Arial" w:eastAsia="Arial" w:hAnsi="Arial"/>
          <w:sz w:val="20"/>
          <w:szCs w:val="20"/>
          <w:b w:val="1"/>
          <w:bCs w:val="1"/>
          <w:color w:val="auto"/>
        </w:rPr>
      </w:pPr>
    </w:p>
    <w:p>
      <w:pPr>
        <w:ind w:left="1020" w:hanging="561"/>
        <w:spacing w:after="0"/>
        <w:tabs>
          <w:tab w:leader="none" w:pos="1020" w:val="left"/>
        </w:tabs>
        <w:numPr>
          <w:ilvl w:val="1"/>
          <w:numId w:val="634"/>
        </w:numPr>
        <w:rPr>
          <w:rFonts w:ascii="Arial" w:cs="Arial" w:eastAsia="Arial" w:hAnsi="Arial"/>
          <w:sz w:val="20"/>
          <w:szCs w:val="20"/>
          <w:color w:val="auto"/>
        </w:rPr>
      </w:pPr>
      <w:r>
        <w:rPr>
          <w:rFonts w:ascii="Arial" w:cs="Arial" w:eastAsia="Arial" w:hAnsi="Arial"/>
          <w:sz w:val="20"/>
          <w:szCs w:val="20"/>
          <w:color w:val="auto"/>
        </w:rPr>
        <w:t>Consolidated Total Indebtedness at Statement Date:</w:t>
      </w:r>
    </w:p>
    <w:p>
      <w:pPr>
        <w:spacing w:after="0" w:line="44" w:lineRule="exact"/>
        <w:rPr>
          <w:rFonts w:ascii="Arial" w:cs="Arial" w:eastAsia="Arial" w:hAnsi="Arial"/>
          <w:sz w:val="20"/>
          <w:szCs w:val="20"/>
          <w:color w:val="auto"/>
        </w:rPr>
      </w:pPr>
    </w:p>
    <w:p>
      <w:pPr>
        <w:ind w:left="1580" w:hanging="559"/>
        <w:spacing w:after="0" w:line="274" w:lineRule="auto"/>
        <w:tabs>
          <w:tab w:leader="none" w:pos="1580" w:val="left"/>
        </w:tabs>
        <w:numPr>
          <w:ilvl w:val="2"/>
          <w:numId w:val="634"/>
        </w:numPr>
        <w:rPr>
          <w:rFonts w:ascii="Arial" w:cs="Arial" w:eastAsia="Arial" w:hAnsi="Arial"/>
          <w:sz w:val="19"/>
          <w:szCs w:val="19"/>
          <w:color w:val="auto"/>
        </w:rPr>
      </w:pPr>
      <w:r>
        <w:rPr>
          <w:rFonts w:ascii="Arial" w:cs="Arial" w:eastAsia="Arial" w:hAnsi="Arial"/>
          <w:sz w:val="19"/>
          <w:szCs w:val="19"/>
          <w:color w:val="auto"/>
        </w:rPr>
        <w:t>Aggregate amount of all Indebtedness of the Consolidated Group that would be reflected on a consolidated balance sheet of the Consolidated Group as of Statement Date:</w:t>
      </w:r>
    </w:p>
    <w:p>
      <w:pPr>
        <w:ind w:left="1580" w:right="180" w:hanging="559"/>
        <w:spacing w:after="0" w:line="247" w:lineRule="auto"/>
        <w:tabs>
          <w:tab w:leader="none" w:pos="1580" w:val="left"/>
        </w:tabs>
        <w:numPr>
          <w:ilvl w:val="2"/>
          <w:numId w:val="634"/>
        </w:numPr>
        <w:rPr>
          <w:rFonts w:ascii="Arial" w:cs="Arial" w:eastAsia="Arial" w:hAnsi="Arial"/>
          <w:sz w:val="20"/>
          <w:szCs w:val="20"/>
          <w:color w:val="auto"/>
        </w:rPr>
      </w:pPr>
      <w:r>
        <w:rPr>
          <w:rFonts w:ascii="Arial" w:cs="Arial" w:eastAsia="Arial" w:hAnsi="Arial"/>
          <w:sz w:val="20"/>
          <w:szCs w:val="20"/>
          <w:color w:val="auto"/>
        </w:rPr>
        <w:t>Consolidated Group Pro Rata Share of the aggregate amount of all Indebtedness of each Unconsolidated Affiliate that would be reflected on a balance sheet of such Unconsolidated Affiliate as of Statement Date:</w:t>
      </w:r>
    </w:p>
    <w:p>
      <w:pPr>
        <w:spacing w:after="0" w:line="14" w:lineRule="exact"/>
        <w:rPr>
          <w:rFonts w:ascii="Arial" w:cs="Arial" w:eastAsia="Arial" w:hAnsi="Arial"/>
          <w:sz w:val="20"/>
          <w:szCs w:val="20"/>
          <w:color w:val="auto"/>
        </w:rPr>
      </w:pPr>
    </w:p>
    <w:p>
      <w:pPr>
        <w:ind w:left="1580" w:hanging="559"/>
        <w:spacing w:after="0"/>
        <w:tabs>
          <w:tab w:leader="none" w:pos="1580" w:val="left"/>
        </w:tabs>
        <w:numPr>
          <w:ilvl w:val="2"/>
          <w:numId w:val="634"/>
        </w:numPr>
        <w:rPr>
          <w:rFonts w:ascii="Arial" w:cs="Arial" w:eastAsia="Arial" w:hAnsi="Arial"/>
          <w:sz w:val="20"/>
          <w:szCs w:val="20"/>
          <w:color w:val="auto"/>
        </w:rPr>
      </w:pPr>
      <w:r>
        <w:rPr>
          <w:rFonts w:ascii="Arial" w:cs="Arial" w:eastAsia="Arial" w:hAnsi="Arial"/>
          <w:sz w:val="20"/>
          <w:szCs w:val="20"/>
          <w:u w:val="single" w:color="auto"/>
          <w:color w:val="auto"/>
        </w:rPr>
        <w:t>Consolidated Total Indebtedness</w:t>
      </w:r>
      <w:r>
        <w:rPr>
          <w:rFonts w:ascii="Arial" w:cs="Arial" w:eastAsia="Arial" w:hAnsi="Arial"/>
          <w:sz w:val="20"/>
          <w:szCs w:val="20"/>
          <w:color w:val="auto"/>
        </w:rPr>
        <w:t xml:space="preserve"> (Line III.A.1. + Line III.A.2.):</w:t>
      </w:r>
    </w:p>
    <w:p>
      <w:pPr>
        <w:spacing w:after="0" w:line="57" w:lineRule="exact"/>
        <w:rPr>
          <w:rFonts w:ascii="Arial" w:cs="Arial" w:eastAsia="Arial" w:hAnsi="Arial"/>
          <w:sz w:val="20"/>
          <w:szCs w:val="20"/>
          <w:color w:val="auto"/>
        </w:rPr>
      </w:pPr>
    </w:p>
    <w:p>
      <w:pPr>
        <w:ind w:left="1020" w:hanging="561"/>
        <w:spacing w:after="0"/>
        <w:tabs>
          <w:tab w:leader="none" w:pos="1020" w:val="left"/>
        </w:tabs>
        <w:numPr>
          <w:ilvl w:val="1"/>
          <w:numId w:val="634"/>
        </w:numPr>
        <w:rPr>
          <w:rFonts w:ascii="Arial" w:cs="Arial" w:eastAsia="Arial" w:hAnsi="Arial"/>
          <w:sz w:val="20"/>
          <w:szCs w:val="20"/>
          <w:color w:val="auto"/>
        </w:rPr>
      </w:pPr>
      <w:r>
        <w:rPr>
          <w:rFonts w:ascii="Arial" w:cs="Arial" w:eastAsia="Arial" w:hAnsi="Arial"/>
          <w:sz w:val="20"/>
          <w:szCs w:val="20"/>
          <w:color w:val="auto"/>
        </w:rPr>
        <w:t>Unrestricted Cash Amount at Statement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354" w:lineRule="exact"/>
        <w:rPr>
          <w:sz w:val="20"/>
          <w:szCs w:val="20"/>
          <w:color w:val="auto"/>
        </w:rPr>
      </w:pPr>
    </w:p>
    <w:p>
      <w:pPr>
        <w:sectPr>
          <w:pgSz w:w="11900" w:h="16838" w:orient="portrait"/>
          <w:cols w:equalWidth="0" w:num="2">
            <w:col w:w="9080" w:space="320"/>
            <w:col w:w="1740"/>
          </w:cols>
          <w:pgMar w:left="380" w:top="1026" w:right="379" w:bottom="1440" w:gutter="0" w:footer="0" w:header="0"/>
        </w:sectPr>
      </w:pPr>
    </w:p>
    <w:p>
      <w:pPr>
        <w:jc w:val="both"/>
        <w:ind w:left="1580" w:right="100" w:hanging="559"/>
        <w:spacing w:after="0" w:line="265" w:lineRule="auto"/>
        <w:tabs>
          <w:tab w:leader="none" w:pos="1580" w:val="left"/>
        </w:tabs>
        <w:numPr>
          <w:ilvl w:val="0"/>
          <w:numId w:val="635"/>
        </w:numPr>
        <w:rPr>
          <w:rFonts w:ascii="Arial" w:cs="Arial" w:eastAsia="Arial" w:hAnsi="Arial"/>
          <w:sz w:val="19"/>
          <w:szCs w:val="19"/>
          <w:color w:val="auto"/>
        </w:rPr>
      </w:pPr>
      <w:r>
        <w:rPr>
          <w:rFonts w:ascii="Arial" w:cs="Arial" w:eastAsia="Arial" w:hAnsi="Arial"/>
          <w:sz w:val="19"/>
          <w:szCs w:val="19"/>
          <w:color w:val="auto"/>
        </w:rPr>
        <w:t>Aggregate amount of cash and Cash Equivalents of the Consolidated Group on Statement Date that are not subject to any pledge, Lien or control agreement (excluding statutory Liens in favor of any depositary bank where such cash is maintained):</w:t>
      </w:r>
    </w:p>
    <w:p>
      <w:pPr>
        <w:spacing w:after="0" w:line="1" w:lineRule="exact"/>
        <w:rPr>
          <w:sz w:val="20"/>
          <w:szCs w:val="20"/>
          <w:color w:val="auto"/>
        </w:rPr>
      </w:pPr>
    </w:p>
    <w:p>
      <w:pPr>
        <w:ind w:left="1580" w:hanging="559"/>
        <w:spacing w:after="0" w:line="256" w:lineRule="auto"/>
        <w:tabs>
          <w:tab w:leader="none" w:pos="1580" w:val="left"/>
        </w:tabs>
        <w:numPr>
          <w:ilvl w:val="1"/>
          <w:numId w:val="636"/>
        </w:numPr>
        <w:rPr>
          <w:rFonts w:ascii="Arial" w:cs="Arial" w:eastAsia="Arial" w:hAnsi="Arial"/>
          <w:sz w:val="19"/>
          <w:szCs w:val="19"/>
          <w:color w:val="auto"/>
        </w:rPr>
      </w:pPr>
      <w:r>
        <w:rPr>
          <w:rFonts w:ascii="Arial" w:cs="Arial" w:eastAsia="Arial" w:hAnsi="Arial"/>
          <w:sz w:val="19"/>
          <w:szCs w:val="19"/>
          <w:color w:val="auto"/>
        </w:rPr>
        <w:t>Amounts included in Line III.B.1. above that are held in the name of, or in the possession or control of a Person (other than any possession or control by such Person arising solely from such Person acting in its capacity as a depository or financial intermediary for, or on behalf of, a member of the Consolidated Group) that is not the REIT, the Borrower or any their respective Subsidiaries as deposits or security for contractual obligations:</w:t>
      </w:r>
    </w:p>
    <w:p>
      <w:pPr>
        <w:spacing w:after="0" w:line="8" w:lineRule="exact"/>
        <w:rPr>
          <w:rFonts w:ascii="Arial" w:cs="Arial" w:eastAsia="Arial" w:hAnsi="Arial"/>
          <w:sz w:val="19"/>
          <w:szCs w:val="19"/>
          <w:color w:val="auto"/>
        </w:rPr>
      </w:pPr>
    </w:p>
    <w:p>
      <w:pPr>
        <w:ind w:left="1580" w:hanging="559"/>
        <w:spacing w:after="0"/>
        <w:tabs>
          <w:tab w:leader="none" w:pos="1580" w:val="left"/>
        </w:tabs>
        <w:numPr>
          <w:ilvl w:val="1"/>
          <w:numId w:val="636"/>
        </w:numPr>
        <w:rPr>
          <w:rFonts w:ascii="Arial" w:cs="Arial" w:eastAsia="Arial" w:hAnsi="Arial"/>
          <w:sz w:val="20"/>
          <w:szCs w:val="20"/>
          <w:color w:val="auto"/>
        </w:rPr>
      </w:pPr>
      <w:r>
        <w:rPr>
          <w:rFonts w:ascii="Arial" w:cs="Arial" w:eastAsia="Arial" w:hAnsi="Arial"/>
          <w:sz w:val="20"/>
          <w:szCs w:val="20"/>
          <w:color w:val="auto"/>
        </w:rPr>
        <w:t>Total Revolving Credit Outstandings on Statement Date:</w:t>
      </w:r>
    </w:p>
    <w:p>
      <w:pPr>
        <w:spacing w:after="0" w:line="57" w:lineRule="exact"/>
        <w:rPr>
          <w:rFonts w:ascii="Arial" w:cs="Arial" w:eastAsia="Arial" w:hAnsi="Arial"/>
          <w:sz w:val="20"/>
          <w:szCs w:val="20"/>
          <w:color w:val="auto"/>
        </w:rPr>
      </w:pPr>
    </w:p>
    <w:p>
      <w:pPr>
        <w:ind w:left="1580" w:right="20" w:hanging="559"/>
        <w:spacing w:after="0" w:line="259" w:lineRule="auto"/>
        <w:tabs>
          <w:tab w:leader="none" w:pos="1580" w:val="left"/>
        </w:tabs>
        <w:numPr>
          <w:ilvl w:val="1"/>
          <w:numId w:val="636"/>
        </w:numPr>
        <w:rPr>
          <w:rFonts w:ascii="Arial" w:cs="Arial" w:eastAsia="Arial" w:hAnsi="Arial"/>
          <w:sz w:val="20"/>
          <w:szCs w:val="20"/>
          <w:color w:val="auto"/>
        </w:rPr>
      </w:pPr>
      <w:r>
        <w:rPr>
          <w:rFonts w:ascii="Arial" w:cs="Arial" w:eastAsia="Arial" w:hAnsi="Arial"/>
          <w:sz w:val="20"/>
          <w:szCs w:val="20"/>
          <w:u w:val="single" w:color="auto"/>
          <w:color w:val="auto"/>
        </w:rPr>
        <w:t>Unrestricted Cash Amount</w:t>
      </w:r>
      <w:r>
        <w:rPr>
          <w:rFonts w:ascii="Arial" w:cs="Arial" w:eastAsia="Arial" w:hAnsi="Arial"/>
          <w:sz w:val="20"/>
          <w:szCs w:val="20"/>
          <w:color w:val="auto"/>
        </w:rPr>
        <w:t xml:space="preserve"> (Greater of (x) Line III.B.1. - (the sum of $15,000,000 + Line III.B.2. + Line III.B.3.) and (y) $0):</w:t>
      </w:r>
    </w:p>
    <w:p>
      <w:pPr>
        <w:spacing w:after="0" w:line="3" w:lineRule="exact"/>
        <w:rPr>
          <w:rFonts w:ascii="Arial" w:cs="Arial" w:eastAsia="Arial" w:hAnsi="Arial"/>
          <w:sz w:val="20"/>
          <w:szCs w:val="20"/>
          <w:color w:val="auto"/>
        </w:rPr>
      </w:pPr>
    </w:p>
    <w:p>
      <w:pPr>
        <w:ind w:left="1020" w:hanging="561"/>
        <w:spacing w:after="0"/>
        <w:tabs>
          <w:tab w:leader="none" w:pos="1020" w:val="left"/>
        </w:tabs>
        <w:numPr>
          <w:ilvl w:val="0"/>
          <w:numId w:val="637"/>
        </w:numPr>
        <w:rPr>
          <w:rFonts w:ascii="Arial" w:cs="Arial" w:eastAsia="Arial" w:hAnsi="Arial"/>
          <w:sz w:val="20"/>
          <w:szCs w:val="20"/>
          <w:color w:val="auto"/>
        </w:rPr>
      </w:pPr>
      <w:r>
        <w:rPr>
          <w:rFonts w:ascii="Arial" w:cs="Arial" w:eastAsia="Arial" w:hAnsi="Arial"/>
          <w:sz w:val="20"/>
          <w:szCs w:val="20"/>
          <w:u w:val="single" w:color="auto"/>
          <w:color w:val="auto"/>
        </w:rPr>
        <w:t>Total Asset Value at Statement Date</w:t>
      </w:r>
      <w:r>
        <w:rPr>
          <w:rFonts w:ascii="Arial" w:cs="Arial" w:eastAsia="Arial" w:hAnsi="Arial"/>
          <w:sz w:val="20"/>
          <w:szCs w:val="20"/>
          <w:color w:val="auto"/>
        </w:rPr>
        <w:t>: (Line II.B.15.):</w:t>
      </w:r>
    </w:p>
    <w:p>
      <w:pPr>
        <w:spacing w:after="0" w:line="144" w:lineRule="exact"/>
        <w:rPr>
          <w:rFonts w:ascii="Arial" w:cs="Arial" w:eastAsia="Arial" w:hAnsi="Arial"/>
          <w:sz w:val="20"/>
          <w:szCs w:val="20"/>
          <w:color w:val="auto"/>
        </w:rPr>
      </w:pPr>
    </w:p>
    <w:p>
      <w:pPr>
        <w:ind w:left="1020" w:hanging="561"/>
        <w:spacing w:after="0"/>
        <w:tabs>
          <w:tab w:leader="none" w:pos="1020" w:val="left"/>
        </w:tabs>
        <w:numPr>
          <w:ilvl w:val="0"/>
          <w:numId w:val="637"/>
        </w:numPr>
        <w:rPr>
          <w:rFonts w:ascii="Arial" w:cs="Arial" w:eastAsia="Arial" w:hAnsi="Arial"/>
          <w:sz w:val="19"/>
          <w:szCs w:val="19"/>
          <w:color w:val="auto"/>
        </w:rPr>
      </w:pPr>
      <w:r>
        <w:rPr>
          <w:rFonts w:ascii="Arial" w:cs="Arial" w:eastAsia="Arial" w:hAnsi="Arial"/>
          <w:sz w:val="19"/>
          <w:szCs w:val="19"/>
          <w:color w:val="auto"/>
        </w:rPr>
        <w:t>Consolidated Total Indebtedness minus Unrestricted Cash Amount (Line III.A.3. – Line III.B.4.):</w:t>
      </w:r>
    </w:p>
    <w:p>
      <w:pPr>
        <w:spacing w:after="0" w:line="62" w:lineRule="exact"/>
        <w:rPr>
          <w:rFonts w:ascii="Arial" w:cs="Arial" w:eastAsia="Arial" w:hAnsi="Arial"/>
          <w:sz w:val="19"/>
          <w:szCs w:val="19"/>
          <w:color w:val="auto"/>
        </w:rPr>
      </w:pPr>
    </w:p>
    <w:p>
      <w:pPr>
        <w:ind w:left="460" w:right="2320"/>
        <w:spacing w:after="0" w:line="299" w:lineRule="auto"/>
        <w:rPr>
          <w:rFonts w:ascii="Arial" w:cs="Arial" w:eastAsia="Arial" w:hAnsi="Arial"/>
          <w:sz w:val="19"/>
          <w:szCs w:val="19"/>
          <w:color w:val="auto"/>
        </w:rPr>
      </w:pPr>
      <w:r>
        <w:rPr>
          <w:rFonts w:ascii="Arial" w:cs="Arial" w:eastAsia="Arial" w:hAnsi="Arial"/>
          <w:sz w:val="20"/>
          <w:szCs w:val="20"/>
          <w:b w:val="1"/>
          <w:bCs w:val="1"/>
          <w:color w:val="auto"/>
        </w:rPr>
        <w:t>Consolidated Total Leverage Ratio (Line III.D as a percentage of Line III.C): Maximum Permitted Consolidated Total Leverage Ratio:</w:t>
      </w:r>
    </w:p>
    <w:p>
      <w:pPr>
        <w:spacing w:after="0" w:line="1" w:lineRule="exact"/>
        <w:rPr>
          <w:rFonts w:ascii="Arial" w:cs="Arial" w:eastAsia="Arial" w:hAnsi="Arial"/>
          <w:sz w:val="19"/>
          <w:szCs w:val="19"/>
          <w:color w:val="auto"/>
        </w:rPr>
      </w:pPr>
    </w:p>
    <w:p>
      <w:pPr>
        <w:ind w:left="460"/>
        <w:spacing w:after="0"/>
        <w:rPr>
          <w:rFonts w:ascii="Arial" w:cs="Arial" w:eastAsia="Arial" w:hAnsi="Arial"/>
          <w:sz w:val="19"/>
          <w:szCs w:val="19"/>
          <w:color w:val="auto"/>
        </w:rPr>
      </w:pPr>
      <w:r>
        <w:rPr>
          <w:rFonts w:ascii="Arial" w:cs="Arial" w:eastAsia="Arial" w:hAnsi="Arial"/>
          <w:sz w:val="20"/>
          <w:szCs w:val="20"/>
          <w:b w:val="1"/>
          <w:bCs w:val="1"/>
          <w:color w:val="auto"/>
        </w:rPr>
        <w:t>[Pricing Level under the Leveraged-Based Applicable Rate [I][II][III][IV][V][VI]]</w:t>
      </w:r>
      <w:r>
        <w:rPr>
          <w:rFonts w:ascii="Arial" w:cs="Arial" w:eastAsia="Arial" w:hAnsi="Arial"/>
          <w:sz w:val="26"/>
          <w:szCs w:val="26"/>
          <w:b w:val="1"/>
          <w:bCs w:val="1"/>
          <w:color w:val="auto"/>
          <w:vertAlign w:val="superscript"/>
        </w:rPr>
        <w:t>7</w:t>
      </w:r>
    </w:p>
    <w:p>
      <w:pPr>
        <w:spacing w:after="0" w:line="27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IV.</w:t>
      </w:r>
      <w:r>
        <w:rPr>
          <w:sz w:val="20"/>
          <w:szCs w:val="20"/>
          <w:color w:val="auto"/>
        </w:rPr>
        <w:tab/>
      </w:r>
      <w:r>
        <w:rPr>
          <w:rFonts w:ascii="Arial" w:cs="Arial" w:eastAsia="Arial" w:hAnsi="Arial"/>
          <w:sz w:val="17"/>
          <w:szCs w:val="17"/>
          <w:b w:val="1"/>
          <w:bCs w:val="1"/>
          <w:u w:val="single" w:color="auto"/>
          <w:color w:val="auto"/>
        </w:rPr>
        <w:t>Section 7.11(c) – Consolidated Fixed Charge Coverage Ratio</w:t>
      </w:r>
    </w:p>
    <w:p>
      <w:pPr>
        <w:spacing w:after="0" w:line="51" w:lineRule="exact"/>
        <w:rPr>
          <w:sz w:val="20"/>
          <w:szCs w:val="20"/>
          <w:color w:val="auto"/>
        </w:rPr>
      </w:pPr>
    </w:p>
    <w:p>
      <w:pPr>
        <w:ind w:left="1020" w:right="220" w:hanging="561"/>
        <w:spacing w:after="0" w:line="259" w:lineRule="auto"/>
        <w:tabs>
          <w:tab w:leader="none" w:pos="1020" w:val="left"/>
        </w:tabs>
        <w:numPr>
          <w:ilvl w:val="0"/>
          <w:numId w:val="638"/>
        </w:numPr>
        <w:rPr>
          <w:rFonts w:ascii="Arial" w:cs="Arial" w:eastAsia="Arial" w:hAnsi="Arial"/>
          <w:sz w:val="20"/>
          <w:szCs w:val="20"/>
          <w:color w:val="auto"/>
        </w:rPr>
      </w:pPr>
      <w:r>
        <w:rPr>
          <w:rFonts w:ascii="Arial" w:cs="Arial" w:eastAsia="Arial" w:hAnsi="Arial"/>
          <w:sz w:val="20"/>
          <w:szCs w:val="20"/>
          <w:color w:val="auto"/>
        </w:rPr>
        <w:t>Consolidated EBITDA for the four consecutive fiscal quarters of the REIT ending on Statement Date (“</w:t>
      </w:r>
      <w:r>
        <w:rPr>
          <w:rFonts w:ascii="Arial" w:cs="Arial" w:eastAsia="Arial" w:hAnsi="Arial"/>
          <w:sz w:val="20"/>
          <w:szCs w:val="20"/>
          <w:u w:val="single" w:color="auto"/>
          <w:color w:val="auto"/>
        </w:rPr>
        <w:t>4 Quarter Subject Period</w:t>
      </w:r>
      <w:r>
        <w:rPr>
          <w:rFonts w:ascii="Arial" w:cs="Arial" w:eastAsia="Arial" w:hAnsi="Arial"/>
          <w:sz w:val="20"/>
          <w:szCs w:val="20"/>
          <w:color w:val="auto"/>
        </w:rPr>
        <w:t>”):</w:t>
      </w:r>
    </w:p>
    <w:p>
      <w:pPr>
        <w:spacing w:after="0" w:line="3" w:lineRule="exact"/>
        <w:rPr>
          <w:rFonts w:ascii="Arial" w:cs="Arial" w:eastAsia="Arial" w:hAnsi="Arial"/>
          <w:sz w:val="20"/>
          <w:szCs w:val="20"/>
          <w:color w:val="auto"/>
        </w:rPr>
      </w:pPr>
    </w:p>
    <w:p>
      <w:pPr>
        <w:ind w:left="1580" w:hanging="559"/>
        <w:spacing w:after="0"/>
        <w:tabs>
          <w:tab w:leader="none" w:pos="1580" w:val="left"/>
        </w:tabs>
        <w:numPr>
          <w:ilvl w:val="1"/>
          <w:numId w:val="638"/>
        </w:numPr>
        <w:rPr>
          <w:rFonts w:ascii="Arial" w:cs="Arial" w:eastAsia="Arial" w:hAnsi="Arial"/>
          <w:sz w:val="20"/>
          <w:szCs w:val="20"/>
          <w:color w:val="auto"/>
        </w:rPr>
      </w:pPr>
      <w:r>
        <w:rPr>
          <w:rFonts w:ascii="Arial" w:cs="Arial" w:eastAsia="Arial" w:hAnsi="Arial"/>
          <w:sz w:val="20"/>
          <w:szCs w:val="20"/>
          <w:color w:val="auto"/>
        </w:rPr>
        <w:t>Consolidated Net Income for 4 Quarter Subject Period:</w:t>
      </w:r>
    </w:p>
    <w:p>
      <w:pPr>
        <w:spacing w:after="0" w:line="44" w:lineRule="exact"/>
        <w:rPr>
          <w:rFonts w:ascii="Arial" w:cs="Arial" w:eastAsia="Arial" w:hAnsi="Arial"/>
          <w:sz w:val="20"/>
          <w:szCs w:val="20"/>
          <w:color w:val="auto"/>
        </w:rPr>
      </w:pPr>
    </w:p>
    <w:p>
      <w:pPr>
        <w:ind w:left="1580" w:right="280" w:firstLine="4"/>
        <w:spacing w:after="0" w:line="247" w:lineRule="auto"/>
        <w:tabs>
          <w:tab w:leader="none" w:pos="1768" w:val="left"/>
        </w:tabs>
        <w:numPr>
          <w:ilvl w:val="2"/>
          <w:numId w:val="638"/>
        </w:numPr>
        <w:rPr>
          <w:rFonts w:ascii="Arial" w:cs="Arial" w:eastAsia="Arial" w:hAnsi="Arial"/>
          <w:sz w:val="20"/>
          <w:szCs w:val="20"/>
          <w:color w:val="auto"/>
        </w:rPr>
      </w:pPr>
      <w:r>
        <w:rPr>
          <w:rFonts w:ascii="Arial" w:cs="Arial" w:eastAsia="Arial" w:hAnsi="Arial"/>
          <w:sz w:val="20"/>
          <w:szCs w:val="20"/>
          <w:color w:val="auto"/>
        </w:rPr>
        <w:t>The net income (or loss) of the Consolidated Group (including the Consolidated Group Pro Rata Share of the net income (or loss) of each Unconsolidated Affiliate), computed in accordance with GAAP for 4 Quarter Subject Period:</w:t>
      </w:r>
    </w:p>
    <w:p>
      <w:pPr>
        <w:spacing w:after="0" w:line="14" w:lineRule="exact"/>
        <w:rPr>
          <w:rFonts w:ascii="Arial" w:cs="Arial" w:eastAsia="Arial" w:hAnsi="Arial"/>
          <w:sz w:val="20"/>
          <w:szCs w:val="20"/>
          <w:color w:val="auto"/>
        </w:rPr>
      </w:pPr>
    </w:p>
    <w:p>
      <w:pPr>
        <w:ind w:left="1580" w:right="460" w:firstLine="4"/>
        <w:spacing w:after="0" w:line="242" w:lineRule="auto"/>
        <w:tabs>
          <w:tab w:leader="none" w:pos="1780" w:val="left"/>
        </w:tabs>
        <w:numPr>
          <w:ilvl w:val="2"/>
          <w:numId w:val="638"/>
        </w:numPr>
        <w:rPr>
          <w:rFonts w:ascii="Arial" w:cs="Arial" w:eastAsia="Arial" w:hAnsi="Arial"/>
          <w:sz w:val="20"/>
          <w:szCs w:val="20"/>
          <w:color w:val="auto"/>
        </w:rPr>
      </w:pPr>
      <w:r>
        <w:rPr>
          <w:rFonts w:ascii="Arial" w:cs="Arial" w:eastAsia="Arial" w:hAnsi="Arial"/>
          <w:sz w:val="20"/>
          <w:szCs w:val="20"/>
          <w:color w:val="auto"/>
        </w:rPr>
        <w:t>Any extraordinary or non-recurring gain realized during 4 Quarter Subject Period by any member of Consolidated Group (including Consolidated Group Pro Rata Share of any extraordinary or non-recurring gain realized during 4 Quarter Subject Period by any Unconsolidated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208280</wp:posOffset>
            </wp:positionV>
            <wp:extent cx="709803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3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28575</wp:posOffset>
            </wp:positionV>
            <wp:extent cx="113411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9340" w:space="60"/>
            <w:col w:w="1740"/>
          </w:cols>
          <w:pgMar w:left="380" w:top="1026" w:right="379" w:bottom="1440" w:gutter="0" w:footer="0" w:header="0"/>
          <w:type w:val="continuous"/>
        </w:sectPr>
      </w:pPr>
    </w:p>
    <w:p>
      <w:pPr>
        <w:spacing w:after="0" w:line="149" w:lineRule="exact"/>
        <w:rPr>
          <w:sz w:val="20"/>
          <w:szCs w:val="20"/>
          <w:color w:val="auto"/>
        </w:rPr>
      </w:pPr>
    </w:p>
    <w:p>
      <w:pPr>
        <w:ind w:left="460" w:hanging="450"/>
        <w:spacing w:after="0"/>
        <w:tabs>
          <w:tab w:leader="none" w:pos="460" w:val="left"/>
        </w:tabs>
        <w:numPr>
          <w:ilvl w:val="0"/>
          <w:numId w:val="639"/>
        </w:numPr>
        <w:rPr>
          <w:rFonts w:ascii="Arial" w:cs="Arial" w:eastAsia="Arial" w:hAnsi="Arial"/>
          <w:sz w:val="13"/>
          <w:szCs w:val="13"/>
          <w:b w:val="1"/>
          <w:bCs w:val="1"/>
          <w:color w:val="auto"/>
        </w:rPr>
      </w:pPr>
      <w:r>
        <w:rPr>
          <w:rFonts w:ascii="Arial" w:cs="Arial" w:eastAsia="Arial" w:hAnsi="Arial"/>
          <w:sz w:val="13"/>
          <w:szCs w:val="13"/>
          <w:color w:val="auto"/>
        </w:rPr>
        <w:t>Applicable only prior to Investment Grade Pricing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D-5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Compliance Certificate</w:t>
      </w:r>
    </w:p>
    <w:p>
      <w:pPr>
        <w:sectPr>
          <w:pgSz w:w="11900" w:h="16838" w:orient="portrait"/>
          <w:cols w:equalWidth="0" w:num="1">
            <w:col w:w="11140"/>
          </w:cols>
          <w:pgMar w:left="380" w:top="1026" w:right="379" w:bottom="1440" w:gutter="0" w:footer="0" w:header="0"/>
          <w:type w:val="continuous"/>
        </w:sectPr>
      </w:pPr>
    </w:p>
    <w:bookmarkStart w:id="530" w:name="page531"/>
    <w:bookmarkEnd w:id="530"/>
    <w:p>
      <w:pPr>
        <w:ind w:left="559" w:right="500"/>
        <w:spacing w:after="0" w:line="242" w:lineRule="auto"/>
        <w:rPr>
          <w:sz w:val="20"/>
          <w:szCs w:val="20"/>
          <w:color w:val="auto"/>
        </w:rPr>
      </w:pPr>
      <w:r>
        <w:rPr>
          <w:rFonts w:ascii="Arial" w:cs="Arial" w:eastAsia="Arial" w:hAnsi="Arial"/>
          <w:sz w:val="20"/>
          <w:szCs w:val="20"/>
          <w:color w:val="auto"/>
        </w:rPr>
        <w:t>c. Any extraordinary or non-recurring loss realized during 4 Quarter Subject Period by any member of Consolidated Group (including Consolidated Group Pro Rata Share of any extraordinary or non-recurring loss realized during 4 Quarter Subject Period by any Unconsolidated Affiliate):</w:t>
      </w:r>
    </w:p>
    <w:p>
      <w:pPr>
        <w:spacing w:after="0" w:line="22" w:lineRule="exact"/>
        <w:rPr>
          <w:sz w:val="20"/>
          <w:szCs w:val="20"/>
          <w:color w:val="auto"/>
        </w:rPr>
      </w:pPr>
    </w:p>
    <w:p>
      <w:pPr>
        <w:ind w:left="559"/>
        <w:spacing w:after="0"/>
        <w:rPr>
          <w:sz w:val="20"/>
          <w:szCs w:val="20"/>
          <w:color w:val="auto"/>
        </w:rPr>
      </w:pPr>
      <w:r>
        <w:rPr>
          <w:rFonts w:ascii="Arial" w:cs="Arial" w:eastAsia="Arial" w:hAnsi="Arial"/>
          <w:sz w:val="20"/>
          <w:szCs w:val="20"/>
          <w:color w:val="auto"/>
        </w:rPr>
        <w:t>d. Consolidated Net Income (Line IV.A.1.a. - Line IV.A.1.b. + Line IV.A.1.c.):</w:t>
      </w:r>
    </w:p>
    <w:p>
      <w:pPr>
        <w:spacing w:after="0" w:line="57" w:lineRule="exact"/>
        <w:rPr>
          <w:sz w:val="20"/>
          <w:szCs w:val="20"/>
          <w:color w:val="auto"/>
        </w:rPr>
      </w:pPr>
    </w:p>
    <w:p>
      <w:pPr>
        <w:ind w:left="559" w:right="120" w:hanging="559"/>
        <w:spacing w:after="0" w:line="238" w:lineRule="auto"/>
        <w:tabs>
          <w:tab w:leader="none" w:pos="559" w:val="left"/>
        </w:tabs>
        <w:numPr>
          <w:ilvl w:val="0"/>
          <w:numId w:val="640"/>
        </w:numPr>
        <w:rPr>
          <w:rFonts w:ascii="Arial" w:cs="Arial" w:eastAsia="Arial" w:hAnsi="Arial"/>
          <w:sz w:val="20"/>
          <w:szCs w:val="20"/>
          <w:color w:val="auto"/>
        </w:rPr>
      </w:pPr>
      <w:r>
        <w:rPr>
          <w:rFonts w:ascii="Arial" w:cs="Arial" w:eastAsia="Arial" w:hAnsi="Arial"/>
          <w:sz w:val="20"/>
          <w:szCs w:val="20"/>
          <w:color w:val="auto"/>
        </w:rPr>
        <w:t>Total cash interest expense (including, for the avoidance of doubt, capitalized interest) of the Consolidated Group for 4 Quarter Subject Period determined on a consolidated basis in accordance with GAAP (including the Consolidated Group Pro Rata Share of total cash interest expense (including, for the avoidance of doubt, capitalized interest) of each Unconsolidated Affiliated for 4 Quarter Subject Period determined in accordance with GAAP) (plus, to the extent not already included in such total cash interest expense, amortization of deferred financing costs):</w:t>
      </w:r>
    </w:p>
    <w:p>
      <w:pPr>
        <w:spacing w:after="0" w:line="252" w:lineRule="exact"/>
        <w:rPr>
          <w:rFonts w:ascii="Arial" w:cs="Arial" w:eastAsia="Arial" w:hAnsi="Arial"/>
          <w:sz w:val="20"/>
          <w:szCs w:val="20"/>
          <w:color w:val="auto"/>
        </w:rPr>
      </w:pPr>
    </w:p>
    <w:p>
      <w:pPr>
        <w:ind w:left="559" w:right="40" w:hanging="559"/>
        <w:spacing w:after="0" w:line="265" w:lineRule="auto"/>
        <w:tabs>
          <w:tab w:leader="none" w:pos="559" w:val="left"/>
        </w:tabs>
        <w:numPr>
          <w:ilvl w:val="0"/>
          <w:numId w:val="640"/>
        </w:numPr>
        <w:rPr>
          <w:rFonts w:ascii="Arial" w:cs="Arial" w:eastAsia="Arial" w:hAnsi="Arial"/>
          <w:sz w:val="19"/>
          <w:szCs w:val="19"/>
          <w:color w:val="auto"/>
        </w:rPr>
      </w:pPr>
      <w:r>
        <w:rPr>
          <w:rFonts w:ascii="Arial" w:cs="Arial" w:eastAsia="Arial" w:hAnsi="Arial"/>
          <w:sz w:val="19"/>
          <w:szCs w:val="19"/>
          <w:color w:val="auto"/>
        </w:rPr>
        <w:t>Provision for federal, state, local and foreign income taxes of the Consolidated Group (including the Consolidated Group Pro Rata Share of the provision for federal, state, local and foreign income taxes of each Unconsolidated Affiliate) for 4 Quarter Subject Period:</w:t>
      </w:r>
    </w:p>
    <w:p>
      <w:pPr>
        <w:ind w:left="559" w:right="180" w:hanging="559"/>
        <w:spacing w:after="0" w:line="289" w:lineRule="auto"/>
        <w:tabs>
          <w:tab w:leader="none" w:pos="559" w:val="left"/>
        </w:tabs>
        <w:numPr>
          <w:ilvl w:val="0"/>
          <w:numId w:val="640"/>
        </w:numPr>
        <w:rPr>
          <w:rFonts w:ascii="Arial" w:cs="Arial" w:eastAsia="Arial" w:hAnsi="Arial"/>
          <w:sz w:val="18"/>
          <w:szCs w:val="18"/>
          <w:color w:val="auto"/>
        </w:rPr>
      </w:pPr>
      <w:r>
        <w:rPr>
          <w:rFonts w:ascii="Arial" w:cs="Arial" w:eastAsia="Arial" w:hAnsi="Arial"/>
          <w:sz w:val="18"/>
          <w:szCs w:val="18"/>
          <w:color w:val="auto"/>
        </w:rPr>
        <w:t>Non-cash charges of the Consolidated Group for 4 Quarter Subject Period (excluding any non-cash charge that results in an accrual of a reserve for a cash charge in any future period):</w:t>
      </w:r>
    </w:p>
    <w:p>
      <w:pPr>
        <w:spacing w:after="0" w:line="1" w:lineRule="exact"/>
        <w:rPr>
          <w:rFonts w:ascii="Arial" w:cs="Arial" w:eastAsia="Arial" w:hAnsi="Arial"/>
          <w:sz w:val="18"/>
          <w:szCs w:val="18"/>
          <w:color w:val="auto"/>
        </w:rPr>
      </w:pPr>
    </w:p>
    <w:p>
      <w:pPr>
        <w:ind w:left="559" w:right="80" w:hanging="559"/>
        <w:spacing w:after="0" w:line="247" w:lineRule="auto"/>
        <w:tabs>
          <w:tab w:leader="none" w:pos="559" w:val="left"/>
        </w:tabs>
        <w:numPr>
          <w:ilvl w:val="0"/>
          <w:numId w:val="640"/>
        </w:numPr>
        <w:rPr>
          <w:rFonts w:ascii="Arial" w:cs="Arial" w:eastAsia="Arial" w:hAnsi="Arial"/>
          <w:sz w:val="20"/>
          <w:szCs w:val="20"/>
          <w:color w:val="auto"/>
        </w:rPr>
      </w:pPr>
      <w:r>
        <w:rPr>
          <w:rFonts w:ascii="Arial" w:cs="Arial" w:eastAsia="Arial" w:hAnsi="Arial"/>
          <w:sz w:val="20"/>
          <w:szCs w:val="20"/>
          <w:color w:val="auto"/>
        </w:rPr>
        <w:t>Consolidated Group Pro Rata Share of non-cash charges of Unconsolidated Affiliates for 4 Quarter Subject Period (excluding any non-cash charge that results in an accrual of a reserve for a cash charge in any future period):</w:t>
      </w:r>
    </w:p>
    <w:p>
      <w:pPr>
        <w:spacing w:after="0" w:line="14" w:lineRule="exact"/>
        <w:rPr>
          <w:rFonts w:ascii="Arial" w:cs="Arial" w:eastAsia="Arial" w:hAnsi="Arial"/>
          <w:sz w:val="20"/>
          <w:szCs w:val="20"/>
          <w:color w:val="auto"/>
        </w:rPr>
      </w:pPr>
    </w:p>
    <w:p>
      <w:pPr>
        <w:ind w:left="559" w:right="180" w:hanging="559"/>
        <w:spacing w:after="0" w:line="242" w:lineRule="auto"/>
        <w:tabs>
          <w:tab w:leader="none" w:pos="559" w:val="left"/>
        </w:tabs>
        <w:numPr>
          <w:ilvl w:val="0"/>
          <w:numId w:val="640"/>
        </w:numPr>
        <w:rPr>
          <w:rFonts w:ascii="Arial" w:cs="Arial" w:eastAsia="Arial" w:hAnsi="Arial"/>
          <w:sz w:val="20"/>
          <w:szCs w:val="20"/>
          <w:color w:val="auto"/>
        </w:rPr>
      </w:pPr>
      <w:r>
        <w:rPr>
          <w:rFonts w:ascii="Arial" w:cs="Arial" w:eastAsia="Arial" w:hAnsi="Arial"/>
          <w:sz w:val="20"/>
          <w:szCs w:val="20"/>
          <w:color w:val="auto"/>
        </w:rPr>
        <w:t>Acquisition closing costs of the Consolidated Group that were capitalized prior to FAS 141-R reducing Consolidated Net Income (including the Consolidated Group Pro Rata Share of acquisition closing costs of Unconsolidated Affiliates that were capitalized prior to FAS 141-R reducing Consolidated Net Income):</w:t>
      </w:r>
    </w:p>
    <w:p>
      <w:pPr>
        <w:spacing w:after="0" w:line="21" w:lineRule="exact"/>
        <w:rPr>
          <w:rFonts w:ascii="Arial" w:cs="Arial" w:eastAsia="Arial" w:hAnsi="Arial"/>
          <w:sz w:val="20"/>
          <w:szCs w:val="20"/>
          <w:color w:val="auto"/>
        </w:rPr>
      </w:pPr>
    </w:p>
    <w:p>
      <w:pPr>
        <w:ind w:left="559" w:right="180" w:hanging="559"/>
        <w:spacing w:after="0" w:line="247" w:lineRule="auto"/>
        <w:tabs>
          <w:tab w:leader="none" w:pos="559" w:val="left"/>
        </w:tabs>
        <w:numPr>
          <w:ilvl w:val="0"/>
          <w:numId w:val="640"/>
        </w:numPr>
        <w:rPr>
          <w:rFonts w:ascii="Arial" w:cs="Arial" w:eastAsia="Arial" w:hAnsi="Arial"/>
          <w:sz w:val="20"/>
          <w:szCs w:val="20"/>
          <w:color w:val="auto"/>
        </w:rPr>
      </w:pPr>
      <w:r>
        <w:rPr>
          <w:rFonts w:ascii="Arial" w:cs="Arial" w:eastAsia="Arial" w:hAnsi="Arial"/>
          <w:sz w:val="20"/>
          <w:szCs w:val="20"/>
          <w:color w:val="auto"/>
        </w:rPr>
        <w:t>Depreciation and amortization expense of the Consolidated Group (including the Consolidated Group Pro Rata Share of depreciation and amortization expense of each Unconsolidated Affiliate) for 4 Quarter Subject Period:</w:t>
      </w:r>
    </w:p>
    <w:p>
      <w:pPr>
        <w:spacing w:after="0" w:line="14" w:lineRule="exact"/>
        <w:rPr>
          <w:rFonts w:ascii="Arial" w:cs="Arial" w:eastAsia="Arial" w:hAnsi="Arial"/>
          <w:sz w:val="20"/>
          <w:szCs w:val="20"/>
          <w:color w:val="auto"/>
        </w:rPr>
      </w:pPr>
    </w:p>
    <w:p>
      <w:pPr>
        <w:ind w:left="559" w:right="40" w:hanging="559"/>
        <w:spacing w:after="0" w:line="279" w:lineRule="auto"/>
        <w:tabs>
          <w:tab w:leader="none" w:pos="559" w:val="left"/>
        </w:tabs>
        <w:numPr>
          <w:ilvl w:val="0"/>
          <w:numId w:val="640"/>
        </w:numPr>
        <w:rPr>
          <w:rFonts w:ascii="Arial" w:cs="Arial" w:eastAsia="Arial" w:hAnsi="Arial"/>
          <w:sz w:val="18"/>
          <w:szCs w:val="18"/>
          <w:color w:val="auto"/>
        </w:rPr>
      </w:pPr>
      <w:r>
        <w:rPr>
          <w:rFonts w:ascii="Arial" w:cs="Arial" w:eastAsia="Arial" w:hAnsi="Arial"/>
          <w:sz w:val="18"/>
          <w:szCs w:val="18"/>
          <w:color w:val="auto"/>
        </w:rPr>
        <w:t>One-time costs and expenses relating to the effectiveness of the credit facilities evidenced by the Agreement and the transactions relating thereto, to the extent such fees and expenses are incurred on or prior to the date that is ninety-days following the Restatement Effective Date:</w:t>
      </w:r>
    </w:p>
    <w:p>
      <w:pPr>
        <w:spacing w:after="0" w:line="2" w:lineRule="exact"/>
        <w:rPr>
          <w:rFonts w:ascii="Arial" w:cs="Arial" w:eastAsia="Arial" w:hAnsi="Arial"/>
          <w:sz w:val="18"/>
          <w:szCs w:val="18"/>
          <w:color w:val="auto"/>
        </w:rPr>
      </w:pPr>
    </w:p>
    <w:p>
      <w:pPr>
        <w:jc w:val="both"/>
        <w:ind w:left="559" w:right="40" w:hanging="559"/>
        <w:spacing w:after="0" w:line="279" w:lineRule="auto"/>
        <w:tabs>
          <w:tab w:leader="none" w:pos="559" w:val="left"/>
        </w:tabs>
        <w:numPr>
          <w:ilvl w:val="0"/>
          <w:numId w:val="640"/>
        </w:numPr>
        <w:rPr>
          <w:rFonts w:ascii="Arial" w:cs="Arial" w:eastAsia="Arial" w:hAnsi="Arial"/>
          <w:sz w:val="18"/>
          <w:szCs w:val="18"/>
          <w:color w:val="auto"/>
        </w:rPr>
      </w:pPr>
      <w:r>
        <w:rPr>
          <w:rFonts w:ascii="Arial" w:cs="Arial" w:eastAsia="Arial" w:hAnsi="Arial"/>
          <w:sz w:val="18"/>
          <w:szCs w:val="18"/>
          <w:color w:val="auto"/>
        </w:rPr>
        <w:t>Non-cash items of the Consolidated Group for 4 Quarter Subject Period increasing Consolidated Net Income (other than the reversal of any accrual of a reserve referred to in the parenthetical in Line IV.A.4. above, except to the extent such reversal results from a cash payment):</w:t>
      </w:r>
    </w:p>
    <w:p>
      <w:pPr>
        <w:spacing w:after="0" w:line="2" w:lineRule="exact"/>
        <w:rPr>
          <w:rFonts w:ascii="Arial" w:cs="Arial" w:eastAsia="Arial" w:hAnsi="Arial"/>
          <w:sz w:val="18"/>
          <w:szCs w:val="18"/>
          <w:color w:val="auto"/>
        </w:rPr>
      </w:pPr>
    </w:p>
    <w:p>
      <w:pPr>
        <w:ind w:left="559" w:hanging="559"/>
        <w:spacing w:after="0" w:line="242" w:lineRule="auto"/>
        <w:tabs>
          <w:tab w:leader="none" w:pos="559" w:val="left"/>
        </w:tabs>
        <w:numPr>
          <w:ilvl w:val="0"/>
          <w:numId w:val="640"/>
        </w:numPr>
        <w:rPr>
          <w:rFonts w:ascii="Arial" w:cs="Arial" w:eastAsia="Arial" w:hAnsi="Arial"/>
          <w:sz w:val="20"/>
          <w:szCs w:val="20"/>
          <w:color w:val="auto"/>
        </w:rPr>
      </w:pPr>
      <w:r>
        <w:rPr>
          <w:rFonts w:ascii="Arial" w:cs="Arial" w:eastAsia="Arial" w:hAnsi="Arial"/>
          <w:sz w:val="20"/>
          <w:szCs w:val="20"/>
          <w:color w:val="auto"/>
        </w:rPr>
        <w:t>Consolidated Group Pro Rata Share of non-cash items of Unconsolidated Affiliates for 4 Quarter Subject Period increasing Consolidated Net Income (other than the reversal of any accrual of a reserve referred to in the parenthetical in Line IV.A.5. above, except to the extent such reversal results from a cash payment):</w:t>
      </w:r>
    </w:p>
    <w:p>
      <w:pPr>
        <w:spacing w:after="0" w:line="21" w:lineRule="exact"/>
        <w:rPr>
          <w:rFonts w:ascii="Arial" w:cs="Arial" w:eastAsia="Arial" w:hAnsi="Arial"/>
          <w:sz w:val="20"/>
          <w:szCs w:val="20"/>
          <w:color w:val="auto"/>
        </w:rPr>
      </w:pPr>
    </w:p>
    <w:p>
      <w:pPr>
        <w:ind w:left="559" w:right="380" w:hanging="559"/>
        <w:spacing w:after="0" w:line="286" w:lineRule="auto"/>
        <w:tabs>
          <w:tab w:leader="none" w:pos="559" w:val="left"/>
        </w:tabs>
        <w:numPr>
          <w:ilvl w:val="0"/>
          <w:numId w:val="640"/>
        </w:numPr>
        <w:rPr>
          <w:rFonts w:ascii="Arial" w:cs="Arial" w:eastAsia="Arial" w:hAnsi="Arial"/>
          <w:sz w:val="19"/>
          <w:szCs w:val="19"/>
          <w:color w:val="auto"/>
        </w:rPr>
      </w:pPr>
      <w:r>
        <w:rPr>
          <w:rFonts w:ascii="Arial" w:cs="Arial" w:eastAsia="Arial" w:hAnsi="Arial"/>
          <w:sz w:val="19"/>
          <w:szCs w:val="19"/>
          <w:u w:val="single" w:color="auto"/>
          <w:color w:val="auto"/>
        </w:rPr>
        <w:t>Consolidated EBITDA</w:t>
      </w:r>
      <w:r>
        <w:rPr>
          <w:rFonts w:ascii="Arial" w:cs="Arial" w:eastAsia="Arial" w:hAnsi="Arial"/>
          <w:sz w:val="19"/>
          <w:szCs w:val="19"/>
          <w:color w:val="auto"/>
        </w:rPr>
        <w:t xml:space="preserve"> (Lines IV.A.1.d. + Line IV.A.2. + Line IV.A.3. + Line IV.A.4. + Line IV.A.5. + Line IV.A.6. + Line IV.A.7. + Line IV.A.8. - Line IV.A.9. – Line IV.A.10.):</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799"/>
        <w:spacing w:after="0"/>
        <w:rPr>
          <w:sz w:val="20"/>
          <w:szCs w:val="20"/>
          <w:color w:val="auto"/>
        </w:rPr>
      </w:pPr>
      <w:r>
        <w:rPr>
          <w:rFonts w:ascii="Arial" w:cs="Arial" w:eastAsia="Arial" w:hAnsi="Arial"/>
          <w:sz w:val="20"/>
          <w:szCs w:val="20"/>
          <w:color w:val="auto"/>
        </w:rPr>
        <w:t>D-6</w:t>
      </w:r>
    </w:p>
    <w:p>
      <w:pPr>
        <w:spacing w:after="0" w:line="23" w:lineRule="exact"/>
        <w:rPr>
          <w:sz w:val="20"/>
          <w:szCs w:val="20"/>
          <w:color w:val="auto"/>
        </w:rPr>
      </w:pPr>
    </w:p>
    <w:p>
      <w:pPr>
        <w:jc w:val="center"/>
        <w:ind w:left="799"/>
        <w:spacing w:after="0"/>
        <w:rPr>
          <w:sz w:val="20"/>
          <w:szCs w:val="20"/>
          <w:color w:val="auto"/>
        </w:rPr>
      </w:pPr>
      <w:r>
        <w:rPr>
          <w:rFonts w:ascii="Arial" w:cs="Arial" w:eastAsia="Arial" w:hAnsi="Arial"/>
          <w:sz w:val="20"/>
          <w:szCs w:val="20"/>
          <w:color w:val="auto"/>
        </w:rPr>
        <w:t>Form of Compliance Certificate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ectPr>
          <w:pgSz w:w="11900" w:h="16838" w:orient="portrait"/>
          <w:cols w:equalWidth="0" w:num="2">
            <w:col w:w="8319" w:space="60"/>
            <w:col w:w="679"/>
          </w:cols>
          <w:pgMar w:left="1401" w:top="1032" w:right="1440" w:bottom="1440" w:gutter="0" w:footer="0" w:header="0"/>
        </w:sectPr>
      </w:pPr>
    </w:p>
    <w:bookmarkStart w:id="531" w:name="page532"/>
    <w:bookmarkEnd w:id="531"/>
    <w:p>
      <w:pPr>
        <w:ind w:left="1010" w:hanging="561"/>
        <w:spacing w:after="0"/>
        <w:tabs>
          <w:tab w:leader="none" w:pos="1010" w:val="left"/>
        </w:tabs>
        <w:numPr>
          <w:ilvl w:val="1"/>
          <w:numId w:val="641"/>
        </w:numPr>
        <w:rPr>
          <w:rFonts w:ascii="Arial" w:cs="Arial" w:eastAsia="Arial" w:hAnsi="Arial"/>
          <w:sz w:val="20"/>
          <w:szCs w:val="20"/>
          <w:color w:val="auto"/>
        </w:rPr>
      </w:pPr>
      <w:r>
        <w:rPr>
          <w:rFonts w:ascii="Arial" w:cs="Arial" w:eastAsia="Arial" w:hAnsi="Arial"/>
          <w:sz w:val="20"/>
          <w:szCs w:val="20"/>
          <w:color w:val="auto"/>
        </w:rPr>
        <w:t>Consolidated Fixed Charges for 4 Quarter Subject Period:</w:t>
      </w:r>
    </w:p>
    <w:p>
      <w:pPr>
        <w:spacing w:after="0" w:line="44" w:lineRule="exact"/>
        <w:rPr>
          <w:rFonts w:ascii="Arial" w:cs="Arial" w:eastAsia="Arial" w:hAnsi="Arial"/>
          <w:sz w:val="20"/>
          <w:szCs w:val="20"/>
          <w:color w:val="auto"/>
        </w:rPr>
      </w:pPr>
    </w:p>
    <w:p>
      <w:pPr>
        <w:ind w:left="1570" w:right="80" w:hanging="559"/>
        <w:spacing w:after="0" w:line="272" w:lineRule="auto"/>
        <w:tabs>
          <w:tab w:leader="none" w:pos="1570" w:val="left"/>
        </w:tabs>
        <w:numPr>
          <w:ilvl w:val="2"/>
          <w:numId w:val="641"/>
        </w:numPr>
        <w:rPr>
          <w:rFonts w:ascii="Arial" w:cs="Arial" w:eastAsia="Arial" w:hAnsi="Arial"/>
          <w:sz w:val="18"/>
          <w:szCs w:val="18"/>
          <w:color w:val="auto"/>
        </w:rPr>
      </w:pPr>
      <w:r>
        <w:rPr>
          <w:rFonts w:ascii="Arial" w:cs="Arial" w:eastAsia="Arial" w:hAnsi="Arial"/>
          <w:sz w:val="18"/>
          <w:szCs w:val="18"/>
          <w:color w:val="auto"/>
        </w:rPr>
        <w:t>Total cash interest expense (including, for the avoidance of doubt, capitalized interest) of the Consolidated Group for 4 Quarter Subject Period determined on a consolidated basis in accordance with GAAP (including the Consolidated Group Pro Rata Share of total cash interest expense (including, for the avoidance of doubt, capitalized interest) of each Unconsolidated Affiliated for 4 Quarter Subject Period determined in accordance with GAAP):</w:t>
      </w:r>
    </w:p>
    <w:p>
      <w:pPr>
        <w:spacing w:after="0" w:line="1" w:lineRule="exact"/>
        <w:rPr>
          <w:rFonts w:ascii="Arial" w:cs="Arial" w:eastAsia="Arial" w:hAnsi="Arial"/>
          <w:sz w:val="18"/>
          <w:szCs w:val="18"/>
          <w:color w:val="auto"/>
        </w:rPr>
      </w:pPr>
    </w:p>
    <w:p>
      <w:pPr>
        <w:ind w:left="1570" w:right="520" w:hanging="559"/>
        <w:spacing w:after="0" w:line="259" w:lineRule="auto"/>
        <w:tabs>
          <w:tab w:leader="none" w:pos="1570" w:val="left"/>
        </w:tabs>
        <w:numPr>
          <w:ilvl w:val="2"/>
          <w:numId w:val="641"/>
        </w:numPr>
        <w:rPr>
          <w:rFonts w:ascii="Arial" w:cs="Arial" w:eastAsia="Arial" w:hAnsi="Arial"/>
          <w:sz w:val="20"/>
          <w:szCs w:val="20"/>
          <w:color w:val="auto"/>
        </w:rPr>
      </w:pPr>
      <w:r>
        <w:rPr>
          <w:rFonts w:ascii="Arial" w:cs="Arial" w:eastAsia="Arial" w:hAnsi="Arial"/>
          <w:sz w:val="20"/>
          <w:szCs w:val="20"/>
          <w:color w:val="auto"/>
        </w:rPr>
        <w:t>Scheduled payments of principal on Consolidated Total Debt for 4 Quarter Subject Period (excluding balloon payments payable on maturity):</w:t>
      </w:r>
    </w:p>
    <w:p>
      <w:pPr>
        <w:spacing w:after="0" w:line="3" w:lineRule="exact"/>
        <w:rPr>
          <w:rFonts w:ascii="Arial" w:cs="Arial" w:eastAsia="Arial" w:hAnsi="Arial"/>
          <w:sz w:val="20"/>
          <w:szCs w:val="20"/>
          <w:color w:val="auto"/>
        </w:rPr>
      </w:pPr>
    </w:p>
    <w:p>
      <w:pPr>
        <w:ind w:left="1570" w:hanging="559"/>
        <w:spacing w:after="0" w:line="259" w:lineRule="auto"/>
        <w:tabs>
          <w:tab w:leader="none" w:pos="1570" w:val="left"/>
        </w:tabs>
        <w:numPr>
          <w:ilvl w:val="2"/>
          <w:numId w:val="641"/>
        </w:numPr>
        <w:rPr>
          <w:rFonts w:ascii="Arial" w:cs="Arial" w:eastAsia="Arial" w:hAnsi="Arial"/>
          <w:sz w:val="19"/>
          <w:szCs w:val="19"/>
          <w:color w:val="auto"/>
        </w:rPr>
      </w:pPr>
      <w:r>
        <w:rPr>
          <w:rFonts w:ascii="Arial" w:cs="Arial" w:eastAsia="Arial" w:hAnsi="Arial"/>
          <w:sz w:val="19"/>
          <w:szCs w:val="19"/>
          <w:color w:val="auto"/>
        </w:rPr>
        <w:t>The amount of dividends or distributions paid or required to be paid by any member of the Consolidated Group (other than to another member of the Consolidated Group) during 4 Quarter Subject Period in respect of its preferred Equity Interests (excluding any balloon payments payable on maturity or redemption in whole of such Equity Interests) :</w:t>
      </w:r>
    </w:p>
    <w:p>
      <w:pPr>
        <w:spacing w:after="0" w:line="6" w:lineRule="exact"/>
        <w:rPr>
          <w:rFonts w:ascii="Arial" w:cs="Arial" w:eastAsia="Arial" w:hAnsi="Arial"/>
          <w:sz w:val="19"/>
          <w:szCs w:val="19"/>
          <w:color w:val="auto"/>
        </w:rPr>
      </w:pPr>
    </w:p>
    <w:p>
      <w:pPr>
        <w:ind w:left="1570" w:right="40" w:hanging="559"/>
        <w:spacing w:after="0" w:line="253" w:lineRule="auto"/>
        <w:tabs>
          <w:tab w:leader="none" w:pos="1570" w:val="left"/>
        </w:tabs>
        <w:numPr>
          <w:ilvl w:val="2"/>
          <w:numId w:val="641"/>
        </w:numPr>
        <w:rPr>
          <w:rFonts w:ascii="Arial" w:cs="Arial" w:eastAsia="Arial" w:hAnsi="Arial"/>
          <w:sz w:val="19"/>
          <w:szCs w:val="19"/>
          <w:color w:val="auto"/>
        </w:rPr>
      </w:pPr>
      <w:r>
        <w:rPr>
          <w:rFonts w:ascii="Arial" w:cs="Arial" w:eastAsia="Arial" w:hAnsi="Arial"/>
          <w:sz w:val="19"/>
          <w:szCs w:val="19"/>
          <w:color w:val="auto"/>
        </w:rPr>
        <w:t>The Consolidated Group Pro Rata Share of the amount of dividends or distributions paid or required to be paid by any Unconsolidated Affiliate (to Persons other than (x) a member of the Consolidated Group or (y) an Unconsolidated Affiliate in which the percentage of Equity Interests of such Unconsolidated Affiliate owned by the Consolidated Group is greater than or equal to the percentage of Equity Interests owned by the Consolidated Group in the Unconsolidated Affiliate paying the dividend or distribution) during 4 Quarter Subject Period in respect of its preferred Equity Interests:</w:t>
      </w:r>
    </w:p>
    <w:p>
      <w:pPr>
        <w:spacing w:after="0" w:line="11" w:lineRule="exact"/>
        <w:rPr>
          <w:rFonts w:ascii="Arial" w:cs="Arial" w:eastAsia="Arial" w:hAnsi="Arial"/>
          <w:sz w:val="19"/>
          <w:szCs w:val="19"/>
          <w:color w:val="auto"/>
        </w:rPr>
      </w:pPr>
    </w:p>
    <w:p>
      <w:pPr>
        <w:ind w:left="1570" w:hanging="559"/>
        <w:spacing w:after="0"/>
        <w:tabs>
          <w:tab w:leader="none" w:pos="1570" w:val="left"/>
        </w:tabs>
        <w:numPr>
          <w:ilvl w:val="2"/>
          <w:numId w:val="641"/>
        </w:numPr>
        <w:rPr>
          <w:rFonts w:ascii="Arial" w:cs="Arial" w:eastAsia="Arial" w:hAnsi="Arial"/>
          <w:sz w:val="20"/>
          <w:szCs w:val="20"/>
          <w:color w:val="auto"/>
        </w:rPr>
      </w:pPr>
      <w:r>
        <w:rPr>
          <w:rFonts w:ascii="Arial" w:cs="Arial" w:eastAsia="Arial" w:hAnsi="Arial"/>
          <w:sz w:val="20"/>
          <w:szCs w:val="20"/>
          <w:color w:val="auto"/>
        </w:rPr>
        <w:t>Consolidated Fixed Charges (Line IV.B.1. + Line IV.B.2. + Line IV.B.3. + Line IV.B.4.):</w:t>
      </w:r>
    </w:p>
    <w:p>
      <w:pPr>
        <w:spacing w:after="0" w:line="51" w:lineRule="exact"/>
        <w:rPr>
          <w:rFonts w:ascii="Arial" w:cs="Arial" w:eastAsia="Arial" w:hAnsi="Arial"/>
          <w:sz w:val="20"/>
          <w:szCs w:val="20"/>
          <w:color w:val="auto"/>
        </w:rPr>
      </w:pPr>
    </w:p>
    <w:p>
      <w:pPr>
        <w:ind w:left="450" w:right="2540"/>
        <w:spacing w:after="0" w:line="331" w:lineRule="auto"/>
        <w:rPr>
          <w:rFonts w:ascii="Arial" w:cs="Arial" w:eastAsia="Arial" w:hAnsi="Arial"/>
          <w:sz w:val="20"/>
          <w:szCs w:val="20"/>
          <w:color w:val="auto"/>
        </w:rPr>
      </w:pPr>
      <w:r>
        <w:rPr>
          <w:rFonts w:ascii="Arial" w:cs="Arial" w:eastAsia="Arial" w:hAnsi="Arial"/>
          <w:sz w:val="20"/>
          <w:szCs w:val="20"/>
          <w:b w:val="1"/>
          <w:bCs w:val="1"/>
          <w:color w:val="auto"/>
        </w:rPr>
        <w:t>Consolidated Fixed Charge Coverage Ratio (Line IV.A.11. ÷ Line IV.B.5.): Minimum Required Fixed Charge Coverage Ratio:</w:t>
      </w:r>
    </w:p>
    <w:p>
      <w:pPr>
        <w:spacing w:after="0" w:line="227" w:lineRule="exact"/>
        <w:rPr>
          <w:rFonts w:ascii="Arial" w:cs="Arial" w:eastAsia="Arial" w:hAnsi="Arial"/>
          <w:sz w:val="20"/>
          <w:szCs w:val="20"/>
          <w:color w:val="auto"/>
        </w:rPr>
      </w:pPr>
    </w:p>
    <w:p>
      <w:pPr>
        <w:ind w:left="450" w:hanging="450"/>
        <w:spacing w:after="0"/>
        <w:tabs>
          <w:tab w:leader="none" w:pos="450" w:val="left"/>
        </w:tabs>
        <w:numPr>
          <w:ilvl w:val="0"/>
          <w:numId w:val="64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Section 7.11(d) – Consolidated Unsecured Interest Coverage Ratio</w:t>
      </w:r>
    </w:p>
    <w:p>
      <w:pPr>
        <w:spacing w:after="0" w:line="50" w:lineRule="exact"/>
        <w:rPr>
          <w:rFonts w:ascii="Arial" w:cs="Arial" w:eastAsia="Arial" w:hAnsi="Arial"/>
          <w:sz w:val="20"/>
          <w:szCs w:val="20"/>
          <w:b w:val="1"/>
          <w:bCs w:val="1"/>
          <w:color w:val="auto"/>
        </w:rPr>
      </w:pPr>
    </w:p>
    <w:p>
      <w:pPr>
        <w:ind w:left="1010" w:right="280" w:hanging="561"/>
        <w:spacing w:after="0" w:line="289" w:lineRule="auto"/>
        <w:tabs>
          <w:tab w:leader="none" w:pos="1010" w:val="left"/>
        </w:tabs>
        <w:numPr>
          <w:ilvl w:val="1"/>
          <w:numId w:val="642"/>
        </w:numPr>
        <w:rPr>
          <w:rFonts w:ascii="Arial" w:cs="Arial" w:eastAsia="Arial" w:hAnsi="Arial"/>
          <w:sz w:val="18"/>
          <w:szCs w:val="18"/>
          <w:color w:val="auto"/>
        </w:rPr>
      </w:pPr>
      <w:r>
        <w:rPr>
          <w:rFonts w:ascii="Arial" w:cs="Arial" w:eastAsia="Arial" w:hAnsi="Arial"/>
          <w:sz w:val="18"/>
          <w:szCs w:val="18"/>
          <w:color w:val="auto"/>
        </w:rPr>
        <w:t>Sum of Unencumbered Property NOI of each Unencumbered Eligible Property for the fiscal quarter ending on Statement Date (“</w:t>
      </w:r>
      <w:r>
        <w:rPr>
          <w:rFonts w:ascii="Arial" w:cs="Arial" w:eastAsia="Arial" w:hAnsi="Arial"/>
          <w:sz w:val="18"/>
          <w:szCs w:val="18"/>
          <w:u w:val="single" w:color="auto"/>
          <w:color w:val="auto"/>
        </w:rPr>
        <w:t>Subject Period</w:t>
      </w:r>
      <w:r>
        <w:rPr>
          <w:rFonts w:ascii="Arial" w:cs="Arial" w:eastAsia="Arial" w:hAnsi="Arial"/>
          <w:sz w:val="18"/>
          <w:szCs w:val="18"/>
          <w:color w:val="auto"/>
        </w:rPr>
        <w:t>”)(see Annex II attached hereto for calculation):</w:t>
      </w:r>
    </w:p>
    <w:p>
      <w:pPr>
        <w:spacing w:after="0" w:line="1" w:lineRule="exact"/>
        <w:rPr>
          <w:rFonts w:ascii="Arial" w:cs="Arial" w:eastAsia="Arial" w:hAnsi="Arial"/>
          <w:sz w:val="18"/>
          <w:szCs w:val="18"/>
          <w:color w:val="auto"/>
        </w:rPr>
      </w:pPr>
    </w:p>
    <w:p>
      <w:pPr>
        <w:ind w:left="1010" w:right="40" w:hanging="561"/>
        <w:spacing w:after="0" w:line="247" w:lineRule="auto"/>
        <w:tabs>
          <w:tab w:leader="none" w:pos="1010" w:val="left"/>
        </w:tabs>
        <w:numPr>
          <w:ilvl w:val="1"/>
          <w:numId w:val="642"/>
        </w:numPr>
        <w:rPr>
          <w:rFonts w:ascii="Arial" w:cs="Arial" w:eastAsia="Arial" w:hAnsi="Arial"/>
          <w:sz w:val="20"/>
          <w:szCs w:val="20"/>
          <w:color w:val="auto"/>
        </w:rPr>
      </w:pPr>
      <w:r>
        <w:rPr>
          <w:rFonts w:ascii="Arial" w:cs="Arial" w:eastAsia="Arial" w:hAnsi="Arial"/>
          <w:sz w:val="20"/>
          <w:szCs w:val="20"/>
          <w:color w:val="auto"/>
        </w:rPr>
        <w:t>Consolidated Unsecured Interest Expense for Subject Period (the portion of Consolidated Interest Expense for Subject Period that is incurred in respect of Unsecured Indebtedness of any member of the Consolidated Group or an Unconsolidated Affiliate):</w:t>
      </w:r>
    </w:p>
    <w:p>
      <w:pPr>
        <w:spacing w:after="0" w:line="8" w:lineRule="exact"/>
        <w:rPr>
          <w:sz w:val="20"/>
          <w:szCs w:val="20"/>
          <w:color w:val="auto"/>
        </w:rPr>
      </w:pPr>
    </w:p>
    <w:p>
      <w:pPr>
        <w:ind w:left="450"/>
        <w:spacing w:after="0"/>
        <w:rPr>
          <w:sz w:val="20"/>
          <w:szCs w:val="20"/>
          <w:color w:val="auto"/>
        </w:rPr>
      </w:pPr>
      <w:r>
        <w:rPr>
          <w:rFonts w:ascii="Arial" w:cs="Arial" w:eastAsia="Arial" w:hAnsi="Arial"/>
          <w:sz w:val="20"/>
          <w:szCs w:val="20"/>
          <w:b w:val="1"/>
          <w:bCs w:val="1"/>
          <w:color w:val="auto"/>
        </w:rPr>
        <w:t>Consolidated Unsecured Interest Coverage Ratio (Line V.A.÷ Line V.B.):</w:t>
      </w:r>
    </w:p>
    <w:p>
      <w:pPr>
        <w:spacing w:after="0" w:line="57" w:lineRule="exact"/>
        <w:rPr>
          <w:sz w:val="20"/>
          <w:szCs w:val="20"/>
          <w:color w:val="auto"/>
        </w:rPr>
      </w:pPr>
    </w:p>
    <w:p>
      <w:pPr>
        <w:ind w:left="450"/>
        <w:spacing w:after="0"/>
        <w:rPr>
          <w:sz w:val="20"/>
          <w:szCs w:val="20"/>
          <w:color w:val="auto"/>
        </w:rPr>
      </w:pPr>
      <w:r>
        <w:rPr>
          <w:rFonts w:ascii="Arial" w:cs="Arial" w:eastAsia="Arial" w:hAnsi="Arial"/>
          <w:sz w:val="20"/>
          <w:szCs w:val="20"/>
          <w:b w:val="1"/>
          <w:bCs w:val="1"/>
          <w:color w:val="auto"/>
        </w:rPr>
        <w:t>Minimum Required Consolidated Unsecured Interest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left="1830"/>
        <w:spacing w:after="0"/>
        <w:rPr>
          <w:sz w:val="20"/>
          <w:szCs w:val="20"/>
          <w:color w:val="auto"/>
        </w:rPr>
      </w:pPr>
      <w:r>
        <w:rPr>
          <w:rFonts w:ascii="Arial" w:cs="Arial" w:eastAsia="Arial" w:hAnsi="Arial"/>
          <w:sz w:val="20"/>
          <w:szCs w:val="20"/>
          <w:color w:val="auto"/>
        </w:rPr>
        <w:t>D-7</w:t>
      </w:r>
    </w:p>
    <w:p>
      <w:pPr>
        <w:spacing w:after="0" w:line="23" w:lineRule="exact"/>
        <w:rPr>
          <w:sz w:val="20"/>
          <w:szCs w:val="20"/>
          <w:color w:val="auto"/>
        </w:rPr>
      </w:pPr>
    </w:p>
    <w:p>
      <w:pPr>
        <w:jc w:val="center"/>
        <w:ind w:left="1830"/>
        <w:spacing w:after="0"/>
        <w:rPr>
          <w:sz w:val="20"/>
          <w:szCs w:val="20"/>
          <w:color w:val="auto"/>
        </w:rPr>
      </w:pPr>
      <w:r>
        <w:rPr>
          <w:rFonts w:ascii="Arial" w:cs="Arial" w:eastAsia="Arial" w:hAnsi="Arial"/>
          <w:sz w:val="20"/>
          <w:szCs w:val="20"/>
          <w:color w:val="auto"/>
        </w:rPr>
        <w:t>Form of Compliance Certificate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 to 1.00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1.50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1134110"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 to 1.00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1.75 to 1.00</w:t>
      </w:r>
    </w:p>
    <w:p>
      <w:pPr>
        <w:sectPr>
          <w:pgSz w:w="11900" w:h="16838" w:orient="portrait"/>
          <w:cols w:equalWidth="0" w:num="2">
            <w:col w:w="9290" w:space="100"/>
            <w:col w:w="1020"/>
          </w:cols>
          <w:pgMar w:left="390" w:top="1032" w:right="1099" w:bottom="1440" w:gutter="0" w:footer="0" w:header="0"/>
        </w:sectPr>
      </w:pPr>
    </w:p>
    <w:bookmarkStart w:id="532" w:name="page533"/>
    <w:bookmarkEnd w:id="532"/>
    <w:p>
      <w:pPr>
        <w:spacing w:after="0"/>
        <w:tabs>
          <w:tab w:leader="none" w:pos="440" w:val="left"/>
        </w:tabs>
        <w:rPr>
          <w:sz w:val="20"/>
          <w:szCs w:val="20"/>
          <w:color w:val="auto"/>
        </w:rPr>
      </w:pPr>
      <w:r>
        <w:rPr>
          <w:rFonts w:ascii="Arial" w:cs="Arial" w:eastAsia="Arial" w:hAnsi="Arial"/>
          <w:sz w:val="20"/>
          <w:szCs w:val="20"/>
          <w:b w:val="1"/>
          <w:bCs w:val="1"/>
          <w:color w:val="auto"/>
        </w:rPr>
        <w:t>VI.</w:t>
      </w:r>
      <w:r>
        <w:rPr>
          <w:sz w:val="20"/>
          <w:szCs w:val="20"/>
          <w:color w:val="auto"/>
        </w:rPr>
        <w:tab/>
      </w:r>
      <w:r>
        <w:rPr>
          <w:rFonts w:ascii="Arial" w:cs="Arial" w:eastAsia="Arial" w:hAnsi="Arial"/>
          <w:sz w:val="17"/>
          <w:szCs w:val="17"/>
          <w:b w:val="1"/>
          <w:bCs w:val="1"/>
          <w:u w:val="single" w:color="auto"/>
          <w:color w:val="auto"/>
        </w:rPr>
        <w:t>Section 7.11(e) – Consolidated Unsecured Leverage Ratio</w:t>
      </w:r>
    </w:p>
    <w:p>
      <w:pPr>
        <w:spacing w:after="0" w:line="51" w:lineRule="exact"/>
        <w:rPr>
          <w:sz w:val="20"/>
          <w:szCs w:val="20"/>
          <w:color w:val="auto"/>
        </w:rPr>
      </w:pPr>
    </w:p>
    <w:p>
      <w:pPr>
        <w:ind w:left="1020" w:hanging="561"/>
        <w:spacing w:after="0"/>
        <w:tabs>
          <w:tab w:leader="none" w:pos="1020" w:val="left"/>
        </w:tabs>
        <w:numPr>
          <w:ilvl w:val="0"/>
          <w:numId w:val="643"/>
        </w:numPr>
        <w:rPr>
          <w:rFonts w:ascii="Arial" w:cs="Arial" w:eastAsia="Arial" w:hAnsi="Arial"/>
          <w:sz w:val="20"/>
          <w:szCs w:val="20"/>
          <w:color w:val="auto"/>
        </w:rPr>
      </w:pPr>
      <w:r>
        <w:rPr>
          <w:rFonts w:ascii="Arial" w:cs="Arial" w:eastAsia="Arial" w:hAnsi="Arial"/>
          <w:sz w:val="20"/>
          <w:szCs w:val="20"/>
          <w:color w:val="auto"/>
        </w:rPr>
        <w:t>Consolidated Total Unsecured Indebtedness at Statement Date:</w:t>
      </w:r>
    </w:p>
    <w:p>
      <w:pPr>
        <w:spacing w:after="0" w:line="44" w:lineRule="exact"/>
        <w:rPr>
          <w:rFonts w:ascii="Arial" w:cs="Arial" w:eastAsia="Arial" w:hAnsi="Arial"/>
          <w:sz w:val="20"/>
          <w:szCs w:val="20"/>
          <w:color w:val="auto"/>
        </w:rPr>
      </w:pPr>
    </w:p>
    <w:p>
      <w:pPr>
        <w:ind w:left="1580" w:right="580" w:hanging="559"/>
        <w:spacing w:after="0" w:line="233" w:lineRule="auto"/>
        <w:tabs>
          <w:tab w:leader="none" w:pos="1580" w:val="left"/>
        </w:tabs>
        <w:numPr>
          <w:ilvl w:val="1"/>
          <w:numId w:val="643"/>
        </w:numPr>
        <w:rPr>
          <w:rFonts w:ascii="Arial" w:cs="Arial" w:eastAsia="Arial" w:hAnsi="Arial"/>
          <w:sz w:val="19"/>
          <w:szCs w:val="19"/>
          <w:color w:val="auto"/>
        </w:rPr>
      </w:pPr>
      <w:r>
        <w:rPr>
          <w:rFonts w:ascii="Arial" w:cs="Arial" w:eastAsia="Arial" w:hAnsi="Arial"/>
          <w:sz w:val="19"/>
          <w:szCs w:val="19"/>
          <w:color w:val="auto"/>
        </w:rPr>
        <w:t>Aggregate amount of all Unsecured Indebtedness</w:t>
      </w:r>
      <w:r>
        <w:rPr>
          <w:rFonts w:ascii="Arial" w:cs="Arial" w:eastAsia="Arial" w:hAnsi="Arial"/>
          <w:sz w:val="25"/>
          <w:szCs w:val="25"/>
          <w:color w:val="auto"/>
          <w:vertAlign w:val="superscript"/>
        </w:rPr>
        <w:t>8</w:t>
      </w:r>
      <w:r>
        <w:rPr>
          <w:rFonts w:ascii="Arial" w:cs="Arial" w:eastAsia="Arial" w:hAnsi="Arial"/>
          <w:sz w:val="19"/>
          <w:szCs w:val="19"/>
          <w:color w:val="auto"/>
        </w:rPr>
        <w:t xml:space="preserve"> of the Consolidated Group (including Indebtedness outstanding under the Agreement) that would be reflected on a consolidated balance sheet of the Consolidated Group as of Statement Date:</w:t>
      </w:r>
    </w:p>
    <w:p>
      <w:pPr>
        <w:spacing w:after="0" w:line="21" w:lineRule="exact"/>
        <w:rPr>
          <w:rFonts w:ascii="Arial" w:cs="Arial" w:eastAsia="Arial" w:hAnsi="Arial"/>
          <w:sz w:val="19"/>
          <w:szCs w:val="19"/>
          <w:color w:val="auto"/>
        </w:rPr>
      </w:pPr>
    </w:p>
    <w:p>
      <w:pPr>
        <w:ind w:left="1580" w:hanging="559"/>
        <w:spacing w:after="0" w:line="247" w:lineRule="auto"/>
        <w:tabs>
          <w:tab w:leader="none" w:pos="1580" w:val="left"/>
        </w:tabs>
        <w:numPr>
          <w:ilvl w:val="1"/>
          <w:numId w:val="643"/>
        </w:numPr>
        <w:rPr>
          <w:rFonts w:ascii="Arial" w:cs="Arial" w:eastAsia="Arial" w:hAnsi="Arial"/>
          <w:sz w:val="20"/>
          <w:szCs w:val="20"/>
          <w:color w:val="auto"/>
        </w:rPr>
      </w:pPr>
      <w:r>
        <w:rPr>
          <w:rFonts w:ascii="Arial" w:cs="Arial" w:eastAsia="Arial" w:hAnsi="Arial"/>
          <w:sz w:val="20"/>
          <w:szCs w:val="20"/>
          <w:color w:val="auto"/>
        </w:rPr>
        <w:t>Consolidated Group Pro Rata Share of the aggregate amount of all Unsecured Indebtedness of each Unconsolidated Affiliate that would be reflected on a balance sheet of such Unconsolidated Affiliate as of Statement Date:</w:t>
      </w:r>
    </w:p>
    <w:p>
      <w:pPr>
        <w:spacing w:after="0" w:line="14" w:lineRule="exact"/>
        <w:rPr>
          <w:rFonts w:ascii="Arial" w:cs="Arial" w:eastAsia="Arial" w:hAnsi="Arial"/>
          <w:sz w:val="20"/>
          <w:szCs w:val="20"/>
          <w:color w:val="auto"/>
        </w:rPr>
      </w:pPr>
    </w:p>
    <w:p>
      <w:pPr>
        <w:ind w:left="1580" w:hanging="559"/>
        <w:spacing w:after="0"/>
        <w:tabs>
          <w:tab w:leader="none" w:pos="1580" w:val="left"/>
        </w:tabs>
        <w:numPr>
          <w:ilvl w:val="1"/>
          <w:numId w:val="643"/>
        </w:numPr>
        <w:rPr>
          <w:rFonts w:ascii="Arial" w:cs="Arial" w:eastAsia="Arial" w:hAnsi="Arial"/>
          <w:sz w:val="20"/>
          <w:szCs w:val="20"/>
          <w:color w:val="auto"/>
        </w:rPr>
      </w:pPr>
      <w:r>
        <w:rPr>
          <w:rFonts w:ascii="Arial" w:cs="Arial" w:eastAsia="Arial" w:hAnsi="Arial"/>
          <w:sz w:val="20"/>
          <w:szCs w:val="20"/>
          <w:u w:val="single" w:color="auto"/>
          <w:color w:val="auto"/>
        </w:rPr>
        <w:t>Consolidated Total Unsecured Indebtedness</w:t>
      </w:r>
      <w:r>
        <w:rPr>
          <w:rFonts w:ascii="Arial" w:cs="Arial" w:eastAsia="Arial" w:hAnsi="Arial"/>
          <w:sz w:val="20"/>
          <w:szCs w:val="20"/>
          <w:color w:val="auto"/>
        </w:rPr>
        <w:t xml:space="preserve"> (Line VI.A.1 + Line IV.A.2.):</w:t>
      </w:r>
    </w:p>
    <w:p>
      <w:pPr>
        <w:spacing w:after="0" w:line="57" w:lineRule="exact"/>
        <w:rPr>
          <w:rFonts w:ascii="Arial" w:cs="Arial" w:eastAsia="Arial" w:hAnsi="Arial"/>
          <w:sz w:val="20"/>
          <w:szCs w:val="20"/>
          <w:color w:val="auto"/>
        </w:rPr>
      </w:pPr>
    </w:p>
    <w:p>
      <w:pPr>
        <w:ind w:left="1020" w:hanging="561"/>
        <w:spacing w:after="0"/>
        <w:tabs>
          <w:tab w:leader="none" w:pos="1020" w:val="left"/>
        </w:tabs>
        <w:numPr>
          <w:ilvl w:val="0"/>
          <w:numId w:val="643"/>
        </w:numPr>
        <w:rPr>
          <w:rFonts w:ascii="Arial" w:cs="Arial" w:eastAsia="Arial" w:hAnsi="Arial"/>
          <w:sz w:val="20"/>
          <w:szCs w:val="20"/>
          <w:color w:val="auto"/>
        </w:rPr>
      </w:pPr>
      <w:r>
        <w:rPr>
          <w:rFonts w:ascii="Arial" w:cs="Arial" w:eastAsia="Arial" w:hAnsi="Arial"/>
          <w:sz w:val="20"/>
          <w:szCs w:val="20"/>
          <w:color w:val="auto"/>
        </w:rPr>
        <w:t>Unrestricted Cash Amount at Statement Date (Line III.B.4.):</w:t>
      </w:r>
    </w:p>
    <w:p>
      <w:pPr>
        <w:spacing w:after="0" w:line="44" w:lineRule="exact"/>
        <w:rPr>
          <w:rFonts w:ascii="Arial" w:cs="Arial" w:eastAsia="Arial" w:hAnsi="Arial"/>
          <w:sz w:val="20"/>
          <w:szCs w:val="20"/>
          <w:color w:val="auto"/>
        </w:rPr>
      </w:pPr>
    </w:p>
    <w:p>
      <w:pPr>
        <w:ind w:left="1020" w:hanging="561"/>
        <w:spacing w:after="0"/>
        <w:tabs>
          <w:tab w:leader="none" w:pos="1020" w:val="left"/>
        </w:tabs>
        <w:numPr>
          <w:ilvl w:val="0"/>
          <w:numId w:val="643"/>
        </w:numPr>
        <w:rPr>
          <w:rFonts w:ascii="Arial" w:cs="Arial" w:eastAsia="Arial" w:hAnsi="Arial"/>
          <w:sz w:val="20"/>
          <w:szCs w:val="20"/>
          <w:color w:val="auto"/>
        </w:rPr>
      </w:pPr>
      <w:r>
        <w:rPr>
          <w:rFonts w:ascii="Arial" w:cs="Arial" w:eastAsia="Arial" w:hAnsi="Arial"/>
          <w:sz w:val="20"/>
          <w:szCs w:val="20"/>
          <w:color w:val="auto"/>
        </w:rPr>
        <w:t>Unencumbered Asset Value at Statement Date</w:t>
      </w:r>
    </w:p>
    <w:p>
      <w:pPr>
        <w:spacing w:after="0" w:line="44" w:lineRule="exact"/>
        <w:rPr>
          <w:rFonts w:ascii="Arial" w:cs="Arial" w:eastAsia="Arial" w:hAnsi="Arial"/>
          <w:sz w:val="20"/>
          <w:szCs w:val="20"/>
          <w:color w:val="auto"/>
        </w:rPr>
      </w:pPr>
    </w:p>
    <w:p>
      <w:pPr>
        <w:ind w:left="1580" w:right="60" w:hanging="559"/>
        <w:spacing w:after="0" w:line="239" w:lineRule="auto"/>
        <w:tabs>
          <w:tab w:leader="none" w:pos="1580" w:val="left"/>
        </w:tabs>
        <w:numPr>
          <w:ilvl w:val="1"/>
          <w:numId w:val="643"/>
        </w:numPr>
        <w:rPr>
          <w:rFonts w:ascii="Arial" w:cs="Arial" w:eastAsia="Arial" w:hAnsi="Arial"/>
          <w:sz w:val="20"/>
          <w:szCs w:val="20"/>
          <w:color w:val="auto"/>
        </w:rPr>
      </w:pPr>
      <w:r>
        <w:rPr>
          <w:rFonts w:ascii="Arial" w:cs="Arial" w:eastAsia="Arial" w:hAnsi="Arial"/>
          <w:sz w:val="20"/>
          <w:szCs w:val="20"/>
          <w:color w:val="auto"/>
        </w:rPr>
        <w:t>Unencumbered Property NOI of each Unencumbered Eligible Property (excluding Disposed Portfolio Properties, Newly-Acquired Portfolio Properties and Non-Stabilized Portfolio Properties) owned or ground leased under an Eligible Ground Lease by the Consolidated Group for the fiscal quarter ending on the Statement Date (“</w:t>
      </w:r>
      <w:r>
        <w:rPr>
          <w:rFonts w:ascii="Arial" w:cs="Arial" w:eastAsia="Arial" w:hAnsi="Arial"/>
          <w:sz w:val="20"/>
          <w:szCs w:val="20"/>
          <w:u w:val="single" w:color="auto"/>
          <w:color w:val="auto"/>
        </w:rPr>
        <w:t>Subject Period</w:t>
      </w:r>
      <w:r>
        <w:rPr>
          <w:rFonts w:ascii="Arial" w:cs="Arial" w:eastAsia="Arial" w:hAnsi="Arial"/>
          <w:sz w:val="20"/>
          <w:szCs w:val="20"/>
          <w:color w:val="auto"/>
        </w:rPr>
        <w:t xml:space="preserve">”) </w:t>
      </w:r>
      <w:r>
        <w:rPr>
          <w:rFonts w:ascii="Arial" w:cs="Arial" w:eastAsia="Arial" w:hAnsi="Arial"/>
          <w:sz w:val="20"/>
          <w:szCs w:val="20"/>
          <w:i w:val="1"/>
          <w:iCs w:val="1"/>
          <w:color w:val="auto"/>
        </w:rPr>
        <w:t>divided by</w:t>
      </w:r>
      <w:r>
        <w:rPr>
          <w:rFonts w:ascii="Arial" w:cs="Arial" w:eastAsia="Arial" w:hAnsi="Arial"/>
          <w:sz w:val="20"/>
          <w:szCs w:val="20"/>
          <w:color w:val="auto"/>
        </w:rPr>
        <w:t xml:space="preserve"> the Applicable Capitalization Rate for each such Unencumbered Eligible Property (See Annex III attached hereto):</w:t>
      </w:r>
    </w:p>
    <w:p>
      <w:pPr>
        <w:spacing w:after="0" w:line="24" w:lineRule="exact"/>
        <w:rPr>
          <w:rFonts w:ascii="Arial" w:cs="Arial" w:eastAsia="Arial" w:hAnsi="Arial"/>
          <w:sz w:val="20"/>
          <w:szCs w:val="20"/>
          <w:color w:val="auto"/>
        </w:rPr>
      </w:pPr>
    </w:p>
    <w:p>
      <w:pPr>
        <w:jc w:val="both"/>
        <w:ind w:left="1580" w:right="880" w:hanging="559"/>
        <w:spacing w:after="0" w:line="289" w:lineRule="auto"/>
        <w:tabs>
          <w:tab w:leader="none" w:pos="1580" w:val="left"/>
        </w:tabs>
        <w:numPr>
          <w:ilvl w:val="1"/>
          <w:numId w:val="643"/>
        </w:numPr>
        <w:rPr>
          <w:rFonts w:ascii="Arial" w:cs="Arial" w:eastAsia="Arial" w:hAnsi="Arial"/>
          <w:sz w:val="18"/>
          <w:szCs w:val="18"/>
          <w:color w:val="auto"/>
        </w:rPr>
      </w:pPr>
      <w:r>
        <w:rPr>
          <w:rFonts w:ascii="Arial" w:cs="Arial" w:eastAsia="Arial" w:hAnsi="Arial"/>
          <w:sz w:val="18"/>
          <w:szCs w:val="18"/>
          <w:color w:val="auto"/>
        </w:rPr>
        <w:t>Undepreciated book value of all Unencumbered Eligible Properties that are Qualified Development Properties or Non-Stabilized Properties (see Annex III attached hereto):</w:t>
      </w:r>
    </w:p>
    <w:p>
      <w:pPr>
        <w:spacing w:after="0" w:line="1" w:lineRule="exact"/>
        <w:rPr>
          <w:rFonts w:ascii="Arial" w:cs="Arial" w:eastAsia="Arial" w:hAnsi="Arial"/>
          <w:sz w:val="18"/>
          <w:szCs w:val="18"/>
          <w:color w:val="auto"/>
        </w:rPr>
      </w:pPr>
    </w:p>
    <w:p>
      <w:pPr>
        <w:ind w:left="1580" w:right="380" w:hanging="559"/>
        <w:spacing w:after="0" w:line="259" w:lineRule="auto"/>
        <w:tabs>
          <w:tab w:leader="none" w:pos="1580" w:val="left"/>
        </w:tabs>
        <w:numPr>
          <w:ilvl w:val="1"/>
          <w:numId w:val="643"/>
        </w:numPr>
        <w:rPr>
          <w:rFonts w:ascii="Arial" w:cs="Arial" w:eastAsia="Arial" w:hAnsi="Arial"/>
          <w:sz w:val="20"/>
          <w:szCs w:val="20"/>
          <w:color w:val="auto"/>
        </w:rPr>
      </w:pPr>
      <w:r>
        <w:rPr>
          <w:rFonts w:ascii="Arial" w:cs="Arial" w:eastAsia="Arial" w:hAnsi="Arial"/>
          <w:sz w:val="20"/>
          <w:szCs w:val="20"/>
          <w:color w:val="auto"/>
        </w:rPr>
        <w:t>Acquisition cost paid by Consolidated Group for Unencumbered Eligible Properties that are Newly-Acquired Portfolio Properties (See Annex III attached hereto):</w:t>
      </w:r>
    </w:p>
    <w:p>
      <w:pPr>
        <w:spacing w:after="0" w:line="3" w:lineRule="exact"/>
        <w:rPr>
          <w:rFonts w:ascii="Arial" w:cs="Arial" w:eastAsia="Arial" w:hAnsi="Arial"/>
          <w:sz w:val="20"/>
          <w:szCs w:val="20"/>
          <w:color w:val="auto"/>
        </w:rPr>
      </w:pPr>
    </w:p>
    <w:p>
      <w:pPr>
        <w:ind w:left="1580" w:hanging="559"/>
        <w:spacing w:after="0"/>
        <w:tabs>
          <w:tab w:leader="none" w:pos="1580" w:val="left"/>
        </w:tabs>
        <w:numPr>
          <w:ilvl w:val="1"/>
          <w:numId w:val="643"/>
        </w:numPr>
        <w:rPr>
          <w:rFonts w:ascii="Arial" w:cs="Arial" w:eastAsia="Arial" w:hAnsi="Arial"/>
          <w:sz w:val="20"/>
          <w:szCs w:val="20"/>
          <w:color w:val="auto"/>
        </w:rPr>
      </w:pPr>
      <w:r>
        <w:rPr>
          <w:rFonts w:ascii="Arial" w:cs="Arial" w:eastAsia="Arial" w:hAnsi="Arial"/>
          <w:sz w:val="20"/>
          <w:szCs w:val="20"/>
          <w:color w:val="auto"/>
        </w:rPr>
        <w:t>(Line VI.C.1. * 4) + Line VII.B. + Line VII.C.:</w:t>
      </w:r>
    </w:p>
    <w:p>
      <w:pPr>
        <w:spacing w:after="0" w:line="57" w:lineRule="exact"/>
        <w:rPr>
          <w:rFonts w:ascii="Arial" w:cs="Arial" w:eastAsia="Arial" w:hAnsi="Arial"/>
          <w:sz w:val="20"/>
          <w:szCs w:val="20"/>
          <w:color w:val="auto"/>
        </w:rPr>
      </w:pPr>
    </w:p>
    <w:p>
      <w:pPr>
        <w:ind w:left="1580" w:right="220" w:hanging="559"/>
        <w:spacing w:after="0" w:line="233" w:lineRule="auto"/>
        <w:tabs>
          <w:tab w:leader="none" w:pos="1580" w:val="left"/>
        </w:tabs>
        <w:numPr>
          <w:ilvl w:val="1"/>
          <w:numId w:val="643"/>
        </w:numPr>
        <w:rPr>
          <w:rFonts w:ascii="Arial" w:cs="Arial" w:eastAsia="Arial" w:hAnsi="Arial"/>
          <w:sz w:val="20"/>
          <w:szCs w:val="20"/>
          <w:color w:val="auto"/>
        </w:rPr>
      </w:pPr>
      <w:r>
        <w:rPr>
          <w:rFonts w:ascii="Arial" w:cs="Arial" w:eastAsia="Arial" w:hAnsi="Arial"/>
          <w:sz w:val="20"/>
          <w:szCs w:val="20"/>
          <w:color w:val="auto"/>
        </w:rPr>
        <w:t>Percentage of Line VI.C.4. derived from Unencumbered Eligibe Properties that are not office, retail or multi-family properties:</w:t>
      </w:r>
      <w:r>
        <w:rPr>
          <w:rFonts w:ascii="Arial" w:cs="Arial" w:eastAsia="Arial" w:hAnsi="Arial"/>
          <w:sz w:val="26"/>
          <w:szCs w:val="26"/>
          <w:color w:val="auto"/>
          <w:vertAlign w:val="superscript"/>
        </w:rPr>
        <w:t>9</w:t>
      </w:r>
    </w:p>
    <w:p>
      <w:pPr>
        <w:spacing w:after="0" w:line="2" w:lineRule="exact"/>
        <w:rPr>
          <w:rFonts w:ascii="Arial" w:cs="Arial" w:eastAsia="Arial" w:hAnsi="Arial"/>
          <w:sz w:val="20"/>
          <w:szCs w:val="20"/>
          <w:color w:val="auto"/>
        </w:rPr>
      </w:pPr>
    </w:p>
    <w:p>
      <w:pPr>
        <w:ind w:left="1580" w:right="60" w:hanging="559"/>
        <w:spacing w:after="0" w:line="236" w:lineRule="auto"/>
        <w:tabs>
          <w:tab w:leader="none" w:pos="1580" w:val="left"/>
        </w:tabs>
        <w:numPr>
          <w:ilvl w:val="1"/>
          <w:numId w:val="643"/>
        </w:numPr>
        <w:rPr>
          <w:rFonts w:ascii="Arial" w:cs="Arial" w:eastAsia="Arial" w:hAnsi="Arial"/>
          <w:sz w:val="19"/>
          <w:szCs w:val="19"/>
          <w:color w:val="auto"/>
        </w:rPr>
      </w:pPr>
      <w:r>
        <w:rPr>
          <w:rFonts w:ascii="Arial" w:cs="Arial" w:eastAsia="Arial" w:hAnsi="Arial"/>
          <w:sz w:val="19"/>
          <w:szCs w:val="19"/>
          <w:color w:val="auto"/>
        </w:rPr>
        <w:t>Percentage of Line VI.C.4. derived from Unencumbered Eligible Properties that are owned by a Controlled Joint Venture or ground leased under an Eligible Ground Lease:</w:t>
      </w:r>
      <w:r>
        <w:rPr>
          <w:rFonts w:ascii="Arial" w:cs="Arial" w:eastAsia="Arial" w:hAnsi="Arial"/>
          <w:sz w:val="25"/>
          <w:szCs w:val="25"/>
          <w:color w:val="auto"/>
          <w:vertAlign w:val="superscript"/>
        </w:rPr>
        <w:t>10</w:t>
      </w:r>
    </w:p>
    <w:p>
      <w:pPr>
        <w:spacing w:after="0" w:line="2" w:lineRule="exact"/>
        <w:rPr>
          <w:rFonts w:ascii="Arial" w:cs="Arial" w:eastAsia="Arial" w:hAnsi="Arial"/>
          <w:sz w:val="19"/>
          <w:szCs w:val="19"/>
          <w:color w:val="auto"/>
        </w:rPr>
      </w:pPr>
    </w:p>
    <w:p>
      <w:pPr>
        <w:ind w:left="1580" w:right="500" w:hanging="559"/>
        <w:spacing w:after="0" w:line="226" w:lineRule="auto"/>
        <w:tabs>
          <w:tab w:leader="none" w:pos="1580" w:val="left"/>
        </w:tabs>
        <w:numPr>
          <w:ilvl w:val="1"/>
          <w:numId w:val="643"/>
        </w:numPr>
        <w:rPr>
          <w:rFonts w:ascii="Arial" w:cs="Arial" w:eastAsia="Arial" w:hAnsi="Arial"/>
          <w:sz w:val="20"/>
          <w:szCs w:val="20"/>
          <w:color w:val="auto"/>
        </w:rPr>
      </w:pPr>
      <w:r>
        <w:rPr>
          <w:rFonts w:ascii="Arial" w:cs="Arial" w:eastAsia="Arial" w:hAnsi="Arial"/>
          <w:sz w:val="20"/>
          <w:szCs w:val="20"/>
          <w:color w:val="auto"/>
        </w:rPr>
        <w:t>Percentage of Line VI.C.4. derived from Unencumbered Eligible Properties that constitute Qualified Development Properties:</w:t>
      </w:r>
      <w:r>
        <w:rPr>
          <w:rFonts w:ascii="Arial" w:cs="Arial" w:eastAsia="Arial" w:hAnsi="Arial"/>
          <w:sz w:val="26"/>
          <w:szCs w:val="26"/>
          <w:color w:val="auto"/>
          <w:vertAlign w:val="superscript"/>
        </w:rPr>
        <w:t>11</w:t>
      </w:r>
    </w:p>
    <w:p>
      <w:pPr>
        <w:spacing w:after="0" w:line="1" w:lineRule="exact"/>
        <w:rPr>
          <w:rFonts w:ascii="Arial" w:cs="Arial" w:eastAsia="Arial" w:hAnsi="Arial"/>
          <w:sz w:val="20"/>
          <w:szCs w:val="20"/>
          <w:color w:val="auto"/>
        </w:rPr>
      </w:pPr>
    </w:p>
    <w:p>
      <w:pPr>
        <w:ind w:left="1580" w:right="60" w:hanging="559"/>
        <w:spacing w:after="0" w:line="229" w:lineRule="auto"/>
        <w:tabs>
          <w:tab w:leader="none" w:pos="1580" w:val="left"/>
        </w:tabs>
        <w:numPr>
          <w:ilvl w:val="1"/>
          <w:numId w:val="643"/>
        </w:numPr>
        <w:rPr>
          <w:rFonts w:ascii="Arial" w:cs="Arial" w:eastAsia="Arial" w:hAnsi="Arial"/>
          <w:sz w:val="20"/>
          <w:szCs w:val="20"/>
          <w:color w:val="auto"/>
        </w:rPr>
      </w:pPr>
      <w:r>
        <w:rPr>
          <w:rFonts w:ascii="Arial" w:cs="Arial" w:eastAsia="Arial" w:hAnsi="Arial"/>
          <w:sz w:val="20"/>
          <w:szCs w:val="20"/>
          <w:color w:val="auto"/>
        </w:rPr>
        <w:t>Percentage of Line VI.C.4. derived from Unencumbered Eligible Properties that are owned by a Controlled Joint Venture or ground leased under an Eligible Ground Lease or that constitute Qualified Development Properties:</w:t>
      </w:r>
      <w:r>
        <w:rPr>
          <w:rFonts w:ascii="Arial" w:cs="Arial" w:eastAsia="Arial" w:hAnsi="Arial"/>
          <w:sz w:val="26"/>
          <w:szCs w:val="26"/>
          <w:color w:val="auto"/>
          <w:vertAlign w:val="superscript"/>
        </w:rPr>
        <w:t>12</w:t>
      </w:r>
    </w:p>
    <w:p>
      <w:pPr>
        <w:ind w:left="1580" w:right="40" w:hanging="559"/>
        <w:spacing w:after="0" w:line="243" w:lineRule="auto"/>
        <w:tabs>
          <w:tab w:leader="none" w:pos="1580" w:val="left"/>
        </w:tabs>
        <w:numPr>
          <w:ilvl w:val="1"/>
          <w:numId w:val="643"/>
        </w:numPr>
        <w:rPr>
          <w:rFonts w:ascii="Arial" w:cs="Arial" w:eastAsia="Arial" w:hAnsi="Arial"/>
          <w:sz w:val="20"/>
          <w:szCs w:val="20"/>
          <w:color w:val="auto"/>
        </w:rPr>
      </w:pPr>
      <w:r>
        <w:rPr>
          <w:rFonts w:ascii="Arial" w:cs="Arial" w:eastAsia="Arial" w:hAnsi="Arial"/>
          <w:sz w:val="20"/>
          <w:szCs w:val="20"/>
          <w:color w:val="auto"/>
        </w:rPr>
        <w:t>Adjustment (if any) to reflect limitations referenced in Lines VI.C.5., Line VI.C.6., Line VI.C.7. and Line VI.C.8.:</w:t>
      </w:r>
    </w:p>
    <w:p>
      <w:pPr>
        <w:spacing w:after="0" w:line="17" w:lineRule="exact"/>
        <w:rPr>
          <w:rFonts w:ascii="Arial" w:cs="Arial" w:eastAsia="Arial" w:hAnsi="Arial"/>
          <w:sz w:val="20"/>
          <w:szCs w:val="20"/>
          <w:color w:val="auto"/>
        </w:rPr>
      </w:pPr>
    </w:p>
    <w:p>
      <w:pPr>
        <w:ind w:left="1580" w:hanging="559"/>
        <w:spacing w:after="0"/>
        <w:tabs>
          <w:tab w:leader="none" w:pos="1580" w:val="left"/>
        </w:tabs>
        <w:numPr>
          <w:ilvl w:val="1"/>
          <w:numId w:val="643"/>
        </w:numPr>
        <w:rPr>
          <w:rFonts w:ascii="Arial" w:cs="Arial" w:eastAsia="Arial" w:hAnsi="Arial"/>
          <w:sz w:val="20"/>
          <w:szCs w:val="20"/>
          <w:color w:val="auto"/>
        </w:rPr>
      </w:pPr>
      <w:r>
        <w:rPr>
          <w:rFonts w:ascii="Arial" w:cs="Arial" w:eastAsia="Arial" w:hAnsi="Arial"/>
          <w:sz w:val="20"/>
          <w:szCs w:val="20"/>
          <w:u w:val="single" w:color="auto"/>
          <w:color w:val="auto"/>
        </w:rPr>
        <w:t>Unencumbered Asset Value</w:t>
      </w:r>
      <w:r>
        <w:rPr>
          <w:rFonts w:ascii="Arial" w:cs="Arial" w:eastAsia="Arial" w:hAnsi="Arial"/>
          <w:sz w:val="20"/>
          <w:szCs w:val="20"/>
          <w:color w:val="auto"/>
        </w:rPr>
        <w:t>: Line VI.C.4. - Line VI.C.9: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231140</wp:posOffset>
            </wp:positionV>
            <wp:extent cx="7098030"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1134110"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320" w:space="80"/>
            <w:col w:w="1740"/>
          </w:cols>
          <w:pgMar w:left="380" w:top="1026" w:right="379" w:bottom="1440" w:gutter="0" w:footer="0" w:header="0"/>
        </w:sectPr>
      </w:pPr>
    </w:p>
    <w:p>
      <w:pPr>
        <w:spacing w:after="0" w:line="185" w:lineRule="exact"/>
        <w:rPr>
          <w:sz w:val="20"/>
          <w:szCs w:val="20"/>
          <w:color w:val="auto"/>
        </w:rPr>
      </w:pPr>
    </w:p>
    <w:p>
      <w:pPr>
        <w:ind w:left="460" w:right="320" w:hanging="450"/>
        <w:spacing w:after="0" w:line="251" w:lineRule="auto"/>
        <w:tabs>
          <w:tab w:leader="none" w:pos="460" w:val="left"/>
        </w:tabs>
        <w:numPr>
          <w:ilvl w:val="0"/>
          <w:numId w:val="644"/>
        </w:numPr>
        <w:rPr>
          <w:rFonts w:ascii="Arial" w:cs="Arial" w:eastAsia="Arial" w:hAnsi="Arial"/>
          <w:sz w:val="13"/>
          <w:szCs w:val="13"/>
          <w:color w:val="auto"/>
        </w:rPr>
      </w:pPr>
      <w:r>
        <w:rPr>
          <w:rFonts w:ascii="Arial" w:cs="Arial" w:eastAsia="Arial" w:hAnsi="Arial"/>
          <w:sz w:val="13"/>
          <w:szCs w:val="13"/>
          <w:color w:val="auto"/>
        </w:rPr>
        <w:t>“Unsecured Indebtedness” means, with respect to any Person, all Indebtedness of such Person that is not Secured Indebtedness; provided, however, that any Indebtedness that is secured only by a pledge of Equity Interests shall be deemed to be Unsecured Indebtedness.</w:t>
      </w:r>
    </w:p>
    <w:p>
      <w:pPr>
        <w:spacing w:after="0" w:line="12" w:lineRule="exact"/>
        <w:rPr>
          <w:sz w:val="20"/>
          <w:szCs w:val="20"/>
          <w:color w:val="auto"/>
        </w:rPr>
      </w:pPr>
    </w:p>
    <w:p>
      <w:pPr>
        <w:ind w:left="460" w:right="20" w:hanging="450"/>
        <w:spacing w:after="0" w:line="237" w:lineRule="auto"/>
        <w:tabs>
          <w:tab w:leader="none" w:pos="460" w:val="left"/>
        </w:tabs>
        <w:numPr>
          <w:ilvl w:val="0"/>
          <w:numId w:val="645"/>
        </w:numPr>
        <w:rPr>
          <w:rFonts w:ascii="Arial" w:cs="Arial" w:eastAsia="Arial" w:hAnsi="Arial"/>
          <w:sz w:val="13"/>
          <w:szCs w:val="13"/>
          <w:color w:val="auto"/>
        </w:rPr>
      </w:pPr>
      <w:r>
        <w:rPr>
          <w:rFonts w:ascii="Arial" w:cs="Arial" w:eastAsia="Arial" w:hAnsi="Arial"/>
          <w:sz w:val="13"/>
          <w:szCs w:val="13"/>
          <w:color w:val="auto"/>
        </w:rPr>
        <w:t>Not more than 20% of the UAV may be in respect of Unencumbered Eligible Properties that are not office, retail or multi-family properties (and, for purposes of determiningcompliance with such 20% limitation, if an Unencumbered Eligible Property is considered “multi-use”, the Borrower shall be permitted to include the Unencumbered Property NOI of such Unencumbered Eligible Property’s office, retail or multi-family component without limitation under this Line VI.C.5.)</w:t>
      </w:r>
    </w:p>
    <w:p>
      <w:pPr>
        <w:spacing w:after="0" w:line="19" w:lineRule="exact"/>
        <w:rPr>
          <w:sz w:val="20"/>
          <w:szCs w:val="20"/>
          <w:color w:val="auto"/>
        </w:rPr>
      </w:pPr>
    </w:p>
    <w:p>
      <w:pPr>
        <w:ind w:left="460" w:hanging="450"/>
        <w:spacing w:after="0"/>
        <w:tabs>
          <w:tab w:leader="none" w:pos="460" w:val="left"/>
        </w:tabs>
        <w:numPr>
          <w:ilvl w:val="0"/>
          <w:numId w:val="646"/>
        </w:numPr>
        <w:rPr>
          <w:rFonts w:ascii="Arial" w:cs="Arial" w:eastAsia="Arial" w:hAnsi="Arial"/>
          <w:sz w:val="12"/>
          <w:szCs w:val="12"/>
          <w:color w:val="auto"/>
        </w:rPr>
      </w:pPr>
      <w:r>
        <w:rPr>
          <w:rFonts w:ascii="Arial" w:cs="Arial" w:eastAsia="Arial" w:hAnsi="Arial"/>
          <w:sz w:val="12"/>
          <w:szCs w:val="12"/>
          <w:color w:val="auto"/>
        </w:rPr>
        <w:t>Not more than 20% of the UAV may be in respect of Unencumbered Eligible Properties that are either owned by a Controlled Joint Venture or ground leased under an Eligible Ground Lease</w:t>
      </w:r>
    </w:p>
    <w:p>
      <w:pPr>
        <w:spacing w:after="0" w:line="49" w:lineRule="exact"/>
        <w:rPr>
          <w:rFonts w:ascii="Arial" w:cs="Arial" w:eastAsia="Arial" w:hAnsi="Arial"/>
          <w:sz w:val="12"/>
          <w:szCs w:val="12"/>
          <w:color w:val="auto"/>
        </w:rPr>
      </w:pPr>
    </w:p>
    <w:p>
      <w:pPr>
        <w:ind w:left="460" w:hanging="450"/>
        <w:spacing w:after="0"/>
        <w:tabs>
          <w:tab w:leader="none" w:pos="460" w:val="left"/>
        </w:tabs>
        <w:numPr>
          <w:ilvl w:val="0"/>
          <w:numId w:val="646"/>
        </w:numPr>
        <w:rPr>
          <w:rFonts w:ascii="Arial" w:cs="Arial" w:eastAsia="Arial" w:hAnsi="Arial"/>
          <w:sz w:val="13"/>
          <w:szCs w:val="13"/>
          <w:color w:val="auto"/>
        </w:rPr>
      </w:pPr>
      <w:r>
        <w:rPr>
          <w:rFonts w:ascii="Arial" w:cs="Arial" w:eastAsia="Arial" w:hAnsi="Arial"/>
          <w:sz w:val="13"/>
          <w:szCs w:val="13"/>
          <w:color w:val="auto"/>
        </w:rPr>
        <w:t>Not more than 10% of the UAV may be in respect of Unencumbered Eligible Properties that constitute Qualified Development Properties</w:t>
      </w:r>
    </w:p>
    <w:p>
      <w:pPr>
        <w:spacing w:after="0" w:line="37" w:lineRule="exact"/>
        <w:rPr>
          <w:rFonts w:ascii="Arial" w:cs="Arial" w:eastAsia="Arial" w:hAnsi="Arial"/>
          <w:sz w:val="13"/>
          <w:szCs w:val="13"/>
          <w:color w:val="auto"/>
        </w:rPr>
      </w:pPr>
    </w:p>
    <w:p>
      <w:pPr>
        <w:ind w:left="460" w:hanging="450"/>
        <w:spacing w:after="0" w:line="251" w:lineRule="auto"/>
        <w:tabs>
          <w:tab w:leader="none" w:pos="460" w:val="left"/>
        </w:tabs>
        <w:numPr>
          <w:ilvl w:val="0"/>
          <w:numId w:val="646"/>
        </w:numPr>
        <w:rPr>
          <w:rFonts w:ascii="Arial" w:cs="Arial" w:eastAsia="Arial" w:hAnsi="Arial"/>
          <w:sz w:val="13"/>
          <w:szCs w:val="13"/>
          <w:color w:val="auto"/>
        </w:rPr>
      </w:pPr>
      <w:r>
        <w:rPr>
          <w:rFonts w:ascii="Arial" w:cs="Arial" w:eastAsia="Arial" w:hAnsi="Arial"/>
          <w:sz w:val="13"/>
          <w:szCs w:val="13"/>
          <w:color w:val="auto"/>
        </w:rPr>
        <w:t>Not more than 20% of the UAV may be in respect of Unencumbered Eligible Properties that are owned by a Controlled Joint Venture or ground leased under an Eligible Ground Lease or that constitute Qualified Development Properties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D-8</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of Compliance Certificate</w:t>
      </w:r>
    </w:p>
    <w:p>
      <w:pPr>
        <w:sectPr>
          <w:pgSz w:w="11900" w:h="16838" w:orient="portrait"/>
          <w:cols w:equalWidth="0" w:num="1">
            <w:col w:w="11140"/>
          </w:cols>
          <w:pgMar w:left="380" w:top="1026" w:right="379" w:bottom="1440" w:gutter="0" w:footer="0" w:header="0"/>
          <w:type w:val="continuous"/>
        </w:sectPr>
      </w:pPr>
    </w:p>
    <w:bookmarkStart w:id="533" w:name="page534"/>
    <w:bookmarkEnd w:id="533"/>
    <w:p>
      <w:pPr>
        <w:ind w:left="561" w:hanging="561"/>
        <w:spacing w:after="0"/>
        <w:tabs>
          <w:tab w:leader="none" w:pos="561" w:val="left"/>
        </w:tabs>
        <w:numPr>
          <w:ilvl w:val="0"/>
          <w:numId w:val="647"/>
        </w:numPr>
        <w:rPr>
          <w:rFonts w:ascii="Arial" w:cs="Arial" w:eastAsia="Arial" w:hAnsi="Arial"/>
          <w:sz w:val="20"/>
          <w:szCs w:val="20"/>
          <w:color w:val="auto"/>
        </w:rPr>
      </w:pPr>
      <w:r>
        <w:rPr>
          <w:rFonts w:ascii="Arial" w:cs="Arial" w:eastAsia="Arial" w:hAnsi="Arial"/>
          <w:sz w:val="20"/>
          <w:szCs w:val="20"/>
          <w:color w:val="auto"/>
        </w:rPr>
        <w:t>Consolidated Total Unsecured Indebtedness minus Unrestricted Cash Amount (Line VI.A.3. - Line</w:t>
      </w:r>
    </w:p>
    <w:p>
      <w:pPr>
        <w:spacing w:after="0" w:line="11" w:lineRule="exact"/>
        <w:rPr>
          <w:sz w:val="20"/>
          <w:szCs w:val="20"/>
          <w:color w:val="auto"/>
        </w:rPr>
      </w:pPr>
    </w:p>
    <w:tbl>
      <w:tblPr>
        <w:tblLayout w:type="fixed"/>
        <w:tblInd w:w="1" w:type="dxa"/>
        <w:tblCellMar>
          <w:top w:w="0" w:type="dxa"/>
          <w:left w:w="0" w:type="dxa"/>
          <w:bottom w:w="0" w:type="dxa"/>
          <w:right w:w="0" w:type="dxa"/>
        </w:tblCellMar>
      </w:tblPr>
      <w:tr>
        <w:trPr>
          <w:trHeight w:val="253"/>
        </w:trPr>
        <w:tc>
          <w:tcPr>
            <w:tcW w:w="8920" w:type="dxa"/>
            <w:vAlign w:val="bottom"/>
          </w:tcPr>
          <w:p>
            <w:pPr>
              <w:ind w:left="560"/>
              <w:spacing w:after="0"/>
              <w:rPr>
                <w:sz w:val="20"/>
                <w:szCs w:val="20"/>
                <w:color w:val="auto"/>
              </w:rPr>
            </w:pPr>
            <w:r>
              <w:rPr>
                <w:rFonts w:ascii="Arial" w:cs="Arial" w:eastAsia="Arial" w:hAnsi="Arial"/>
                <w:sz w:val="20"/>
                <w:szCs w:val="20"/>
                <w:color w:val="auto"/>
              </w:rPr>
              <w:t>VI.B.):</w:t>
            </w:r>
          </w:p>
        </w:tc>
        <w:tc>
          <w:tcPr>
            <w:tcW w:w="1780" w:type="dxa"/>
            <w:vAlign w:val="bottom"/>
            <w:tcBorders>
              <w:bottom w:val="single" w:sz="8" w:color="auto"/>
            </w:tcBorders>
          </w:tcPr>
          <w:p>
            <w:pPr>
              <w:jc w:val="right"/>
              <w:ind w:right="1560"/>
              <w:spacing w:after="0"/>
              <w:rPr>
                <w:sz w:val="20"/>
                <w:szCs w:val="20"/>
                <w:color w:val="auto"/>
              </w:rPr>
            </w:pPr>
            <w:r>
              <w:rPr>
                <w:rFonts w:ascii="Arial" w:cs="Arial" w:eastAsia="Arial" w:hAnsi="Arial"/>
                <w:sz w:val="20"/>
                <w:szCs w:val="20"/>
                <w:color w:val="auto"/>
                <w:w w:val="89"/>
              </w:rPr>
              <w:t>$</w:t>
            </w:r>
          </w:p>
        </w:tc>
      </w:tr>
      <w:tr>
        <w:trPr>
          <w:trHeight w:val="260"/>
        </w:trPr>
        <w:tc>
          <w:tcPr>
            <w:tcW w:w="8920" w:type="dxa"/>
            <w:vAlign w:val="bottom"/>
          </w:tcPr>
          <w:p>
            <w:pPr>
              <w:spacing w:after="0"/>
              <w:rPr>
                <w:sz w:val="20"/>
                <w:szCs w:val="20"/>
                <w:color w:val="auto"/>
              </w:rPr>
            </w:pPr>
            <w:r>
              <w:rPr>
                <w:rFonts w:ascii="Arial" w:cs="Arial" w:eastAsia="Arial" w:hAnsi="Arial"/>
                <w:sz w:val="20"/>
                <w:szCs w:val="20"/>
                <w:b w:val="1"/>
                <w:bCs w:val="1"/>
                <w:color w:val="auto"/>
              </w:rPr>
              <w:t>Consolidated Unsecured Leverage Ratio (Line VI.D. as a percentage of Line VI.C.10):</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r>
      <w:tr>
        <w:trPr>
          <w:trHeight w:val="260"/>
        </w:trPr>
        <w:tc>
          <w:tcPr>
            <w:tcW w:w="8920" w:type="dxa"/>
            <w:vAlign w:val="bottom"/>
          </w:tcPr>
          <w:p>
            <w:pPr>
              <w:spacing w:after="0"/>
              <w:rPr>
                <w:sz w:val="20"/>
                <w:szCs w:val="20"/>
                <w:color w:val="auto"/>
              </w:rPr>
            </w:pPr>
            <w:r>
              <w:rPr>
                <w:rFonts w:ascii="Arial" w:cs="Arial" w:eastAsia="Arial" w:hAnsi="Arial"/>
                <w:sz w:val="20"/>
                <w:szCs w:val="20"/>
                <w:b w:val="1"/>
                <w:bCs w:val="1"/>
                <w:color w:val="auto"/>
              </w:rPr>
              <w:t>Maximum Permitted Consolidated Unsecured Leverage Ratio:</w:t>
            </w:r>
          </w:p>
        </w:tc>
        <w:tc>
          <w:tcPr>
            <w:tcW w:w="1780" w:type="dxa"/>
            <w:vAlign w:val="bottom"/>
          </w:tcPr>
          <w:p>
            <w:pPr>
              <w:jc w:val="right"/>
              <w:ind w:right="580"/>
              <w:spacing w:after="0"/>
              <w:rPr>
                <w:sz w:val="20"/>
                <w:szCs w:val="20"/>
                <w:color w:val="auto"/>
              </w:rPr>
            </w:pPr>
            <w:r>
              <w:rPr>
                <w:rFonts w:ascii="Arial" w:cs="Arial" w:eastAsia="Arial" w:hAnsi="Arial"/>
                <w:sz w:val="20"/>
                <w:szCs w:val="20"/>
                <w:b w:val="1"/>
                <w:bCs w:val="1"/>
                <w:color w:val="auto"/>
              </w:rPr>
              <w:t>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79"/>
        <w:spacing w:after="0"/>
        <w:rPr>
          <w:sz w:val="20"/>
          <w:szCs w:val="20"/>
          <w:color w:val="auto"/>
        </w:rPr>
      </w:pPr>
      <w:r>
        <w:rPr>
          <w:rFonts w:ascii="Arial" w:cs="Arial" w:eastAsia="Arial" w:hAnsi="Arial"/>
          <w:sz w:val="20"/>
          <w:szCs w:val="20"/>
          <w:color w:val="auto"/>
        </w:rPr>
        <w:t>D-9</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20"/>
          <w:szCs w:val="20"/>
          <w:color w:val="auto"/>
        </w:rPr>
        <w:t>Form of Compliance Certificate</w:t>
      </w:r>
    </w:p>
    <w:p>
      <w:pPr>
        <w:sectPr>
          <w:pgSz w:w="11900" w:h="16838" w:orient="portrait"/>
          <w:cols w:equalWidth="0" w:num="1">
            <w:col w:w="10701"/>
          </w:cols>
          <w:pgMar w:left="839" w:top="1032" w:right="359" w:bottom="1440" w:gutter="0" w:footer="0" w:header="0"/>
        </w:sectPr>
      </w:pPr>
    </w:p>
    <w:bookmarkStart w:id="534" w:name="page535"/>
    <w:bookmarkEnd w:id="534"/>
    <w:p>
      <w:pPr>
        <w:ind w:left="5340"/>
        <w:spacing w:after="0"/>
        <w:rPr>
          <w:sz w:val="20"/>
          <w:szCs w:val="20"/>
          <w:color w:val="auto"/>
        </w:rPr>
      </w:pPr>
      <w:r>
        <w:rPr>
          <w:rFonts w:ascii="Arial" w:cs="Arial" w:eastAsia="Arial" w:hAnsi="Arial"/>
          <w:sz w:val="20"/>
          <w:szCs w:val="20"/>
          <w:b w:val="1"/>
          <w:bCs w:val="1"/>
          <w:color w:val="auto"/>
        </w:rPr>
        <w:t>Annex I</w:t>
      </w:r>
    </w:p>
    <w:p>
      <w:pPr>
        <w:spacing w:after="0" w:line="207" w:lineRule="exact"/>
        <w:rPr>
          <w:sz w:val="20"/>
          <w:szCs w:val="20"/>
          <w:color w:val="auto"/>
        </w:rPr>
      </w:pPr>
    </w:p>
    <w:p>
      <w:pPr>
        <w:ind w:left="2540"/>
        <w:spacing w:after="0"/>
        <w:rPr>
          <w:sz w:val="20"/>
          <w:szCs w:val="20"/>
          <w:color w:val="auto"/>
        </w:rPr>
      </w:pPr>
      <w:r>
        <w:rPr>
          <w:rFonts w:ascii="Arial" w:cs="Arial" w:eastAsia="Arial" w:hAnsi="Arial"/>
          <w:sz w:val="20"/>
          <w:szCs w:val="20"/>
          <w:b w:val="1"/>
          <w:bCs w:val="1"/>
          <w:color w:val="auto"/>
        </w:rPr>
        <w:t>Calculation of the sum of the Portfolio Property Net Operating Income of</w:t>
      </w:r>
    </w:p>
    <w:p>
      <w:pPr>
        <w:spacing w:after="0" w:line="29" w:lineRule="exact"/>
        <w:rPr>
          <w:sz w:val="20"/>
          <w:szCs w:val="20"/>
          <w:color w:val="auto"/>
        </w:rPr>
      </w:pPr>
    </w:p>
    <w:p>
      <w:pPr>
        <w:jc w:val="center"/>
        <w:spacing w:after="0" w:line="293" w:lineRule="auto"/>
        <w:rPr>
          <w:sz w:val="20"/>
          <w:szCs w:val="20"/>
          <w:color w:val="auto"/>
        </w:rPr>
      </w:pPr>
      <w:r>
        <w:rPr>
          <w:rFonts w:ascii="Arial" w:cs="Arial" w:eastAsia="Arial" w:hAnsi="Arial"/>
          <w:sz w:val="18"/>
          <w:szCs w:val="18"/>
          <w:b w:val="1"/>
          <w:bCs w:val="1"/>
          <w:color w:val="auto"/>
        </w:rPr>
        <w:t xml:space="preserve">each Portfolio Property (excluding each Disposed Portfolio Property, each Newly-Acquired Portfolio Property, each Qualified Development Property and each Non-Stabilized Portfolio Property) owned or ground leased pursuant to an Eligible Ground Lease by the Consolidated Group for Subject Period </w:t>
      </w:r>
      <w:r>
        <w:rPr>
          <w:rFonts w:ascii="Arial" w:cs="Arial" w:eastAsia="Arial" w:hAnsi="Arial"/>
          <w:sz w:val="18"/>
          <w:szCs w:val="18"/>
          <w:b w:val="1"/>
          <w:bCs w:val="1"/>
          <w:i w:val="1"/>
          <w:iCs w:val="1"/>
          <w:color w:val="auto"/>
        </w:rPr>
        <w:t>divided by</w:t>
      </w:r>
      <w:r>
        <w:rPr>
          <w:rFonts w:ascii="Arial" w:cs="Arial" w:eastAsia="Arial" w:hAnsi="Arial"/>
          <w:sz w:val="18"/>
          <w:szCs w:val="18"/>
          <w:b w:val="1"/>
          <w:bCs w:val="1"/>
          <w:color w:val="auto"/>
        </w:rPr>
        <w:t xml:space="preserve"> the Applicable Capitalization Rate for each such Portfolio Property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Calculation Attached Hereto]</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Compliance Certificate</w:t>
      </w:r>
    </w:p>
    <w:p>
      <w:pPr>
        <w:sectPr>
          <w:pgSz w:w="11900" w:h="16838" w:orient="portrait"/>
          <w:cols w:equalWidth="0" w:num="1">
            <w:col w:w="11360"/>
          </w:cols>
          <w:pgMar w:left="280" w:top="788" w:right="259" w:bottom="1440" w:gutter="0" w:footer="0" w:header="0"/>
        </w:sectPr>
      </w:pPr>
    </w:p>
    <w:bookmarkStart w:id="535" w:name="page536"/>
    <w:bookmarkEnd w:id="535"/>
    <w:p>
      <w:pPr>
        <w:ind w:left="4340"/>
        <w:spacing w:after="0"/>
        <w:rPr>
          <w:sz w:val="20"/>
          <w:szCs w:val="20"/>
          <w:color w:val="auto"/>
        </w:rPr>
      </w:pPr>
      <w:r>
        <w:rPr>
          <w:rFonts w:ascii="Arial" w:cs="Arial" w:eastAsia="Arial" w:hAnsi="Arial"/>
          <w:sz w:val="20"/>
          <w:szCs w:val="20"/>
          <w:b w:val="1"/>
          <w:bCs w:val="1"/>
          <w:color w:val="auto"/>
        </w:rPr>
        <w:t>Annex II</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 of Unencumbered Property NOI of each Unencumbered Eligible Property for the fiscal quarter ending on</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Statement Date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Calculation Attached Hereto]</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Compliance Certificate</w:t>
      </w:r>
    </w:p>
    <w:p>
      <w:pPr>
        <w:sectPr>
          <w:pgSz w:w="11900" w:h="16838" w:orient="portrait"/>
          <w:cols w:equalWidth="0" w:num="1">
            <w:col w:w="9440"/>
          </w:cols>
          <w:pgMar w:left="1240" w:top="789" w:right="1219" w:bottom="1440" w:gutter="0" w:footer="0" w:header="0"/>
        </w:sectPr>
      </w:pPr>
    </w:p>
    <w:bookmarkStart w:id="536" w:name="page537"/>
    <w:bookmarkEnd w:id="536"/>
    <w:p>
      <w:pPr>
        <w:jc w:val="center"/>
        <w:ind w:right="20"/>
        <w:spacing w:after="0"/>
        <w:rPr>
          <w:sz w:val="20"/>
          <w:szCs w:val="20"/>
          <w:color w:val="auto"/>
        </w:rPr>
      </w:pPr>
      <w:r>
        <w:rPr>
          <w:rFonts w:ascii="Arial" w:cs="Arial" w:eastAsia="Arial" w:hAnsi="Arial"/>
          <w:sz w:val="20"/>
          <w:szCs w:val="20"/>
          <w:b w:val="1"/>
          <w:bCs w:val="1"/>
          <w:color w:val="auto"/>
        </w:rPr>
        <w:t>Annex III</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Unencumbered Eligible Properties</w:t>
      </w: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155"/>
        </w:trPr>
        <w:tc>
          <w:tcPr>
            <w:tcW w:w="7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Property</w:t>
            </w:r>
          </w:p>
        </w:tc>
        <w:tc>
          <w:tcPr>
            <w:tcW w:w="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Property</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Qualified</w:t>
            </w:r>
          </w:p>
        </w:tc>
        <w:tc>
          <w:tcPr>
            <w:tcW w:w="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Owned</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Owner/Ground</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Applicable</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Occupancy</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Annual</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Unencumbered</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Acquisition</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Undepreciated</w:t>
            </w:r>
          </w:p>
        </w:tc>
      </w:tr>
      <w:tr>
        <w:trPr>
          <w:trHeight w:val="137"/>
        </w:trPr>
        <w:tc>
          <w:tcPr>
            <w:tcW w:w="700" w:type="dxa"/>
            <w:vAlign w:val="bottom"/>
            <w:tcBorders>
              <w:left w:val="single" w:sz="8" w:color="auto"/>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2"/>
              </w:rPr>
              <w:t>Type</w:t>
            </w:r>
          </w:p>
        </w:tc>
        <w:tc>
          <w:tcPr>
            <w:tcW w:w="9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3"/>
              </w:rPr>
              <w:t>Development</w:t>
            </w:r>
          </w:p>
        </w:tc>
        <w:tc>
          <w:tcPr>
            <w:tcW w:w="5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rPr>
              <w:t>or</w:t>
            </w:r>
          </w:p>
        </w:tc>
        <w:tc>
          <w:tcPr>
            <w:tcW w:w="10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1"/>
              </w:rPr>
              <w:t>Lessee</w:t>
            </w:r>
          </w:p>
        </w:tc>
        <w:tc>
          <w:tcPr>
            <w:tcW w:w="104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6"/>
              </w:rPr>
              <w:t>Capitalization</w:t>
            </w:r>
          </w:p>
        </w:tc>
        <w:tc>
          <w:tcPr>
            <w:tcW w:w="8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9"/>
              </w:rPr>
              <w:t>Rate</w:t>
            </w:r>
          </w:p>
        </w:tc>
        <w:tc>
          <w:tcPr>
            <w:tcW w:w="9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6"/>
              </w:rPr>
              <w:t>Capital</w:t>
            </w:r>
          </w:p>
        </w:tc>
        <w:tc>
          <w:tcPr>
            <w:tcW w:w="10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9"/>
              </w:rPr>
              <w:t>Property NOI</w:t>
            </w:r>
            <w:r>
              <w:rPr>
                <w:rFonts w:ascii="Arial" w:cs="Arial" w:eastAsia="Arial" w:hAnsi="Arial"/>
                <w:sz w:val="8"/>
                <w:szCs w:val="8"/>
                <w:b w:val="1"/>
                <w:bCs w:val="1"/>
                <w:color w:val="auto"/>
                <w:w w:val="99"/>
              </w:rPr>
              <w:t>1</w:t>
            </w:r>
          </w:p>
        </w:tc>
        <w:tc>
          <w:tcPr>
            <w:tcW w:w="14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9"/>
              </w:rPr>
              <w:t>Cost</w:t>
            </w:r>
          </w:p>
        </w:tc>
        <w:tc>
          <w:tcPr>
            <w:tcW w:w="22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3"/>
              </w:rPr>
              <w:t>Book Value</w:t>
            </w:r>
          </w:p>
        </w:tc>
      </w:tr>
      <w:tr>
        <w:trPr>
          <w:trHeight w:val="137"/>
        </w:trPr>
        <w:tc>
          <w:tcPr>
            <w:tcW w:w="700" w:type="dxa"/>
            <w:vAlign w:val="bottom"/>
            <w:tcBorders>
              <w:left w:val="single" w:sz="8" w:color="auto"/>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6"/>
              </w:rPr>
              <w:t>[i.e., Hotel,</w:t>
            </w:r>
          </w:p>
        </w:tc>
        <w:tc>
          <w:tcPr>
            <w:tcW w:w="9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6"/>
              </w:rPr>
              <w:t>Property or</w:t>
            </w:r>
          </w:p>
        </w:tc>
        <w:tc>
          <w:tcPr>
            <w:tcW w:w="5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7"/>
              </w:rPr>
              <w:t>Ground</w:t>
            </w:r>
          </w:p>
        </w:tc>
        <w:tc>
          <w:tcPr>
            <w:tcW w:w="10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7"/>
              </w:rPr>
              <w:t>(Controlled Joint</w:t>
            </w:r>
          </w:p>
        </w:tc>
        <w:tc>
          <w:tcPr>
            <w:tcW w:w="104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2"/>
              </w:rPr>
              <w:t>Rate</w:t>
            </w: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3"/>
              </w:rPr>
              <w:t>Expenditure</w:t>
            </w:r>
          </w:p>
        </w:tc>
        <w:tc>
          <w:tcPr>
            <w:tcW w:w="102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7"/>
              </w:rPr>
              <w:t>(only for</w:t>
            </w:r>
          </w:p>
        </w:tc>
        <w:tc>
          <w:tcPr>
            <w:tcW w:w="22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7"/>
              </w:rPr>
              <w:t>(only for</w:t>
            </w:r>
          </w:p>
        </w:tc>
      </w:tr>
      <w:tr>
        <w:trPr>
          <w:trHeight w:val="137"/>
        </w:trPr>
        <w:tc>
          <w:tcPr>
            <w:tcW w:w="700" w:type="dxa"/>
            <w:vAlign w:val="bottom"/>
            <w:tcBorders>
              <w:left w:val="single" w:sz="8" w:color="auto"/>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5"/>
              </w:rPr>
              <w:t>Office,</w:t>
            </w:r>
          </w:p>
        </w:tc>
        <w:tc>
          <w:tcPr>
            <w:tcW w:w="9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2"/>
              </w:rPr>
              <w:t>Non-Stabilized</w:t>
            </w:r>
          </w:p>
        </w:tc>
        <w:tc>
          <w:tcPr>
            <w:tcW w:w="5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9"/>
              </w:rPr>
              <w:t>Leased</w:t>
            </w:r>
          </w:p>
        </w:tc>
        <w:tc>
          <w:tcPr>
            <w:tcW w:w="10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2"/>
              </w:rPr>
              <w:t>Venture or</w:t>
            </w:r>
          </w:p>
        </w:tc>
        <w:tc>
          <w:tcPr>
            <w:tcW w:w="10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5"/>
              </w:rPr>
              <w:t>Adjustment</w:t>
            </w:r>
          </w:p>
        </w:tc>
        <w:tc>
          <w:tcPr>
            <w:tcW w:w="102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8"/>
              </w:rPr>
              <w:t>Newly-Acquired Portfolio</w:t>
            </w:r>
          </w:p>
        </w:tc>
        <w:tc>
          <w:tcPr>
            <w:tcW w:w="22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5"/>
              </w:rPr>
              <w:t>Qualified Development</w:t>
            </w:r>
          </w:p>
        </w:tc>
      </w:tr>
      <w:tr>
        <w:trPr>
          <w:trHeight w:val="137"/>
        </w:trPr>
        <w:tc>
          <w:tcPr>
            <w:tcW w:w="700" w:type="dxa"/>
            <w:vAlign w:val="bottom"/>
            <w:tcBorders>
              <w:left w:val="single" w:sz="8" w:color="auto"/>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7"/>
              </w:rPr>
              <w:t>Retail]</w:t>
            </w:r>
          </w:p>
        </w:tc>
        <w:tc>
          <w:tcPr>
            <w:tcW w:w="9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3"/>
              </w:rPr>
              <w:t>Portfolio</w:t>
            </w:r>
          </w:p>
        </w:tc>
        <w:tc>
          <w:tcPr>
            <w:tcW w:w="5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rPr>
              <w:t>[O/GL]</w:t>
            </w:r>
          </w:p>
        </w:tc>
        <w:tc>
          <w:tcPr>
            <w:tcW w:w="10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7"/>
              </w:rPr>
              <w:t>Wholly Owned</w:t>
            </w:r>
          </w:p>
        </w:tc>
        <w:tc>
          <w:tcPr>
            <w:tcW w:w="10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1"/>
              </w:rPr>
              <w:t>Properties that are</w:t>
            </w:r>
          </w:p>
        </w:tc>
        <w:tc>
          <w:tcPr>
            <w:tcW w:w="22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3"/>
              </w:rPr>
              <w:t>Properties and Non-Stabilized Portfolio</w:t>
            </w:r>
          </w:p>
        </w:tc>
      </w:tr>
      <w:tr>
        <w:trPr>
          <w:trHeight w:val="141"/>
        </w:trPr>
        <w:tc>
          <w:tcPr>
            <w:tcW w:w="70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91"/>
              </w:rPr>
              <w:t>Property?</w:t>
            </w:r>
          </w:p>
        </w:tc>
        <w:tc>
          <w:tcPr>
            <w:tcW w:w="5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color w:val="auto"/>
                <w:w w:val="92"/>
              </w:rPr>
              <w:t>Subsidiary)</w:t>
            </w: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color w:val="auto"/>
                <w:w w:val="93"/>
              </w:rPr>
              <w:t>Unencumbered Eligible</w:t>
            </w:r>
          </w:p>
        </w:tc>
        <w:tc>
          <w:tcPr>
            <w:tcW w:w="22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color w:val="auto"/>
                <w:w w:val="91"/>
              </w:rPr>
              <w:t>Properties that are Unencumbered</w:t>
            </w:r>
          </w:p>
        </w:tc>
      </w:tr>
      <w:tr>
        <w:trPr>
          <w:trHeight w:val="174"/>
        </w:trPr>
        <w:tc>
          <w:tcPr>
            <w:tcW w:w="70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[Y/N]</w:t>
            </w:r>
          </w:p>
        </w:tc>
        <w:tc>
          <w:tcPr>
            <w:tcW w:w="58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[CJV/WO Sub]</w:t>
            </w:r>
          </w:p>
        </w:tc>
        <w:tc>
          <w:tcPr>
            <w:tcW w:w="104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Properties)</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Eligible Properties)</w:t>
            </w:r>
          </w:p>
        </w:tc>
      </w:tr>
      <w:tr>
        <w:trPr>
          <w:trHeight w:val="297"/>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2"/>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2"/>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2"/>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bl>
    <w:p>
      <w:pPr>
        <w:spacing w:after="0" w:line="387" w:lineRule="exact"/>
        <w:rPr>
          <w:sz w:val="20"/>
          <w:szCs w:val="20"/>
          <w:color w:val="auto"/>
        </w:rPr>
      </w:pPr>
    </w:p>
    <w:p>
      <w:pPr>
        <w:spacing w:after="0"/>
        <w:tabs>
          <w:tab w:leader="none" w:pos="8180" w:val="left"/>
        </w:tabs>
        <w:rPr>
          <w:sz w:val="20"/>
          <w:szCs w:val="20"/>
          <w:color w:val="auto"/>
        </w:rPr>
      </w:pPr>
      <w:r>
        <w:rPr>
          <w:rFonts w:ascii="Arial" w:cs="Arial" w:eastAsia="Arial" w:hAnsi="Arial"/>
          <w:sz w:val="20"/>
          <w:szCs w:val="20"/>
          <w:b w:val="1"/>
          <w:bCs w:val="1"/>
          <w:color w:val="auto"/>
        </w:rPr>
        <w:t>Occupancy Rate for all Unencumbered Eligible Properties (excluding Hotel Properties):</w:t>
      </w:r>
      <w:r>
        <w:rPr>
          <w:sz w:val="20"/>
          <w:szCs w:val="20"/>
          <w:color w:val="auto"/>
        </w:rPr>
        <w:tab/>
      </w:r>
      <w:r>
        <w:rPr>
          <w:rFonts w:ascii="Arial" w:cs="Arial" w:eastAsia="Arial" w:hAnsi="Arial"/>
          <w:sz w:val="19"/>
          <w:szCs w:val="19"/>
          <w:b w:val="1"/>
          <w:bCs w:val="1"/>
          <w:color w:val="auto"/>
        </w:rPr>
        <w:t>__%</w:t>
      </w:r>
    </w:p>
    <w:p>
      <w:pPr>
        <w:spacing w:after="0" w:line="30" w:lineRule="exact"/>
        <w:rPr>
          <w:sz w:val="20"/>
          <w:szCs w:val="20"/>
          <w:color w:val="auto"/>
        </w:rPr>
      </w:pPr>
    </w:p>
    <w:p>
      <w:pPr>
        <w:spacing w:after="0"/>
        <w:tabs>
          <w:tab w:leader="none" w:pos="9440" w:val="left"/>
        </w:tabs>
        <w:rPr>
          <w:sz w:val="20"/>
          <w:szCs w:val="20"/>
          <w:color w:val="auto"/>
        </w:rPr>
      </w:pPr>
      <w:r>
        <w:rPr>
          <w:rFonts w:ascii="Arial" w:cs="Arial" w:eastAsia="Arial" w:hAnsi="Arial"/>
          <w:sz w:val="19"/>
          <w:szCs w:val="19"/>
          <w:b w:val="1"/>
          <w:bCs w:val="1"/>
          <w:color w:val="auto"/>
        </w:rPr>
        <w:t>Minimum Permitted Occupancy Rate for all Unencumbered Eligible Properties (excluding Hotel Properties):</w:t>
        <w:tab/>
        <w:t>80%</w:t>
      </w:r>
    </w:p>
    <w:p>
      <w:pPr>
        <w:spacing w:after="0" w:line="200" w:lineRule="exact"/>
        <w:rPr>
          <w:sz w:val="20"/>
          <w:szCs w:val="20"/>
          <w:color w:val="auto"/>
        </w:rPr>
      </w:pPr>
    </w:p>
    <w:p>
      <w:pPr>
        <w:spacing w:after="0" w:line="221" w:lineRule="exact"/>
        <w:rPr>
          <w:sz w:val="20"/>
          <w:szCs w:val="20"/>
          <w:color w:val="auto"/>
        </w:rPr>
      </w:pPr>
    </w:p>
    <w:p>
      <w:pPr>
        <w:spacing w:after="0"/>
        <w:tabs>
          <w:tab w:leader="none" w:pos="2860" w:val="left"/>
        </w:tabs>
        <w:rPr>
          <w:sz w:val="20"/>
          <w:szCs w:val="20"/>
          <w:color w:val="auto"/>
        </w:rPr>
      </w:pPr>
      <w:r>
        <w:rPr>
          <w:rFonts w:ascii="Arial" w:cs="Arial" w:eastAsia="Arial" w:hAnsi="Arial"/>
          <w:sz w:val="20"/>
          <w:szCs w:val="20"/>
          <w:b w:val="1"/>
          <w:bCs w:val="1"/>
          <w:color w:val="auto"/>
        </w:rPr>
        <w:t>Aggregate Unencumbered NOI:</w:t>
      </w:r>
      <w:r>
        <w:rPr>
          <w:sz w:val="20"/>
          <w:szCs w:val="20"/>
          <w:color w:val="auto"/>
        </w:rPr>
        <w:tab/>
      </w:r>
      <w:r>
        <w:rPr>
          <w:rFonts w:ascii="Arial" w:cs="Arial" w:eastAsia="Arial" w:hAnsi="Arial"/>
          <w:sz w:val="17"/>
          <w:szCs w:val="17"/>
          <w:b w:val="1"/>
          <w:bCs w:val="1"/>
          <w:color w:val="auto"/>
        </w:rPr>
        <w:t>$___________</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Acquisition Costs for all Newly-Acquired Portfolio Properties that are Unencumbered Eligible Properties: $___________</w:t>
      </w:r>
      <w:r>
        <w:rPr>
          <w:rFonts w:ascii="Arial" w:cs="Arial" w:eastAsia="Arial" w:hAnsi="Arial"/>
          <w:sz w:val="23"/>
          <w:szCs w:val="23"/>
          <w:b w:val="1"/>
          <w:bCs w:val="1"/>
          <w:color w:val="auto"/>
          <w:vertAlign w:val="superscript"/>
        </w:rPr>
        <w:t>2</w:t>
      </w:r>
    </w:p>
    <w:p>
      <w:pPr>
        <w:spacing w:after="0" w:line="193" w:lineRule="exact"/>
        <w:rPr>
          <w:sz w:val="20"/>
          <w:szCs w:val="20"/>
          <w:color w:val="auto"/>
        </w:rPr>
      </w:pPr>
    </w:p>
    <w:p>
      <w:pPr>
        <w:ind w:right="380"/>
        <w:spacing w:after="0" w:line="279" w:lineRule="auto"/>
        <w:rPr>
          <w:sz w:val="20"/>
          <w:szCs w:val="20"/>
          <w:color w:val="auto"/>
        </w:rPr>
      </w:pPr>
      <w:r>
        <w:rPr>
          <w:rFonts w:ascii="Arial" w:cs="Arial" w:eastAsia="Arial" w:hAnsi="Arial"/>
          <w:sz w:val="20"/>
          <w:szCs w:val="20"/>
          <w:b w:val="1"/>
          <w:bCs w:val="1"/>
          <w:color w:val="auto"/>
        </w:rPr>
        <w:t>Aggregate Undepreciated Book Value of all Qualified Development Properties that are Unencumbered Eligible Properties or Non-Stabilized Portfolio Properties: $___________</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w:t>
      </w:r>
    </w:p>
    <w:p>
      <w:pPr>
        <w:spacing w:after="0" w:line="13" w:lineRule="exact"/>
        <w:rPr>
          <w:sz w:val="20"/>
          <w:szCs w:val="20"/>
          <w:color w:val="auto"/>
        </w:rPr>
      </w:pPr>
    </w:p>
    <w:p>
      <w:pPr>
        <w:ind w:left="300" w:right="620" w:hanging="300"/>
        <w:spacing w:after="0" w:line="220" w:lineRule="auto"/>
        <w:tabs>
          <w:tab w:leader="none" w:pos="104" w:val="left"/>
        </w:tabs>
        <w:numPr>
          <w:ilvl w:val="0"/>
          <w:numId w:val="648"/>
        </w:numPr>
        <w:rPr>
          <w:rFonts w:ascii="Arial" w:cs="Arial" w:eastAsia="Arial" w:hAnsi="Arial"/>
          <w:sz w:val="23"/>
          <w:szCs w:val="23"/>
          <w:color w:val="auto"/>
          <w:vertAlign w:val="superscript"/>
        </w:rPr>
      </w:pPr>
      <w:r>
        <w:rPr>
          <w:rFonts w:ascii="Arial" w:cs="Arial" w:eastAsia="Arial" w:hAnsi="Arial"/>
          <w:sz w:val="18"/>
          <w:szCs w:val="18"/>
          <w:color w:val="auto"/>
        </w:rPr>
        <w:t>Include only Loan Party Pro Rata Share of Unencumbered Property NOI for properties owned, or ground leased under Eligible Ground Leases, by Controlled Joint Ventures</w:t>
      </w:r>
    </w:p>
    <w:p>
      <w:pPr>
        <w:spacing w:after="0" w:line="148" w:lineRule="exact"/>
        <w:rPr>
          <w:sz w:val="20"/>
          <w:szCs w:val="20"/>
          <w:color w:val="auto"/>
        </w:rPr>
      </w:pPr>
    </w:p>
    <w:p>
      <w:pPr>
        <w:ind w:left="100" w:hanging="100"/>
        <w:spacing w:after="0"/>
        <w:tabs>
          <w:tab w:leader="none" w:pos="100" w:val="left"/>
        </w:tabs>
        <w:numPr>
          <w:ilvl w:val="0"/>
          <w:numId w:val="649"/>
        </w:numPr>
        <w:rPr>
          <w:rFonts w:ascii="Arial" w:cs="Arial" w:eastAsia="Arial" w:hAnsi="Arial"/>
          <w:sz w:val="23"/>
          <w:szCs w:val="23"/>
          <w:color w:val="auto"/>
          <w:vertAlign w:val="superscript"/>
        </w:rPr>
      </w:pPr>
      <w:r>
        <w:rPr>
          <w:rFonts w:ascii="Arial" w:cs="Arial" w:eastAsia="Arial" w:hAnsi="Arial"/>
          <w:sz w:val="18"/>
          <w:szCs w:val="18"/>
          <w:color w:val="auto"/>
        </w:rPr>
        <w:t>Include only Loan Party Pro Rata Share of acquisition costs for properties acquired by Controlled Joint Ventures</w:t>
      </w: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D-12</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Form of Compliance Certificate</w:t>
      </w:r>
    </w:p>
    <w:p>
      <w:pPr>
        <w:sectPr>
          <w:pgSz w:w="11900" w:h="16838" w:orient="portrait"/>
          <w:cols w:equalWidth="0" w:num="1">
            <w:col w:w="11440"/>
          </w:cols>
          <w:pgMar w:left="240" w:top="789" w:right="219" w:bottom="1440" w:gutter="0" w:footer="0" w:header="0"/>
        </w:sectPr>
      </w:pPr>
    </w:p>
    <w:bookmarkStart w:id="537" w:name="page538"/>
    <w:bookmarkEnd w:id="537"/>
    <w:p>
      <w:pPr>
        <w:jc w:val="right"/>
        <w:spacing w:after="0"/>
        <w:rPr>
          <w:sz w:val="20"/>
          <w:szCs w:val="20"/>
          <w:color w:val="auto"/>
        </w:rPr>
      </w:pPr>
      <w:r>
        <w:rPr>
          <w:rFonts w:ascii="Arial" w:cs="Arial" w:eastAsia="Arial" w:hAnsi="Arial"/>
          <w:sz w:val="20"/>
          <w:szCs w:val="20"/>
          <w:b w:val="1"/>
          <w:bCs w:val="1"/>
          <w:i w:val="1"/>
          <w:iCs w:val="1"/>
          <w:color w:val="auto"/>
        </w:rPr>
        <w:t>EXHIBIT E-1</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w:t>
      </w: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This Assignment and Assumption (this “</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is dated as of the Effective Date set forth below and is entered into by and between [the][each]</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Assignor identified in item 1 below ([the][each, an] “</w:t>
      </w:r>
      <w:r>
        <w:rPr>
          <w:rFonts w:ascii="Arial" w:cs="Arial" w:eastAsia="Arial" w:hAnsi="Arial"/>
          <w:sz w:val="17"/>
          <w:szCs w:val="17"/>
          <w:u w:val="single" w:color="auto"/>
          <w:color w:val="auto"/>
        </w:rPr>
        <w:t>Assignor</w:t>
      </w:r>
      <w:r>
        <w:rPr>
          <w:rFonts w:ascii="Arial" w:cs="Arial" w:eastAsia="Arial" w:hAnsi="Arial"/>
          <w:sz w:val="17"/>
          <w:szCs w:val="17"/>
          <w:color w:val="auto"/>
        </w:rPr>
        <w:t>”) and [the][each]</w:t>
      </w:r>
      <w:r>
        <w:rPr>
          <w:rFonts w:ascii="Arial" w:cs="Arial" w:eastAsia="Arial" w:hAnsi="Arial"/>
          <w:sz w:val="21"/>
          <w:szCs w:val="21"/>
          <w:color w:val="auto"/>
          <w:vertAlign w:val="superscript"/>
        </w:rPr>
        <w:t>2</w:t>
      </w:r>
      <w:r>
        <w:rPr>
          <w:rFonts w:ascii="Arial" w:cs="Arial" w:eastAsia="Arial" w:hAnsi="Arial"/>
          <w:sz w:val="17"/>
          <w:szCs w:val="17"/>
          <w:color w:val="auto"/>
        </w:rPr>
        <w:t xml:space="preserve"> Assignee identified in item 2 below ([the][each, an] “</w:t>
      </w:r>
      <w:r>
        <w:rPr>
          <w:rFonts w:ascii="Arial" w:cs="Arial" w:eastAsia="Arial" w:hAnsi="Arial"/>
          <w:sz w:val="17"/>
          <w:szCs w:val="17"/>
          <w:u w:val="single" w:color="auto"/>
          <w:color w:val="auto"/>
        </w:rPr>
        <w:t>Assignee</w:t>
      </w:r>
      <w:r>
        <w:rPr>
          <w:rFonts w:ascii="Arial" w:cs="Arial" w:eastAsia="Arial" w:hAnsi="Arial"/>
          <w:sz w:val="17"/>
          <w:szCs w:val="17"/>
          <w:color w:val="auto"/>
        </w:rPr>
        <w:t>”). [It is understood and agreed that the rights and obligations of [the Assignors][the Assignees] hereunder are several and not joint.]</w:t>
      </w:r>
      <w:r>
        <w:rPr>
          <w:rFonts w:ascii="Arial" w:cs="Arial" w:eastAsia="Arial" w:hAnsi="Arial"/>
          <w:sz w:val="21"/>
          <w:szCs w:val="21"/>
          <w:color w:val="auto"/>
          <w:vertAlign w:val="superscript"/>
        </w:rPr>
        <w:t>4</w:t>
      </w:r>
      <w:r>
        <w:rPr>
          <w:rFonts w:ascii="Arial" w:cs="Arial" w:eastAsia="Arial" w:hAnsi="Arial"/>
          <w:sz w:val="17"/>
          <w:szCs w:val="17"/>
          <w:color w:val="auto"/>
        </w:rPr>
        <w:t xml:space="preserve"> Capitalized terms used but not defined herein shall have the meanings given to them in the Term Loan Agreement identified below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 [the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7"/>
          <w:szCs w:val="17"/>
          <w:u w:val="single" w:color="auto"/>
          <w:color w:val="auto"/>
        </w:rPr>
        <w:t>Assigned Interest</w:t>
      </w:r>
      <w:r>
        <w:rPr>
          <w:rFonts w:ascii="Arial" w:cs="Arial" w:eastAsia="Arial" w:hAnsi="Arial"/>
          <w:sz w:val="17"/>
          <w:szCs w:val="17"/>
          <w:color w:val="auto"/>
        </w:rPr>
        <w:t>”). Each such sale and assignment is without recourse to [the][any] Assignor and, except as expressly provided in this Assignment and Assumption, without representation or warranty by [the][any] Assignor.</w:t>
      </w:r>
    </w:p>
    <w:p>
      <w:pPr>
        <w:spacing w:after="0" w:line="362" w:lineRule="exact"/>
        <w:rPr>
          <w:sz w:val="20"/>
          <w:szCs w:val="20"/>
          <w:color w:val="auto"/>
        </w:rPr>
      </w:pPr>
    </w:p>
    <w:p>
      <w:pPr>
        <w:spacing w:after="0"/>
        <w:tabs>
          <w:tab w:leader="none" w:pos="280" w:val="left"/>
          <w:tab w:leader="none" w:pos="1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u w:val="single" w:color="auto"/>
          <w:color w:val="auto"/>
        </w:rPr>
        <w:t>Assignor[s]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______________________________</w:t>
      </w:r>
    </w:p>
    <w:p>
      <w:pPr>
        <w:spacing w:after="0" w:line="20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______________________________</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[Assignor [is][is not] a Defaulting Lender</w:t>
      </w:r>
    </w:p>
    <w:p>
      <w:pPr>
        <w:spacing w:after="0" w:line="218" w:lineRule="exact"/>
        <w:rPr>
          <w:sz w:val="20"/>
          <w:szCs w:val="20"/>
          <w:color w:val="auto"/>
        </w:rPr>
      </w:pPr>
    </w:p>
    <w:p>
      <w:pPr>
        <w:ind w:left="600" w:hanging="600"/>
        <w:spacing w:after="0"/>
        <w:tabs>
          <w:tab w:leader="none" w:pos="600" w:val="left"/>
        </w:tabs>
        <w:numPr>
          <w:ilvl w:val="0"/>
          <w:numId w:val="650"/>
        </w:numPr>
        <w:rPr>
          <w:rFonts w:ascii="Arial" w:cs="Arial" w:eastAsia="Arial" w:hAnsi="Arial"/>
          <w:sz w:val="18"/>
          <w:szCs w:val="18"/>
          <w:color w:val="auto"/>
        </w:rPr>
      </w:pPr>
      <w:r>
        <w:rPr>
          <w:rFonts w:ascii="Arial" w:cs="Arial" w:eastAsia="Arial" w:hAnsi="Arial"/>
          <w:sz w:val="18"/>
          <w:szCs w:val="18"/>
          <w:u w:val="single" w:color="auto"/>
          <w:color w:val="auto"/>
        </w:rPr>
        <w:t>Assignee[s]</w:t>
      </w:r>
      <w:r>
        <w:rPr>
          <w:rFonts w:ascii="Arial" w:cs="Arial" w:eastAsia="Arial" w:hAnsi="Arial"/>
          <w:sz w:val="18"/>
          <w:szCs w:val="18"/>
          <w:color w:val="auto"/>
        </w:rPr>
        <w:t>:  ______________________________</w:t>
      </w:r>
    </w:p>
    <w:p>
      <w:pPr>
        <w:spacing w:after="0" w:line="20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______________________________</w:t>
      </w:r>
    </w:p>
    <w:p>
      <w:pPr>
        <w:spacing w:after="0" w:line="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[for each Assignee, indicate [Affiliate][Approved Fund]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p>
    <w:p>
      <w:pPr>
        <w:spacing w:after="0" w:line="189" w:lineRule="exact"/>
        <w:rPr>
          <w:sz w:val="20"/>
          <w:szCs w:val="20"/>
          <w:color w:val="auto"/>
        </w:rPr>
      </w:pPr>
    </w:p>
    <w:p>
      <w:pPr>
        <w:spacing w:after="0"/>
        <w:tabs>
          <w:tab w:leader="none" w:pos="280" w:val="left"/>
          <w:tab w:leader="none" w:pos="12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u w:val="single" w:color="auto"/>
          <w:color w:val="auto"/>
        </w:rPr>
        <w:t>Borrower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American Assets Trust, L.P., a Maryland limited partnership</w:t>
      </w:r>
    </w:p>
    <w:p>
      <w:pPr>
        <w:spacing w:after="0" w:line="221"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w:t>
      </w:r>
    </w:p>
    <w:p>
      <w:pPr>
        <w:spacing w:after="0" w:line="88" w:lineRule="exact"/>
        <w:rPr>
          <w:sz w:val="20"/>
          <w:szCs w:val="20"/>
          <w:color w:val="auto"/>
        </w:rPr>
      </w:pPr>
    </w:p>
    <w:p>
      <w:pPr>
        <w:ind w:left="300" w:hanging="300"/>
        <w:spacing w:after="0" w:line="221" w:lineRule="auto"/>
        <w:tabs>
          <w:tab w:leader="none" w:pos="88" w:val="left"/>
        </w:tabs>
        <w:numPr>
          <w:ilvl w:val="0"/>
          <w:numId w:val="651"/>
        </w:numPr>
        <w:rPr>
          <w:rFonts w:ascii="Arial" w:cs="Arial" w:eastAsia="Arial" w:hAnsi="Arial"/>
          <w:sz w:val="23"/>
          <w:szCs w:val="23"/>
          <w:color w:val="auto"/>
          <w:vertAlign w:val="superscript"/>
        </w:rPr>
      </w:pPr>
      <w:r>
        <w:rPr>
          <w:rFonts w:ascii="Arial" w:cs="Arial" w:eastAsia="Arial" w:hAnsi="Arial"/>
          <w:sz w:val="17"/>
          <w:szCs w:val="17"/>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101" w:lineRule="exact"/>
        <w:rPr>
          <w:sz w:val="20"/>
          <w:szCs w:val="20"/>
          <w:color w:val="auto"/>
        </w:rPr>
      </w:pPr>
    </w:p>
    <w:p>
      <w:pPr>
        <w:ind w:left="300" w:hanging="300"/>
        <w:spacing w:after="0" w:line="221" w:lineRule="auto"/>
        <w:tabs>
          <w:tab w:leader="none" w:pos="104" w:val="left"/>
        </w:tabs>
        <w:numPr>
          <w:ilvl w:val="0"/>
          <w:numId w:val="652"/>
        </w:numPr>
        <w:rPr>
          <w:rFonts w:ascii="Arial" w:cs="Arial" w:eastAsia="Arial" w:hAnsi="Arial"/>
          <w:sz w:val="23"/>
          <w:szCs w:val="23"/>
          <w:color w:val="auto"/>
          <w:vertAlign w:val="superscript"/>
        </w:rPr>
      </w:pPr>
      <w:r>
        <w:rPr>
          <w:rFonts w:ascii="Arial" w:cs="Arial" w:eastAsia="Arial" w:hAnsi="Arial"/>
          <w:sz w:val="17"/>
          <w:szCs w:val="17"/>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spacing w:after="0" w:line="49" w:lineRule="exact"/>
        <w:rPr>
          <w:sz w:val="20"/>
          <w:szCs w:val="20"/>
          <w:color w:val="auto"/>
        </w:rPr>
      </w:pPr>
    </w:p>
    <w:p>
      <w:pPr>
        <w:ind w:left="100" w:hanging="100"/>
        <w:spacing w:after="0"/>
        <w:tabs>
          <w:tab w:leader="none" w:pos="100" w:val="left"/>
        </w:tabs>
        <w:numPr>
          <w:ilvl w:val="0"/>
          <w:numId w:val="653"/>
        </w:numPr>
        <w:rPr>
          <w:rFonts w:ascii="Arial" w:cs="Arial" w:eastAsia="Arial" w:hAnsi="Arial"/>
          <w:sz w:val="23"/>
          <w:szCs w:val="23"/>
          <w:color w:val="auto"/>
          <w:vertAlign w:val="superscript"/>
        </w:rPr>
      </w:pPr>
      <w:r>
        <w:rPr>
          <w:rFonts w:ascii="Arial" w:cs="Arial" w:eastAsia="Arial" w:hAnsi="Arial"/>
          <w:sz w:val="17"/>
          <w:szCs w:val="17"/>
          <w:color w:val="auto"/>
        </w:rPr>
        <w:t>Select as appropriate.</w:t>
      </w:r>
    </w:p>
    <w:p>
      <w:pPr>
        <w:spacing w:after="0" w:line="48" w:lineRule="exact"/>
        <w:rPr>
          <w:sz w:val="20"/>
          <w:szCs w:val="20"/>
          <w:color w:val="auto"/>
        </w:rPr>
      </w:pPr>
    </w:p>
    <w:p>
      <w:pPr>
        <w:ind w:left="100" w:hanging="100"/>
        <w:spacing w:after="0"/>
        <w:tabs>
          <w:tab w:leader="none" w:pos="100" w:val="left"/>
        </w:tabs>
        <w:numPr>
          <w:ilvl w:val="0"/>
          <w:numId w:val="654"/>
        </w:numPr>
        <w:rPr>
          <w:rFonts w:ascii="Arial" w:cs="Arial" w:eastAsia="Arial" w:hAnsi="Arial"/>
          <w:sz w:val="23"/>
          <w:szCs w:val="23"/>
          <w:color w:val="auto"/>
          <w:vertAlign w:val="superscript"/>
        </w:rPr>
      </w:pPr>
      <w:r>
        <w:rPr>
          <w:rFonts w:ascii="Arial" w:cs="Arial" w:eastAsia="Arial" w:hAnsi="Arial"/>
          <w:sz w:val="17"/>
          <w:szCs w:val="17"/>
          <w:color w:val="auto"/>
        </w:rPr>
        <w:t>Include bracketed language if there are either multiple Assignors or multiple Assignees.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E-1-1</w:t>
      </w:r>
    </w:p>
    <w:p>
      <w:pPr>
        <w:sectPr>
          <w:pgSz w:w="11900" w:h="16838" w:orient="portrait"/>
          <w:cols w:equalWidth="0" w:num="1">
            <w:col w:w="11420"/>
          </w:cols>
          <w:pgMar w:left="240" w:top="795" w:right="239" w:bottom="1440" w:gutter="0" w:footer="0" w:header="0"/>
        </w:sectPr>
      </w:pPr>
    </w:p>
    <w:bookmarkStart w:id="538" w:name="page539"/>
    <w:bookmarkEnd w:id="538"/>
    <w:p>
      <w:pPr>
        <w:ind w:left="600" w:hanging="600"/>
        <w:spacing w:after="0"/>
        <w:tabs>
          <w:tab w:leader="none" w:pos="600" w:val="left"/>
        </w:tabs>
        <w:numPr>
          <w:ilvl w:val="0"/>
          <w:numId w:val="655"/>
        </w:numPr>
        <w:rPr>
          <w:rFonts w:ascii="Arial" w:cs="Arial" w:eastAsia="Arial" w:hAnsi="Arial"/>
          <w:sz w:val="18"/>
          <w:szCs w:val="18"/>
          <w:color w:val="auto"/>
        </w:rPr>
      </w:pPr>
      <w:r>
        <w:rPr>
          <w:rFonts w:ascii="Arial" w:cs="Arial" w:eastAsia="Arial" w:hAnsi="Arial"/>
          <w:sz w:val="18"/>
          <w:szCs w:val="18"/>
          <w:u w:val="single" w:color="auto"/>
          <w:color w:val="auto"/>
        </w:rPr>
        <w:t>Administrative Agent</w:t>
      </w:r>
      <w:r>
        <w:rPr>
          <w:rFonts w:ascii="Arial" w:cs="Arial" w:eastAsia="Arial" w:hAnsi="Arial"/>
          <w:sz w:val="18"/>
          <w:szCs w:val="18"/>
          <w:color w:val="auto"/>
        </w:rPr>
        <w:t>: U.S. Bank National Association, as the administrative agent under the Credit Agreement</w:t>
      </w:r>
    </w:p>
    <w:p>
      <w:pPr>
        <w:spacing w:after="0" w:line="205" w:lineRule="exact"/>
        <w:rPr>
          <w:rFonts w:ascii="Arial" w:cs="Arial" w:eastAsia="Arial" w:hAnsi="Arial"/>
          <w:sz w:val="18"/>
          <w:szCs w:val="18"/>
          <w:color w:val="auto"/>
        </w:rPr>
      </w:pPr>
    </w:p>
    <w:p>
      <w:pPr>
        <w:ind w:left="600" w:right="20" w:hanging="600"/>
        <w:spacing w:after="0" w:line="276" w:lineRule="auto"/>
        <w:tabs>
          <w:tab w:leader="none" w:pos="600" w:val="left"/>
        </w:tabs>
        <w:numPr>
          <w:ilvl w:val="0"/>
          <w:numId w:val="655"/>
        </w:numPr>
        <w:rPr>
          <w:rFonts w:ascii="Arial" w:cs="Arial" w:eastAsia="Arial" w:hAnsi="Arial"/>
          <w:sz w:val="18"/>
          <w:szCs w:val="18"/>
          <w:color w:val="auto"/>
        </w:rPr>
      </w:pPr>
      <w:r>
        <w:rPr>
          <w:rFonts w:ascii="Arial" w:cs="Arial" w:eastAsia="Arial" w:hAnsi="Arial"/>
          <w:sz w:val="18"/>
          <w:szCs w:val="18"/>
          <w:u w:val="single" w:color="auto"/>
          <w:color w:val="auto"/>
        </w:rPr>
        <w:t>Credit Agreement</w:t>
      </w:r>
      <w:r>
        <w:rPr>
          <w:rFonts w:ascii="Arial" w:cs="Arial" w:eastAsia="Arial" w:hAnsi="Arial"/>
          <w:sz w:val="18"/>
          <w:szCs w:val="18"/>
          <w:color w:val="auto"/>
        </w:rPr>
        <w:t>: Term Loan Agreement, dated as of March 1, 2016, among American Assets Trust, Inc., the Borrower, the Lenders from time to time party thereto, and U.S. Bank National Association, as Administrative Agent</w:t>
      </w:r>
    </w:p>
    <w:p>
      <w:pPr>
        <w:spacing w:after="0" w:line="148" w:lineRule="exact"/>
        <w:rPr>
          <w:rFonts w:ascii="Arial" w:cs="Arial" w:eastAsia="Arial" w:hAnsi="Arial"/>
          <w:sz w:val="18"/>
          <w:szCs w:val="18"/>
          <w:color w:val="auto"/>
        </w:rPr>
      </w:pPr>
    </w:p>
    <w:p>
      <w:pPr>
        <w:ind w:left="300" w:hanging="300"/>
        <w:spacing w:after="0"/>
        <w:tabs>
          <w:tab w:leader="none" w:pos="300" w:val="left"/>
        </w:tabs>
        <w:numPr>
          <w:ilvl w:val="0"/>
          <w:numId w:val="655"/>
        </w:numPr>
        <w:rPr>
          <w:rFonts w:ascii="Arial" w:cs="Arial" w:eastAsia="Arial" w:hAnsi="Arial"/>
          <w:sz w:val="18"/>
          <w:szCs w:val="18"/>
          <w:color w:val="auto"/>
        </w:rPr>
      </w:pPr>
      <w:r>
        <w:rPr>
          <w:rFonts w:ascii="Arial" w:cs="Arial" w:eastAsia="Arial" w:hAnsi="Arial"/>
          <w:sz w:val="18"/>
          <w:szCs w:val="18"/>
          <w:u w:val="single" w:color="auto"/>
          <w:color w:val="auto"/>
        </w:rPr>
        <w:t>Assigned Interest[s]</w:t>
      </w:r>
      <w:r>
        <w:rPr>
          <w:rFonts w:ascii="Arial" w:cs="Arial" w:eastAsia="Arial" w:hAnsi="Arial"/>
          <w:sz w:val="18"/>
          <w:szCs w:val="18"/>
          <w:color w:val="auto"/>
        </w:rPr>
        <w:t>:</w:t>
      </w:r>
    </w:p>
    <w:p>
      <w:pPr>
        <w:spacing w:after="0" w:line="327" w:lineRule="exact"/>
        <w:rPr>
          <w:sz w:val="20"/>
          <w:szCs w:val="20"/>
          <w:color w:val="auto"/>
        </w:rPr>
      </w:pPr>
    </w:p>
    <w:tbl>
      <w:tblPr>
        <w:tblLayout w:type="fixed"/>
        <w:tblInd w:w="10" w:type="dxa"/>
        <w:tblCellMar>
          <w:top w:w="0" w:type="dxa"/>
          <w:left w:w="0" w:type="dxa"/>
          <w:bottom w:w="0" w:type="dxa"/>
          <w:right w:w="0" w:type="dxa"/>
        </w:tblCellMar>
      </w:tblPr>
      <w:tr>
        <w:trPr>
          <w:trHeight w:val="346"/>
        </w:trPr>
        <w:tc>
          <w:tcPr>
            <w:tcW w:w="420" w:type="dxa"/>
            <w:vAlign w:val="bottom"/>
            <w:tcBorders>
              <w:top w:val="single" w:sz="8" w:color="auto"/>
              <w:left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60" w:type="dxa"/>
            <w:vAlign w:val="bottom"/>
            <w:tcBorders>
              <w:top w:val="single" w:sz="8" w:color="auto"/>
              <w:right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00" w:type="dxa"/>
            <w:vAlign w:val="bottom"/>
            <w:tcBorders>
              <w:top w:val="single" w:sz="8" w:color="auto"/>
              <w:right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40" w:type="dxa"/>
            <w:vAlign w:val="bottom"/>
            <w:tcBorders>
              <w:top w:val="single" w:sz="8" w:color="auto"/>
              <w:right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0" w:type="dxa"/>
            <w:vAlign w:val="bottom"/>
            <w:tcBorders>
              <w:top w:val="single" w:sz="8" w:color="auto"/>
              <w:right w:val="single" w:sz="8" w:color="auto"/>
            </w:tcBorders>
            <w:gridSpan w:val="2"/>
          </w:tcPr>
          <w:p>
            <w:pPr>
              <w:jc w:val="center"/>
              <w:ind w:right="560"/>
              <w:spacing w:after="0"/>
              <w:rPr>
                <w:sz w:val="20"/>
                <w:szCs w:val="20"/>
                <w:color w:val="auto"/>
              </w:rPr>
            </w:pPr>
            <w:r>
              <w:rPr>
                <w:rFonts w:ascii="Arial" w:cs="Arial" w:eastAsia="Arial" w:hAnsi="Arial"/>
                <w:sz w:val="13"/>
                <w:szCs w:val="13"/>
                <w:color w:val="auto"/>
                <w:w w:val="93"/>
              </w:rPr>
              <w:t>Aggregate</w:t>
            </w:r>
          </w:p>
        </w:tc>
        <w:tc>
          <w:tcPr>
            <w:tcW w:w="6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2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tcBorders>
              <w:right w:val="single" w:sz="8" w:color="auto"/>
            </w:tcBorders>
            <w:gridSpan w:val="2"/>
          </w:tcPr>
          <w:p>
            <w:pPr>
              <w:jc w:val="center"/>
              <w:ind w:right="540"/>
              <w:spacing w:after="0" w:line="138" w:lineRule="exact"/>
              <w:rPr>
                <w:sz w:val="20"/>
                <w:szCs w:val="20"/>
                <w:color w:val="auto"/>
              </w:rPr>
            </w:pPr>
            <w:r>
              <w:rPr>
                <w:rFonts w:ascii="Arial" w:cs="Arial" w:eastAsia="Arial" w:hAnsi="Arial"/>
                <w:sz w:val="13"/>
                <w:szCs w:val="13"/>
                <w:color w:val="auto"/>
                <w:w w:val="97"/>
              </w:rPr>
              <w:t>Amount of</w:t>
            </w:r>
          </w:p>
        </w:tc>
        <w:tc>
          <w:tcPr>
            <w:tcW w:w="1720" w:type="dxa"/>
            <w:vAlign w:val="bottom"/>
            <w:tcBorders>
              <w:right w:val="single" w:sz="8" w:color="auto"/>
            </w:tcBorders>
            <w:gridSpan w:val="3"/>
          </w:tcPr>
          <w:p>
            <w:pPr>
              <w:jc w:val="center"/>
              <w:ind w:right="20"/>
              <w:spacing w:after="0" w:line="138" w:lineRule="exact"/>
              <w:rPr>
                <w:sz w:val="20"/>
                <w:szCs w:val="20"/>
                <w:color w:val="auto"/>
              </w:rPr>
            </w:pPr>
            <w:r>
              <w:rPr>
                <w:rFonts w:ascii="Arial" w:cs="Arial" w:eastAsia="Arial" w:hAnsi="Arial"/>
                <w:sz w:val="13"/>
                <w:szCs w:val="13"/>
                <w:color w:val="auto"/>
                <w:w w:val="97"/>
              </w:rPr>
              <w:t>Amount of</w:t>
            </w:r>
          </w:p>
        </w:tc>
        <w:tc>
          <w:tcPr>
            <w:tcW w:w="140" w:type="dxa"/>
            <w:vAlign w:val="bottom"/>
          </w:tcPr>
          <w:p>
            <w:pPr>
              <w:spacing w:after="0"/>
              <w:rPr>
                <w:sz w:val="11"/>
                <w:szCs w:val="11"/>
                <w:color w:val="auto"/>
              </w:rPr>
            </w:pPr>
          </w:p>
        </w:tc>
        <w:tc>
          <w:tcPr>
            <w:tcW w:w="1580" w:type="dxa"/>
            <w:vAlign w:val="bottom"/>
            <w:tcBorders>
              <w:right w:val="single" w:sz="8" w:color="auto"/>
            </w:tcBorders>
            <w:gridSpan w:val="2"/>
          </w:tcPr>
          <w:p>
            <w:pPr>
              <w:jc w:val="center"/>
              <w:ind w:right="160"/>
              <w:spacing w:after="0" w:line="138" w:lineRule="exact"/>
              <w:rPr>
                <w:sz w:val="20"/>
                <w:szCs w:val="20"/>
                <w:color w:val="auto"/>
              </w:rPr>
            </w:pPr>
            <w:r>
              <w:rPr>
                <w:rFonts w:ascii="Arial" w:cs="Arial" w:eastAsia="Arial" w:hAnsi="Arial"/>
                <w:sz w:val="13"/>
                <w:szCs w:val="13"/>
                <w:color w:val="auto"/>
                <w:w w:val="87"/>
              </w:rPr>
              <w:t>Percentage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2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w w:val="89"/>
              </w:rPr>
              <w:t>Assignee[s]</w:t>
            </w:r>
          </w:p>
        </w:tc>
        <w:tc>
          <w:tcPr>
            <w:tcW w:w="500" w:type="dxa"/>
            <w:vAlign w:val="bottom"/>
            <w:tcBorders>
              <w:right w:val="single" w:sz="8" w:color="auto"/>
            </w:tcBorders>
            <w:vMerge w:val="restart"/>
          </w:tcPr>
          <w:p>
            <w:pPr>
              <w:jc w:val="right"/>
              <w:ind w:right="434"/>
              <w:spacing w:after="0"/>
              <w:rPr>
                <w:sz w:val="20"/>
                <w:szCs w:val="20"/>
                <w:color w:val="auto"/>
              </w:rPr>
            </w:pPr>
            <w:r>
              <w:rPr>
                <w:rFonts w:ascii="Arial" w:cs="Arial" w:eastAsia="Arial" w:hAnsi="Arial"/>
                <w:sz w:val="5"/>
                <w:szCs w:val="5"/>
                <w:u w:val="single" w:color="auto"/>
                <w:color w:val="auto"/>
                <w:w w:val="70"/>
              </w:rPr>
              <w:t>6</w:t>
            </w: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940" w:type="dxa"/>
            <w:vAlign w:val="bottom"/>
            <w:tcBorders>
              <w:right w:val="single" w:sz="8" w:color="auto"/>
            </w:tcBorders>
            <w:gridSpan w:val="3"/>
          </w:tcPr>
          <w:p>
            <w:pPr>
              <w:jc w:val="center"/>
              <w:ind w:right="20"/>
              <w:spacing w:after="0" w:line="138" w:lineRule="exact"/>
              <w:rPr>
                <w:sz w:val="20"/>
                <w:szCs w:val="20"/>
                <w:color w:val="auto"/>
              </w:rPr>
            </w:pPr>
            <w:r>
              <w:rPr>
                <w:rFonts w:ascii="Arial" w:cs="Arial" w:eastAsia="Arial" w:hAnsi="Arial"/>
                <w:sz w:val="13"/>
                <w:szCs w:val="13"/>
                <w:color w:val="auto"/>
                <w:w w:val="92"/>
              </w:rPr>
              <w:t>Commitment/Term Loans</w:t>
            </w:r>
          </w:p>
        </w:tc>
        <w:tc>
          <w:tcPr>
            <w:tcW w:w="1720" w:type="dxa"/>
            <w:vAlign w:val="bottom"/>
            <w:tcBorders>
              <w:right w:val="single" w:sz="8" w:color="auto"/>
            </w:tcBorders>
            <w:gridSpan w:val="3"/>
          </w:tcPr>
          <w:p>
            <w:pPr>
              <w:jc w:val="center"/>
              <w:ind w:right="20"/>
              <w:spacing w:after="0" w:line="138" w:lineRule="exact"/>
              <w:rPr>
                <w:sz w:val="20"/>
                <w:szCs w:val="20"/>
                <w:color w:val="auto"/>
              </w:rPr>
            </w:pPr>
            <w:r>
              <w:rPr>
                <w:rFonts w:ascii="Arial" w:cs="Arial" w:eastAsia="Arial" w:hAnsi="Arial"/>
                <w:sz w:val="13"/>
                <w:szCs w:val="13"/>
                <w:color w:val="auto"/>
                <w:w w:val="94"/>
              </w:rPr>
              <w:t>Commitment/Term Loans</w:t>
            </w:r>
          </w:p>
        </w:tc>
        <w:tc>
          <w:tcPr>
            <w:tcW w:w="140" w:type="dxa"/>
            <w:vAlign w:val="bottom"/>
          </w:tcPr>
          <w:p>
            <w:pPr>
              <w:spacing w:after="0"/>
              <w:rPr>
                <w:sz w:val="11"/>
                <w:szCs w:val="11"/>
                <w:color w:val="auto"/>
              </w:rPr>
            </w:pPr>
          </w:p>
        </w:tc>
        <w:tc>
          <w:tcPr>
            <w:tcW w:w="1580" w:type="dxa"/>
            <w:vAlign w:val="bottom"/>
            <w:tcBorders>
              <w:right w:val="single" w:sz="8" w:color="auto"/>
            </w:tcBorders>
            <w:gridSpan w:val="2"/>
          </w:tcPr>
          <w:p>
            <w:pPr>
              <w:jc w:val="center"/>
              <w:ind w:right="180"/>
              <w:spacing w:after="0" w:line="138" w:lineRule="exact"/>
              <w:rPr>
                <w:sz w:val="20"/>
                <w:szCs w:val="20"/>
                <w:color w:val="auto"/>
              </w:rPr>
            </w:pPr>
            <w:r>
              <w:rPr>
                <w:rFonts w:ascii="Arial" w:cs="Arial" w:eastAsia="Arial" w:hAnsi="Arial"/>
                <w:sz w:val="13"/>
                <w:szCs w:val="13"/>
                <w:color w:val="auto"/>
                <w:w w:val="94"/>
              </w:rPr>
              <w:t>Assigned of</w:t>
            </w:r>
          </w:p>
        </w:tc>
        <w:tc>
          <w:tcPr>
            <w:tcW w:w="320" w:type="dxa"/>
            <w:vAlign w:val="bottom"/>
          </w:tcPr>
          <w:p>
            <w:pPr>
              <w:spacing w:after="0"/>
              <w:rPr>
                <w:sz w:val="11"/>
                <w:szCs w:val="11"/>
                <w:color w:val="auto"/>
              </w:rPr>
            </w:pPr>
          </w:p>
        </w:tc>
        <w:tc>
          <w:tcPr>
            <w:tcW w:w="800" w:type="dxa"/>
            <w:vAlign w:val="bottom"/>
            <w:tcBorders>
              <w:right w:val="single" w:sz="8" w:color="auto"/>
            </w:tcBorders>
            <w:gridSpan w:val="2"/>
          </w:tcPr>
          <w:p>
            <w:pPr>
              <w:jc w:val="center"/>
              <w:ind w:right="340"/>
              <w:spacing w:after="0" w:line="138" w:lineRule="exact"/>
              <w:rPr>
                <w:sz w:val="20"/>
                <w:szCs w:val="20"/>
                <w:color w:val="auto"/>
              </w:rPr>
            </w:pPr>
            <w:r>
              <w:rPr>
                <w:rFonts w:ascii="Arial" w:cs="Arial" w:eastAsia="Arial" w:hAnsi="Arial"/>
                <w:sz w:val="13"/>
                <w:szCs w:val="13"/>
                <w:color w:val="auto"/>
                <w:w w:val="95"/>
              </w:rPr>
              <w:t>CUSIP</w:t>
            </w:r>
          </w:p>
        </w:tc>
        <w:tc>
          <w:tcPr>
            <w:tcW w:w="0" w:type="dxa"/>
            <w:vAlign w:val="bottom"/>
          </w:tcPr>
          <w:p>
            <w:pPr>
              <w:spacing w:after="0"/>
              <w:rPr>
                <w:sz w:val="1"/>
                <w:szCs w:val="1"/>
                <w:color w:val="auto"/>
              </w:rPr>
            </w:pPr>
          </w:p>
        </w:tc>
      </w:tr>
      <w:tr>
        <w:trPr>
          <w:trHeight w:val="121"/>
        </w:trPr>
        <w:tc>
          <w:tcPr>
            <w:tcW w:w="420" w:type="dxa"/>
            <w:vAlign w:val="bottom"/>
            <w:tcBorders>
              <w:left w:val="single" w:sz="8" w:color="auto"/>
            </w:tcBorders>
          </w:tcPr>
          <w:p>
            <w:pPr>
              <w:spacing w:after="0"/>
              <w:rPr>
                <w:sz w:val="10"/>
                <w:szCs w:val="10"/>
                <w:color w:val="auto"/>
              </w:rPr>
            </w:pPr>
          </w:p>
        </w:tc>
        <w:tc>
          <w:tcPr>
            <w:tcW w:w="1080" w:type="dxa"/>
            <w:vAlign w:val="bottom"/>
            <w:tcBorders>
              <w:right w:val="single" w:sz="8" w:color="auto"/>
            </w:tcBorders>
            <w:gridSpan w:val="2"/>
          </w:tcPr>
          <w:p>
            <w:pPr>
              <w:spacing w:after="0" w:line="109" w:lineRule="exact"/>
              <w:rPr>
                <w:sz w:val="20"/>
                <w:szCs w:val="20"/>
                <w:color w:val="auto"/>
              </w:rPr>
            </w:pPr>
            <w:r>
              <w:rPr>
                <w:rFonts w:ascii="Arial" w:cs="Arial" w:eastAsia="Arial" w:hAnsi="Arial"/>
                <w:sz w:val="12"/>
                <w:szCs w:val="12"/>
                <w:color w:val="auto"/>
              </w:rPr>
              <w:t>Assignor[s]</w:t>
            </w:r>
            <w:r>
              <w:rPr>
                <w:rFonts w:ascii="Arial" w:cs="Arial" w:eastAsia="Arial" w:hAnsi="Arial"/>
                <w:sz w:val="7"/>
                <w:szCs w:val="7"/>
                <w:u w:val="single" w:color="auto"/>
                <w:color w:val="auto"/>
              </w:rPr>
              <w:t>5</w:t>
            </w:r>
          </w:p>
        </w:tc>
        <w:tc>
          <w:tcPr>
            <w:tcW w:w="380" w:type="dxa"/>
            <w:vAlign w:val="bottom"/>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1940" w:type="dxa"/>
            <w:vAlign w:val="bottom"/>
            <w:tcBorders>
              <w:right w:val="single" w:sz="8" w:color="auto"/>
            </w:tcBorders>
            <w:gridSpan w:val="3"/>
          </w:tcPr>
          <w:p>
            <w:pPr>
              <w:ind w:left="460"/>
              <w:spacing w:after="0" w:line="109" w:lineRule="exact"/>
              <w:rPr>
                <w:sz w:val="20"/>
                <w:szCs w:val="20"/>
                <w:color w:val="auto"/>
              </w:rPr>
            </w:pPr>
            <w:r>
              <w:rPr>
                <w:rFonts w:ascii="Arial" w:cs="Arial" w:eastAsia="Arial" w:hAnsi="Arial"/>
                <w:sz w:val="12"/>
                <w:szCs w:val="12"/>
                <w:color w:val="auto"/>
              </w:rPr>
              <w:t>Facility Assigned</w:t>
            </w:r>
            <w:r>
              <w:rPr>
                <w:rFonts w:ascii="Arial" w:cs="Arial" w:eastAsia="Arial" w:hAnsi="Arial"/>
                <w:sz w:val="7"/>
                <w:szCs w:val="7"/>
                <w:u w:val="single" w:color="auto"/>
                <w:color w:val="auto"/>
              </w:rPr>
              <w:t>7</w:t>
            </w:r>
          </w:p>
        </w:tc>
        <w:tc>
          <w:tcPr>
            <w:tcW w:w="540" w:type="dxa"/>
            <w:vAlign w:val="bottom"/>
          </w:tcPr>
          <w:p>
            <w:pPr>
              <w:spacing w:after="0"/>
              <w:rPr>
                <w:sz w:val="10"/>
                <w:szCs w:val="10"/>
                <w:color w:val="auto"/>
              </w:rPr>
            </w:pPr>
          </w:p>
        </w:tc>
        <w:tc>
          <w:tcPr>
            <w:tcW w:w="1400" w:type="dxa"/>
            <w:vAlign w:val="bottom"/>
            <w:tcBorders>
              <w:right w:val="single" w:sz="8" w:color="auto"/>
            </w:tcBorders>
            <w:gridSpan w:val="2"/>
          </w:tcPr>
          <w:p>
            <w:pPr>
              <w:jc w:val="center"/>
              <w:ind w:right="560"/>
              <w:spacing w:after="0" w:line="109" w:lineRule="exact"/>
              <w:rPr>
                <w:sz w:val="20"/>
                <w:szCs w:val="20"/>
                <w:color w:val="auto"/>
              </w:rPr>
            </w:pPr>
            <w:r>
              <w:rPr>
                <w:rFonts w:ascii="Arial" w:cs="Arial" w:eastAsia="Arial" w:hAnsi="Arial"/>
                <w:sz w:val="12"/>
                <w:szCs w:val="12"/>
                <w:color w:val="auto"/>
              </w:rPr>
              <w:t>for all Lenders</w:t>
            </w:r>
            <w:r>
              <w:rPr>
                <w:rFonts w:ascii="Arial" w:cs="Arial" w:eastAsia="Arial" w:hAnsi="Arial"/>
                <w:sz w:val="7"/>
                <w:szCs w:val="7"/>
                <w:u w:val="single" w:color="auto"/>
                <w:color w:val="auto"/>
              </w:rPr>
              <w:t>8</w:t>
            </w:r>
          </w:p>
        </w:tc>
        <w:tc>
          <w:tcPr>
            <w:tcW w:w="1720" w:type="dxa"/>
            <w:vAlign w:val="bottom"/>
            <w:tcBorders>
              <w:right w:val="single" w:sz="8" w:color="auto"/>
            </w:tcBorders>
            <w:gridSpan w:val="3"/>
          </w:tcPr>
          <w:p>
            <w:pPr>
              <w:jc w:val="center"/>
              <w:ind w:right="20"/>
              <w:spacing w:after="0" w:line="109" w:lineRule="exact"/>
              <w:rPr>
                <w:sz w:val="20"/>
                <w:szCs w:val="20"/>
                <w:color w:val="auto"/>
              </w:rPr>
            </w:pPr>
            <w:r>
              <w:rPr>
                <w:rFonts w:ascii="Arial" w:cs="Arial" w:eastAsia="Arial" w:hAnsi="Arial"/>
                <w:sz w:val="12"/>
                <w:szCs w:val="12"/>
                <w:color w:val="auto"/>
              </w:rPr>
              <w:t>Assigned</w:t>
            </w:r>
          </w:p>
        </w:tc>
        <w:tc>
          <w:tcPr>
            <w:tcW w:w="1720" w:type="dxa"/>
            <w:vAlign w:val="bottom"/>
            <w:tcBorders>
              <w:right w:val="single" w:sz="8" w:color="auto"/>
            </w:tcBorders>
            <w:gridSpan w:val="3"/>
          </w:tcPr>
          <w:p>
            <w:pPr>
              <w:jc w:val="center"/>
              <w:ind w:right="20"/>
              <w:spacing w:after="0" w:line="109" w:lineRule="exact"/>
              <w:rPr>
                <w:sz w:val="20"/>
                <w:szCs w:val="20"/>
                <w:color w:val="auto"/>
              </w:rPr>
            </w:pPr>
            <w:r>
              <w:rPr>
                <w:rFonts w:ascii="Arial" w:cs="Arial" w:eastAsia="Arial" w:hAnsi="Arial"/>
                <w:sz w:val="12"/>
                <w:szCs w:val="12"/>
                <w:color w:val="auto"/>
              </w:rPr>
              <w:t>Commitment/Term Loans</w:t>
            </w:r>
            <w:r>
              <w:rPr>
                <w:rFonts w:ascii="Arial" w:cs="Arial" w:eastAsia="Arial" w:hAnsi="Arial"/>
                <w:sz w:val="7"/>
                <w:szCs w:val="7"/>
                <w:color w:val="auto"/>
              </w:rPr>
              <w:t>9</w:t>
            </w:r>
          </w:p>
        </w:tc>
        <w:tc>
          <w:tcPr>
            <w:tcW w:w="1120" w:type="dxa"/>
            <w:vAlign w:val="bottom"/>
            <w:tcBorders>
              <w:right w:val="single" w:sz="8" w:color="auto"/>
            </w:tcBorders>
            <w:gridSpan w:val="3"/>
          </w:tcPr>
          <w:p>
            <w:pPr>
              <w:jc w:val="center"/>
              <w:ind w:right="40"/>
              <w:spacing w:after="0" w:line="109" w:lineRule="exact"/>
              <w:rPr>
                <w:sz w:val="20"/>
                <w:szCs w:val="20"/>
                <w:color w:val="auto"/>
              </w:rPr>
            </w:pPr>
            <w:r>
              <w:rPr>
                <w:rFonts w:ascii="Arial" w:cs="Arial" w:eastAsia="Arial" w:hAnsi="Arial"/>
                <w:sz w:val="12"/>
                <w:szCs w:val="12"/>
                <w:color w:val="auto"/>
              </w:rPr>
              <w:t>Number</w:t>
            </w:r>
          </w:p>
        </w:tc>
        <w:tc>
          <w:tcPr>
            <w:tcW w:w="0" w:type="dxa"/>
            <w:vAlign w:val="bottom"/>
          </w:tcPr>
          <w:p>
            <w:pPr>
              <w:spacing w:after="0"/>
              <w:rPr>
                <w:sz w:val="1"/>
                <w:szCs w:val="1"/>
                <w:color w:val="auto"/>
              </w:rPr>
            </w:pPr>
          </w:p>
        </w:tc>
      </w:tr>
      <w:tr>
        <w:trPr>
          <w:trHeight w:val="20"/>
        </w:trPr>
        <w:tc>
          <w:tcPr>
            <w:tcW w:w="420" w:type="dxa"/>
            <w:vAlign w:val="bottom"/>
            <w:tcBorders>
              <w:lef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0" w:type="dxa"/>
            <w:vAlign w:val="bottom"/>
            <w:tcBorders>
              <w:left w:val="single" w:sz="8" w:color="auto"/>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20" w:type="dxa"/>
            <w:vAlign w:val="bottom"/>
            <w:tcBorders>
              <w:left w:val="single" w:sz="8" w:color="auto"/>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3"/>
                <w:szCs w:val="13"/>
                <w:color w:val="auto"/>
                <w:w w:val="91"/>
              </w:rPr>
              <w:t>$________________</w:t>
            </w:r>
          </w:p>
        </w:tc>
        <w:tc>
          <w:tcPr>
            <w:tcW w:w="172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3"/>
                <w:szCs w:val="13"/>
                <w:color w:val="auto"/>
                <w:w w:val="91"/>
              </w:rPr>
              <w:t>$_________</w:t>
            </w:r>
          </w:p>
        </w:tc>
        <w:tc>
          <w:tcPr>
            <w:tcW w:w="1500" w:type="dxa"/>
            <w:vAlign w:val="bottom"/>
            <w:tcBorders>
              <w:bottom w:val="single" w:sz="8" w:color="auto"/>
            </w:tcBorders>
            <w:gridSpan w:val="2"/>
          </w:tcPr>
          <w:p>
            <w:pPr>
              <w:jc w:val="center"/>
              <w:ind w:left="115"/>
              <w:spacing w:after="0"/>
              <w:rPr>
                <w:sz w:val="20"/>
                <w:szCs w:val="20"/>
                <w:color w:val="auto"/>
              </w:rPr>
            </w:pPr>
            <w:r>
              <w:rPr>
                <w:rFonts w:ascii="Arial" w:cs="Arial" w:eastAsia="Arial" w:hAnsi="Arial"/>
                <w:sz w:val="13"/>
                <w:szCs w:val="13"/>
                <w:color w:val="auto"/>
                <w:w w:val="93"/>
              </w:rPr>
              <w:t>____________%</w:t>
            </w:r>
          </w:p>
        </w:tc>
        <w:tc>
          <w:tcPr>
            <w:tcW w:w="22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50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194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3"/>
                <w:szCs w:val="13"/>
                <w:color w:val="auto"/>
                <w:w w:val="91"/>
              </w:rPr>
              <w:t>$________________</w:t>
            </w:r>
          </w:p>
        </w:tc>
        <w:tc>
          <w:tcPr>
            <w:tcW w:w="172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3"/>
                <w:szCs w:val="13"/>
                <w:color w:val="auto"/>
                <w:w w:val="91"/>
              </w:rPr>
              <w:t>$_________</w:t>
            </w:r>
          </w:p>
        </w:tc>
        <w:tc>
          <w:tcPr>
            <w:tcW w:w="1500" w:type="dxa"/>
            <w:vAlign w:val="bottom"/>
            <w:tcBorders>
              <w:bottom w:val="single" w:sz="8" w:color="auto"/>
            </w:tcBorders>
            <w:gridSpan w:val="2"/>
          </w:tcPr>
          <w:p>
            <w:pPr>
              <w:jc w:val="center"/>
              <w:ind w:left="115"/>
              <w:spacing w:after="0"/>
              <w:rPr>
                <w:sz w:val="20"/>
                <w:szCs w:val="20"/>
                <w:color w:val="auto"/>
              </w:rPr>
            </w:pPr>
            <w:r>
              <w:rPr>
                <w:rFonts w:ascii="Arial" w:cs="Arial" w:eastAsia="Arial" w:hAnsi="Arial"/>
                <w:sz w:val="13"/>
                <w:szCs w:val="13"/>
                <w:color w:val="auto"/>
                <w:w w:val="93"/>
              </w:rPr>
              <w:t>____________%</w:t>
            </w:r>
          </w:p>
        </w:tc>
        <w:tc>
          <w:tcPr>
            <w:tcW w:w="22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50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194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3"/>
                <w:szCs w:val="13"/>
                <w:color w:val="auto"/>
                <w:w w:val="91"/>
              </w:rPr>
              <w:t>$________________</w:t>
            </w:r>
          </w:p>
        </w:tc>
        <w:tc>
          <w:tcPr>
            <w:tcW w:w="172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3"/>
                <w:szCs w:val="13"/>
                <w:color w:val="auto"/>
                <w:w w:val="91"/>
              </w:rPr>
              <w:t>$_________</w:t>
            </w:r>
          </w:p>
        </w:tc>
        <w:tc>
          <w:tcPr>
            <w:tcW w:w="1500" w:type="dxa"/>
            <w:vAlign w:val="bottom"/>
            <w:tcBorders>
              <w:bottom w:val="single" w:sz="8" w:color="auto"/>
            </w:tcBorders>
            <w:gridSpan w:val="2"/>
          </w:tcPr>
          <w:p>
            <w:pPr>
              <w:jc w:val="center"/>
              <w:ind w:left="115"/>
              <w:spacing w:after="0"/>
              <w:rPr>
                <w:sz w:val="20"/>
                <w:szCs w:val="20"/>
                <w:color w:val="auto"/>
              </w:rPr>
            </w:pPr>
            <w:r>
              <w:rPr>
                <w:rFonts w:ascii="Arial" w:cs="Arial" w:eastAsia="Arial" w:hAnsi="Arial"/>
                <w:sz w:val="13"/>
                <w:szCs w:val="13"/>
                <w:color w:val="auto"/>
                <w:w w:val="93"/>
              </w:rPr>
              <w:t>____________%</w:t>
            </w:r>
          </w:p>
        </w:tc>
        <w:tc>
          <w:tcPr>
            <w:tcW w:w="22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u w:val="single" w:color="auto"/>
          <w:color w:val="auto"/>
        </w:rPr>
        <w:t>Trade Date</w:t>
      </w:r>
      <w:r>
        <w:rPr>
          <w:rFonts w:ascii="Arial" w:cs="Arial" w:eastAsia="Arial" w:hAnsi="Arial"/>
          <w:sz w:val="16"/>
          <w:szCs w:val="16"/>
          <w:color w:val="auto"/>
        </w:rPr>
        <w:t>:__________________]</w:t>
      </w:r>
      <w:r>
        <w:rPr>
          <w:rFonts w:ascii="Arial" w:cs="Arial" w:eastAsia="Arial" w:hAnsi="Arial"/>
          <w:sz w:val="20"/>
          <w:szCs w:val="20"/>
          <w:color w:val="auto"/>
          <w:vertAlign w:val="superscript"/>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w:t>
      </w:r>
    </w:p>
    <w:p>
      <w:pPr>
        <w:spacing w:after="0" w:line="24" w:lineRule="exact"/>
        <w:rPr>
          <w:sz w:val="20"/>
          <w:szCs w:val="20"/>
          <w:color w:val="auto"/>
        </w:rPr>
      </w:pPr>
    </w:p>
    <w:p>
      <w:pPr>
        <w:ind w:left="100" w:hanging="100"/>
        <w:spacing w:after="0"/>
        <w:tabs>
          <w:tab w:leader="none" w:pos="100" w:val="left"/>
        </w:tabs>
        <w:numPr>
          <w:ilvl w:val="0"/>
          <w:numId w:val="656"/>
        </w:numPr>
        <w:rPr>
          <w:rFonts w:ascii="Arial" w:cs="Arial" w:eastAsia="Arial" w:hAnsi="Arial"/>
          <w:sz w:val="23"/>
          <w:szCs w:val="23"/>
          <w:color w:val="auto"/>
          <w:vertAlign w:val="superscript"/>
        </w:rPr>
      </w:pPr>
      <w:r>
        <w:rPr>
          <w:rFonts w:ascii="Arial" w:cs="Arial" w:eastAsia="Arial" w:hAnsi="Arial"/>
          <w:sz w:val="17"/>
          <w:szCs w:val="17"/>
          <w:color w:val="auto"/>
        </w:rPr>
        <w:t>List each Assignor, as appropriate.</w:t>
      </w:r>
    </w:p>
    <w:p>
      <w:pPr>
        <w:spacing w:after="0" w:line="48" w:lineRule="exact"/>
        <w:rPr>
          <w:sz w:val="20"/>
          <w:szCs w:val="20"/>
          <w:color w:val="auto"/>
        </w:rPr>
      </w:pPr>
    </w:p>
    <w:p>
      <w:pPr>
        <w:ind w:left="100" w:hanging="100"/>
        <w:spacing w:after="0"/>
        <w:tabs>
          <w:tab w:leader="none" w:pos="100" w:val="left"/>
        </w:tabs>
        <w:numPr>
          <w:ilvl w:val="0"/>
          <w:numId w:val="657"/>
        </w:numPr>
        <w:rPr>
          <w:rFonts w:ascii="Arial" w:cs="Arial" w:eastAsia="Arial" w:hAnsi="Arial"/>
          <w:sz w:val="23"/>
          <w:szCs w:val="23"/>
          <w:color w:val="auto"/>
          <w:vertAlign w:val="superscript"/>
        </w:rPr>
      </w:pPr>
      <w:r>
        <w:rPr>
          <w:rFonts w:ascii="Arial" w:cs="Arial" w:eastAsia="Arial" w:hAnsi="Arial"/>
          <w:sz w:val="17"/>
          <w:szCs w:val="17"/>
          <w:color w:val="auto"/>
        </w:rPr>
        <w:t>List each Assignee and, if available, its market entity identifier, as appropriate.</w:t>
      </w:r>
    </w:p>
    <w:p>
      <w:pPr>
        <w:spacing w:after="0" w:line="47" w:lineRule="exact"/>
        <w:rPr>
          <w:sz w:val="20"/>
          <w:szCs w:val="20"/>
          <w:color w:val="auto"/>
        </w:rPr>
      </w:pPr>
    </w:p>
    <w:p>
      <w:pPr>
        <w:ind w:left="100" w:hanging="100"/>
        <w:spacing w:after="0"/>
        <w:tabs>
          <w:tab w:leader="none" w:pos="100" w:val="left"/>
        </w:tabs>
        <w:numPr>
          <w:ilvl w:val="0"/>
          <w:numId w:val="658"/>
        </w:numPr>
        <w:rPr>
          <w:rFonts w:ascii="Arial" w:cs="Arial" w:eastAsia="Arial" w:hAnsi="Arial"/>
          <w:sz w:val="22"/>
          <w:szCs w:val="22"/>
          <w:color w:val="auto"/>
          <w:vertAlign w:val="superscript"/>
        </w:rPr>
      </w:pPr>
      <w:r>
        <w:rPr>
          <w:rFonts w:ascii="Arial" w:cs="Arial" w:eastAsia="Arial" w:hAnsi="Arial"/>
          <w:sz w:val="16"/>
          <w:szCs w:val="16"/>
          <w:color w:val="auto"/>
        </w:rPr>
        <w:t>Fill in the appropriate terminology for the types of facility under the Credit Agreement that are being assigned under this Assignment (e.g. Commitment).</w:t>
      </w:r>
    </w:p>
    <w:p>
      <w:pPr>
        <w:spacing w:after="0" w:line="90" w:lineRule="exact"/>
        <w:rPr>
          <w:sz w:val="20"/>
          <w:szCs w:val="20"/>
          <w:color w:val="auto"/>
        </w:rPr>
      </w:pPr>
    </w:p>
    <w:p>
      <w:pPr>
        <w:ind w:left="300" w:right="80" w:hanging="300"/>
        <w:spacing w:after="0" w:line="213" w:lineRule="auto"/>
        <w:tabs>
          <w:tab w:leader="none" w:pos="88" w:val="left"/>
        </w:tabs>
        <w:numPr>
          <w:ilvl w:val="0"/>
          <w:numId w:val="659"/>
        </w:numPr>
        <w:rPr>
          <w:rFonts w:ascii="Arial" w:cs="Arial" w:eastAsia="Arial" w:hAnsi="Arial"/>
          <w:sz w:val="23"/>
          <w:szCs w:val="23"/>
          <w:color w:val="auto"/>
          <w:vertAlign w:val="superscript"/>
        </w:rPr>
      </w:pPr>
      <w:r>
        <w:rPr>
          <w:rFonts w:ascii="Arial" w:cs="Arial" w:eastAsia="Arial" w:hAnsi="Arial"/>
          <w:sz w:val="17"/>
          <w:szCs w:val="17"/>
          <w:color w:val="auto"/>
        </w:rPr>
        <w:t>Amounts in this column and in the column immediately to the right to be adjusted by the counterparties to take into account any payments or prepayments made between the Trade Date and the Effective Date.</w:t>
      </w:r>
    </w:p>
    <w:p>
      <w:pPr>
        <w:spacing w:after="0" w:line="49" w:lineRule="exact"/>
        <w:rPr>
          <w:sz w:val="20"/>
          <w:szCs w:val="20"/>
          <w:color w:val="auto"/>
        </w:rPr>
      </w:pPr>
    </w:p>
    <w:p>
      <w:pPr>
        <w:ind w:left="100" w:hanging="100"/>
        <w:spacing w:after="0"/>
        <w:tabs>
          <w:tab w:leader="none" w:pos="100" w:val="left"/>
        </w:tabs>
        <w:numPr>
          <w:ilvl w:val="0"/>
          <w:numId w:val="660"/>
        </w:numPr>
        <w:rPr>
          <w:rFonts w:ascii="Arial" w:cs="Arial" w:eastAsia="Arial" w:hAnsi="Arial"/>
          <w:sz w:val="23"/>
          <w:szCs w:val="23"/>
          <w:color w:val="auto"/>
          <w:vertAlign w:val="superscript"/>
        </w:rPr>
      </w:pPr>
      <w:r>
        <w:rPr>
          <w:rFonts w:ascii="Arial" w:cs="Arial" w:eastAsia="Arial" w:hAnsi="Arial"/>
          <w:sz w:val="17"/>
          <w:szCs w:val="17"/>
          <w:color w:val="auto"/>
        </w:rPr>
        <w:t>Set forth, to at least 9 decimals, as a percentage of the Commitment/Term Loans of all Lenders thereunder.</w:t>
      </w:r>
    </w:p>
    <w:p>
      <w:pPr>
        <w:spacing w:after="0" w:line="71" w:lineRule="exact"/>
        <w:rPr>
          <w:sz w:val="20"/>
          <w:szCs w:val="20"/>
          <w:color w:val="auto"/>
        </w:rPr>
      </w:pPr>
    </w:p>
    <w:p>
      <w:pPr>
        <w:ind w:left="160" w:hanging="160"/>
        <w:spacing w:after="0"/>
        <w:tabs>
          <w:tab w:leader="none" w:pos="160" w:val="left"/>
        </w:tabs>
        <w:numPr>
          <w:ilvl w:val="0"/>
          <w:numId w:val="661"/>
        </w:numPr>
        <w:rPr>
          <w:rFonts w:ascii="Arial" w:cs="Arial" w:eastAsia="Arial" w:hAnsi="Arial"/>
          <w:sz w:val="21"/>
          <w:szCs w:val="21"/>
          <w:color w:val="auto"/>
          <w:vertAlign w:val="superscript"/>
        </w:rPr>
      </w:pPr>
      <w:r>
        <w:rPr>
          <w:rFonts w:ascii="Arial" w:cs="Arial" w:eastAsia="Arial" w:hAnsi="Arial"/>
          <w:sz w:val="15"/>
          <w:szCs w:val="15"/>
          <w:color w:val="auto"/>
        </w:rPr>
        <w:t>To be completed if the Assignor and the Assignee intend that the minimum assignment amount is to be determined as of the Trade Date.</w:t>
      </w: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E-1-2</w:t>
      </w:r>
    </w:p>
    <w:p>
      <w:pPr>
        <w:sectPr>
          <w:pgSz w:w="11900" w:h="16838" w:orient="portrait"/>
          <w:cols w:equalWidth="0" w:num="1">
            <w:col w:w="11440"/>
          </w:cols>
          <w:pgMar w:left="240" w:top="1196" w:right="219" w:bottom="1440" w:gutter="0" w:footer="0" w:header="0"/>
        </w:sectPr>
      </w:pPr>
    </w:p>
    <w:bookmarkStart w:id="539" w:name="page540"/>
    <w:bookmarkEnd w:id="539"/>
    <w:p>
      <w:pPr>
        <w:spacing w:after="0"/>
        <w:rPr>
          <w:sz w:val="20"/>
          <w:szCs w:val="20"/>
          <w:color w:val="auto"/>
        </w:rPr>
      </w:pPr>
      <w:r>
        <w:rPr>
          <w:rFonts w:ascii="Arial" w:cs="Arial" w:eastAsia="Arial" w:hAnsi="Arial"/>
          <w:sz w:val="17"/>
          <w:szCs w:val="17"/>
          <w:color w:val="auto"/>
        </w:rPr>
        <w:t>Effective Date: __________________, 20__ [TO BE INSERTED BY ADMINISTRATIVE AGENT AND WHICH SHALL BE THE EFFECTIVE DATE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OF RECORDATION OF TRANSFER IN THE REGISTER THEREFOR.]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169" w:lineRule="exact"/>
        <w:rPr>
          <w:sz w:val="20"/>
          <w:szCs w:val="20"/>
          <w:color w:val="auto"/>
        </w:rPr>
      </w:pPr>
    </w:p>
    <w:p>
      <w:pPr>
        <w:ind w:left="4200"/>
        <w:spacing w:after="0"/>
        <w:rPr>
          <w:sz w:val="20"/>
          <w:szCs w:val="20"/>
          <w:color w:val="auto"/>
        </w:rPr>
      </w:pPr>
      <w:r>
        <w:rPr>
          <w:rFonts w:ascii="Arial" w:cs="Arial" w:eastAsia="Arial" w:hAnsi="Arial"/>
          <w:sz w:val="18"/>
          <w:szCs w:val="18"/>
          <w:u w:val="single" w:color="auto"/>
          <w:color w:val="auto"/>
        </w:rPr>
        <w:t>ASSIGNOR[S]</w:t>
      </w:r>
      <w:r>
        <w:rPr>
          <w:rFonts w:ascii="Arial" w:cs="Arial" w:eastAsia="Arial" w:hAnsi="Arial"/>
          <w:sz w:val="23"/>
          <w:szCs w:val="23"/>
          <w:color w:val="auto"/>
          <w:vertAlign w:val="superscript"/>
        </w:rPr>
        <w:t>11</w:t>
      </w:r>
    </w:p>
    <w:p>
      <w:pPr>
        <w:ind w:left="4200"/>
        <w:spacing w:after="0"/>
        <w:rPr>
          <w:sz w:val="20"/>
          <w:szCs w:val="20"/>
          <w:color w:val="auto"/>
        </w:rPr>
      </w:pPr>
      <w:r>
        <w:rPr>
          <w:rFonts w:ascii="Arial" w:cs="Arial" w:eastAsia="Arial" w:hAnsi="Arial"/>
          <w:sz w:val="18"/>
          <w:szCs w:val="18"/>
          <w:color w:val="auto"/>
        </w:rPr>
        <w:t>[NAME OF ASSIGNOR]</w:t>
      </w:r>
    </w:p>
    <w:p>
      <w:pPr>
        <w:spacing w:after="0" w:line="18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By: _____________________________</w:t>
      </w:r>
    </w:p>
    <w:p>
      <w:pPr>
        <w:spacing w:after="0" w:line="2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Title:</w:t>
      </w:r>
    </w:p>
    <w:p>
      <w:pPr>
        <w:spacing w:after="0" w:line="153" w:lineRule="exact"/>
        <w:rPr>
          <w:sz w:val="20"/>
          <w:szCs w:val="20"/>
          <w:color w:val="auto"/>
        </w:rPr>
      </w:pPr>
    </w:p>
    <w:p>
      <w:pPr>
        <w:ind w:left="4200"/>
        <w:spacing w:after="0"/>
        <w:rPr>
          <w:sz w:val="20"/>
          <w:szCs w:val="20"/>
          <w:color w:val="auto"/>
        </w:rPr>
      </w:pPr>
      <w:r>
        <w:rPr>
          <w:rFonts w:ascii="Arial" w:cs="Arial" w:eastAsia="Arial" w:hAnsi="Arial"/>
          <w:sz w:val="18"/>
          <w:szCs w:val="18"/>
          <w:u w:val="single" w:color="auto"/>
          <w:color w:val="auto"/>
        </w:rPr>
        <w:t>ASSIGNEE[S]</w:t>
      </w:r>
      <w:r>
        <w:rPr>
          <w:rFonts w:ascii="Arial" w:cs="Arial" w:eastAsia="Arial" w:hAnsi="Arial"/>
          <w:sz w:val="23"/>
          <w:szCs w:val="23"/>
          <w:color w:val="auto"/>
          <w:vertAlign w:val="superscript"/>
        </w:rPr>
        <w:t>12</w:t>
      </w:r>
    </w:p>
    <w:p>
      <w:pPr>
        <w:ind w:left="4200"/>
        <w:spacing w:after="0"/>
        <w:rPr>
          <w:sz w:val="20"/>
          <w:szCs w:val="20"/>
          <w:color w:val="auto"/>
        </w:rPr>
      </w:pPr>
      <w:r>
        <w:rPr>
          <w:rFonts w:ascii="Arial" w:cs="Arial" w:eastAsia="Arial" w:hAnsi="Arial"/>
          <w:sz w:val="18"/>
          <w:szCs w:val="18"/>
          <w:color w:val="auto"/>
        </w:rPr>
        <w:t>[NAME OF ASSIGNEE]</w:t>
      </w:r>
    </w:p>
    <w:p>
      <w:pPr>
        <w:spacing w:after="0" w:line="18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By: _____________________________</w:t>
      </w:r>
    </w:p>
    <w:p>
      <w:pPr>
        <w:spacing w:after="0" w:line="2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Title: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w:t>
      </w:r>
      <w:r>
        <w:rPr>
          <w:rFonts w:ascii="Arial" w:cs="Arial" w:eastAsia="Arial" w:hAnsi="Arial"/>
          <w:sz w:val="23"/>
          <w:szCs w:val="23"/>
          <w:color w:val="auto"/>
          <w:vertAlign w:val="superscript"/>
        </w:rPr>
        <w:t>13</w:t>
      </w:r>
      <w:r>
        <w:rPr>
          <w:rFonts w:ascii="Arial" w:cs="Arial" w:eastAsia="Arial" w:hAnsi="Arial"/>
          <w:sz w:val="18"/>
          <w:szCs w:val="18"/>
          <w:color w:val="auto"/>
        </w:rPr>
        <w:t xml:space="preserve"> </w:t>
      </w:r>
      <w:r>
        <w:rPr>
          <w:rFonts w:ascii="Arial" w:cs="Arial" w:eastAsia="Arial" w:hAnsi="Arial"/>
          <w:sz w:val="19"/>
          <w:szCs w:val="19"/>
          <w:color w:val="auto"/>
        </w:rPr>
        <w:t>Accepted: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23"/>
          <w:szCs w:val="23"/>
          <w:color w:val="auto"/>
          <w:vertAlign w:val="superscript"/>
        </w:rPr>
        <w:t>14</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AMERICAN ASSETS TRUST,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By: AMERICAN ASSETS TRUST INC.,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w:t>
      </w:r>
    </w:p>
    <w:p>
      <w:pPr>
        <w:spacing w:after="0" w:line="59" w:lineRule="exact"/>
        <w:rPr>
          <w:sz w:val="20"/>
          <w:szCs w:val="20"/>
          <w:color w:val="auto"/>
        </w:rPr>
      </w:pPr>
    </w:p>
    <w:p>
      <w:pPr>
        <w:ind w:left="160" w:hanging="160"/>
        <w:spacing w:after="0"/>
        <w:tabs>
          <w:tab w:leader="none" w:pos="160" w:val="left"/>
        </w:tabs>
        <w:numPr>
          <w:ilvl w:val="0"/>
          <w:numId w:val="662"/>
        </w:numPr>
        <w:rPr>
          <w:rFonts w:ascii="Arial" w:cs="Arial" w:eastAsia="Arial" w:hAnsi="Arial"/>
          <w:sz w:val="21"/>
          <w:szCs w:val="21"/>
          <w:color w:val="auto"/>
          <w:vertAlign w:val="superscript"/>
        </w:rPr>
      </w:pPr>
      <w:r>
        <w:rPr>
          <w:rFonts w:ascii="Arial" w:cs="Arial" w:eastAsia="Arial" w:hAnsi="Arial"/>
          <w:sz w:val="15"/>
          <w:szCs w:val="15"/>
          <w:color w:val="auto"/>
        </w:rPr>
        <w:t>Add additional signature blocks as needed. Include both Fund/Pension Plan and manager making the trade (if applicable).</w:t>
      </w:r>
    </w:p>
    <w:p>
      <w:pPr>
        <w:spacing w:after="0" w:line="77" w:lineRule="exact"/>
        <w:rPr>
          <w:rFonts w:ascii="Arial" w:cs="Arial" w:eastAsia="Arial" w:hAnsi="Arial"/>
          <w:sz w:val="21"/>
          <w:szCs w:val="21"/>
          <w:color w:val="auto"/>
          <w:vertAlign w:val="superscript"/>
        </w:rPr>
      </w:pPr>
    </w:p>
    <w:p>
      <w:pPr>
        <w:ind w:left="160" w:hanging="160"/>
        <w:spacing w:after="0" w:line="233" w:lineRule="auto"/>
        <w:tabs>
          <w:tab w:leader="none" w:pos="160" w:val="left"/>
        </w:tabs>
        <w:numPr>
          <w:ilvl w:val="0"/>
          <w:numId w:val="662"/>
        </w:numPr>
        <w:rPr>
          <w:rFonts w:ascii="Arial" w:cs="Arial" w:eastAsia="Arial" w:hAnsi="Arial"/>
          <w:sz w:val="21"/>
          <w:szCs w:val="21"/>
          <w:color w:val="auto"/>
          <w:vertAlign w:val="superscript"/>
        </w:rPr>
      </w:pPr>
      <w:r>
        <w:rPr>
          <w:rFonts w:ascii="Arial" w:cs="Arial" w:eastAsia="Arial" w:hAnsi="Arial"/>
          <w:sz w:val="15"/>
          <w:szCs w:val="15"/>
          <w:color w:val="auto"/>
        </w:rPr>
        <w:t>Add additional signature blocks as needed. Include both Fund/Pension Plan and manager making the trade (if applicable).</w:t>
      </w:r>
    </w:p>
    <w:p>
      <w:pPr>
        <w:spacing w:after="0" w:line="77" w:lineRule="exact"/>
        <w:rPr>
          <w:rFonts w:ascii="Arial" w:cs="Arial" w:eastAsia="Arial" w:hAnsi="Arial"/>
          <w:sz w:val="21"/>
          <w:szCs w:val="21"/>
          <w:color w:val="auto"/>
          <w:vertAlign w:val="superscript"/>
        </w:rPr>
      </w:pPr>
    </w:p>
    <w:p>
      <w:pPr>
        <w:ind w:left="160" w:hanging="160"/>
        <w:spacing w:after="0" w:line="233" w:lineRule="auto"/>
        <w:tabs>
          <w:tab w:leader="none" w:pos="160" w:val="left"/>
        </w:tabs>
        <w:numPr>
          <w:ilvl w:val="0"/>
          <w:numId w:val="662"/>
        </w:numPr>
        <w:rPr>
          <w:rFonts w:ascii="Arial" w:cs="Arial" w:eastAsia="Arial" w:hAnsi="Arial"/>
          <w:sz w:val="21"/>
          <w:szCs w:val="21"/>
          <w:color w:val="auto"/>
          <w:vertAlign w:val="superscript"/>
        </w:rPr>
      </w:pPr>
      <w:r>
        <w:rPr>
          <w:rFonts w:ascii="Arial" w:cs="Arial" w:eastAsia="Arial" w:hAnsi="Arial"/>
          <w:sz w:val="15"/>
          <w:szCs w:val="15"/>
          <w:color w:val="auto"/>
        </w:rPr>
        <w:t>To be added only if the consent of the Administrative Agent is required by the terms of the Credit Agreement.</w:t>
      </w:r>
    </w:p>
    <w:p>
      <w:pPr>
        <w:spacing w:after="0" w:line="77" w:lineRule="exact"/>
        <w:rPr>
          <w:rFonts w:ascii="Arial" w:cs="Arial" w:eastAsia="Arial" w:hAnsi="Arial"/>
          <w:sz w:val="21"/>
          <w:szCs w:val="21"/>
          <w:color w:val="auto"/>
          <w:vertAlign w:val="superscript"/>
        </w:rPr>
      </w:pPr>
    </w:p>
    <w:p>
      <w:pPr>
        <w:ind w:left="160" w:hanging="160"/>
        <w:spacing w:after="0" w:line="233" w:lineRule="auto"/>
        <w:tabs>
          <w:tab w:leader="none" w:pos="160" w:val="left"/>
        </w:tabs>
        <w:numPr>
          <w:ilvl w:val="0"/>
          <w:numId w:val="662"/>
        </w:numPr>
        <w:rPr>
          <w:rFonts w:ascii="Arial" w:cs="Arial" w:eastAsia="Arial" w:hAnsi="Arial"/>
          <w:sz w:val="21"/>
          <w:szCs w:val="21"/>
          <w:color w:val="auto"/>
          <w:vertAlign w:val="superscript"/>
        </w:rPr>
      </w:pPr>
      <w:r>
        <w:rPr>
          <w:rFonts w:ascii="Arial" w:cs="Arial" w:eastAsia="Arial" w:hAnsi="Arial"/>
          <w:sz w:val="15"/>
          <w:szCs w:val="15"/>
          <w:color w:val="auto"/>
        </w:rPr>
        <w:t>To be added only if the consent of the Borrower is required by the terms of the Credit Agreement.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E-1-3</w:t>
      </w:r>
    </w:p>
    <w:p>
      <w:pPr>
        <w:sectPr>
          <w:pgSz w:w="11900" w:h="16838" w:orient="portrait"/>
          <w:cols w:equalWidth="0" w:num="1">
            <w:col w:w="11420"/>
          </w:cols>
          <w:pgMar w:left="240" w:top="784" w:right="239" w:bottom="1440" w:gutter="0" w:footer="0" w:header="0"/>
        </w:sectPr>
      </w:pPr>
    </w:p>
    <w:bookmarkStart w:id="540" w:name="page541"/>
    <w:bookmarkEnd w:id="540"/>
    <w:p>
      <w:pPr>
        <w:ind w:left="7120"/>
        <w:spacing w:after="0"/>
        <w:rPr>
          <w:sz w:val="20"/>
          <w:szCs w:val="20"/>
          <w:color w:val="auto"/>
        </w:rPr>
      </w:pPr>
      <w:r>
        <w:rPr>
          <w:rFonts w:ascii="Arial" w:cs="Arial" w:eastAsia="Arial" w:hAnsi="Arial"/>
          <w:sz w:val="19"/>
          <w:szCs w:val="19"/>
          <w:b w:val="1"/>
          <w:bCs w:val="1"/>
          <w:i w:val="1"/>
          <w:iCs w:val="1"/>
          <w:color w:val="auto"/>
        </w:rPr>
        <w:t>ANNEX 1 TO ASSIGNMENT AND ASSUMPTION</w:t>
      </w:r>
    </w:p>
    <w:p>
      <w:pPr>
        <w:spacing w:after="0" w:line="219"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STANDARD TERMS AND CONDITIONS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ASSIGNMENT AND ASSUMPTION</w:t>
      </w:r>
    </w:p>
    <w:p>
      <w:pPr>
        <w:spacing w:after="0" w:line="181" w:lineRule="exact"/>
        <w:rPr>
          <w:sz w:val="20"/>
          <w:szCs w:val="20"/>
          <w:color w:val="auto"/>
        </w:rPr>
      </w:pPr>
    </w:p>
    <w:p>
      <w:pPr>
        <w:ind w:left="1200"/>
        <w:spacing w:after="0"/>
        <w:tabs>
          <w:tab w:leader="none" w:pos="14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Representations and Warranties.</w:t>
      </w:r>
    </w:p>
    <w:p>
      <w:pPr>
        <w:spacing w:after="0" w:line="205" w:lineRule="exact"/>
        <w:rPr>
          <w:sz w:val="20"/>
          <w:szCs w:val="20"/>
          <w:color w:val="auto"/>
        </w:rPr>
      </w:pPr>
    </w:p>
    <w:p>
      <w:pPr>
        <w:jc w:val="both"/>
        <w:ind w:firstLine="1199"/>
        <w:spacing w:after="0" w:line="283"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[The][Each]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and Assumption and to consummate the transactions contemplated hereby and</w:t>
      </w:r>
    </w:p>
    <w:p>
      <w:pPr>
        <w:spacing w:after="0" w:line="2" w:lineRule="exact"/>
        <w:rPr>
          <w:sz w:val="20"/>
          <w:szCs w:val="20"/>
          <w:color w:val="auto"/>
        </w:rPr>
      </w:pPr>
    </w:p>
    <w:p>
      <w:pPr>
        <w:jc w:val="both"/>
        <w:spacing w:after="0" w:line="267" w:lineRule="auto"/>
        <w:tabs>
          <w:tab w:leader="none" w:pos="339" w:val="left"/>
        </w:tabs>
        <w:numPr>
          <w:ilvl w:val="0"/>
          <w:numId w:val="663"/>
        </w:numPr>
        <w:rPr>
          <w:rFonts w:ascii="Arial" w:cs="Arial" w:eastAsia="Arial" w:hAnsi="Arial"/>
          <w:sz w:val="17"/>
          <w:szCs w:val="17"/>
          <w:color w:val="auto"/>
        </w:rPr>
      </w:pPr>
      <w:r>
        <w:rPr>
          <w:rFonts w:ascii="Arial" w:cs="Arial" w:eastAsia="Arial" w:hAnsi="Arial"/>
          <w:sz w:val="17"/>
          <w:szCs w:val="17"/>
          <w:color w:val="auto"/>
        </w:rPr>
        <w:t>it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the REIT, any of their respective Subsidiaries or Affiliates or any other Person obligated in respect of any Loan Document or (iv) the performance or observance by the Borrower, the REIT, any of their respective Subsidiaries or Affiliates or any other Person of any of their respective obligations under any Loan Document.</w:t>
      </w:r>
    </w:p>
    <w:p>
      <w:pPr>
        <w:spacing w:after="0" w:line="158" w:lineRule="exact"/>
        <w:rPr>
          <w:sz w:val="20"/>
          <w:szCs w:val="20"/>
          <w:color w:val="auto"/>
        </w:rPr>
      </w:pPr>
    </w:p>
    <w:p>
      <w:pPr>
        <w:jc w:val="both"/>
        <w:ind w:firstLine="1199"/>
        <w:spacing w:after="0" w:line="281"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w:t>
      </w:r>
      <w:r>
        <w:rPr>
          <w:rFonts w:ascii="Arial" w:cs="Arial" w:eastAsia="Arial" w:hAnsi="Arial"/>
          <w:sz w:val="16"/>
          <w:szCs w:val="16"/>
          <w:u w:val="single" w:color="auto"/>
          <w:color w:val="auto"/>
        </w:rPr>
        <w:t>Section 10.06(b)(iii)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of the Credit Agreement (subject to such consents, if any, as may be required under </w:t>
      </w:r>
      <w:r>
        <w:rPr>
          <w:rFonts w:ascii="Arial" w:cs="Arial" w:eastAsia="Arial" w:hAnsi="Arial"/>
          <w:sz w:val="16"/>
          <w:szCs w:val="16"/>
          <w:u w:val="single" w:color="auto"/>
          <w:color w:val="auto"/>
        </w:rPr>
        <w:t>Section 10.06(b)(iii)</w:t>
      </w:r>
      <w:r>
        <w:rPr>
          <w:rFonts w:ascii="Arial" w:cs="Arial" w:eastAsia="Arial" w:hAnsi="Arial"/>
          <w:sz w:val="16"/>
          <w:szCs w:val="16"/>
          <w:color w:val="auto"/>
        </w:rPr>
        <w:t xml:space="preserve"> 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attached hereto is any documentation required to be delivered by it pursuant to the terms of the Credit Agreement, duly completed and executed by [the][such] Assignee; and (b) agrees that (i) it will, independently and without reliance upon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50" w:lineRule="exact"/>
        <w:rPr>
          <w:sz w:val="20"/>
          <w:szCs w:val="20"/>
          <w:color w:val="auto"/>
        </w:rPr>
      </w:pPr>
    </w:p>
    <w:p>
      <w:pPr>
        <w:jc w:val="both"/>
        <w:ind w:firstLine="1199"/>
        <w:spacing w:after="0" w:line="283" w:lineRule="auto"/>
        <w:tabs>
          <w:tab w:leader="none" w:pos="1565" w:val="left"/>
        </w:tabs>
        <w:numPr>
          <w:ilvl w:val="0"/>
          <w:numId w:val="664"/>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w:t>
      </w:r>
    </w:p>
    <w:p>
      <w:pPr>
        <w:spacing w:after="0" w:line="145" w:lineRule="exact"/>
        <w:rPr>
          <w:rFonts w:ascii="Arial" w:cs="Arial" w:eastAsia="Arial" w:hAnsi="Arial"/>
          <w:sz w:val="17"/>
          <w:szCs w:val="17"/>
          <w:color w:val="auto"/>
        </w:rPr>
      </w:pPr>
    </w:p>
    <w:p>
      <w:pPr>
        <w:jc w:val="both"/>
        <w:ind w:firstLine="1199"/>
        <w:spacing w:after="0" w:line="253" w:lineRule="auto"/>
        <w:tabs>
          <w:tab w:leader="none" w:pos="1540" w:val="left"/>
        </w:tabs>
        <w:numPr>
          <w:ilvl w:val="0"/>
          <w:numId w:val="664"/>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E-1-4</w:t>
      </w:r>
    </w:p>
    <w:p>
      <w:pPr>
        <w:sectPr>
          <w:pgSz w:w="11900" w:h="16838" w:orient="portrait"/>
          <w:cols w:equalWidth="0" w:num="1">
            <w:col w:w="11420"/>
          </w:cols>
          <w:pgMar w:left="240" w:top="795" w:right="239" w:bottom="1440" w:gutter="0" w:footer="0" w:header="0"/>
        </w:sectPr>
      </w:pPr>
    </w:p>
    <w:bookmarkStart w:id="541" w:name="page542"/>
    <w:bookmarkEnd w:id="541"/>
    <w:p>
      <w:pPr>
        <w:jc w:val="right"/>
        <w:spacing w:after="0"/>
        <w:rPr>
          <w:sz w:val="20"/>
          <w:szCs w:val="20"/>
          <w:color w:val="auto"/>
        </w:rPr>
      </w:pPr>
      <w:r>
        <w:rPr>
          <w:rFonts w:ascii="Arial" w:cs="Arial" w:eastAsia="Arial" w:hAnsi="Arial"/>
          <w:sz w:val="20"/>
          <w:szCs w:val="20"/>
          <w:b w:val="1"/>
          <w:bCs w:val="1"/>
          <w:i w:val="1"/>
          <w:iCs w:val="1"/>
          <w:color w:val="auto"/>
        </w:rPr>
        <w:t>EXHIBIT E-2</w:t>
      </w:r>
    </w:p>
    <w:p>
      <w:pPr>
        <w:spacing w:after="0" w:line="101" w:lineRule="exact"/>
        <w:rPr>
          <w:sz w:val="20"/>
          <w:szCs w:val="20"/>
          <w:color w:val="auto"/>
        </w:rPr>
      </w:pPr>
    </w:p>
    <w:p>
      <w:pPr>
        <w:ind w:left="2740"/>
        <w:spacing w:after="0"/>
        <w:rPr>
          <w:sz w:val="20"/>
          <w:szCs w:val="20"/>
          <w:color w:val="auto"/>
        </w:rPr>
      </w:pPr>
      <w:r>
        <w:rPr>
          <w:rFonts w:ascii="Arial" w:cs="Arial" w:eastAsia="Arial" w:hAnsi="Arial"/>
          <w:sz w:val="20"/>
          <w:szCs w:val="20"/>
          <w:b w:val="1"/>
          <w:bCs w:val="1"/>
          <w:color w:val="auto"/>
        </w:rPr>
        <w:t>ADMINISTRATIVE QUESTIONNAIRE</w:t>
      </w:r>
    </w:p>
    <w:p>
      <w:pPr>
        <w:spacing w:after="0" w:line="200" w:lineRule="exact"/>
        <w:rPr>
          <w:sz w:val="20"/>
          <w:szCs w:val="20"/>
          <w:color w:val="auto"/>
        </w:rPr>
      </w:pPr>
    </w:p>
    <w:p>
      <w:pPr>
        <w:spacing w:after="0" w:line="213"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332"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E-2-1</w:t>
      </w:r>
    </w:p>
    <w:p>
      <w:pPr>
        <w:sectPr>
          <w:pgSz w:w="11900" w:h="16838" w:orient="portrait"/>
          <w:cols w:equalWidth="0" w:num="1">
            <w:col w:w="10220"/>
          </w:cols>
          <w:pgMar w:left="1440" w:top="795" w:right="239" w:bottom="1440" w:gutter="0" w:footer="0" w:header="0"/>
        </w:sectPr>
      </w:pPr>
    </w:p>
    <w:bookmarkStart w:id="542" w:name="page543"/>
    <w:bookmarkEnd w:id="542"/>
    <w:p>
      <w:pPr>
        <w:jc w:val="right"/>
        <w:spacing w:after="0"/>
        <w:rPr>
          <w:sz w:val="20"/>
          <w:szCs w:val="20"/>
          <w:color w:val="auto"/>
        </w:rPr>
      </w:pPr>
      <w:r>
        <w:rPr>
          <w:rFonts w:ascii="Arial" w:cs="Arial" w:eastAsia="Arial" w:hAnsi="Arial"/>
          <w:sz w:val="20"/>
          <w:szCs w:val="20"/>
          <w:b w:val="1"/>
          <w:bCs w:val="1"/>
          <w:i w:val="1"/>
          <w:iCs w:val="1"/>
          <w:color w:val="auto"/>
        </w:rPr>
        <w:t>EXHIBIT F</w:t>
      </w:r>
    </w:p>
    <w:p>
      <w:pPr>
        <w:spacing w:after="0" w:line="101" w:lineRule="exact"/>
        <w:rPr>
          <w:sz w:val="20"/>
          <w:szCs w:val="20"/>
          <w:color w:val="auto"/>
        </w:rPr>
      </w:pPr>
    </w:p>
    <w:p>
      <w:pPr>
        <w:ind w:left="3260"/>
        <w:spacing w:after="0"/>
        <w:rPr>
          <w:sz w:val="20"/>
          <w:szCs w:val="20"/>
          <w:color w:val="auto"/>
        </w:rPr>
      </w:pPr>
      <w:r>
        <w:rPr>
          <w:rFonts w:ascii="Arial" w:cs="Arial" w:eastAsia="Arial" w:hAnsi="Arial"/>
          <w:sz w:val="20"/>
          <w:szCs w:val="20"/>
          <w:b w:val="1"/>
          <w:bCs w:val="1"/>
          <w:color w:val="auto"/>
        </w:rPr>
        <w:t>GUARANTY AGREEMENT</w:t>
      </w:r>
    </w:p>
    <w:p>
      <w:pPr>
        <w:spacing w:after="0" w:line="200" w:lineRule="exact"/>
        <w:rPr>
          <w:sz w:val="20"/>
          <w:szCs w:val="20"/>
          <w:color w:val="auto"/>
        </w:rPr>
      </w:pPr>
    </w:p>
    <w:p>
      <w:pPr>
        <w:spacing w:after="0" w:line="213"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332"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F-1</w:t>
      </w:r>
    </w:p>
    <w:p>
      <w:pPr>
        <w:sectPr>
          <w:pgSz w:w="11900" w:h="16838" w:orient="portrait"/>
          <w:cols w:equalWidth="0" w:num="1">
            <w:col w:w="10220"/>
          </w:cols>
          <w:pgMar w:left="1440" w:top="795" w:right="239" w:bottom="1440" w:gutter="0" w:footer="0" w:header="0"/>
        </w:sectPr>
      </w:pPr>
    </w:p>
    <w:bookmarkStart w:id="543" w:name="page544"/>
    <w:bookmarkEnd w:id="543"/>
    <w:p>
      <w:pPr>
        <w:jc w:val="right"/>
        <w:spacing w:after="0"/>
        <w:rPr>
          <w:sz w:val="20"/>
          <w:szCs w:val="20"/>
          <w:color w:val="auto"/>
        </w:rPr>
      </w:pPr>
      <w:r>
        <w:rPr>
          <w:rFonts w:ascii="Arial" w:cs="Arial" w:eastAsia="Arial" w:hAnsi="Arial"/>
          <w:sz w:val="20"/>
          <w:szCs w:val="20"/>
          <w:b w:val="1"/>
          <w:bCs w:val="1"/>
          <w:i w:val="1"/>
          <w:iCs w:val="1"/>
          <w:color w:val="auto"/>
        </w:rPr>
        <w:t>EXHIBIT 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SOLVENCY CERTIFICATE</w:t>
      </w:r>
    </w:p>
    <w:p>
      <w:pPr>
        <w:spacing w:after="0" w:line="197" w:lineRule="exact"/>
        <w:rPr>
          <w:sz w:val="20"/>
          <w:szCs w:val="20"/>
          <w:color w:val="auto"/>
        </w:rPr>
      </w:pPr>
    </w:p>
    <w:p>
      <w:pPr>
        <w:ind w:firstLine="1199"/>
        <w:spacing w:after="0" w:line="276" w:lineRule="auto"/>
        <w:rPr>
          <w:sz w:val="20"/>
          <w:szCs w:val="20"/>
          <w:color w:val="auto"/>
        </w:rPr>
      </w:pPr>
      <w:r>
        <w:rPr>
          <w:rFonts w:ascii="Arial" w:cs="Arial" w:eastAsia="Arial" w:hAnsi="Arial"/>
          <w:sz w:val="18"/>
          <w:szCs w:val="18"/>
          <w:color w:val="auto"/>
        </w:rPr>
        <w:t>I, the undersigned, chief financial officer of AMERICAN ASSETS TRUST, INC., a Maryland corporation (the “</w:t>
      </w:r>
      <w:r>
        <w:rPr>
          <w:rFonts w:ascii="Arial" w:cs="Arial" w:eastAsia="Arial" w:hAnsi="Arial"/>
          <w:sz w:val="18"/>
          <w:szCs w:val="18"/>
          <w:u w:val="single" w:color="auto"/>
          <w:color w:val="auto"/>
        </w:rPr>
        <w:t>REIT</w:t>
      </w:r>
      <w:r>
        <w:rPr>
          <w:rFonts w:ascii="Arial" w:cs="Arial" w:eastAsia="Arial" w:hAnsi="Arial"/>
          <w:sz w:val="18"/>
          <w:szCs w:val="18"/>
          <w:color w:val="auto"/>
        </w:rPr>
        <w:t>”), DO HEREBY CERTIFY on behalf of the Loan Parties, in my capacity as a Responsible Officer of the REIT (and not in any individual capacity), that:</w:t>
      </w:r>
    </w:p>
    <w:p>
      <w:pPr>
        <w:spacing w:after="0" w:line="148" w:lineRule="exact"/>
        <w:rPr>
          <w:sz w:val="20"/>
          <w:szCs w:val="20"/>
          <w:color w:val="auto"/>
        </w:rPr>
      </w:pPr>
    </w:p>
    <w:p>
      <w:pPr>
        <w:jc w:val="both"/>
        <w:ind w:firstLine="1199"/>
        <w:spacing w:after="0" w:line="256" w:lineRule="auto"/>
        <w:tabs>
          <w:tab w:leader="none" w:pos="1515" w:val="left"/>
        </w:tabs>
        <w:numPr>
          <w:ilvl w:val="0"/>
          <w:numId w:val="665"/>
        </w:numPr>
        <w:rPr>
          <w:rFonts w:ascii="Arial" w:cs="Arial" w:eastAsia="Arial" w:hAnsi="Arial"/>
          <w:sz w:val="18"/>
          <w:szCs w:val="18"/>
          <w:color w:val="auto"/>
        </w:rPr>
      </w:pPr>
      <w:r>
        <w:rPr>
          <w:rFonts w:ascii="Arial" w:cs="Arial" w:eastAsia="Arial" w:hAnsi="Arial"/>
          <w:sz w:val="18"/>
          <w:szCs w:val="18"/>
          <w:color w:val="auto"/>
        </w:rPr>
        <w:t xml:space="preserve">This certificate is furnished pursuant to </w:t>
      </w:r>
      <w:r>
        <w:rPr>
          <w:rFonts w:ascii="Arial" w:cs="Arial" w:eastAsia="Arial" w:hAnsi="Arial"/>
          <w:sz w:val="18"/>
          <w:szCs w:val="18"/>
          <w:u w:val="single" w:color="auto"/>
          <w:color w:val="auto"/>
        </w:rPr>
        <w:t>Section 4.01(a)(x)</w:t>
      </w:r>
      <w:r>
        <w:rPr>
          <w:rFonts w:ascii="Arial" w:cs="Arial" w:eastAsia="Arial" w:hAnsi="Arial"/>
          <w:sz w:val="18"/>
          <w:szCs w:val="18"/>
          <w:color w:val="auto"/>
        </w:rPr>
        <w:t xml:space="preserve"> of the Term Loan Agreement, (as in effect on the date of this certificate; the capitalized terms defined therein being used herein as therein defined) dated as of March 1, 2016 among the REIT, American Assets Trust, L.P., a Maryland limited partnership (the “</w:t>
      </w:r>
      <w:r>
        <w:rPr>
          <w:rFonts w:ascii="Arial" w:cs="Arial" w:eastAsia="Arial" w:hAnsi="Arial"/>
          <w:sz w:val="18"/>
          <w:szCs w:val="18"/>
          <w:u w:val="single" w:color="auto"/>
          <w:color w:val="auto"/>
        </w:rPr>
        <w:t>Borrower</w:t>
      </w:r>
      <w:r>
        <w:rPr>
          <w:rFonts w:ascii="Arial" w:cs="Arial" w:eastAsia="Arial" w:hAnsi="Arial"/>
          <w:sz w:val="18"/>
          <w:szCs w:val="18"/>
          <w:color w:val="auto"/>
        </w:rPr>
        <w:t>”), U.S. Bank National Association, as Administrative Agent and the Lenders party thereto (as from time to time in effect,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jc w:val="both"/>
        <w:ind w:firstLine="1199"/>
        <w:spacing w:after="0" w:line="261" w:lineRule="auto"/>
        <w:tabs>
          <w:tab w:leader="none" w:pos="1553" w:val="left"/>
        </w:tabs>
        <w:numPr>
          <w:ilvl w:val="0"/>
          <w:numId w:val="665"/>
        </w:numPr>
        <w:rPr>
          <w:rFonts w:ascii="Arial" w:cs="Arial" w:eastAsia="Arial" w:hAnsi="Arial"/>
          <w:sz w:val="18"/>
          <w:szCs w:val="18"/>
          <w:color w:val="auto"/>
        </w:rPr>
      </w:pPr>
      <w:r>
        <w:rPr>
          <w:rFonts w:ascii="Arial" w:cs="Arial" w:eastAsia="Arial" w:hAnsi="Arial"/>
          <w:sz w:val="18"/>
          <w:szCs w:val="18"/>
          <w:color w:val="auto"/>
        </w:rPr>
        <w:t>Immediately following the consummation of the transactions contemplated by the Credit Agreement and immediately following the making of each Term Loan, if any, on the date hereof and after giving effect to the application of the proceeds of each such Term Loan, the REIT and its Consolidated Subsidiaries, on a consolidated basis, are Solvent.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Follows]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G-1</w:t>
      </w:r>
    </w:p>
    <w:p>
      <w:pPr>
        <w:sectPr>
          <w:pgSz w:w="11900" w:h="16838" w:orient="portrait"/>
          <w:cols w:equalWidth="0" w:num="1">
            <w:col w:w="11420"/>
          </w:cols>
          <w:pgMar w:left="240" w:top="795" w:right="239" w:bottom="1440" w:gutter="0" w:footer="0" w:header="0"/>
        </w:sectPr>
      </w:pPr>
    </w:p>
    <w:bookmarkStart w:id="544" w:name="page545"/>
    <w:bookmarkEnd w:id="544"/>
    <w:p>
      <w:pPr>
        <w:spacing w:after="0"/>
        <w:rPr>
          <w:sz w:val="20"/>
          <w:szCs w:val="20"/>
          <w:color w:val="auto"/>
        </w:rPr>
      </w:pPr>
      <w:r>
        <w:rPr>
          <w:rFonts w:ascii="Arial" w:cs="Arial" w:eastAsia="Arial" w:hAnsi="Arial"/>
          <w:sz w:val="20"/>
          <w:szCs w:val="20"/>
          <w:color w:val="auto"/>
        </w:rPr>
        <w:t>IN WITNESS WHEREOF, I have hereunto set my hand this ___ day of ___________, 2016.</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AMERICAN ASSETS TRUST, INC.</w:t>
      </w:r>
    </w:p>
    <w:p>
      <w:pPr>
        <w:spacing w:after="0" w:line="351"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24765</wp:posOffset>
            </wp:positionV>
            <wp:extent cx="1840230"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840230" cy="7620"/>
                    </a:xfrm>
                    <a:prstGeom prst="rect">
                      <a:avLst/>
                    </a:prstGeom>
                    <a:noFill/>
                  </pic:spPr>
                </pic:pic>
              </a:graphicData>
            </a:graphic>
          </wp:anchor>
        </w:drawing>
      </w:r>
    </w:p>
    <w:p>
      <w:pPr>
        <w:spacing w:after="0" w:line="25"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Name:</w:t>
      </w:r>
    </w:p>
    <w:p>
      <w:pPr>
        <w:spacing w:after="0" w:line="45" w:lineRule="exact"/>
        <w:rPr>
          <w:sz w:val="20"/>
          <w:szCs w:val="20"/>
          <w:color w:val="auto"/>
        </w:rPr>
      </w:pPr>
    </w:p>
    <w:p>
      <w:pPr>
        <w:ind w:left="6660"/>
        <w:spacing w:after="0"/>
        <w:tabs>
          <w:tab w:leader="none" w:pos="7340" w:val="left"/>
        </w:tabs>
        <w:rPr>
          <w:sz w:val="20"/>
          <w:szCs w:val="20"/>
          <w:color w:val="auto"/>
        </w:rPr>
      </w:pPr>
      <w:r>
        <w:rPr>
          <w:rFonts w:ascii="Arial" w:cs="Arial" w:eastAsia="Arial" w:hAnsi="Arial"/>
          <w:sz w:val="20"/>
          <w:szCs w:val="20"/>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G-2</w:t>
      </w:r>
    </w:p>
    <w:p>
      <w:pPr>
        <w:sectPr>
          <w:pgSz w:w="11900" w:h="16838" w:orient="portrait"/>
          <w:cols w:equalWidth="0" w:num="1">
            <w:col w:w="9780"/>
          </w:cols>
          <w:pgMar w:left="1440" w:top="795" w:right="679" w:bottom="1440" w:gutter="0" w:footer="0" w:header="0"/>
        </w:sectPr>
      </w:pPr>
    </w:p>
    <w:bookmarkStart w:id="545" w:name="page546"/>
    <w:bookmarkEnd w:id="545"/>
    <w:p>
      <w:pPr>
        <w:jc w:val="right"/>
        <w:spacing w:after="0"/>
        <w:rPr>
          <w:sz w:val="20"/>
          <w:szCs w:val="20"/>
          <w:color w:val="auto"/>
        </w:rPr>
      </w:pPr>
      <w:r>
        <w:rPr>
          <w:rFonts w:ascii="Arial" w:cs="Arial" w:eastAsia="Arial" w:hAnsi="Arial"/>
          <w:sz w:val="20"/>
          <w:szCs w:val="20"/>
          <w:b w:val="1"/>
          <w:bCs w:val="1"/>
          <w:i w:val="1"/>
          <w:iCs w:val="1"/>
          <w:color w:val="auto"/>
        </w:rPr>
        <w:t>EXHIBIT H-1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 COMPLIANCE CERTIFICATE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Not Partnerships For U.S. Federal Income Tax Purposes)</w:t>
      </w:r>
    </w:p>
    <w:p>
      <w:pPr>
        <w:spacing w:after="0" w:line="191" w:lineRule="exact"/>
        <w:rPr>
          <w:sz w:val="20"/>
          <w:szCs w:val="20"/>
          <w:color w:val="auto"/>
        </w:rPr>
      </w:pPr>
    </w:p>
    <w:p>
      <w:pPr>
        <w:jc w:val="both"/>
        <w:ind w:firstLine="1199"/>
        <w:spacing w:after="0" w:line="293" w:lineRule="auto"/>
        <w:rPr>
          <w:sz w:val="20"/>
          <w:szCs w:val="20"/>
          <w:color w:val="auto"/>
        </w:rPr>
      </w:pPr>
      <w:r>
        <w:rPr>
          <w:rFonts w:ascii="Arial" w:cs="Arial" w:eastAsia="Arial" w:hAnsi="Arial"/>
          <w:sz w:val="18"/>
          <w:szCs w:val="18"/>
          <w:color w:val="auto"/>
        </w:rPr>
        <w:t>Reference is made to the Term Loan Agreement dated as of March 1, 2016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AMERICAN ASSETS TRUST, INC., a Maryland corporation, AMERICAN ASSETS TRUST, L.P., a Maryland limited partnership (the “</w:t>
      </w:r>
      <w:r>
        <w:rPr>
          <w:rFonts w:ascii="Arial" w:cs="Arial" w:eastAsia="Arial" w:hAnsi="Arial"/>
          <w:sz w:val="18"/>
          <w:szCs w:val="18"/>
          <w:u w:val="single" w:color="auto"/>
          <w:color w:val="auto"/>
        </w:rPr>
        <w:t>Borrower</w:t>
      </w:r>
      <w:r>
        <w:rPr>
          <w:rFonts w:ascii="Arial" w:cs="Arial" w:eastAsia="Arial" w:hAnsi="Arial"/>
          <w:sz w:val="18"/>
          <w:szCs w:val="18"/>
          <w:color w:val="auto"/>
        </w:rPr>
        <w:t>”), U.S. BANK NATIONAL ASSOCIATION, as Administrative Agent, and the Lenders party thereto. Capitalized terms used herein but not otherwise defined shall have the meaning given to such term in the Agreement.</w:t>
      </w:r>
    </w:p>
    <w:p>
      <w:pPr>
        <w:spacing w:after="0" w:line="138" w:lineRule="exact"/>
        <w:rPr>
          <w:sz w:val="20"/>
          <w:szCs w:val="20"/>
          <w:color w:val="auto"/>
        </w:rPr>
      </w:pPr>
    </w:p>
    <w:p>
      <w:pPr>
        <w:jc w:val="both"/>
        <w:ind w:firstLine="1199"/>
        <w:spacing w:after="0" w:line="253" w:lineRule="auto"/>
        <w:rPr>
          <w:sz w:val="20"/>
          <w:szCs w:val="20"/>
          <w:color w:val="auto"/>
        </w:rPr>
      </w:pPr>
      <w:r>
        <w:rPr>
          <w:rFonts w:ascii="Arial" w:cs="Arial" w:eastAsia="Arial" w:hAnsi="Arial"/>
          <w:sz w:val="20"/>
          <w:szCs w:val="20"/>
          <w:color w:val="auto"/>
        </w:rPr>
        <w:t xml:space="preserve">Pursuant to the provisions of </w:t>
      </w:r>
      <w:r>
        <w:rPr>
          <w:rFonts w:ascii="Arial" w:cs="Arial" w:eastAsia="Arial" w:hAnsi="Arial"/>
          <w:sz w:val="20"/>
          <w:szCs w:val="20"/>
          <w:u w:val="single" w:color="auto"/>
          <w:color w:val="auto"/>
        </w:rPr>
        <w:t>Section 3.01(e)</w:t>
      </w:r>
      <w:r>
        <w:rPr>
          <w:rFonts w:ascii="Arial" w:cs="Arial" w:eastAsia="Arial" w:hAnsi="Arial"/>
          <w:sz w:val="20"/>
          <w:szCs w:val="20"/>
          <w:color w:val="auto"/>
        </w:rPr>
        <w:t xml:space="preserve"> of the Credit Agreement, the undersigned hereby certifies that (i) it is the sole record and beneficial owner of the Term Loan(s) (as well as any Term Note(s) evidencing such Term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74" w:lineRule="exact"/>
        <w:rPr>
          <w:sz w:val="20"/>
          <w:szCs w:val="20"/>
          <w:color w:val="auto"/>
        </w:rPr>
      </w:pPr>
    </w:p>
    <w:p>
      <w:pPr>
        <w:jc w:val="both"/>
        <w:ind w:firstLine="1199"/>
        <w:spacing w:after="0" w:line="252" w:lineRule="auto"/>
        <w:rPr>
          <w:sz w:val="20"/>
          <w:szCs w:val="20"/>
          <w:color w:val="auto"/>
        </w:rPr>
      </w:pPr>
      <w:r>
        <w:rPr>
          <w:rFonts w:ascii="Arial" w:cs="Arial" w:eastAsia="Arial" w:hAnsi="Arial"/>
          <w:sz w:val="20"/>
          <w:szCs w:val="20"/>
          <w:color w:val="auto"/>
        </w:rPr>
        <w:t>The undersigned has furnished the Administrative Agent and the Borrower with a certificate of its non-U.S. Person status on IRS Form W-8BEN or IRS Form W-8BEN-E, as applicable.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in writing with a properly completed and currently effective certificate in either the calendar year in which each payment is to be made to the undersigned, or in either of the two calendar years preceding such payments.</w:t>
      </w:r>
    </w:p>
    <w:p>
      <w:pPr>
        <w:spacing w:after="0" w:line="312"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 OF LENDER]</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 _______________________</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Name: ________________________</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Title: ________________________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U.S. Tax Compliance Certificate</w:t>
      </w:r>
    </w:p>
    <w:p>
      <w:pPr>
        <w:sectPr>
          <w:pgSz w:w="11900" w:h="16838" w:orient="portrait"/>
          <w:cols w:equalWidth="0" w:num="1">
            <w:col w:w="11420"/>
          </w:cols>
          <w:pgMar w:left="240" w:top="794" w:right="239" w:bottom="1440" w:gutter="0" w:footer="0" w:header="0"/>
        </w:sectPr>
      </w:pPr>
    </w:p>
    <w:bookmarkStart w:id="546" w:name="page547"/>
    <w:bookmarkEnd w:id="546"/>
    <w:p>
      <w:pPr>
        <w:jc w:val="right"/>
        <w:spacing w:after="0"/>
        <w:rPr>
          <w:sz w:val="20"/>
          <w:szCs w:val="20"/>
          <w:color w:val="auto"/>
        </w:rPr>
      </w:pPr>
      <w:r>
        <w:rPr>
          <w:rFonts w:ascii="Arial" w:cs="Arial" w:eastAsia="Arial" w:hAnsi="Arial"/>
          <w:sz w:val="20"/>
          <w:szCs w:val="20"/>
          <w:b w:val="1"/>
          <w:bCs w:val="1"/>
          <w:i w:val="1"/>
          <w:iCs w:val="1"/>
          <w:color w:val="auto"/>
        </w:rPr>
        <w:t>EXHIBIT H-2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 COMPLIANCE CERTIFICATE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Participants That Are Not Partnerships For U.S. Federal Income Tax Purposes)</w:t>
      </w:r>
    </w:p>
    <w:p>
      <w:pPr>
        <w:spacing w:after="0" w:line="191" w:lineRule="exact"/>
        <w:rPr>
          <w:sz w:val="20"/>
          <w:szCs w:val="20"/>
          <w:color w:val="auto"/>
        </w:rPr>
      </w:pPr>
    </w:p>
    <w:p>
      <w:pPr>
        <w:jc w:val="both"/>
        <w:ind w:firstLine="1199"/>
        <w:spacing w:after="0" w:line="293" w:lineRule="auto"/>
        <w:rPr>
          <w:sz w:val="20"/>
          <w:szCs w:val="20"/>
          <w:color w:val="auto"/>
        </w:rPr>
      </w:pPr>
      <w:r>
        <w:rPr>
          <w:rFonts w:ascii="Arial" w:cs="Arial" w:eastAsia="Arial" w:hAnsi="Arial"/>
          <w:sz w:val="18"/>
          <w:szCs w:val="18"/>
          <w:color w:val="auto"/>
        </w:rPr>
        <w:t>Reference is made to the Term Loan Agreement dated as of March 1, 2016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AMERICAN ASSETS TRUST, INC., a Maryland corporation, AMERICAN ASSETS TRUST, L.P., a Maryland limited partnership (the “</w:t>
      </w:r>
      <w:r>
        <w:rPr>
          <w:rFonts w:ascii="Arial" w:cs="Arial" w:eastAsia="Arial" w:hAnsi="Arial"/>
          <w:sz w:val="18"/>
          <w:szCs w:val="18"/>
          <w:u w:val="single" w:color="auto"/>
          <w:color w:val="auto"/>
        </w:rPr>
        <w:t>Borrower</w:t>
      </w:r>
      <w:r>
        <w:rPr>
          <w:rFonts w:ascii="Arial" w:cs="Arial" w:eastAsia="Arial" w:hAnsi="Arial"/>
          <w:sz w:val="18"/>
          <w:szCs w:val="18"/>
          <w:color w:val="auto"/>
        </w:rPr>
        <w:t>”), U.S. BANK NATIONAL ASSOCIATION, as Administrative Agent, and the Lenders party thereto. Capitalized terms used herein but not otherwise defined shall have the meaning given to such term in the Agreement.</w:t>
      </w:r>
    </w:p>
    <w:p>
      <w:pPr>
        <w:spacing w:after="0" w:line="138" w:lineRule="exact"/>
        <w:rPr>
          <w:sz w:val="20"/>
          <w:szCs w:val="20"/>
          <w:color w:val="auto"/>
        </w:rPr>
      </w:pPr>
    </w:p>
    <w:p>
      <w:pPr>
        <w:jc w:val="both"/>
        <w:ind w:firstLine="1199"/>
        <w:spacing w:after="0" w:line="253" w:lineRule="auto"/>
        <w:rPr>
          <w:sz w:val="20"/>
          <w:szCs w:val="20"/>
          <w:color w:val="auto"/>
        </w:rPr>
      </w:pPr>
      <w:r>
        <w:rPr>
          <w:rFonts w:ascii="Arial" w:cs="Arial" w:eastAsia="Arial" w:hAnsi="Arial"/>
          <w:sz w:val="20"/>
          <w:szCs w:val="20"/>
          <w:color w:val="auto"/>
        </w:rPr>
        <w:t xml:space="preserve">Pursuant to the provisions of </w:t>
      </w:r>
      <w:r>
        <w:rPr>
          <w:rFonts w:ascii="Arial" w:cs="Arial" w:eastAsia="Arial" w:hAnsi="Arial"/>
          <w:sz w:val="20"/>
          <w:szCs w:val="20"/>
          <w:u w:val="single" w:color="auto"/>
          <w:color w:val="auto"/>
        </w:rPr>
        <w:t>Section 3.01(e)</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10.06(d)</w:t>
      </w:r>
      <w:r>
        <w:rPr>
          <w:rFonts w:ascii="Arial" w:cs="Arial" w:eastAsia="Arial" w:hAnsi="Arial"/>
          <w:sz w:val="20"/>
          <w:szCs w:val="20"/>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a Borrower as described in Section 881(c)(3)(C) of the Code.</w:t>
      </w:r>
    </w:p>
    <w:p>
      <w:pPr>
        <w:spacing w:after="0" w:line="174" w:lineRule="exact"/>
        <w:rPr>
          <w:sz w:val="20"/>
          <w:szCs w:val="20"/>
          <w:color w:val="auto"/>
        </w:rPr>
      </w:pPr>
    </w:p>
    <w:p>
      <w:pPr>
        <w:jc w:val="both"/>
        <w:ind w:firstLine="1199"/>
        <w:spacing w:after="0" w:line="253" w:lineRule="auto"/>
        <w:rPr>
          <w:sz w:val="20"/>
          <w:szCs w:val="20"/>
          <w:color w:val="auto"/>
        </w:rPr>
      </w:pPr>
      <w:r>
        <w:rPr>
          <w:rFonts w:ascii="Arial" w:cs="Arial" w:eastAsia="Arial" w:hAnsi="Arial"/>
          <w:sz w:val="20"/>
          <w:szCs w:val="20"/>
          <w:color w:val="auto"/>
        </w:rPr>
        <w:t>The undersigned has furnished its participating Lender with a certificate of its non-U.S. Person status on IRS Form W-8BEN or IRS Form W-8BEN-E,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312"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 OF PARTICIPANT]</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 _______________________</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Name: ________________________</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Title: ________________________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U.S. Tax Compliance Certificate</w:t>
      </w:r>
    </w:p>
    <w:p>
      <w:pPr>
        <w:sectPr>
          <w:pgSz w:w="11900" w:h="16838" w:orient="portrait"/>
          <w:cols w:equalWidth="0" w:num="1">
            <w:col w:w="11420"/>
          </w:cols>
          <w:pgMar w:left="240" w:top="795" w:right="239" w:bottom="1440" w:gutter="0" w:footer="0" w:header="0"/>
        </w:sectPr>
      </w:pPr>
    </w:p>
    <w:bookmarkStart w:id="547" w:name="page548"/>
    <w:bookmarkEnd w:id="547"/>
    <w:p>
      <w:pPr>
        <w:jc w:val="right"/>
        <w:spacing w:after="0"/>
        <w:rPr>
          <w:sz w:val="20"/>
          <w:szCs w:val="20"/>
          <w:color w:val="auto"/>
        </w:rPr>
      </w:pPr>
      <w:r>
        <w:rPr>
          <w:rFonts w:ascii="Arial" w:cs="Arial" w:eastAsia="Arial" w:hAnsi="Arial"/>
          <w:sz w:val="20"/>
          <w:szCs w:val="20"/>
          <w:b w:val="1"/>
          <w:bCs w:val="1"/>
          <w:i w:val="1"/>
          <w:iCs w:val="1"/>
          <w:color w:val="auto"/>
        </w:rPr>
        <w:t>EXHIBIT H-3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 COMPLIANCE CERTIFICATE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Participants That Are Partnerships For U.S. Federal Income Tax Purposes)</w:t>
      </w:r>
    </w:p>
    <w:p>
      <w:pPr>
        <w:spacing w:after="0" w:line="191" w:lineRule="exact"/>
        <w:rPr>
          <w:sz w:val="20"/>
          <w:szCs w:val="20"/>
          <w:color w:val="auto"/>
        </w:rPr>
      </w:pPr>
    </w:p>
    <w:p>
      <w:pPr>
        <w:jc w:val="both"/>
        <w:ind w:firstLine="1199"/>
        <w:spacing w:after="0" w:line="293" w:lineRule="auto"/>
        <w:rPr>
          <w:sz w:val="20"/>
          <w:szCs w:val="20"/>
          <w:color w:val="auto"/>
        </w:rPr>
      </w:pPr>
      <w:r>
        <w:rPr>
          <w:rFonts w:ascii="Arial" w:cs="Arial" w:eastAsia="Arial" w:hAnsi="Arial"/>
          <w:sz w:val="18"/>
          <w:szCs w:val="18"/>
          <w:color w:val="auto"/>
        </w:rPr>
        <w:t>Reference is made to the Term Loan Agreement dated as of March 1, 2016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AMERICAN ASSETS TRUST, INC., a Maryland corporation, AMERICAN ASSETS TRUST, L.P., a Maryland limited partnership (the “</w:t>
      </w:r>
      <w:r>
        <w:rPr>
          <w:rFonts w:ascii="Arial" w:cs="Arial" w:eastAsia="Arial" w:hAnsi="Arial"/>
          <w:sz w:val="18"/>
          <w:szCs w:val="18"/>
          <w:u w:val="single" w:color="auto"/>
          <w:color w:val="auto"/>
        </w:rPr>
        <w:t>Borrower</w:t>
      </w:r>
      <w:r>
        <w:rPr>
          <w:rFonts w:ascii="Arial" w:cs="Arial" w:eastAsia="Arial" w:hAnsi="Arial"/>
          <w:sz w:val="18"/>
          <w:szCs w:val="18"/>
          <w:color w:val="auto"/>
        </w:rPr>
        <w:t>”), U.S. BANK NATIONAL ASSOCIATION, as Administrative Agent, and the Lenders party thereto. Capitalized terms used herein but not otherwise defined shall have the meaning given to such term in the Agreement.</w:t>
      </w:r>
    </w:p>
    <w:p>
      <w:pPr>
        <w:spacing w:after="0" w:line="138" w:lineRule="exact"/>
        <w:rPr>
          <w:sz w:val="20"/>
          <w:szCs w:val="20"/>
          <w:color w:val="auto"/>
        </w:rPr>
      </w:pPr>
    </w:p>
    <w:p>
      <w:pPr>
        <w:jc w:val="both"/>
        <w:ind w:firstLine="1199"/>
        <w:spacing w:after="0" w:line="284"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10.06(d)</w:t>
      </w:r>
      <w:r>
        <w:rPr>
          <w:rFonts w:ascii="Arial" w:cs="Arial" w:eastAsia="Arial" w:hAnsi="Arial"/>
          <w:sz w:val="18"/>
          <w:szCs w:val="18"/>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a Borrower as described in Section 881(c)(3)(C) of the Code.</w:t>
      </w:r>
    </w:p>
    <w:p>
      <w:pPr>
        <w:spacing w:after="0" w:line="146" w:lineRule="exact"/>
        <w:rPr>
          <w:sz w:val="20"/>
          <w:szCs w:val="20"/>
          <w:color w:val="auto"/>
        </w:rPr>
      </w:pPr>
    </w:p>
    <w:p>
      <w:pPr>
        <w:jc w:val="both"/>
        <w:ind w:firstLine="1199"/>
        <w:spacing w:after="0" w:line="284" w:lineRule="auto"/>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H-3-1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U.S. Tax Compliance Certificate</w:t>
      </w:r>
    </w:p>
    <w:p>
      <w:pPr>
        <w:sectPr>
          <w:pgSz w:w="11900" w:h="16838" w:orient="portrait"/>
          <w:cols w:equalWidth="0" w:num="1">
            <w:col w:w="11420"/>
          </w:cols>
          <w:pgMar w:left="240" w:top="795" w:right="239" w:bottom="1440" w:gutter="0" w:footer="0" w:header="0"/>
        </w:sectPr>
      </w:pPr>
    </w:p>
    <w:bookmarkStart w:id="548" w:name="page549"/>
    <w:bookmarkEnd w:id="548"/>
    <w:p>
      <w:pPr>
        <w:ind w:left="20"/>
        <w:spacing w:after="0"/>
        <w:rPr>
          <w:sz w:val="20"/>
          <w:szCs w:val="20"/>
          <w:color w:val="auto"/>
        </w:rPr>
      </w:pPr>
      <w:r>
        <w:rPr>
          <w:rFonts w:ascii="Arial" w:cs="Arial" w:eastAsia="Arial" w:hAnsi="Arial"/>
          <w:sz w:val="20"/>
          <w:szCs w:val="20"/>
          <w:color w:val="auto"/>
        </w:rPr>
        <w:t>[NAME OF PARTICIPANT]</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 _______________________</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Name: ________________________</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Title: ________________________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H-3-2</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U.S. Tax Compliance Certificate</w:t>
      </w:r>
    </w:p>
    <w:p>
      <w:pPr>
        <w:sectPr>
          <w:pgSz w:w="11900" w:h="16838" w:orient="portrait"/>
          <w:cols w:equalWidth="0" w:num="1">
            <w:col w:w="10219"/>
          </w:cols>
          <w:pgMar w:left="240" w:top="932" w:right="1440" w:bottom="1440" w:gutter="0" w:footer="0" w:header="0"/>
        </w:sectPr>
      </w:pPr>
    </w:p>
    <w:bookmarkStart w:id="549" w:name="page550"/>
    <w:bookmarkEnd w:id="549"/>
    <w:p>
      <w:pPr>
        <w:jc w:val="right"/>
        <w:spacing w:after="0"/>
        <w:rPr>
          <w:sz w:val="20"/>
          <w:szCs w:val="20"/>
          <w:color w:val="auto"/>
        </w:rPr>
      </w:pPr>
      <w:r>
        <w:rPr>
          <w:rFonts w:ascii="Arial" w:cs="Arial" w:eastAsia="Arial" w:hAnsi="Arial"/>
          <w:sz w:val="20"/>
          <w:szCs w:val="20"/>
          <w:b w:val="1"/>
          <w:bCs w:val="1"/>
          <w:i w:val="1"/>
          <w:iCs w:val="1"/>
          <w:color w:val="auto"/>
        </w:rPr>
        <w:t>EXHIBIT H-4</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 COMPLIANCE CERTIFICATE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Partnerships For U.S. Federal Income Tax Purposes)</w:t>
      </w:r>
    </w:p>
    <w:p>
      <w:pPr>
        <w:spacing w:after="0" w:line="191" w:lineRule="exact"/>
        <w:rPr>
          <w:sz w:val="20"/>
          <w:szCs w:val="20"/>
          <w:color w:val="auto"/>
        </w:rPr>
      </w:pPr>
    </w:p>
    <w:p>
      <w:pPr>
        <w:jc w:val="both"/>
        <w:ind w:firstLine="1199"/>
        <w:spacing w:after="0" w:line="293" w:lineRule="auto"/>
        <w:rPr>
          <w:sz w:val="20"/>
          <w:szCs w:val="20"/>
          <w:color w:val="auto"/>
        </w:rPr>
      </w:pPr>
      <w:r>
        <w:rPr>
          <w:rFonts w:ascii="Arial" w:cs="Arial" w:eastAsia="Arial" w:hAnsi="Arial"/>
          <w:sz w:val="18"/>
          <w:szCs w:val="18"/>
          <w:color w:val="auto"/>
        </w:rPr>
        <w:t>Reference is made to the Term Loan Agreement dated as of March 1, 2016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AMERICAN ASSETS TRUST, INC., a Maryland corporation, AMERICAN ASSETS TRUST, L.P., a Maryland limited partnership (the “</w:t>
      </w:r>
      <w:r>
        <w:rPr>
          <w:rFonts w:ascii="Arial" w:cs="Arial" w:eastAsia="Arial" w:hAnsi="Arial"/>
          <w:sz w:val="18"/>
          <w:szCs w:val="18"/>
          <w:u w:val="single" w:color="auto"/>
          <w:color w:val="auto"/>
        </w:rPr>
        <w:t>Borrower</w:t>
      </w:r>
      <w:r>
        <w:rPr>
          <w:rFonts w:ascii="Arial" w:cs="Arial" w:eastAsia="Arial" w:hAnsi="Arial"/>
          <w:sz w:val="18"/>
          <w:szCs w:val="18"/>
          <w:color w:val="auto"/>
        </w:rPr>
        <w:t>”), U.S. BANK NATIONAL ASSOCIATION, as Administrative Agent, and the Lenders party thereto. Capitalized terms used herein but not otherwise defined shall have the meaning given to such term in the Agreement.</w:t>
      </w:r>
    </w:p>
    <w:p>
      <w:pPr>
        <w:spacing w:after="0" w:line="138" w:lineRule="exact"/>
        <w:rPr>
          <w:sz w:val="20"/>
          <w:szCs w:val="20"/>
          <w:color w:val="auto"/>
        </w:rPr>
      </w:pPr>
    </w:p>
    <w:p>
      <w:pPr>
        <w:jc w:val="both"/>
        <w:ind w:firstLine="1199"/>
        <w:spacing w:after="0" w:line="282"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of the Credit Agreement, the undersigned hereby certifies that (i) it is the sole record owner of the Term Loan(s) (as well as any Term Note(s) evidencing such Term Loan(s)) in respect of which it is providing this certificate, (ii) its direct or indirect partners/members are the sole beneficial owners of such Term Loan(s) (as well as any Term Note(s) evidencing such Term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 Borrower within the meaning of Section 871(h)(3)(B) of the Code and (v) none of its direct or indirect partners/members is a controlled foreign corporation related to the Borrower as described in Section 881(c)(3)(C) of the Code.</w:t>
      </w:r>
    </w:p>
    <w:p>
      <w:pPr>
        <w:spacing w:after="0" w:line="153" w:lineRule="exact"/>
        <w:rPr>
          <w:sz w:val="20"/>
          <w:szCs w:val="20"/>
          <w:color w:val="auto"/>
        </w:rPr>
      </w:pPr>
    </w:p>
    <w:p>
      <w:pPr>
        <w:jc w:val="both"/>
        <w:ind w:firstLine="1199"/>
        <w:spacing w:after="0" w:line="266" w:lineRule="auto"/>
        <w:rPr>
          <w:sz w:val="20"/>
          <w:szCs w:val="20"/>
          <w:color w:val="auto"/>
        </w:rPr>
      </w:pPr>
      <w:r>
        <w:rPr>
          <w:rFonts w:ascii="Arial" w:cs="Arial" w:eastAsia="Arial" w:hAnsi="Arial"/>
          <w:sz w:val="19"/>
          <w:szCs w:val="19"/>
          <w:color w:val="auto"/>
        </w:rPr>
        <w:t>The undersigned has furnished the Administrative Agent and the Borrower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H-4-1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U.S. Tax Compliance Certificate</w:t>
      </w:r>
    </w:p>
    <w:p>
      <w:pPr>
        <w:sectPr>
          <w:pgSz w:w="11900" w:h="16838" w:orient="portrait"/>
          <w:cols w:equalWidth="0" w:num="1">
            <w:col w:w="11420"/>
          </w:cols>
          <w:pgMar w:left="240" w:top="795" w:right="239" w:bottom="1440" w:gutter="0" w:footer="0" w:header="0"/>
        </w:sectPr>
      </w:pPr>
    </w:p>
    <w:bookmarkStart w:id="550" w:name="page551"/>
    <w:bookmarkEnd w:id="550"/>
    <w:p>
      <w:pPr>
        <w:ind w:left="20"/>
        <w:spacing w:after="0"/>
        <w:rPr>
          <w:sz w:val="20"/>
          <w:szCs w:val="20"/>
          <w:color w:val="auto"/>
        </w:rPr>
      </w:pPr>
      <w:r>
        <w:rPr>
          <w:rFonts w:ascii="Arial" w:cs="Arial" w:eastAsia="Arial" w:hAnsi="Arial"/>
          <w:sz w:val="20"/>
          <w:szCs w:val="20"/>
          <w:color w:val="auto"/>
        </w:rPr>
        <w:t>[NAME OF LENDER]</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 _______________________</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Name: ________________________</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Title: ________________________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H-4-2</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U.S. Tax Compliance Certificate</w:t>
      </w:r>
    </w:p>
    <w:p>
      <w:pPr>
        <w:sectPr>
          <w:pgSz w:w="11900" w:h="16838" w:orient="portrait"/>
          <w:cols w:equalWidth="0" w:num="1">
            <w:col w:w="10219"/>
          </w:cols>
          <w:pgMar w:left="240" w:top="932" w:right="1440" w:bottom="1440" w:gutter="0" w:footer="0" w:header="0"/>
        </w:sectPr>
      </w:pPr>
    </w:p>
    <w:bookmarkStart w:id="551" w:name="page552"/>
    <w:bookmarkEnd w:id="551"/>
    <w:p>
      <w:pPr>
        <w:jc w:val="center"/>
        <w:ind w:right="-20"/>
        <w:spacing w:after="0"/>
        <w:rPr>
          <w:sz w:val="20"/>
          <w:szCs w:val="20"/>
          <w:color w:val="auto"/>
        </w:rPr>
      </w:pPr>
      <w:r>
        <w:rPr>
          <w:rFonts w:ascii="Arial" w:cs="Arial" w:eastAsia="Arial" w:hAnsi="Arial"/>
          <w:sz w:val="20"/>
          <w:szCs w:val="20"/>
          <w:b w:val="1"/>
          <w:bCs w:val="1"/>
          <w:color w:val="auto"/>
        </w:rPr>
        <w:t>EXHIBIT B-1</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Marked Copy of Amended Guaranty Agreement</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[Attached]</w:t>
      </w:r>
    </w:p>
    <w:p>
      <w:pPr>
        <w:sectPr>
          <w:pgSz w:w="11900" w:h="16838" w:orient="portrait"/>
          <w:cols w:equalWidth="0" w:num="1">
            <w:col w:w="9019"/>
          </w:cols>
          <w:pgMar w:left="1440" w:top="789" w:right="1440" w:bottom="1440" w:gutter="0" w:footer="0" w:header="0"/>
        </w:sectPr>
      </w:pPr>
    </w:p>
    <w:bookmarkStart w:id="552" w:name="page553"/>
    <w:bookmarkEnd w:id="552"/>
    <w:p>
      <w:pPr>
        <w:jc w:val="right"/>
        <w:spacing w:after="0"/>
        <w:rPr>
          <w:sz w:val="20"/>
          <w:szCs w:val="20"/>
          <w:color w:val="auto"/>
        </w:rPr>
      </w:pPr>
      <w:r>
        <w:rPr>
          <w:rFonts w:ascii="Arial" w:cs="Arial" w:eastAsia="Arial" w:hAnsi="Arial"/>
          <w:sz w:val="20"/>
          <w:szCs w:val="20"/>
          <w:color w:val="FF0000"/>
          <w:strike w:val="1"/>
        </w:rPr>
        <w:t>EXECUTION COPY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0000FF"/>
          <w:highlight w:val="lightGray"/>
        </w:rPr>
        <w:t>Conformed to include Third Amendment to Term Loan Agreement dated as of January 9, 2018</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GUARANTY</w:t>
      </w:r>
    </w:p>
    <w:p>
      <w:pPr>
        <w:spacing w:after="0" w:line="213" w:lineRule="exact"/>
        <w:rPr>
          <w:sz w:val="20"/>
          <w:szCs w:val="20"/>
          <w:color w:val="auto"/>
        </w:rPr>
      </w:pPr>
    </w:p>
    <w:p>
      <w:pPr>
        <w:jc w:val="both"/>
        <w:ind w:firstLine="1199"/>
        <w:spacing w:after="0" w:line="270" w:lineRule="auto"/>
        <w:rPr>
          <w:sz w:val="20"/>
          <w:szCs w:val="20"/>
          <w:color w:val="auto"/>
        </w:rPr>
      </w:pPr>
      <w:r>
        <w:rPr>
          <w:rFonts w:ascii="Arial" w:cs="Arial" w:eastAsia="Arial" w:hAnsi="Arial"/>
          <w:sz w:val="19"/>
          <w:szCs w:val="19"/>
          <w:color w:val="auto"/>
        </w:rPr>
        <w:t>GUARANTY (as amended, modified, restated and/or supplemented from time to time, this “</w:t>
      </w:r>
      <w:r>
        <w:rPr>
          <w:rFonts w:ascii="Arial" w:cs="Arial" w:eastAsia="Arial" w:hAnsi="Arial"/>
          <w:sz w:val="19"/>
          <w:szCs w:val="19"/>
          <w:u w:val="single" w:color="auto"/>
          <w:color w:val="auto"/>
        </w:rPr>
        <w:t>Guaranty</w:t>
      </w:r>
      <w:r>
        <w:rPr>
          <w:rFonts w:ascii="Arial" w:cs="Arial" w:eastAsia="Arial" w:hAnsi="Arial"/>
          <w:sz w:val="19"/>
          <w:szCs w:val="19"/>
          <w:color w:val="auto"/>
        </w:rPr>
        <w:t>”), dated as of March 1, 2016 made by and among each of the undersigned guarantors (each, a “</w:t>
      </w:r>
      <w:r>
        <w:rPr>
          <w:rFonts w:ascii="Arial" w:cs="Arial" w:eastAsia="Arial" w:hAnsi="Arial"/>
          <w:sz w:val="19"/>
          <w:szCs w:val="19"/>
          <w:u w:val="single" w:color="auto"/>
          <w:color w:val="auto"/>
        </w:rPr>
        <w:t>Guarantor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Guarantors</w:t>
      </w:r>
      <w:r>
        <w:rPr>
          <w:rFonts w:ascii="Arial" w:cs="Arial" w:eastAsia="Arial" w:hAnsi="Arial"/>
          <w:sz w:val="19"/>
          <w:szCs w:val="19"/>
          <w:color w:val="auto"/>
        </w:rPr>
        <w:t>”) in favor of U.S. BANK NATIONAL ASSOCIATION, as Administrative Agent (in such capacity, together with any successor administrative agent,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for the benefit of the Creditor Parties (as defined below). Except as otherwise defined herein, all capitalized terms used herein and defined in the Term Loan Agreement (as defined below) shall be used herein as therein defined.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 I T N E S S E T H :</w:t>
      </w:r>
    </w:p>
    <w:p>
      <w:pPr>
        <w:spacing w:after="0" w:line="207" w:lineRule="exact"/>
        <w:rPr>
          <w:sz w:val="20"/>
          <w:szCs w:val="20"/>
          <w:color w:val="auto"/>
        </w:rPr>
      </w:pPr>
    </w:p>
    <w:p>
      <w:pPr>
        <w:jc w:val="both"/>
        <w:ind w:firstLine="1199"/>
        <w:spacing w:after="0" w:line="273" w:lineRule="auto"/>
        <w:rPr>
          <w:sz w:val="20"/>
          <w:szCs w:val="20"/>
          <w:color w:val="auto"/>
        </w:rPr>
      </w:pPr>
      <w:r>
        <w:rPr>
          <w:rFonts w:ascii="Arial" w:cs="Arial" w:eastAsia="Arial" w:hAnsi="Arial"/>
          <w:sz w:val="19"/>
          <w:szCs w:val="19"/>
          <w:color w:val="auto"/>
        </w:rPr>
        <w:t>WHEREAS, concurrently with the execution hereof, American Assets Trust, Inc., a Maryland corporation (the “</w:t>
      </w:r>
      <w:r>
        <w:rPr>
          <w:rFonts w:ascii="Arial" w:cs="Arial" w:eastAsia="Arial" w:hAnsi="Arial"/>
          <w:sz w:val="19"/>
          <w:szCs w:val="19"/>
          <w:u w:val="single" w:color="auto"/>
          <w:color w:val="auto"/>
        </w:rPr>
        <w:t>REIT</w:t>
      </w:r>
      <w:r>
        <w:rPr>
          <w:rFonts w:ascii="Arial" w:cs="Arial" w:eastAsia="Arial" w:hAnsi="Arial"/>
          <w:sz w:val="19"/>
          <w:szCs w:val="19"/>
          <w:color w:val="auto"/>
        </w:rPr>
        <w:t>”), American Assets Trust, L.P., a Maryland limited partnership (the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party thereto (the “</w:t>
      </w:r>
      <w:r>
        <w:rPr>
          <w:rFonts w:ascii="Arial" w:cs="Arial" w:eastAsia="Arial" w:hAnsi="Arial"/>
          <w:sz w:val="19"/>
          <w:szCs w:val="19"/>
          <w:u w:val="single" w:color="auto"/>
          <w:color w:val="auto"/>
        </w:rPr>
        <w:t>Lenders</w:t>
      </w:r>
      <w:r>
        <w:rPr>
          <w:rFonts w:ascii="Arial" w:cs="Arial" w:eastAsia="Arial" w:hAnsi="Arial"/>
          <w:sz w:val="19"/>
          <w:szCs w:val="19"/>
          <w:color w:val="auto"/>
        </w:rPr>
        <w:t>”) and the Administrative Agent are entering into a Term Loan Agreement, dated as of the date hereof (as amended, restated, supplemented or otherwise modified from time to time, the “</w:t>
      </w:r>
      <w:r>
        <w:rPr>
          <w:rFonts w:ascii="Arial" w:cs="Arial" w:eastAsia="Arial" w:hAnsi="Arial"/>
          <w:sz w:val="19"/>
          <w:szCs w:val="19"/>
          <w:u w:val="single" w:color="auto"/>
          <w:color w:val="auto"/>
        </w:rPr>
        <w:t>Term Loan Agreement</w:t>
      </w:r>
      <w:r>
        <w:rPr>
          <w:rFonts w:ascii="Arial" w:cs="Arial" w:eastAsia="Arial" w:hAnsi="Arial"/>
          <w:sz w:val="19"/>
          <w:szCs w:val="19"/>
          <w:color w:val="auto"/>
        </w:rPr>
        <w:t>”), on the terms and subject to the conditions set forth therein.</w:t>
      </w:r>
    </w:p>
    <w:p>
      <w:pPr>
        <w:spacing w:after="0" w:line="155" w:lineRule="exact"/>
        <w:rPr>
          <w:sz w:val="20"/>
          <w:szCs w:val="20"/>
          <w:color w:val="auto"/>
        </w:rPr>
      </w:pPr>
    </w:p>
    <w:p>
      <w:pPr>
        <w:jc w:val="both"/>
        <w:ind w:firstLine="1199"/>
        <w:spacing w:after="0" w:line="272" w:lineRule="auto"/>
        <w:rPr>
          <w:sz w:val="20"/>
          <w:szCs w:val="20"/>
          <w:color w:val="auto"/>
        </w:rPr>
      </w:pPr>
      <w:r>
        <w:rPr>
          <w:rFonts w:ascii="Arial" w:cs="Arial" w:eastAsia="Arial" w:hAnsi="Arial"/>
          <w:sz w:val="20"/>
          <w:szCs w:val="20"/>
          <w:color w:val="auto"/>
        </w:rPr>
        <w:t xml:space="preserve">WHEREAS, each Guarantor is either the REIT, which is the direct parent of the Borrower, or a direct or indirect Subsidiary of the </w:t>
      </w:r>
      <w:r>
        <w:rPr>
          <w:rFonts w:ascii="Arial" w:cs="Arial" w:eastAsia="Arial" w:hAnsi="Arial"/>
          <w:sz w:val="20"/>
          <w:szCs w:val="20"/>
          <w:color w:val="FF0000"/>
          <w:strike w:val="1"/>
        </w:rPr>
        <w:t>Borrower</w:t>
      </w:r>
      <w:r>
        <w:rPr>
          <w:rFonts w:ascii="Arial" w:cs="Arial" w:eastAsia="Arial" w:hAnsi="Arial"/>
          <w:sz w:val="20"/>
          <w:szCs w:val="20"/>
          <w:b w:val="1"/>
          <w:bCs w:val="1"/>
          <w:u w:val="single" w:color="auto"/>
          <w:color w:val="0000FF"/>
          <w:highlight w:val="lightGray"/>
        </w:rPr>
        <w:t>REIT</w:t>
      </w:r>
      <w:r>
        <w:rPr>
          <w:rFonts w:ascii="Arial" w:cs="Arial" w:eastAsia="Arial" w:hAnsi="Arial"/>
          <w:sz w:val="20"/>
          <w:szCs w:val="20"/>
          <w:color w:val="auto"/>
        </w:rPr>
        <w:t>.</w:t>
      </w:r>
    </w:p>
    <w:p>
      <w:pPr>
        <w:spacing w:after="0" w:line="147" w:lineRule="exact"/>
        <w:rPr>
          <w:sz w:val="20"/>
          <w:szCs w:val="20"/>
          <w:color w:val="auto"/>
        </w:rPr>
      </w:pPr>
    </w:p>
    <w:p>
      <w:pPr>
        <w:jc w:val="both"/>
        <w:ind w:firstLine="1199"/>
        <w:spacing w:after="0" w:line="336" w:lineRule="auto"/>
        <w:rPr>
          <w:sz w:val="20"/>
          <w:szCs w:val="20"/>
          <w:color w:val="auto"/>
        </w:rPr>
      </w:pPr>
      <w:r>
        <w:rPr>
          <w:rFonts w:ascii="Arial" w:cs="Arial" w:eastAsia="Arial" w:hAnsi="Arial"/>
          <w:sz w:val="18"/>
          <w:szCs w:val="18"/>
          <w:color w:val="auto"/>
        </w:rPr>
        <w:t xml:space="preserve">WHEREAS, it is a condition precedent to the effectiveness of the Term Loan Agreement and the </w:t>
      </w:r>
      <w:r>
        <w:rPr>
          <w:rFonts w:ascii="Arial" w:cs="Arial" w:eastAsia="Arial" w:hAnsi="Arial"/>
          <w:sz w:val="18"/>
          <w:szCs w:val="18"/>
          <w:b w:val="1"/>
          <w:bCs w:val="1"/>
          <w:u w:val="single" w:color="auto"/>
          <w:color w:val="0000FF"/>
          <w:highlight w:val="lightGray"/>
        </w:rPr>
        <w:t>continuation and</w:t>
      </w:r>
      <w:r>
        <w:rPr>
          <w:rFonts w:ascii="Arial" w:cs="Arial" w:eastAsia="Arial" w:hAnsi="Arial"/>
          <w:sz w:val="18"/>
          <w:szCs w:val="18"/>
          <w:color w:val="auto"/>
        </w:rPr>
        <w:t xml:space="preserve"> making of the Term Loans to the Borrower that each Guarantor shall have executed and delivered this Guaranty to the Administrative Agent.</w:t>
      </w:r>
    </w:p>
    <w:p>
      <w:pPr>
        <w:spacing w:after="0" w:line="101" w:lineRule="exact"/>
        <w:rPr>
          <w:sz w:val="20"/>
          <w:szCs w:val="20"/>
          <w:color w:val="auto"/>
        </w:rPr>
      </w:pPr>
    </w:p>
    <w:p>
      <w:pPr>
        <w:jc w:val="both"/>
        <w:ind w:firstLine="1199"/>
        <w:spacing w:after="0" w:line="260" w:lineRule="auto"/>
        <w:rPr>
          <w:sz w:val="20"/>
          <w:szCs w:val="20"/>
          <w:color w:val="auto"/>
        </w:rPr>
      </w:pPr>
      <w:r>
        <w:rPr>
          <w:rFonts w:ascii="Arial" w:cs="Arial" w:eastAsia="Arial" w:hAnsi="Arial"/>
          <w:sz w:val="20"/>
          <w:szCs w:val="20"/>
          <w:color w:val="auto"/>
        </w:rPr>
        <w:t>WHEREAS, each Guarantor will obtain substantial direct and indirect benefits from the incurrence of the Term Loans by the Borrower under the Term Loan Agreement and, accordingly, desires to execute this Guaranty in order to satisfy the condition described in the preceding paragraph and to induce the Lenders to continue to make the Term Loans to the Borrower.</w:t>
      </w:r>
    </w:p>
    <w:p>
      <w:pPr>
        <w:spacing w:after="0" w:line="164" w:lineRule="exact"/>
        <w:rPr>
          <w:sz w:val="20"/>
          <w:szCs w:val="20"/>
          <w:color w:val="auto"/>
        </w:rPr>
      </w:pPr>
    </w:p>
    <w:p>
      <w:pPr>
        <w:jc w:val="both"/>
        <w:ind w:firstLine="1199"/>
        <w:spacing w:after="0" w:line="253" w:lineRule="auto"/>
        <w:rPr>
          <w:sz w:val="20"/>
          <w:szCs w:val="20"/>
          <w:color w:val="auto"/>
        </w:rPr>
      </w:pPr>
      <w:r>
        <w:rPr>
          <w:rFonts w:ascii="Arial" w:cs="Arial" w:eastAsia="Arial" w:hAnsi="Arial"/>
          <w:sz w:val="20"/>
          <w:szCs w:val="20"/>
          <w:color w:val="auto"/>
        </w:rPr>
        <w:t>NOW, THEREFORE, in consideration of the foregoing and other benefits accruing to each Guarantor, the receipt and sufficiency of which are hereby acknowledged, each Guarantor hereby makes the following representations and warranties to the Administrative Agent for the benefit of the Administrative Agent, the Lenders and the other parties to whom any Obligations are owing (together with the Administrative Agent and the Lenders, the “</w:t>
      </w:r>
      <w:r>
        <w:rPr>
          <w:rFonts w:ascii="Arial" w:cs="Arial" w:eastAsia="Arial" w:hAnsi="Arial"/>
          <w:sz w:val="20"/>
          <w:szCs w:val="20"/>
          <w:u w:val="single" w:color="auto"/>
          <w:color w:val="auto"/>
        </w:rPr>
        <w:t>Creditor Parties</w:t>
      </w:r>
      <w:r>
        <w:rPr>
          <w:rFonts w:ascii="Arial" w:cs="Arial" w:eastAsia="Arial" w:hAnsi="Arial"/>
          <w:sz w:val="20"/>
          <w:szCs w:val="20"/>
          <w:color w:val="auto"/>
        </w:rPr>
        <w:t>”) and hereby covenants and agrees with each other Guarantor and the Administrative Agent for the benefit of the Creditor Parties as follows:</w:t>
      </w:r>
    </w:p>
    <w:p>
      <w:pPr>
        <w:spacing w:after="0" w:line="168" w:lineRule="exact"/>
        <w:rPr>
          <w:sz w:val="20"/>
          <w:szCs w:val="20"/>
          <w:color w:val="auto"/>
        </w:rPr>
      </w:pPr>
    </w:p>
    <w:p>
      <w:pPr>
        <w:jc w:val="both"/>
        <w:ind w:firstLine="599"/>
        <w:spacing w:after="0" w:line="267" w:lineRule="auto"/>
        <w:tabs>
          <w:tab w:leader="none" w:pos="1349" w:val="left"/>
        </w:tabs>
        <w:numPr>
          <w:ilvl w:val="0"/>
          <w:numId w:val="666"/>
        </w:numPr>
        <w:rPr>
          <w:rFonts w:ascii="Arial" w:cs="Arial" w:eastAsia="Arial" w:hAnsi="Arial"/>
          <w:sz w:val="19"/>
          <w:szCs w:val="19"/>
          <w:color w:val="auto"/>
        </w:rPr>
      </w:pPr>
      <w:r>
        <w:rPr>
          <w:rFonts w:ascii="Arial" w:cs="Arial" w:eastAsia="Arial" w:hAnsi="Arial"/>
          <w:sz w:val="19"/>
          <w:szCs w:val="19"/>
          <w:b w:val="1"/>
          <w:bCs w:val="1"/>
          <w:color w:val="auto"/>
        </w:rPr>
        <w:t xml:space="preserve">Guaranty. </w:t>
      </w:r>
      <w:r>
        <w:rPr>
          <w:rFonts w:ascii="Arial" w:cs="Arial" w:eastAsia="Arial" w:hAnsi="Arial"/>
          <w:sz w:val="19"/>
          <w:szCs w:val="19"/>
          <w:color w:val="auto"/>
        </w:rPr>
        <w:t>Each Guarantor, jointly and severally with the other Guarantors, hereby absolutely and unconditionally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guarantees, as a guaranty of payment and performance and not as a guaranty of collection, prompt payment when due, whether at stated maturity, by required prepayment, upon acceleration, demand or otherwise, and at all times thereafter, of all of the Obligations, including without limitation (i) the principal of, premium, if any, and interest on the Term Notes issued by, and the Term Loans made to, the Borrower under the Term Loan Agreement, (ii) all renewals, extensions, amendments and other modifications thereof, and (iii) all out-of-pocket expenses incurred by any Creditor Party (including the </w:t>
      </w:r>
      <w:r>
        <w:rPr>
          <w:rFonts w:ascii="Arial" w:cs="Arial" w:eastAsia="Arial" w:hAnsi="Arial"/>
          <w:sz w:val="19"/>
          <w:szCs w:val="19"/>
          <w:b w:val="1"/>
          <w:bCs w:val="1"/>
          <w:u w:val="single" w:color="auto"/>
          <w:color w:val="0000FF"/>
          <w:highlight w:val="lightGray"/>
        </w:rPr>
        <w:t>reasonable and documented</w:t>
      </w:r>
      <w:r>
        <w:rPr>
          <w:rFonts w:ascii="Arial" w:cs="Arial" w:eastAsia="Arial" w:hAnsi="Arial"/>
          <w:sz w:val="19"/>
          <w:szCs w:val="19"/>
          <w:color w:val="auto"/>
        </w:rPr>
        <w:t xml:space="preserve"> fees, charges and disbursements of any counsel for any Creditor Party) in connection with the collection or enforcement thereof for which the Borrower is liable under the Term Loan Agreement, and whether recovery upon such Obligations may be or hereafter become unenforceable or shall be an allowed</w:t>
      </w:r>
    </w:p>
    <w:p>
      <w:pPr>
        <w:sectPr>
          <w:pgSz w:w="11900" w:h="16838" w:orient="portrait"/>
          <w:cols w:equalWidth="0" w:num="1">
            <w:col w:w="11420"/>
          </w:cols>
          <w:pgMar w:left="240" w:top="358" w:right="239" w:bottom="1440" w:gutter="0" w:footer="0" w:header="0"/>
        </w:sectPr>
      </w:pPr>
    </w:p>
    <w:bookmarkStart w:id="553" w:name="page554"/>
    <w:bookmarkEnd w:id="553"/>
    <w:p>
      <w:pPr>
        <w:jc w:val="both"/>
        <w:spacing w:after="0" w:line="279" w:lineRule="auto"/>
        <w:rPr>
          <w:sz w:val="20"/>
          <w:szCs w:val="20"/>
          <w:color w:val="auto"/>
        </w:rPr>
      </w:pPr>
      <w:r>
        <w:rPr>
          <w:rFonts w:ascii="Arial" w:cs="Arial" w:eastAsia="Arial" w:hAnsi="Arial"/>
          <w:sz w:val="18"/>
          <w:szCs w:val="18"/>
          <w:color w:val="auto"/>
        </w:rPr>
        <w:t>or disallowed claim under any proceeding or case commenced by or against the Borrower or any other Loan Party under the Bankruptcy Code (Title 11, United States Code), any successor statute or any other liquidation, conservatorship, bankruptcy, assignment for the benefit of creditors, moratorium, rearrangement, receivership, insolvency, reorganization, or similar debtor relief laws of the United States or other applicable jurisdictions from time to time in effect (collectively, “</w:t>
      </w:r>
      <w:r>
        <w:rPr>
          <w:rFonts w:ascii="Arial" w:cs="Arial" w:eastAsia="Arial" w:hAnsi="Arial"/>
          <w:sz w:val="18"/>
          <w:szCs w:val="18"/>
          <w:u w:val="single" w:color="auto"/>
          <w:color w:val="auto"/>
        </w:rPr>
        <w:t>Debtor Relief Laws</w:t>
      </w:r>
      <w:r>
        <w:rPr>
          <w:rFonts w:ascii="Arial" w:cs="Arial" w:eastAsia="Arial" w:hAnsi="Arial"/>
          <w:sz w:val="18"/>
          <w:szCs w:val="18"/>
          <w:color w:val="auto"/>
        </w:rPr>
        <w:t>”), and including interest that accrues after the commencement by or against the Borrower or any other Loan Party of any proceeding under any Debtor Relief Laws (collectively, the “</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The books and records of the Administrative Agent or the Creditor Parties showing the amount of the Guaranteed Obligations shall be admissible in evidence in any action or proceeding, and shall be binding upon the Guarantors and conclusive for the purpose of establishing the amount of the Guaranteed Obligations absent manifest error. This Guaranty shall not be affected by the genuineness, validity, regularity or enforceability of the Guaranteed Obligations or any instrument or agreement evidencing any Guaranteed Obligations, or by the existence, validity, enforceability, perfection, non-perfection or extent of any collateral therefor, or by any fact or circumstance relating to the Guaranteed Obligations which might otherwise constitute a defense to the obligations of any Guarantor under this Guaranty, and each Guarantor hereby irrevocably waives any defenses (other than the defense of payment and performance in full of the Guaranteed Obligations) it may now have or hereafter acquire in any way relating to any or all of the foregoing.</w:t>
      </w:r>
    </w:p>
    <w:p>
      <w:pPr>
        <w:spacing w:after="0" w:line="194" w:lineRule="exact"/>
        <w:rPr>
          <w:sz w:val="20"/>
          <w:szCs w:val="20"/>
          <w:color w:val="auto"/>
        </w:rPr>
      </w:pPr>
    </w:p>
    <w:p>
      <w:pPr>
        <w:jc w:val="both"/>
        <w:ind w:firstLine="1199"/>
        <w:spacing w:after="0" w:line="262" w:lineRule="auto"/>
        <w:rPr>
          <w:sz w:val="20"/>
          <w:szCs w:val="20"/>
          <w:color w:val="auto"/>
        </w:rPr>
      </w:pPr>
      <w:r>
        <w:rPr>
          <w:rFonts w:ascii="Arial" w:cs="Arial" w:eastAsia="Arial" w:hAnsi="Arial"/>
          <w:sz w:val="19"/>
          <w:szCs w:val="19"/>
          <w:color w:val="auto"/>
        </w:rPr>
        <w:t xml:space="preserve">Anything contained in this Guaranty to the contrary notwithstanding, it is the intention of each Guarantor and the Creditor Parties that the obligations of each Guarantor hereunder at any time shall be limited to an aggregate amount equal to the largest amount that would not render its obligations hereunder subject to avoidance as a fraudulent transfer or conveyance under Section 548 of the Bankruptcy Code (Title 11, United States Code) or any comparable provisions of any similar federal or state law. To that end, but only in the event and to the extent that after giving effect to </w:t>
      </w:r>
      <w:r>
        <w:rPr>
          <w:rFonts w:ascii="Arial" w:cs="Arial" w:eastAsia="Arial" w:hAnsi="Arial"/>
          <w:sz w:val="19"/>
          <w:szCs w:val="19"/>
          <w:u w:val="single" w:color="auto"/>
          <w:color w:val="auto"/>
        </w:rPr>
        <w:t>Section 20</w:t>
      </w:r>
      <w:r>
        <w:rPr>
          <w:rFonts w:ascii="Arial" w:cs="Arial" w:eastAsia="Arial" w:hAnsi="Arial"/>
          <w:sz w:val="19"/>
          <w:szCs w:val="19"/>
          <w:color w:val="auto"/>
        </w:rPr>
        <w:t xml:space="preserve"> of this Guaranty, such Guarantor’s obligations with respect to the Guaranteed Obligations or any payment made pursuant to such Guaranteed Obligations would, but for the operation of the first sentence of this paragraph, be subject to avoidance or recovery in any such proceeding under applicable Debtor Relief Laws after giving effect to </w:t>
      </w:r>
      <w:r>
        <w:rPr>
          <w:rFonts w:ascii="Arial" w:cs="Arial" w:eastAsia="Arial" w:hAnsi="Arial"/>
          <w:sz w:val="19"/>
          <w:szCs w:val="19"/>
          <w:u w:val="single" w:color="auto"/>
          <w:color w:val="auto"/>
        </w:rPr>
        <w:t>Section 20</w:t>
      </w:r>
      <w:r>
        <w:rPr>
          <w:rFonts w:ascii="Arial" w:cs="Arial" w:eastAsia="Arial" w:hAnsi="Arial"/>
          <w:sz w:val="19"/>
          <w:szCs w:val="19"/>
          <w:color w:val="auto"/>
        </w:rPr>
        <w:t xml:space="preserve"> of this Guaranty, the amount of such Guarantor’s obligations with respect to the Guaranteed Obligations shall be limited to the largest amount which, after giving effect thereto, would not, under applicable Debtor Relief Laws, render such Guarantor’s obligations with respect to the Guaranteed Obligations unenforceable or avoidable or otherwise subject to recovery under applicable Debtor Relief Laws. To the extent any payment actually made pursuant to the Guaranteed Obligations exceeds the limitation of the first sentence of this paragraph and is otherwise subject to avoidance and recovery in any such proceeding under applicable Debtor Relief Laws, the amount subject to avoidance shall in all events be limited to the amount by which such actual payment exceeds such limitation, and the Guaranteed Obligations as limited by the first sentence of this paragraph shall in all events remain in full force and effect and be fully enforceable against such Guarantor. The first sentence of this paragraph is intended solely to preserve the rights of the Creditor Parties hereunder against such Guarantor in such proceeding to the maximum extent permitted by applicable Debtor Relief Laws and neither such Guarantor, the Borrower, any other Guarantor nor any other Person shall have any right or claim under such sentence that would not otherwise be available under applicable Debtor Relief Laws in such proceeding.</w:t>
      </w:r>
    </w:p>
    <w:p>
      <w:pPr>
        <w:spacing w:after="0" w:line="210" w:lineRule="exact"/>
        <w:rPr>
          <w:sz w:val="20"/>
          <w:szCs w:val="20"/>
          <w:color w:val="auto"/>
        </w:rPr>
      </w:pPr>
    </w:p>
    <w:p>
      <w:pPr>
        <w:ind w:firstLine="599"/>
        <w:spacing w:after="0" w:line="279" w:lineRule="auto"/>
        <w:tabs>
          <w:tab w:leader="none" w:pos="1349" w:val="left"/>
        </w:tabs>
        <w:numPr>
          <w:ilvl w:val="1"/>
          <w:numId w:val="667"/>
        </w:numPr>
        <w:rPr>
          <w:rFonts w:ascii="Arial" w:cs="Arial" w:eastAsia="Arial" w:hAnsi="Arial"/>
          <w:sz w:val="20"/>
          <w:szCs w:val="20"/>
          <w:color w:val="auto"/>
        </w:rPr>
      </w:pPr>
      <w:r>
        <w:rPr>
          <w:rFonts w:ascii="Arial" w:cs="Arial" w:eastAsia="Arial" w:hAnsi="Arial"/>
          <w:sz w:val="20"/>
          <w:szCs w:val="20"/>
          <w:b w:val="1"/>
          <w:bCs w:val="1"/>
          <w:color w:val="auto"/>
        </w:rPr>
        <w:t xml:space="preserve">No Setoff or Deductions; Taxes; Payments. </w:t>
      </w:r>
      <w:r>
        <w:rPr>
          <w:rFonts w:ascii="Arial" w:cs="Arial" w:eastAsia="Arial" w:hAnsi="Arial"/>
          <w:sz w:val="20"/>
          <w:szCs w:val="20"/>
          <w:color w:val="auto"/>
        </w:rPr>
        <w:t>All payments by any Guarantor hereunder shall be made in accordance with,</w:t>
      </w:r>
      <w:r>
        <w:rPr>
          <w:rFonts w:ascii="Arial" w:cs="Arial" w:eastAsia="Arial" w:hAnsi="Arial"/>
          <w:sz w:val="20"/>
          <w:szCs w:val="20"/>
          <w:b w:val="1"/>
          <w:bCs w:val="1"/>
          <w:color w:val="auto"/>
        </w:rPr>
        <w:t xml:space="preserve"> </w:t>
      </w:r>
      <w:r>
        <w:rPr>
          <w:rFonts w:ascii="Arial" w:cs="Arial" w:eastAsia="Arial" w:hAnsi="Arial"/>
          <w:sz w:val="20"/>
          <w:szCs w:val="20"/>
          <w:color w:val="auto"/>
        </w:rPr>
        <w:t>and subject to the provisions of, Section 3.01 of the Term Loan Agreement.</w:t>
      </w:r>
    </w:p>
    <w:p>
      <w:pPr>
        <w:spacing w:after="0" w:line="177" w:lineRule="exact"/>
        <w:rPr>
          <w:rFonts w:ascii="Arial" w:cs="Arial" w:eastAsia="Arial" w:hAnsi="Arial"/>
          <w:sz w:val="20"/>
          <w:szCs w:val="20"/>
          <w:color w:val="auto"/>
        </w:rPr>
      </w:pPr>
    </w:p>
    <w:p>
      <w:pPr>
        <w:jc w:val="both"/>
        <w:ind w:firstLine="599"/>
        <w:spacing w:after="0" w:line="283" w:lineRule="auto"/>
        <w:tabs>
          <w:tab w:leader="none" w:pos="1349" w:val="left"/>
        </w:tabs>
        <w:numPr>
          <w:ilvl w:val="1"/>
          <w:numId w:val="667"/>
        </w:numPr>
        <w:rPr>
          <w:rFonts w:ascii="Arial" w:cs="Arial" w:eastAsia="Arial" w:hAnsi="Arial"/>
          <w:sz w:val="18"/>
          <w:szCs w:val="18"/>
          <w:color w:val="auto"/>
        </w:rPr>
      </w:pPr>
      <w:r>
        <w:rPr>
          <w:rFonts w:ascii="Arial" w:cs="Arial" w:eastAsia="Arial" w:hAnsi="Arial"/>
          <w:sz w:val="18"/>
          <w:szCs w:val="18"/>
          <w:b w:val="1"/>
          <w:bCs w:val="1"/>
          <w:color w:val="auto"/>
        </w:rPr>
        <w:t>Rights of Creditor Parties</w:t>
      </w:r>
      <w:r>
        <w:rPr>
          <w:rFonts w:ascii="Arial" w:cs="Arial" w:eastAsia="Arial" w:hAnsi="Arial"/>
          <w:sz w:val="18"/>
          <w:szCs w:val="18"/>
          <w:color w:val="auto"/>
        </w:rPr>
        <w:t>. Each Guarantor consents and agrees that the Creditor Parties may, at any time and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without notice or demand, and without affecting the enforceability or continuing effectiveness hereof: (a) amend, extend, renew, compromise, discharge, accelerate or otherwise change the times for payment or the terms of the Guaranteed Obligations or any part thereof;</w:t>
      </w:r>
    </w:p>
    <w:p>
      <w:pPr>
        <w:spacing w:after="0" w:line="1" w:lineRule="exact"/>
        <w:rPr>
          <w:rFonts w:ascii="Arial" w:cs="Arial" w:eastAsia="Arial" w:hAnsi="Arial"/>
          <w:sz w:val="18"/>
          <w:szCs w:val="18"/>
          <w:color w:val="auto"/>
        </w:rPr>
      </w:pPr>
    </w:p>
    <w:p>
      <w:pPr>
        <w:ind w:left="280" w:hanging="280"/>
        <w:spacing w:after="0"/>
        <w:tabs>
          <w:tab w:leader="none" w:pos="280" w:val="left"/>
        </w:tabs>
        <w:numPr>
          <w:ilvl w:val="0"/>
          <w:numId w:val="668"/>
        </w:numPr>
        <w:rPr>
          <w:rFonts w:ascii="Arial" w:cs="Arial" w:eastAsia="Arial" w:hAnsi="Arial"/>
          <w:sz w:val="20"/>
          <w:szCs w:val="20"/>
          <w:color w:val="auto"/>
        </w:rPr>
      </w:pPr>
      <w:r>
        <w:rPr>
          <w:rFonts w:ascii="Arial" w:cs="Arial" w:eastAsia="Arial" w:hAnsi="Arial"/>
          <w:sz w:val="20"/>
          <w:szCs w:val="20"/>
          <w:color w:val="auto"/>
        </w:rPr>
        <w:t>to the extent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58" w:right="239" w:bottom="1440" w:gutter="0" w:footer="0" w:header="0"/>
        </w:sectPr>
      </w:pPr>
    </w:p>
    <w:bookmarkStart w:id="554" w:name="page555"/>
    <w:bookmarkEnd w:id="554"/>
    <w:p>
      <w:pPr>
        <w:jc w:val="both"/>
        <w:spacing w:after="0" w:line="268" w:lineRule="auto"/>
        <w:rPr>
          <w:sz w:val="20"/>
          <w:szCs w:val="20"/>
          <w:color w:val="auto"/>
        </w:rPr>
      </w:pPr>
      <w:r>
        <w:rPr>
          <w:rFonts w:ascii="Arial" w:cs="Arial" w:eastAsia="Arial" w:hAnsi="Arial"/>
          <w:sz w:val="19"/>
          <w:szCs w:val="19"/>
          <w:color w:val="auto"/>
        </w:rPr>
        <w:t>any security shall have been granted to secure the payment of this Guaranty or any Guaranteed Obligations take, hold, exchange, enforce, waive, release, fail to perfect, sell, or otherwise dispose of any such security; (c) apply such security (if any) and direct the order or manner of sale thereof as the Creditor Parties in their sole discretion may determine; and (d) release or substitute one or more of any endorsers or other guarantors of any of the Guaranteed Obligations. Without limiting the generality of the foregoing, each Guarantor consents to the taking of, or failure to take, any action which might in any manner or to any extent vary the risks of the Guarantors under this Guaranty or which, but for this provision, might operate as a discharge of one or more of the Guarantors.</w:t>
      </w:r>
    </w:p>
    <w:p>
      <w:pPr>
        <w:spacing w:after="0" w:line="191" w:lineRule="exact"/>
        <w:rPr>
          <w:sz w:val="20"/>
          <w:szCs w:val="20"/>
          <w:color w:val="auto"/>
        </w:rPr>
      </w:pPr>
    </w:p>
    <w:p>
      <w:pPr>
        <w:jc w:val="both"/>
        <w:ind w:firstLine="599"/>
        <w:spacing w:after="0" w:line="264" w:lineRule="auto"/>
        <w:tabs>
          <w:tab w:leader="none" w:pos="1349" w:val="left"/>
        </w:tabs>
        <w:numPr>
          <w:ilvl w:val="0"/>
          <w:numId w:val="669"/>
        </w:numPr>
        <w:rPr>
          <w:rFonts w:ascii="Arial" w:cs="Arial" w:eastAsia="Arial" w:hAnsi="Arial"/>
          <w:sz w:val="19"/>
          <w:szCs w:val="19"/>
          <w:color w:val="auto"/>
        </w:rPr>
      </w:pPr>
      <w:r>
        <w:rPr>
          <w:rFonts w:ascii="Arial" w:cs="Arial" w:eastAsia="Arial" w:hAnsi="Arial"/>
          <w:sz w:val="19"/>
          <w:szCs w:val="19"/>
          <w:b w:val="1"/>
          <w:bCs w:val="1"/>
          <w:color w:val="auto"/>
        </w:rPr>
        <w:t xml:space="preserve">Certain Waivers. </w:t>
      </w:r>
      <w:r>
        <w:rPr>
          <w:rFonts w:ascii="Arial" w:cs="Arial" w:eastAsia="Arial" w:hAnsi="Arial"/>
          <w:sz w:val="19"/>
          <w:szCs w:val="19"/>
          <w:color w:val="auto"/>
        </w:rPr>
        <w:t>Each Guarantor waives (a) any defense arising by reason of any disability or other defense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 any other Loan Party or any other guarantor of the Guaranteed Obligations or any part thereof, or the cessation from any cause whatsoever (including any act or omission of any Creditor Party) of the liability of the Borrower; (b) any defense based on any claim that such Guarantor’s obligations exceed or are more burdensome than those of the Borrower; (c) the benefit of any statute of limitations affecting such Guarantor’s liability hereunder; (d) any right to require any Creditor Party to proceed against the Borrower or any other Loan Party, proceed against or exhaust any security for any of the Guaranteed Obligations, or pursue any other remedy in the power of any Creditor Party; (e) any benefit of and any right to participate in any security now or hereafter held by any Creditor Party; and (f) to the full extent permitted by law, any and all other defenses (other than the defense of payment and performance in full of the Guaranteed Obligations) or benefits that may be derived from or afforded by applicable law limiting the liability of or exonerating guarantors or sureties.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Guaranteed Obligations, and all notices of acceptance of this Guaranty or of the existence, creation or incurrence of new or additional Guaranteed Obligations.</w:t>
      </w:r>
    </w:p>
    <w:p>
      <w:pPr>
        <w:spacing w:after="0" w:line="197" w:lineRule="exact"/>
        <w:rPr>
          <w:rFonts w:ascii="Arial" w:cs="Arial" w:eastAsia="Arial" w:hAnsi="Arial"/>
          <w:sz w:val="19"/>
          <w:szCs w:val="19"/>
          <w:color w:val="auto"/>
        </w:rPr>
      </w:pPr>
    </w:p>
    <w:p>
      <w:pPr>
        <w:jc w:val="both"/>
        <w:ind w:firstLine="599"/>
        <w:spacing w:after="0" w:line="255" w:lineRule="auto"/>
        <w:tabs>
          <w:tab w:leader="none" w:pos="1349" w:val="left"/>
        </w:tabs>
        <w:numPr>
          <w:ilvl w:val="0"/>
          <w:numId w:val="669"/>
        </w:numPr>
        <w:rPr>
          <w:rFonts w:ascii="Arial" w:cs="Arial" w:eastAsia="Arial" w:hAnsi="Arial"/>
          <w:sz w:val="20"/>
          <w:szCs w:val="20"/>
          <w:color w:val="auto"/>
        </w:rPr>
      </w:pPr>
      <w:r>
        <w:rPr>
          <w:rFonts w:ascii="Arial" w:cs="Arial" w:eastAsia="Arial" w:hAnsi="Arial"/>
          <w:sz w:val="20"/>
          <w:szCs w:val="20"/>
          <w:b w:val="1"/>
          <w:bCs w:val="1"/>
          <w:color w:val="auto"/>
        </w:rPr>
        <w:t>Obligations Independent</w:t>
      </w:r>
      <w:r>
        <w:rPr>
          <w:rFonts w:ascii="Arial" w:cs="Arial" w:eastAsia="Arial" w:hAnsi="Arial"/>
          <w:sz w:val="20"/>
          <w:szCs w:val="20"/>
          <w:color w:val="auto"/>
        </w:rPr>
        <w:t>. The obligations of each Guarantor hereunder are those of primary obligor, and not merely as</w:t>
      </w:r>
      <w:r>
        <w:rPr>
          <w:rFonts w:ascii="Arial" w:cs="Arial" w:eastAsia="Arial" w:hAnsi="Arial"/>
          <w:sz w:val="20"/>
          <w:szCs w:val="20"/>
          <w:b w:val="1"/>
          <w:bCs w:val="1"/>
          <w:color w:val="auto"/>
        </w:rPr>
        <w:t xml:space="preserve"> </w:t>
      </w:r>
      <w:r>
        <w:rPr>
          <w:rFonts w:ascii="Arial" w:cs="Arial" w:eastAsia="Arial" w:hAnsi="Arial"/>
          <w:sz w:val="20"/>
          <w:szCs w:val="20"/>
          <w:color w:val="auto"/>
        </w:rPr>
        <w:t>surety, and are independent of the Guaranteed Obligations and the obligations of any other guarantor of the Guaranteed Obligations or any part thereof, and a separate action may be brought against any Guarantor to enforce this Guaranty whether or not the Borrower or any other Person is joined as a party. For the avoidance of doubt, all obligations of each Guarantor under this Guaranty are joint and several obligations of all the Guarantors.</w:t>
      </w:r>
    </w:p>
    <w:p>
      <w:pPr>
        <w:spacing w:after="0" w:line="202" w:lineRule="exact"/>
        <w:rPr>
          <w:rFonts w:ascii="Arial" w:cs="Arial" w:eastAsia="Arial" w:hAnsi="Arial"/>
          <w:sz w:val="20"/>
          <w:szCs w:val="20"/>
          <w:color w:val="auto"/>
        </w:rPr>
      </w:pPr>
    </w:p>
    <w:p>
      <w:pPr>
        <w:jc w:val="both"/>
        <w:ind w:firstLine="599"/>
        <w:spacing w:after="0" w:line="251" w:lineRule="auto"/>
        <w:tabs>
          <w:tab w:leader="none" w:pos="1349" w:val="left"/>
        </w:tabs>
        <w:numPr>
          <w:ilvl w:val="0"/>
          <w:numId w:val="669"/>
        </w:numPr>
        <w:rPr>
          <w:rFonts w:ascii="Arial" w:cs="Arial" w:eastAsia="Arial" w:hAnsi="Arial"/>
          <w:sz w:val="20"/>
          <w:szCs w:val="20"/>
          <w:color w:val="auto"/>
        </w:rPr>
      </w:pPr>
      <w:r>
        <w:rPr>
          <w:rFonts w:ascii="Arial" w:cs="Arial" w:eastAsia="Arial" w:hAnsi="Arial"/>
          <w:sz w:val="20"/>
          <w:szCs w:val="20"/>
          <w:b w:val="1"/>
          <w:bCs w:val="1"/>
          <w:color w:val="auto"/>
        </w:rPr>
        <w:t xml:space="preserve">Subrogation. </w:t>
      </w:r>
      <w:r>
        <w:rPr>
          <w:rFonts w:ascii="Arial" w:cs="Arial" w:eastAsia="Arial" w:hAnsi="Arial"/>
          <w:sz w:val="20"/>
          <w:szCs w:val="20"/>
          <w:color w:val="auto"/>
        </w:rPr>
        <w:t>No Guarantor shall exercise any right of subrogation, contribution, indemnity, reimbursement or similar rights</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any payments it makes under this Guaranty until all of the Guaranteed Obligations and any amounts payable under this Guaranty (other than contingent indemnification obligations that survive termination of the Loan Documents for which no claim has been made) have been indefeasibly paid and performed in full in immediately available funds and all Commitments are terminated. If any amounts are paid to any Guarantor in violation of the foregoing limitation, then such amounts shall be held in trust by such Guarantor for the benefit of the Creditor Parties and shall forthwith be paid to the Administrative Agent for the benefit of the Creditor Parties for application to the Guaranteed Obligations in accordance with the terms of the Loan Documents or, if the Loan Documents do not provide for the application of such amount, to be held by the Administrative Agent as collateral security for any Guaranteed Obligations thereafter existing, whether matured or unmatured.</w:t>
      </w:r>
    </w:p>
    <w:p>
      <w:pPr>
        <w:spacing w:after="0" w:line="208" w:lineRule="exact"/>
        <w:rPr>
          <w:rFonts w:ascii="Arial" w:cs="Arial" w:eastAsia="Arial" w:hAnsi="Arial"/>
          <w:sz w:val="20"/>
          <w:szCs w:val="20"/>
          <w:color w:val="auto"/>
        </w:rPr>
      </w:pPr>
    </w:p>
    <w:p>
      <w:pPr>
        <w:jc w:val="both"/>
        <w:ind w:firstLine="599"/>
        <w:spacing w:after="0" w:line="258" w:lineRule="auto"/>
        <w:tabs>
          <w:tab w:leader="none" w:pos="1349" w:val="left"/>
        </w:tabs>
        <w:numPr>
          <w:ilvl w:val="0"/>
          <w:numId w:val="669"/>
        </w:numPr>
        <w:rPr>
          <w:rFonts w:ascii="Arial" w:cs="Arial" w:eastAsia="Arial" w:hAnsi="Arial"/>
          <w:sz w:val="20"/>
          <w:szCs w:val="20"/>
          <w:color w:val="auto"/>
        </w:rPr>
      </w:pPr>
      <w:r>
        <w:rPr>
          <w:rFonts w:ascii="Arial" w:cs="Arial" w:eastAsia="Arial" w:hAnsi="Arial"/>
          <w:sz w:val="20"/>
          <w:szCs w:val="20"/>
          <w:b w:val="1"/>
          <w:bCs w:val="1"/>
          <w:color w:val="auto"/>
        </w:rPr>
        <w:t xml:space="preserve">Termination; Reinstatement. </w:t>
      </w:r>
      <w:r>
        <w:rPr>
          <w:rFonts w:ascii="Arial" w:cs="Arial" w:eastAsia="Arial" w:hAnsi="Arial"/>
          <w:sz w:val="20"/>
          <w:szCs w:val="20"/>
          <w:color w:val="auto"/>
        </w:rPr>
        <w:t>(a) This Guaranty is a continuing and irrevocable guaranty of all Guaranteed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now or hereafter existing and shall remain in full force and effect until all of the Guaranteed Obligations (other than contingent indemnification obligations that survive termination of the Loan Documents for which no claim has been made) and any amounts payable under this Guaranty have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57" w:right="239" w:bottom="1440" w:gutter="0" w:footer="0" w:header="0"/>
        </w:sectPr>
      </w:pPr>
    </w:p>
    <w:bookmarkStart w:id="555" w:name="page556"/>
    <w:bookmarkEnd w:id="555"/>
    <w:p>
      <w:pPr>
        <w:jc w:val="both"/>
        <w:spacing w:after="0" w:line="282" w:lineRule="auto"/>
        <w:rPr>
          <w:sz w:val="20"/>
          <w:szCs w:val="20"/>
          <w:color w:val="auto"/>
        </w:rPr>
      </w:pPr>
      <w:r>
        <w:rPr>
          <w:rFonts w:ascii="Arial" w:cs="Arial" w:eastAsia="Arial" w:hAnsi="Arial"/>
          <w:sz w:val="18"/>
          <w:szCs w:val="18"/>
          <w:color w:val="auto"/>
        </w:rPr>
        <w:t>been indefeasibly paid and performed in full in immediately available funds and all Commitments are terminated. Notwithstanding the foregoing, this Guaranty shall continue in full force and effect or be revived, as the case may be, if any payment by or on behalf of the Borrower or a Guarantor is made, or a Creditor Party exercises its right of setoff, in respect of the Guaranteed Obligations and such payment or the proceeds of such setoff or any part thereof is subsequently invalidated, declared to be fraudulent or preferential, set aside or required (including pursuant to any settlement entered into by a Creditor Party in its discretion) to be repaid to a trustee, receiver or any other party, in connection with any proceeding under any Debtor Relief Laws or otherwise, all as if such payment had not been made or such setoff had not occurred and whether or not the Creditor Parties are in possession of or have released this Guaranty and regardless of any prior revocation, rescission, termination or reduction. The obligations of the Guarantors under this paragraph shall survive termination of this Guaranty.</w:t>
      </w:r>
    </w:p>
    <w:p>
      <w:pPr>
        <w:spacing w:after="0" w:line="190" w:lineRule="exact"/>
        <w:rPr>
          <w:sz w:val="20"/>
          <w:szCs w:val="20"/>
          <w:color w:val="auto"/>
        </w:rPr>
      </w:pPr>
    </w:p>
    <w:p>
      <w:pPr>
        <w:jc w:val="both"/>
        <w:ind w:firstLine="599"/>
        <w:spacing w:after="0" w:line="280" w:lineRule="auto"/>
        <w:tabs>
          <w:tab w:leader="none" w:pos="1075" w:val="left"/>
        </w:tabs>
        <w:numPr>
          <w:ilvl w:val="0"/>
          <w:numId w:val="67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Guaranty, each Guarantor hereby acknowledges and agrees that if at any time any Subsidiary of the Borrower is released from its obligations as a Guarantor under this Guaranty </w:t>
      </w:r>
      <w:r>
        <w:rPr>
          <w:rFonts w:ascii="Arial" w:cs="Arial" w:eastAsia="Arial" w:hAnsi="Arial"/>
          <w:sz w:val="18"/>
          <w:szCs w:val="18"/>
          <w:color w:val="FF0000"/>
          <w:strike w:val="1"/>
        </w:rPr>
        <w:t>as a result of a Permitted</w:t>
      </w:r>
      <w:r>
        <w:rPr>
          <w:rFonts w:ascii="Arial" w:cs="Arial" w:eastAsia="Arial" w:hAnsi="Arial"/>
          <w:sz w:val="18"/>
          <w:szCs w:val="18"/>
          <w:color w:val="auto"/>
        </w:rPr>
        <w:t xml:space="preserve"> </w:t>
      </w:r>
      <w:r>
        <w:rPr>
          <w:rFonts w:ascii="Arial" w:cs="Arial" w:eastAsia="Arial" w:hAnsi="Arial"/>
          <w:sz w:val="18"/>
          <w:szCs w:val="18"/>
          <w:color w:val="FF0000"/>
          <w:strike w:val="1"/>
        </w:rPr>
        <w:t>Subsidiary Guarantor Release</w:t>
      </w:r>
      <w:r>
        <w:rPr>
          <w:rFonts w:ascii="Arial" w:cs="Arial" w:eastAsia="Arial" w:hAnsi="Arial"/>
          <w:sz w:val="18"/>
          <w:szCs w:val="18"/>
          <w:color w:val="FF0000"/>
        </w:rPr>
        <w:t xml:space="preserve"> </w:t>
      </w:r>
      <w:r>
        <w:rPr>
          <w:rFonts w:ascii="Arial" w:cs="Arial" w:eastAsia="Arial" w:hAnsi="Arial"/>
          <w:sz w:val="18"/>
          <w:szCs w:val="18"/>
          <w:color w:val="000000"/>
        </w:rPr>
        <w:t>and, subsequent to such</w:t>
      </w:r>
      <w:r>
        <w:rPr>
          <w:rFonts w:ascii="Arial" w:cs="Arial" w:eastAsia="Arial" w:hAnsi="Arial"/>
          <w:sz w:val="18"/>
          <w:szCs w:val="18"/>
          <w:color w:val="FF0000"/>
        </w:rPr>
        <w:t xml:space="preserve"> </w:t>
      </w:r>
      <w:r>
        <w:rPr>
          <w:rFonts w:ascii="Arial" w:cs="Arial" w:eastAsia="Arial" w:hAnsi="Arial"/>
          <w:sz w:val="18"/>
          <w:szCs w:val="18"/>
          <w:color w:val="FF0000"/>
          <w:strike w:val="1"/>
        </w:rPr>
        <w:t>Permitted Subsidiary Guarantor Release</w:t>
      </w:r>
      <w:r>
        <w:rPr>
          <w:rFonts w:ascii="Arial" w:cs="Arial" w:eastAsia="Arial" w:hAnsi="Arial"/>
          <w:sz w:val="18"/>
          <w:szCs w:val="18"/>
          <w:b w:val="1"/>
          <w:bCs w:val="1"/>
          <w:u w:val="single" w:color="auto"/>
          <w:color w:val="0000FF"/>
          <w:highlight w:val="lightGray"/>
        </w:rPr>
        <w:t>release</w:t>
      </w:r>
      <w:r>
        <w:rPr>
          <w:rFonts w:ascii="Arial" w:cs="Arial" w:eastAsia="Arial" w:hAnsi="Arial"/>
          <w:sz w:val="18"/>
          <w:szCs w:val="18"/>
          <w:color w:val="000000"/>
        </w:rPr>
        <w:t>, such Subsidiary</w:t>
      </w:r>
      <w:r>
        <w:rPr>
          <w:rFonts w:ascii="Arial" w:cs="Arial" w:eastAsia="Arial" w:hAnsi="Arial"/>
          <w:sz w:val="18"/>
          <w:szCs w:val="18"/>
          <w:color w:val="FF0000"/>
        </w:rPr>
        <w:t xml:space="preserve"> </w:t>
      </w:r>
      <w:r>
        <w:rPr>
          <w:rFonts w:ascii="Arial" w:cs="Arial" w:eastAsia="Arial" w:hAnsi="Arial"/>
          <w:sz w:val="18"/>
          <w:szCs w:val="18"/>
          <w:color w:val="FF0000"/>
          <w:strike w:val="1"/>
        </w:rPr>
        <w:t>provides a</w:t>
      </w:r>
      <w:r>
        <w:rPr>
          <w:rFonts w:ascii="Arial" w:cs="Arial" w:eastAsia="Arial" w:hAnsi="Arial"/>
          <w:sz w:val="18"/>
          <w:szCs w:val="18"/>
          <w:color w:val="FF0000"/>
        </w:rPr>
        <w:t xml:space="preserve"> </w:t>
      </w:r>
      <w:r>
        <w:rPr>
          <w:rFonts w:ascii="Arial" w:cs="Arial" w:eastAsia="Arial" w:hAnsi="Arial"/>
          <w:sz w:val="18"/>
          <w:szCs w:val="18"/>
          <w:color w:val="FF0000"/>
          <w:strike w:val="1"/>
        </w:rPr>
        <w:t>Guarantee</w:t>
      </w:r>
      <w:r>
        <w:rPr>
          <w:rFonts w:ascii="Arial" w:cs="Arial" w:eastAsia="Arial" w:hAnsi="Arial"/>
          <w:sz w:val="18"/>
          <w:szCs w:val="18"/>
          <w:b w:val="1"/>
          <w:bCs w:val="1"/>
          <w:u w:val="single" w:color="auto"/>
          <w:color w:val="0000FF"/>
          <w:highlight w:val="lightGray"/>
        </w:rPr>
        <w:t>is a borrower or guarantor</w:t>
      </w:r>
      <w:r>
        <w:rPr>
          <w:rFonts w:ascii="Arial" w:cs="Arial" w:eastAsia="Arial" w:hAnsi="Arial"/>
          <w:sz w:val="18"/>
          <w:szCs w:val="18"/>
          <w:color w:val="FF0000"/>
        </w:rPr>
        <w:t xml:space="preserve"> </w:t>
      </w:r>
      <w:r>
        <w:rPr>
          <w:rFonts w:ascii="Arial" w:cs="Arial" w:eastAsia="Arial" w:hAnsi="Arial"/>
          <w:sz w:val="18"/>
          <w:szCs w:val="18"/>
          <w:color w:val="000000"/>
        </w:rPr>
        <w:t>of, or otherwise</w:t>
      </w:r>
      <w:r>
        <w:rPr>
          <w:rFonts w:ascii="Arial" w:cs="Arial" w:eastAsia="Arial" w:hAnsi="Arial"/>
          <w:sz w:val="18"/>
          <w:szCs w:val="18"/>
          <w:color w:val="FF0000"/>
        </w:rPr>
        <w:t xml:space="preserve"> </w:t>
      </w:r>
      <w:r>
        <w:rPr>
          <w:rFonts w:ascii="Arial" w:cs="Arial" w:eastAsia="Arial" w:hAnsi="Arial"/>
          <w:sz w:val="18"/>
          <w:szCs w:val="18"/>
          <w:color w:val="FF0000"/>
          <w:strike w:val="1"/>
        </w:rPr>
        <w:t>becomes an obligor</w:t>
      </w:r>
      <w:r>
        <w:rPr>
          <w:rFonts w:ascii="Arial" w:cs="Arial" w:eastAsia="Arial" w:hAnsi="Arial"/>
          <w:sz w:val="18"/>
          <w:szCs w:val="18"/>
          <w:b w:val="1"/>
          <w:bCs w:val="1"/>
          <w:u w:val="single" w:color="auto"/>
          <w:color w:val="0000FF"/>
          <w:highlight w:val="lightGray"/>
        </w:rPr>
        <w:t>has a payment obligation</w:t>
      </w:r>
      <w:r>
        <w:rPr>
          <w:rFonts w:ascii="Arial" w:cs="Arial" w:eastAsia="Arial" w:hAnsi="Arial"/>
          <w:sz w:val="18"/>
          <w:szCs w:val="18"/>
          <w:color w:val="FF0000"/>
        </w:rPr>
        <w:t xml:space="preserve"> </w:t>
      </w:r>
      <w:r>
        <w:rPr>
          <w:rFonts w:ascii="Arial" w:cs="Arial" w:eastAsia="Arial" w:hAnsi="Arial"/>
          <w:sz w:val="18"/>
          <w:szCs w:val="18"/>
          <w:color w:val="000000"/>
        </w:rPr>
        <w:t>in respect of, any Indebtedness</w:t>
      </w:r>
      <w:r>
        <w:rPr>
          <w:rFonts w:ascii="Arial" w:cs="Arial" w:eastAsia="Arial" w:hAnsi="Arial"/>
          <w:sz w:val="18"/>
          <w:szCs w:val="18"/>
          <w:color w:val="FF0000"/>
        </w:rPr>
        <w:t xml:space="preserve"> </w:t>
      </w:r>
      <w:r>
        <w:rPr>
          <w:rFonts w:ascii="Arial" w:cs="Arial" w:eastAsia="Arial" w:hAnsi="Arial"/>
          <w:sz w:val="18"/>
          <w:szCs w:val="18"/>
          <w:color w:val="FF0000"/>
          <w:strike w:val="1"/>
        </w:rPr>
        <w:t>of the</w:t>
      </w:r>
      <w:r>
        <w:rPr>
          <w:rFonts w:ascii="Arial" w:cs="Arial" w:eastAsia="Arial" w:hAnsi="Arial"/>
          <w:sz w:val="18"/>
          <w:szCs w:val="18"/>
          <w:color w:val="FF0000"/>
        </w:rPr>
        <w:t xml:space="preserve"> </w:t>
      </w:r>
      <w:r>
        <w:rPr>
          <w:rFonts w:ascii="Arial" w:cs="Arial" w:eastAsia="Arial" w:hAnsi="Arial"/>
          <w:sz w:val="18"/>
          <w:szCs w:val="18"/>
          <w:color w:val="FF0000"/>
          <w:strike w:val="1"/>
        </w:rPr>
        <w:t>Borrower (other than the Obligations),</w:t>
      </w:r>
      <w:r>
        <w:rPr>
          <w:rFonts w:ascii="Arial" w:cs="Arial" w:eastAsia="Arial" w:hAnsi="Arial"/>
          <w:sz w:val="18"/>
          <w:szCs w:val="18"/>
          <w:b w:val="1"/>
          <w:bCs w:val="1"/>
          <w:u w:val="single" w:color="auto"/>
          <w:color w:val="0000FF"/>
          <w:highlight w:val="lightGray"/>
          <w:strike w:val="1"/>
        </w:rPr>
        <w:t>for borrowed money that constitutes Recourse Indebtedness (other than Indebtedness permitted</w:t>
      </w:r>
      <w:r>
        <w:rPr>
          <w:rFonts w:ascii="Arial" w:cs="Arial" w:eastAsia="Arial" w:hAnsi="Arial"/>
          <w:sz w:val="18"/>
          <w:szCs w:val="18"/>
          <w:color w:val="FF0000"/>
          <w:strike w:val="1"/>
        </w:rPr>
        <w:t xml:space="preserve"> </w:t>
      </w:r>
      <w:r>
        <w:rPr>
          <w:rFonts w:ascii="Arial" w:cs="Arial" w:eastAsia="Arial" w:hAnsi="Arial"/>
          <w:sz w:val="18"/>
          <w:szCs w:val="18"/>
          <w:b w:val="1"/>
          <w:bCs w:val="1"/>
          <w:u w:val="single" w:color="auto"/>
          <w:color w:val="0000FF"/>
          <w:highlight w:val="lightGray"/>
          <w:strike w:val="1"/>
        </w:rPr>
        <w:t>under Section 7.02(b) of the Term Loan Agreement</w:t>
      </w:r>
      <w:r>
        <w:rPr>
          <w:rFonts w:ascii="Arial" w:cs="Arial" w:eastAsia="Arial" w:hAnsi="Arial"/>
          <w:sz w:val="18"/>
          <w:szCs w:val="18"/>
          <w:b w:val="1"/>
          <w:bCs w:val="1"/>
          <w:color w:val="0000FF"/>
          <w:highlight w:val="lightGray"/>
          <w:strike w:val="1"/>
        </w:rPr>
        <w:t xml:space="preserve"> </w:t>
      </w:r>
      <w:r>
        <w:rPr>
          <w:rFonts w:ascii="Arial" w:cs="Arial" w:eastAsia="Arial" w:hAnsi="Arial"/>
          <w:sz w:val="18"/>
          <w:szCs w:val="18"/>
          <w:color w:val="000000"/>
          <w:strike w:val="1"/>
        </w:rPr>
        <w:t>then, immediately at the time such Subsidiary</w:t>
      </w:r>
      <w:r>
        <w:rPr>
          <w:rFonts w:ascii="Arial" w:cs="Arial" w:eastAsia="Arial" w:hAnsi="Arial"/>
          <w:sz w:val="18"/>
          <w:szCs w:val="18"/>
          <w:b w:val="1"/>
          <w:bCs w:val="1"/>
          <w:color w:val="0000FF"/>
          <w:highlight w:val="lightGray"/>
          <w:strike w:val="1"/>
        </w:rPr>
        <w:t xml:space="preserve"> </w:t>
      </w:r>
      <w:r>
        <w:rPr>
          <w:rFonts w:ascii="Arial" w:cs="Arial" w:eastAsia="Arial" w:hAnsi="Arial"/>
          <w:sz w:val="18"/>
          <w:szCs w:val="18"/>
          <w:color w:val="FF0000"/>
          <w:strike w:val="1"/>
        </w:rPr>
        <w:t>Guarantees such Indebtedness of the</w:t>
      </w:r>
      <w:r>
        <w:rPr>
          <w:rFonts w:ascii="Arial" w:cs="Arial" w:eastAsia="Arial" w:hAnsi="Arial"/>
          <w:sz w:val="18"/>
          <w:szCs w:val="18"/>
          <w:b w:val="1"/>
          <w:bCs w:val="1"/>
          <w:color w:val="0000FF"/>
          <w:highlight w:val="lightGray"/>
          <w:strike w:val="1"/>
        </w:rPr>
        <w:t xml:space="preserve"> </w:t>
      </w:r>
      <w:r>
        <w:rPr>
          <w:rFonts w:ascii="Arial" w:cs="Arial" w:eastAsia="Arial" w:hAnsi="Arial"/>
          <w:sz w:val="18"/>
          <w:szCs w:val="18"/>
          <w:color w:val="FF0000"/>
          <w:strike w:val="1"/>
        </w:rPr>
        <w:t xml:space="preserve">Borrower or otherwise </w:t>
      </w:r>
      <w:r>
        <w:rPr>
          <w:rFonts w:ascii="Arial" w:cs="Arial" w:eastAsia="Arial" w:hAnsi="Arial"/>
          <w:sz w:val="18"/>
          <w:szCs w:val="18"/>
          <w:color w:val="000000"/>
          <w:strike w:val="1"/>
        </w:rPr>
        <w:t>becomes</w:t>
      </w:r>
      <w:r>
        <w:rPr>
          <w:rFonts w:ascii="Arial" w:cs="Arial" w:eastAsia="Arial" w:hAnsi="Arial"/>
          <w:sz w:val="18"/>
          <w:szCs w:val="18"/>
          <w:color w:val="FF0000"/>
          <w:strike w:val="1"/>
        </w:rPr>
        <w:t xml:space="preserve"> </w:t>
      </w:r>
      <w:r>
        <w:rPr>
          <w:rFonts w:ascii="Arial" w:cs="Arial" w:eastAsia="Arial" w:hAnsi="Arial"/>
          <w:sz w:val="18"/>
          <w:szCs w:val="18"/>
          <w:b w:val="1"/>
          <w:bCs w:val="1"/>
          <w:u w:val="single" w:color="auto"/>
          <w:color w:val="0000FF"/>
          <w:highlight w:val="lightGray"/>
          <w:strike w:val="1"/>
        </w:rPr>
        <w:t>such</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an obligor</w:t>
      </w:r>
      <w:r>
        <w:rPr>
          <w:rFonts w:ascii="Arial" w:cs="Arial" w:eastAsia="Arial" w:hAnsi="Arial"/>
          <w:sz w:val="18"/>
          <w:szCs w:val="18"/>
          <w:color w:val="FF0000"/>
          <w:strike w:val="1"/>
        </w:rPr>
        <w:t xml:space="preserve"> in respect thereof</w:t>
      </w:r>
      <w:r>
        <w:rPr>
          <w:rFonts w:ascii="Arial" w:cs="Arial" w:eastAsia="Arial" w:hAnsi="Arial"/>
          <w:sz w:val="18"/>
          <w:szCs w:val="18"/>
          <w:color w:val="000000"/>
          <w:strike w:val="1"/>
        </w:rPr>
        <w:t>, all obligations of such Subsidiary under this Guaranty (including its</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guaranty of the Guaranteed Obligations hereunder) shall be automatically revived and reinstated without any action on the part of the Administrative Agent, such Subsidiary or any other Person. In connection with any such revival and reinstatement of the obligations of such Subsidiary hereunder, such Subsidiary shall (x) execute such reaffirmations of its obligations hereunder (including reaffirmations of its guaranty of the Guaranteed Obligations) as reasonably requested by the Administrative Agent and (y) cause all requirements of Section 6.12 of the Term Loan Agreement to be satisfied with respect to such Subsidiary.</w:t>
      </w:r>
    </w:p>
    <w:p>
      <w:pPr>
        <w:spacing w:after="0" w:line="181" w:lineRule="exact"/>
        <w:rPr>
          <w:sz w:val="20"/>
          <w:szCs w:val="20"/>
          <w:color w:val="auto"/>
        </w:rPr>
      </w:pPr>
    </w:p>
    <w:p>
      <w:pPr>
        <w:jc w:val="both"/>
        <w:ind w:firstLine="599"/>
        <w:spacing w:after="0" w:line="279" w:lineRule="auto"/>
        <w:tabs>
          <w:tab w:leader="none" w:pos="1349" w:val="left"/>
        </w:tabs>
        <w:numPr>
          <w:ilvl w:val="0"/>
          <w:numId w:val="671"/>
        </w:numPr>
        <w:rPr>
          <w:rFonts w:ascii="Arial" w:cs="Arial" w:eastAsia="Arial" w:hAnsi="Arial"/>
          <w:sz w:val="18"/>
          <w:szCs w:val="18"/>
          <w:color w:val="auto"/>
        </w:rPr>
      </w:pPr>
      <w:r>
        <w:rPr>
          <w:rFonts w:ascii="Arial" w:cs="Arial" w:eastAsia="Arial" w:hAnsi="Arial"/>
          <w:sz w:val="18"/>
          <w:szCs w:val="18"/>
          <w:b w:val="1"/>
          <w:bCs w:val="1"/>
          <w:color w:val="auto"/>
        </w:rPr>
        <w:t xml:space="preserve">Release of Liability of Guarantor. </w:t>
      </w:r>
      <w:r>
        <w:rPr>
          <w:rFonts w:ascii="Arial" w:cs="Arial" w:eastAsia="Arial" w:hAnsi="Arial"/>
          <w:sz w:val="18"/>
          <w:szCs w:val="18"/>
          <w:color w:val="auto"/>
        </w:rPr>
        <w:t>(a) At the request and at the sole expense of the Borrower, in the event that (i)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Guarantor that is a Subsidiary of the Borrower becomes an Excluded Subsidiary </w:t>
      </w:r>
      <w:r>
        <w:rPr>
          <w:rFonts w:ascii="Arial" w:cs="Arial" w:eastAsia="Arial" w:hAnsi="Arial"/>
          <w:sz w:val="18"/>
          <w:szCs w:val="18"/>
          <w:b w:val="1"/>
          <w:bCs w:val="1"/>
          <w:u w:val="single" w:color="auto"/>
          <w:color w:val="0000FF"/>
          <w:highlight w:val="lightGray"/>
        </w:rPr>
        <w:t>or satisfies the Exemption Condition</w:t>
      </w:r>
      <w:r>
        <w:rPr>
          <w:rFonts w:ascii="Arial" w:cs="Arial" w:eastAsia="Arial" w:hAnsi="Arial"/>
          <w:sz w:val="18"/>
          <w:szCs w:val="18"/>
          <w:color w:val="auto"/>
        </w:rPr>
        <w:t xml:space="preserve"> as a result of a transaction permitted under the Term Loan Agreement or (ii) all of the capital stock or other Equity Interests of any Guarantor is sold or otherwise disposed of (including by way of the merger or consolidation of such Guarantor with or into another Person) or liquidated (except to the extent that such sale or disposition is to the Borrower, the REIT or any of their respective Affiliates) in any such case in compliance with the requirements of Section 7.05 of the Term Loan Agreement and the proceeds of such sale, disposition or liquidation are applied in accordance with the provisions of the Term Loan Agreement, to the extent applicable, then such Guarantor shall, upon becoming an Excluded Subsidiary or </w:t>
      </w:r>
      <w:r>
        <w:rPr>
          <w:rFonts w:ascii="Arial" w:cs="Arial" w:eastAsia="Arial" w:hAnsi="Arial"/>
          <w:sz w:val="18"/>
          <w:szCs w:val="18"/>
          <w:b w:val="1"/>
          <w:bCs w:val="1"/>
          <w:u w:val="single" w:color="auto"/>
          <w:color w:val="0000FF"/>
          <w:highlight w:val="lightGray"/>
        </w:rPr>
        <w:t>satisfying the Exemption Condition or</w:t>
      </w:r>
      <w:r>
        <w:rPr>
          <w:rFonts w:ascii="Arial" w:cs="Arial" w:eastAsia="Arial" w:hAnsi="Arial"/>
          <w:sz w:val="18"/>
          <w:szCs w:val="18"/>
          <w:color w:val="auto"/>
        </w:rPr>
        <w:t xml:space="preserve"> upon the consummation of such sale or other disposition, as applicable, be released from its obligations under this Guaranty</w:t>
      </w:r>
      <w:r>
        <w:rPr>
          <w:rFonts w:ascii="Arial" w:cs="Arial" w:eastAsia="Arial" w:hAnsi="Arial"/>
          <w:sz w:val="18"/>
          <w:szCs w:val="18"/>
          <w:b w:val="1"/>
          <w:bCs w:val="1"/>
          <w:color w:val="0000FF"/>
        </w:rPr>
        <w:t>,</w:t>
      </w:r>
      <w:r>
        <w:rPr>
          <w:rFonts w:ascii="Arial" w:cs="Arial" w:eastAsia="Arial" w:hAnsi="Arial"/>
          <w:sz w:val="18"/>
          <w:szCs w:val="18"/>
          <w:color w:val="auto"/>
        </w:rPr>
        <w:t xml:space="preserve"> and the Administrative Agent shall, upon the request and at the sole expense of the Borrower, provide the Borrower with written confirmation of such release and shall take such further actions as reasonably requested by the Borrower to evidence such release;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have delivered to the Administrative Agent, at least five Business Days </w:t>
      </w:r>
      <w:r>
        <w:rPr>
          <w:rFonts w:ascii="Arial" w:cs="Arial" w:eastAsia="Arial" w:hAnsi="Arial"/>
          <w:sz w:val="18"/>
          <w:szCs w:val="18"/>
          <w:b w:val="1"/>
          <w:bCs w:val="1"/>
          <w:u w:val="single" w:color="auto"/>
          <w:color w:val="0000FF"/>
          <w:highlight w:val="lightGray"/>
        </w:rPr>
        <w:t>(or such</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highlight w:val="lightGray"/>
        </w:rPr>
        <w:t>shorter period as is acceptable to the Administrative Agent)</w:t>
      </w:r>
      <w:r>
        <w:rPr>
          <w:rFonts w:ascii="Arial" w:cs="Arial" w:eastAsia="Arial" w:hAnsi="Arial"/>
          <w:sz w:val="18"/>
          <w:szCs w:val="18"/>
          <w:b w:val="1"/>
          <w:bCs w:val="1"/>
          <w:color w:val="0000FF"/>
          <w:highlight w:val="lightGray"/>
        </w:rPr>
        <w:t xml:space="preserve"> </w:t>
      </w:r>
      <w:r>
        <w:rPr>
          <w:rFonts w:ascii="Arial" w:cs="Arial" w:eastAsia="Arial" w:hAnsi="Arial"/>
          <w:sz w:val="18"/>
          <w:szCs w:val="18"/>
          <w:color w:val="000000"/>
        </w:rPr>
        <w:t>prior to the date of the proposed release, a written request for release</w:t>
      </w:r>
      <w:r>
        <w:rPr>
          <w:rFonts w:ascii="Arial" w:cs="Arial" w:eastAsia="Arial" w:hAnsi="Arial"/>
          <w:sz w:val="18"/>
          <w:szCs w:val="18"/>
          <w:b w:val="1"/>
          <w:bCs w:val="1"/>
          <w:color w:val="0000FF"/>
          <w:highlight w:val="lightGray"/>
        </w:rPr>
        <w:t xml:space="preserve"> </w:t>
      </w:r>
      <w:r>
        <w:rPr>
          <w:rFonts w:ascii="Arial" w:cs="Arial" w:eastAsia="Arial" w:hAnsi="Arial"/>
          <w:sz w:val="18"/>
          <w:szCs w:val="18"/>
          <w:color w:val="000000"/>
        </w:rPr>
        <w:t xml:space="preserve">reasonably satisfactory to the Administrative Agent showing that such Guarantor becoming an Excluded Subsidiary or </w:t>
      </w:r>
      <w:r>
        <w:rPr>
          <w:rFonts w:ascii="Arial" w:cs="Arial" w:eastAsia="Arial" w:hAnsi="Arial"/>
          <w:sz w:val="18"/>
          <w:szCs w:val="18"/>
          <w:b w:val="1"/>
          <w:bCs w:val="1"/>
          <w:u w:val="single" w:color="auto"/>
          <w:color w:val="0000FF"/>
          <w:highlight w:val="lightGray"/>
        </w:rPr>
        <w:t>satisfying the</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highlight w:val="lightGray"/>
        </w:rPr>
        <w:t>Exemption Condition or</w:t>
      </w:r>
      <w:r>
        <w:rPr>
          <w:rFonts w:ascii="Arial" w:cs="Arial" w:eastAsia="Arial" w:hAnsi="Arial"/>
          <w:sz w:val="18"/>
          <w:szCs w:val="18"/>
          <w:b w:val="1"/>
          <w:bCs w:val="1"/>
          <w:color w:val="0000FF"/>
          <w:highlight w:val="lightGray"/>
        </w:rPr>
        <w:t xml:space="preserve"> </w:t>
      </w:r>
      <w:r>
        <w:rPr>
          <w:rFonts w:ascii="Arial" w:cs="Arial" w:eastAsia="Arial" w:hAnsi="Arial"/>
          <w:sz w:val="18"/>
          <w:szCs w:val="18"/>
          <w:color w:val="000000"/>
        </w:rPr>
        <w:t>such sale or disposition, as applicable, is as a result of a transaction permitted under the Term Loan Agreement.</w:t>
      </w:r>
    </w:p>
    <w:p>
      <w:pPr>
        <w:spacing w:after="0" w:line="197" w:lineRule="exact"/>
        <w:rPr>
          <w:sz w:val="20"/>
          <w:szCs w:val="20"/>
          <w:color w:val="auto"/>
        </w:rPr>
      </w:pPr>
    </w:p>
    <w:p>
      <w:pPr>
        <w:ind w:firstLine="599"/>
        <w:spacing w:after="0" w:line="272" w:lineRule="auto"/>
        <w:tabs>
          <w:tab w:leader="none" w:pos="1045" w:val="left"/>
        </w:tabs>
        <w:numPr>
          <w:ilvl w:val="0"/>
          <w:numId w:val="672"/>
        </w:numPr>
        <w:rPr>
          <w:rFonts w:ascii="Arial" w:cs="Arial" w:eastAsia="Arial" w:hAnsi="Arial"/>
          <w:sz w:val="20"/>
          <w:szCs w:val="20"/>
          <w:color w:val="FF0000"/>
          <w:strike w:val="1"/>
        </w:rPr>
      </w:pPr>
      <w:r>
        <w:rPr>
          <w:rFonts w:ascii="Arial" w:cs="Arial" w:eastAsia="Arial" w:hAnsi="Arial"/>
          <w:sz w:val="20"/>
          <w:szCs w:val="20"/>
          <w:color w:val="FF0000"/>
          <w:strike w:val="1"/>
        </w:rPr>
        <w:t>Subject to Section 7 hereof, in the event that the Administrative Agent is required to release any Subsidiary of the Borrower that is a Guarantor from its guaranty and other obligations hereunder pursuant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57" w:right="239" w:bottom="1440" w:gutter="0" w:footer="0" w:header="0"/>
        </w:sectPr>
      </w:pPr>
    </w:p>
    <w:bookmarkStart w:id="556" w:name="page557"/>
    <w:bookmarkEnd w:id="556"/>
    <w:p>
      <w:pPr>
        <w:jc w:val="both"/>
        <w:spacing w:after="0" w:line="256" w:lineRule="auto"/>
        <w:rPr>
          <w:sz w:val="20"/>
          <w:szCs w:val="20"/>
          <w:color w:val="auto"/>
        </w:rPr>
      </w:pPr>
      <w:r>
        <w:rPr>
          <w:rFonts w:ascii="Arial" w:cs="Arial" w:eastAsia="Arial" w:hAnsi="Arial"/>
          <w:sz w:val="20"/>
          <w:szCs w:val="20"/>
          <w:color w:val="FF0000"/>
          <w:strike w:val="1"/>
        </w:rPr>
        <w:t>to Section 10.20 of the Term Loan Agreement, the Administrative Agent will release such Guarantor in accordance with Section 10.20 of the Term Loan Agreement. On and after the consummation of any such release, the Administrative Agent shall, upon the request and at the sole expense of the Borrower, provide the Borrower with written confirmation of such release and shall take such further actions as reasonably requested by the Borrower to evidence such release</w:t>
      </w:r>
    </w:p>
    <w:p>
      <w:pPr>
        <w:spacing w:after="0" w:line="199" w:lineRule="exact"/>
        <w:rPr>
          <w:sz w:val="20"/>
          <w:szCs w:val="20"/>
          <w:color w:val="auto"/>
        </w:rPr>
      </w:pPr>
    </w:p>
    <w:p>
      <w:pPr>
        <w:jc w:val="both"/>
        <w:ind w:firstLine="599"/>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FF0000"/>
          <w:strike w:val="1"/>
        </w:rPr>
        <w:t>c</w:t>
      </w:r>
      <w:r>
        <w:rPr>
          <w:rFonts w:ascii="Arial" w:cs="Arial" w:eastAsia="Arial" w:hAnsi="Arial"/>
          <w:sz w:val="20"/>
          <w:szCs w:val="20"/>
          <w:b w:val="1"/>
          <w:bCs w:val="1"/>
          <w:u w:val="single" w:color="auto"/>
          <w:color w:val="0000FF"/>
          <w:highlight w:val="lightGray"/>
        </w:rPr>
        <w:t>b</w:t>
      </w:r>
      <w:r>
        <w:rPr>
          <w:rFonts w:ascii="Arial" w:cs="Arial" w:eastAsia="Arial" w:hAnsi="Arial"/>
          <w:sz w:val="20"/>
          <w:szCs w:val="20"/>
          <w:color w:val="auto"/>
        </w:rPr>
        <w:t xml:space="preserve">) The Administrative Agent shall have no liability whatsoever to any Creditor Party as a result of any release of any Guarantor by it in accordance with (or which the Administrative Agent in the absence of gross negligence or willful misconduct as determined by a court of competent jurisdiction by a final nonappealable judgment believes to be in accordance with) this Section 8 </w:t>
      </w:r>
      <w:r>
        <w:rPr>
          <w:rFonts w:ascii="Arial" w:cs="Arial" w:eastAsia="Arial" w:hAnsi="Arial"/>
          <w:sz w:val="20"/>
          <w:szCs w:val="20"/>
          <w:color w:val="FF0000"/>
          <w:strike w:val="1"/>
        </w:rPr>
        <w:t>or Section 10.20 of the Term Loan</w:t>
      </w:r>
      <w:r>
        <w:rPr>
          <w:rFonts w:ascii="Arial" w:cs="Arial" w:eastAsia="Arial" w:hAnsi="Arial"/>
          <w:sz w:val="20"/>
          <w:szCs w:val="20"/>
          <w:color w:val="auto"/>
        </w:rPr>
        <w:t xml:space="preserve"> </w:t>
      </w:r>
      <w:r>
        <w:rPr>
          <w:rFonts w:ascii="Arial" w:cs="Arial" w:eastAsia="Arial" w:hAnsi="Arial"/>
          <w:sz w:val="20"/>
          <w:szCs w:val="20"/>
          <w:color w:val="FF0000"/>
          <w:strike w:val="1"/>
        </w:rPr>
        <w:t>Agreement</w:t>
      </w:r>
      <w:r>
        <w:rPr>
          <w:rFonts w:ascii="Arial" w:cs="Arial" w:eastAsia="Arial" w:hAnsi="Arial"/>
          <w:sz w:val="20"/>
          <w:szCs w:val="20"/>
          <w:color w:val="000000"/>
        </w:rPr>
        <w:t>.</w:t>
      </w:r>
    </w:p>
    <w:p>
      <w:pPr>
        <w:spacing w:after="0" w:line="198" w:lineRule="exact"/>
        <w:rPr>
          <w:sz w:val="20"/>
          <w:szCs w:val="20"/>
          <w:color w:val="auto"/>
        </w:rPr>
      </w:pPr>
    </w:p>
    <w:p>
      <w:pPr>
        <w:jc w:val="both"/>
        <w:ind w:firstLine="599"/>
        <w:spacing w:after="0" w:line="258" w:lineRule="auto"/>
        <w:tabs>
          <w:tab w:leader="none" w:pos="1349" w:val="left"/>
        </w:tabs>
        <w:numPr>
          <w:ilvl w:val="0"/>
          <w:numId w:val="673"/>
        </w:numPr>
        <w:rPr>
          <w:rFonts w:ascii="Arial" w:cs="Arial" w:eastAsia="Arial" w:hAnsi="Arial"/>
          <w:sz w:val="20"/>
          <w:szCs w:val="20"/>
          <w:color w:val="auto"/>
        </w:rPr>
      </w:pPr>
      <w:r>
        <w:rPr>
          <w:rFonts w:ascii="Arial" w:cs="Arial" w:eastAsia="Arial" w:hAnsi="Arial"/>
          <w:sz w:val="20"/>
          <w:szCs w:val="20"/>
          <w:b w:val="1"/>
          <w:bCs w:val="1"/>
          <w:color w:val="auto"/>
        </w:rPr>
        <w:t xml:space="preserve">Stay of Acceleration. </w:t>
      </w:r>
      <w:r>
        <w:rPr>
          <w:rFonts w:ascii="Arial" w:cs="Arial" w:eastAsia="Arial" w:hAnsi="Arial"/>
          <w:sz w:val="20"/>
          <w:szCs w:val="20"/>
          <w:color w:val="auto"/>
        </w:rPr>
        <w:t>In the event that acceleration of the time for payment of any of the Guaranteed Obligations is stayed,</w:t>
      </w:r>
      <w:r>
        <w:rPr>
          <w:rFonts w:ascii="Arial" w:cs="Arial" w:eastAsia="Arial" w:hAnsi="Arial"/>
          <w:sz w:val="20"/>
          <w:szCs w:val="20"/>
          <w:b w:val="1"/>
          <w:bCs w:val="1"/>
          <w:color w:val="auto"/>
        </w:rPr>
        <w:t xml:space="preserve"> </w:t>
      </w:r>
      <w:r>
        <w:rPr>
          <w:rFonts w:ascii="Arial" w:cs="Arial" w:eastAsia="Arial" w:hAnsi="Arial"/>
          <w:sz w:val="20"/>
          <w:szCs w:val="20"/>
          <w:color w:val="auto"/>
        </w:rPr>
        <w:t>in connection with any case commenced by or against the Borrower or any other Loan Party under any Debtor Relief Laws, or otherwise, all such amounts shall nonetheless be payable by the Guarantors who are not subject to such automatic stay immediately upon demand by the Administrative Agent.</w:t>
      </w:r>
    </w:p>
    <w:p>
      <w:pPr>
        <w:spacing w:after="0" w:line="203" w:lineRule="exact"/>
        <w:rPr>
          <w:rFonts w:ascii="Arial" w:cs="Arial" w:eastAsia="Arial" w:hAnsi="Arial"/>
          <w:sz w:val="20"/>
          <w:szCs w:val="20"/>
          <w:color w:val="auto"/>
        </w:rPr>
      </w:pPr>
    </w:p>
    <w:p>
      <w:pPr>
        <w:ind w:left="1440" w:hanging="841"/>
        <w:spacing w:after="0"/>
        <w:tabs>
          <w:tab w:leader="none" w:pos="1440" w:val="left"/>
        </w:tabs>
        <w:numPr>
          <w:ilvl w:val="0"/>
          <w:numId w:val="673"/>
        </w:numPr>
        <w:rPr>
          <w:rFonts w:ascii="Arial" w:cs="Arial" w:eastAsia="Arial" w:hAnsi="Arial"/>
          <w:sz w:val="20"/>
          <w:szCs w:val="20"/>
          <w:color w:val="auto"/>
        </w:rPr>
      </w:pPr>
      <w:r>
        <w:rPr>
          <w:rFonts w:ascii="Arial" w:cs="Arial" w:eastAsia="Arial" w:hAnsi="Arial"/>
          <w:sz w:val="20"/>
          <w:szCs w:val="20"/>
          <w:color w:val="auto"/>
        </w:rPr>
        <w:t>[Reserved]</w:t>
      </w:r>
    </w:p>
    <w:p>
      <w:pPr>
        <w:spacing w:after="0" w:line="238" w:lineRule="exact"/>
        <w:rPr>
          <w:rFonts w:ascii="Arial" w:cs="Arial" w:eastAsia="Arial" w:hAnsi="Arial"/>
          <w:sz w:val="20"/>
          <w:szCs w:val="20"/>
          <w:color w:val="auto"/>
        </w:rPr>
      </w:pPr>
    </w:p>
    <w:p>
      <w:pPr>
        <w:jc w:val="both"/>
        <w:ind w:firstLine="599"/>
        <w:spacing w:after="0" w:line="266" w:lineRule="auto"/>
        <w:tabs>
          <w:tab w:leader="none" w:pos="1441" w:val="left"/>
        </w:tabs>
        <w:numPr>
          <w:ilvl w:val="0"/>
          <w:numId w:val="673"/>
        </w:numPr>
        <w:rPr>
          <w:rFonts w:ascii="Arial" w:cs="Arial" w:eastAsia="Arial" w:hAnsi="Arial"/>
          <w:sz w:val="19"/>
          <w:szCs w:val="19"/>
          <w:color w:val="auto"/>
        </w:rPr>
      </w:pPr>
      <w:r>
        <w:rPr>
          <w:rFonts w:ascii="Arial" w:cs="Arial" w:eastAsia="Arial" w:hAnsi="Arial"/>
          <w:sz w:val="19"/>
          <w:szCs w:val="19"/>
          <w:b w:val="1"/>
          <w:bCs w:val="1"/>
          <w:color w:val="auto"/>
        </w:rPr>
        <w:t xml:space="preserve">Modifications; Miscellaneous. </w:t>
      </w:r>
      <w:r>
        <w:rPr>
          <w:rFonts w:ascii="Arial" w:cs="Arial" w:eastAsia="Arial" w:hAnsi="Arial"/>
          <w:sz w:val="19"/>
          <w:szCs w:val="19"/>
          <w:color w:val="auto"/>
        </w:rPr>
        <w:t>Neither this Guaranty nor any provision hereof may be changed, waived, discharged or</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terminated except in a writing signed by each Guarantor directly affected thereby (it being understood that the addition or release of any Guarantor hereunder shall not constitute a change, waiver, discharge or termination affecting any Guarantor other than the Guarantor so added or released) and the Administrative Agent (with the consent of the Required Lenders or all of the Lenders, to the extent required by Section 10.01 of the Term Loan Agreement). No failure by any Creditor Party to exercise, and no delay in exercising, any right, remedy or power hereunder shall operate as a waiver thereof; nor shall any single or partial exercise of any right, remedy or power hereunder preclude any other or further exercise thereof or the exercise of any other right, power or remedy. The remedies herein provided are cumulative and not exclusive of any remedies provided by law or in equity. The unenforceability or invalidity of any provision of this Guaranty shall not affect the enforceability or validity of any other provision herein.</w:t>
      </w:r>
    </w:p>
    <w:p>
      <w:pPr>
        <w:spacing w:after="0" w:line="193" w:lineRule="exact"/>
        <w:rPr>
          <w:rFonts w:ascii="Arial" w:cs="Arial" w:eastAsia="Arial" w:hAnsi="Arial"/>
          <w:sz w:val="19"/>
          <w:szCs w:val="19"/>
          <w:color w:val="auto"/>
        </w:rPr>
      </w:pPr>
    </w:p>
    <w:p>
      <w:pPr>
        <w:jc w:val="both"/>
        <w:ind w:firstLine="599"/>
        <w:spacing w:after="0" w:line="307" w:lineRule="auto"/>
        <w:tabs>
          <w:tab w:leader="none" w:pos="1449" w:val="left"/>
        </w:tabs>
        <w:numPr>
          <w:ilvl w:val="0"/>
          <w:numId w:val="673"/>
        </w:numPr>
        <w:rPr>
          <w:rFonts w:ascii="Arial" w:cs="Arial" w:eastAsia="Arial" w:hAnsi="Arial"/>
          <w:sz w:val="17"/>
          <w:szCs w:val="17"/>
          <w:color w:val="auto"/>
        </w:rPr>
      </w:pPr>
      <w:r>
        <w:rPr>
          <w:rFonts w:ascii="Arial" w:cs="Arial" w:eastAsia="Arial" w:hAnsi="Arial"/>
          <w:sz w:val="17"/>
          <w:szCs w:val="17"/>
          <w:b w:val="1"/>
          <w:bCs w:val="1"/>
          <w:color w:val="auto"/>
        </w:rPr>
        <w:t xml:space="preserve">Condition of Loan Parties. </w:t>
      </w:r>
      <w:r>
        <w:rPr>
          <w:rFonts w:ascii="Arial" w:cs="Arial" w:eastAsia="Arial" w:hAnsi="Arial"/>
          <w:sz w:val="17"/>
          <w:szCs w:val="17"/>
          <w:color w:val="auto"/>
        </w:rPr>
        <w:t>Each Guarantor acknowledges and agrees that it has the sole responsibility for, and has</w:t>
      </w:r>
      <w:r>
        <w:rPr>
          <w:rFonts w:ascii="Arial" w:cs="Arial" w:eastAsia="Arial" w:hAnsi="Arial"/>
          <w:sz w:val="17"/>
          <w:szCs w:val="17"/>
          <w:b w:val="1"/>
          <w:bCs w:val="1"/>
          <w:color w:val="auto"/>
        </w:rPr>
        <w:t xml:space="preserve"> </w:t>
      </w:r>
      <w:r>
        <w:rPr>
          <w:rFonts w:ascii="Arial" w:cs="Arial" w:eastAsia="Arial" w:hAnsi="Arial"/>
          <w:sz w:val="17"/>
          <w:szCs w:val="17"/>
          <w:color w:val="auto"/>
        </w:rPr>
        <w:t>adequate means of, obtaining from the Loan Parties and any other guarantor of the Guaranteed Obligations such information concerning the financial condition, business and operations of the Loan Parties and any such other guarantors as such Guarantor requires, and that no Creditor Party has any duty, and no Guarantor is relying on any Creditor Party at any time, to disclose to such Guarantor any information relating to the business, operations or financial condition of any Loan Party or any other guarantor of the Guaranteed Obligations (such Guarantor waiving any duty on the part of the Creditor Parties to disclose such information and any defense relating to the failure to provide the same).</w:t>
      </w:r>
    </w:p>
    <w:p>
      <w:pPr>
        <w:spacing w:after="0" w:line="160" w:lineRule="exact"/>
        <w:rPr>
          <w:rFonts w:ascii="Arial" w:cs="Arial" w:eastAsia="Arial" w:hAnsi="Arial"/>
          <w:sz w:val="17"/>
          <w:szCs w:val="17"/>
          <w:color w:val="auto"/>
        </w:rPr>
      </w:pPr>
    </w:p>
    <w:p>
      <w:pPr>
        <w:jc w:val="both"/>
        <w:ind w:firstLine="599"/>
        <w:spacing w:after="0" w:line="252" w:lineRule="auto"/>
        <w:tabs>
          <w:tab w:leader="none" w:pos="1449" w:val="left"/>
        </w:tabs>
        <w:numPr>
          <w:ilvl w:val="0"/>
          <w:numId w:val="673"/>
        </w:numPr>
        <w:rPr>
          <w:rFonts w:ascii="Arial" w:cs="Arial" w:eastAsia="Arial" w:hAnsi="Arial"/>
          <w:sz w:val="20"/>
          <w:szCs w:val="20"/>
          <w:color w:val="auto"/>
        </w:rPr>
      </w:pPr>
      <w:r>
        <w:rPr>
          <w:rFonts w:ascii="Arial" w:cs="Arial" w:eastAsia="Arial" w:hAnsi="Arial"/>
          <w:sz w:val="20"/>
          <w:szCs w:val="20"/>
          <w:b w:val="1"/>
          <w:bCs w:val="1"/>
          <w:color w:val="auto"/>
        </w:rPr>
        <w:t xml:space="preserve">Setoff. </w:t>
      </w:r>
      <w:r>
        <w:rPr>
          <w:rFonts w:ascii="Arial" w:cs="Arial" w:eastAsia="Arial" w:hAnsi="Arial"/>
          <w:sz w:val="20"/>
          <w:szCs w:val="20"/>
          <w:color w:val="auto"/>
        </w:rPr>
        <w:t>In addition to any rights now or hereafter granted under applicable law (including, without limitation, Section 151 of</w:t>
      </w:r>
      <w:r>
        <w:rPr>
          <w:rFonts w:ascii="Arial" w:cs="Arial" w:eastAsia="Arial" w:hAnsi="Arial"/>
          <w:sz w:val="20"/>
          <w:szCs w:val="20"/>
          <w:b w:val="1"/>
          <w:bCs w:val="1"/>
          <w:color w:val="auto"/>
        </w:rPr>
        <w:t xml:space="preserve"> </w:t>
      </w:r>
      <w:r>
        <w:rPr>
          <w:rFonts w:ascii="Arial" w:cs="Arial" w:eastAsia="Arial" w:hAnsi="Arial"/>
          <w:sz w:val="20"/>
          <w:szCs w:val="20"/>
          <w:color w:val="auto"/>
        </w:rPr>
        <w:t>the New York Debtor and Creditor Law) and not by way of limitation of any such rights, upon the occurrence and during the continuance of an Event of Default, each Lender and each of their respective Affiliates is hereby authorized, at any time or from time to time, to set off and to appropriate and apply any and all deposits (general or special) and any other indebtedness at any time held or owing by such Lender or any of their respective Affiliates to or for the credit or the account of any Guarantor, against and on account of the obligations and liabilities of such Guarantor to such Lender under this Guaranty, irrespective of whether or not such Lender shall have made any demand hereunder and although said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357" w:right="239" w:bottom="1440" w:gutter="0" w:footer="0" w:header="0"/>
        </w:sectPr>
      </w:pPr>
    </w:p>
    <w:bookmarkStart w:id="557" w:name="page558"/>
    <w:bookmarkEnd w:id="557"/>
    <w:p>
      <w:pPr>
        <w:jc w:val="both"/>
        <w:spacing w:after="0" w:line="264" w:lineRule="auto"/>
        <w:rPr>
          <w:sz w:val="20"/>
          <w:szCs w:val="20"/>
          <w:color w:val="auto"/>
        </w:rPr>
      </w:pPr>
      <w:r>
        <w:rPr>
          <w:rFonts w:ascii="Arial" w:cs="Arial" w:eastAsia="Arial" w:hAnsi="Arial"/>
          <w:sz w:val="19"/>
          <w:szCs w:val="19"/>
          <w:color w:val="auto"/>
        </w:rPr>
        <w:t xml:space="preserve">obligations, liabilities, deposits or claims, or any of them, shall be contingent or unmatured or are owed to a branch or office or Affiliate of such Lender different from the branch or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Section 2.19 of the Term Loan Agreement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or their respective Affiliates may have. Each Lender (by its acceptance of the benefits hereof) acknowledges and agrees to promptly notify the Borrower and the Administrative Agent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that the failure to give such notice shall not affect the validity of such set-off and application.</w:t>
      </w:r>
    </w:p>
    <w:p>
      <w:pPr>
        <w:spacing w:after="0" w:line="198" w:lineRule="exact"/>
        <w:rPr>
          <w:sz w:val="20"/>
          <w:szCs w:val="20"/>
          <w:color w:val="auto"/>
        </w:rPr>
      </w:pPr>
    </w:p>
    <w:p>
      <w:pPr>
        <w:jc w:val="both"/>
        <w:ind w:firstLine="599"/>
        <w:spacing w:after="0" w:line="279" w:lineRule="auto"/>
        <w:tabs>
          <w:tab w:leader="none" w:pos="1449" w:val="left"/>
        </w:tabs>
        <w:numPr>
          <w:ilvl w:val="0"/>
          <w:numId w:val="674"/>
        </w:numPr>
        <w:rPr>
          <w:rFonts w:ascii="Arial" w:cs="Arial" w:eastAsia="Arial" w:hAnsi="Arial"/>
          <w:sz w:val="18"/>
          <w:szCs w:val="18"/>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Each Guarantor represents and warrants that (a) it is duly organized and in good</w:t>
      </w:r>
      <w:r>
        <w:rPr>
          <w:rFonts w:ascii="Arial" w:cs="Arial" w:eastAsia="Arial" w:hAnsi="Arial"/>
          <w:sz w:val="18"/>
          <w:szCs w:val="18"/>
          <w:b w:val="1"/>
          <w:bCs w:val="1"/>
          <w:color w:val="auto"/>
        </w:rPr>
        <w:t xml:space="preserve"> </w:t>
      </w:r>
      <w:r>
        <w:rPr>
          <w:rFonts w:ascii="Arial" w:cs="Arial" w:eastAsia="Arial" w:hAnsi="Arial"/>
          <w:sz w:val="18"/>
          <w:szCs w:val="18"/>
          <w:color w:val="auto"/>
        </w:rPr>
        <w:t>standing under the laws of the jurisdiction of its organization and has full capacity and right to make and perform this Guaranty, and all necessary authority has been obtained; (b) this Guaranty constitutes its legal, valid and binding obligation enforceable in accordance with its terms, except as enforceability may be limited by bankruptcy, insolvency, fraudulent conveyance, reorganization, moratorium or similar laws affecting the enforceability of creditors’ rights generally and by general principles of equity (regardless of whether enforcement is sought at law or in equity); (c) the making and performance of this Guaranty does not and will not violate the provisions of any applicable law, regulation or order, and does not and will not result in the breach of, or constitute a default or require any consent under, any agreement, instrument, or document to which it is a party or by which it or any of its property may be bound or affected, except as could not reasonably be expected to have a Material Adverse Effect; and (d) all consents, approvals, licenses and authorizations of, and filings and registrations with, any Governmental Authority required under applicable law and regulations for the making and performance of this Guaranty have been obtained or made and are in full force and effect. In addition, each Guarantor represents and warrants that (x) until all of the Guaranteed Obligations (other than contingent indemnification obligations that survive termination of the Loan Documents for which no claim has been made) and any amounts payable under this Guaranty have been indefeasibly paid and performed in full in immediately available funds and all Commitments are terminated, such Guarantor will comply with all covenants contained in the Term Loan Agreement applicable to it as if it were a party thereto; and (y) an executed (or conformed) copy of each of the Loan Documents has been made available to a senior officer of such Guarantor and such officer is familiar with the contents thereof.</w:t>
      </w:r>
    </w:p>
    <w:p>
      <w:pPr>
        <w:spacing w:after="0" w:line="184" w:lineRule="exact"/>
        <w:rPr>
          <w:rFonts w:ascii="Arial" w:cs="Arial" w:eastAsia="Arial" w:hAnsi="Arial"/>
          <w:sz w:val="18"/>
          <w:szCs w:val="18"/>
          <w:color w:val="auto"/>
        </w:rPr>
      </w:pPr>
    </w:p>
    <w:p>
      <w:pPr>
        <w:jc w:val="both"/>
        <w:ind w:firstLine="599"/>
        <w:spacing w:after="0" w:line="255" w:lineRule="auto"/>
        <w:tabs>
          <w:tab w:leader="none" w:pos="1449" w:val="left"/>
        </w:tabs>
        <w:numPr>
          <w:ilvl w:val="0"/>
          <w:numId w:val="674"/>
        </w:numPr>
        <w:rPr>
          <w:rFonts w:ascii="Arial" w:cs="Arial" w:eastAsia="Arial" w:hAnsi="Arial"/>
          <w:sz w:val="20"/>
          <w:szCs w:val="20"/>
          <w:color w:val="auto"/>
        </w:rPr>
      </w:pPr>
      <w:r>
        <w:rPr>
          <w:rFonts w:ascii="Arial" w:cs="Arial" w:eastAsia="Arial" w:hAnsi="Arial"/>
          <w:sz w:val="20"/>
          <w:szCs w:val="20"/>
          <w:b w:val="1"/>
          <w:bCs w:val="1"/>
          <w:color w:val="auto"/>
        </w:rPr>
        <w:t xml:space="preserve">Indemnification and Survival. </w:t>
      </w:r>
      <w:r>
        <w:rPr>
          <w:rFonts w:ascii="Arial" w:cs="Arial" w:eastAsia="Arial" w:hAnsi="Arial"/>
          <w:sz w:val="20"/>
          <w:szCs w:val="20"/>
          <w:color w:val="auto"/>
        </w:rPr>
        <w:t>Without limitation on any other obligations of any Guarantor or remedies of any Creditor</w:t>
      </w:r>
      <w:r>
        <w:rPr>
          <w:rFonts w:ascii="Arial" w:cs="Arial" w:eastAsia="Arial" w:hAnsi="Arial"/>
          <w:sz w:val="20"/>
          <w:szCs w:val="20"/>
          <w:b w:val="1"/>
          <w:bCs w:val="1"/>
          <w:color w:val="auto"/>
        </w:rPr>
        <w:t xml:space="preserve"> </w:t>
      </w:r>
      <w:r>
        <w:rPr>
          <w:rFonts w:ascii="Arial" w:cs="Arial" w:eastAsia="Arial" w:hAnsi="Arial"/>
          <w:sz w:val="20"/>
          <w:szCs w:val="20"/>
          <w:color w:val="auto"/>
        </w:rPr>
        <w:t>Party under this Guaranty, each Guarantor shall, jointly and severally, to the full extent permitted by law, indemnify, defend and save and hold harmless each Indemnitee if, and to the same extent that, the Borrower is required to indemnify, defend and save and hold harmless such Indemnitee under Section 10.04 of the Term Loan Agreement. The obligations of the Guarantors under this paragraph shall survive the payment in full of the Guaranteed Obligations and termination of this Guaranty.</w:t>
      </w:r>
    </w:p>
    <w:p>
      <w:pPr>
        <w:spacing w:after="0" w:line="202" w:lineRule="exact"/>
        <w:rPr>
          <w:rFonts w:ascii="Arial" w:cs="Arial" w:eastAsia="Arial" w:hAnsi="Arial"/>
          <w:sz w:val="20"/>
          <w:szCs w:val="20"/>
          <w:color w:val="auto"/>
        </w:rPr>
      </w:pPr>
    </w:p>
    <w:p>
      <w:pPr>
        <w:jc w:val="both"/>
        <w:ind w:firstLine="599"/>
        <w:spacing w:after="0" w:line="295" w:lineRule="auto"/>
        <w:tabs>
          <w:tab w:leader="none" w:pos="1449" w:val="left"/>
        </w:tabs>
        <w:numPr>
          <w:ilvl w:val="0"/>
          <w:numId w:val="674"/>
        </w:numPr>
        <w:rPr>
          <w:rFonts w:ascii="Arial" w:cs="Arial" w:eastAsia="Arial" w:hAnsi="Arial"/>
          <w:sz w:val="18"/>
          <w:szCs w:val="18"/>
          <w:color w:val="auto"/>
        </w:rPr>
      </w:pPr>
      <w:r>
        <w:rPr>
          <w:rFonts w:ascii="Arial" w:cs="Arial" w:eastAsia="Arial" w:hAnsi="Arial"/>
          <w:sz w:val="18"/>
          <w:szCs w:val="18"/>
          <w:b w:val="1"/>
          <w:bCs w:val="1"/>
          <w:color w:val="auto"/>
        </w:rPr>
        <w:t xml:space="preserve">Guaranty Enforceable by Administrative Agent. </w:t>
      </w:r>
      <w:r>
        <w:rPr>
          <w:rFonts w:ascii="Arial" w:cs="Arial" w:eastAsia="Arial" w:hAnsi="Arial"/>
          <w:sz w:val="18"/>
          <w:szCs w:val="18"/>
          <w:color w:val="auto"/>
        </w:rPr>
        <w:t>This Guaranty may be enforced only by the action of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in each case acting upon the instructions of the Required Lenders (to the extent required under the Term Loan Agreement) and no other Creditor Party will have any right individually to seek to enforce or to enforce this Guaranty or to realize upon the security (if any) to be granted by the Loan Documents, it being understood and agreed that such rights and remedies may be exercised by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358" w:right="239" w:bottom="1440" w:gutter="0" w:footer="0" w:header="0"/>
        </w:sectPr>
      </w:pPr>
    </w:p>
    <w:bookmarkStart w:id="558" w:name="page559"/>
    <w:bookmarkEnd w:id="558"/>
    <w:p>
      <w:pPr>
        <w:spacing w:after="0" w:line="272" w:lineRule="auto"/>
        <w:rPr>
          <w:sz w:val="20"/>
          <w:szCs w:val="20"/>
          <w:color w:val="auto"/>
        </w:rPr>
      </w:pPr>
      <w:r>
        <w:rPr>
          <w:rFonts w:ascii="Arial" w:cs="Arial" w:eastAsia="Arial" w:hAnsi="Arial"/>
          <w:sz w:val="20"/>
          <w:szCs w:val="20"/>
          <w:color w:val="auto"/>
        </w:rPr>
        <w:t>the Administrative Agent, for the benefit of the Creditor Parties, upon the terms of this Guaranty and the other Loan Documents. It is understood and agreed that the agreement in this Section 16 is solely for the benefit of the Creditor Parties.</w:t>
      </w:r>
    </w:p>
    <w:p>
      <w:pPr>
        <w:spacing w:after="0" w:line="185" w:lineRule="exact"/>
        <w:rPr>
          <w:sz w:val="20"/>
          <w:szCs w:val="20"/>
          <w:color w:val="auto"/>
        </w:rPr>
      </w:pPr>
    </w:p>
    <w:p>
      <w:pPr>
        <w:ind w:left="1440" w:hanging="841"/>
        <w:spacing w:after="0"/>
        <w:tabs>
          <w:tab w:leader="none" w:pos="1440" w:val="left"/>
        </w:tabs>
        <w:numPr>
          <w:ilvl w:val="0"/>
          <w:numId w:val="675"/>
        </w:numPr>
        <w:rPr>
          <w:rFonts w:ascii="Arial" w:cs="Arial" w:eastAsia="Arial" w:hAnsi="Arial"/>
          <w:sz w:val="20"/>
          <w:szCs w:val="20"/>
          <w:color w:val="auto"/>
        </w:rPr>
      </w:pPr>
      <w:r>
        <w:rPr>
          <w:rFonts w:ascii="Arial" w:cs="Arial" w:eastAsia="Arial" w:hAnsi="Arial"/>
          <w:sz w:val="20"/>
          <w:szCs w:val="20"/>
          <w:b w:val="1"/>
          <w:bCs w:val="1"/>
          <w:color w:val="auto"/>
        </w:rPr>
        <w:t>[Reserved]</w:t>
      </w:r>
    </w:p>
    <w:p>
      <w:pPr>
        <w:spacing w:after="0" w:line="244" w:lineRule="exact"/>
        <w:rPr>
          <w:rFonts w:ascii="Arial" w:cs="Arial" w:eastAsia="Arial" w:hAnsi="Arial"/>
          <w:sz w:val="20"/>
          <w:szCs w:val="20"/>
          <w:color w:val="auto"/>
        </w:rPr>
      </w:pPr>
    </w:p>
    <w:p>
      <w:pPr>
        <w:jc w:val="both"/>
        <w:ind w:firstLine="599"/>
        <w:spacing w:after="0" w:line="278" w:lineRule="auto"/>
        <w:tabs>
          <w:tab w:leader="none" w:pos="1449" w:val="left"/>
        </w:tabs>
        <w:numPr>
          <w:ilvl w:val="0"/>
          <w:numId w:val="675"/>
        </w:numPr>
        <w:rPr>
          <w:rFonts w:ascii="Arial" w:cs="Arial" w:eastAsia="Arial" w:hAnsi="Arial"/>
          <w:sz w:val="18"/>
          <w:szCs w:val="18"/>
          <w:color w:val="auto"/>
        </w:rPr>
      </w:pPr>
      <w:r>
        <w:rPr>
          <w:rFonts w:ascii="Arial" w:cs="Arial" w:eastAsia="Arial" w:hAnsi="Arial"/>
          <w:sz w:val="18"/>
          <w:szCs w:val="18"/>
          <w:b w:val="1"/>
          <w:bCs w:val="1"/>
          <w:color w:val="auto"/>
        </w:rPr>
        <w:t xml:space="preserve">Subordination of Indebtedness Held by Guarantors. </w:t>
      </w:r>
      <w:r>
        <w:rPr>
          <w:rFonts w:ascii="Arial" w:cs="Arial" w:eastAsia="Arial" w:hAnsi="Arial"/>
          <w:sz w:val="18"/>
          <w:szCs w:val="18"/>
          <w:color w:val="auto"/>
        </w:rPr>
        <w:t>Any indebtedness of any Loan Party now or hereafter held by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Guarantor is hereby subordinated to the prior payment in full in immediately available funds of all the Guaranteed Obligations, and such indebtedness of any Loan Party to any Guarantor, if the Administrative Agent, after an Event of Default has occurred and is continuing, so requests, shall be collected, enforced and received by such Guarantor as trustee for the Creditor Parties and be paid over to the Administrative Agent for the benefit of the Creditor Parties for application to the Guaranteed Obligations in accordance with the terms of the Loan Documents or, if the Loan Documents do not provide for the application of such amount, to be held by the Administrative Agent as collateral security for any Guaranteed Obligations thereafter existing, but without affecting or impairing in any manner the liability of such Guarantor under the other provisions of this Guaranty. Prior to the transfer by any Guarantor of any note or negotiable instrument evidencing any indebtedness of any Loan Party to such Guarantor, such Guarantor shall mark such note or negotiable instrument with a legend that the same is subject to this subordination. Without limiting the generality of the foregoing, each Guarantor hereby agrees with the Creditor Parties that it will not exercise any right of subrogation which it may at any time otherwise have as a result of this Guaranty (whether contractual, under Section 509 of the Bankruptcy Code or otherwise) until all of the Guaranteed Obligations and any amounts payable under this Guaranty (other than contingent indemnification obligations that survive termination of the Loan Documents for which no claim has been made) have been indefeasibly paid and performed in full in immediately available funds and all Commitments are terminated; </w:t>
      </w:r>
      <w:r>
        <w:rPr>
          <w:rFonts w:ascii="Arial" w:cs="Arial" w:eastAsia="Arial" w:hAnsi="Arial"/>
          <w:sz w:val="18"/>
          <w:szCs w:val="18"/>
          <w:u w:val="single" w:color="auto"/>
          <w:color w:val="auto"/>
        </w:rPr>
        <w:t>provided</w:t>
      </w:r>
      <w:r>
        <w:rPr>
          <w:rFonts w:ascii="Arial" w:cs="Arial" w:eastAsia="Arial" w:hAnsi="Arial"/>
          <w:sz w:val="18"/>
          <w:szCs w:val="18"/>
          <w:color w:val="auto"/>
        </w:rPr>
        <w:t>, that if any amount shall be paid to any Guarantor on account of such subrogation rights prior to such time, such amount shall be held in trust for the benefit of the Creditor Parties and shall forthwith be paid to the Administrative Agent for the benefit of the Creditor Parties to be credited and applied to the Guaranteed Obligations, whether matured or unmatured, in accordance with the terms of the Loan Documents or, if the Loan Documents do not provide for the application of such amount, to be held by the Administrative Agent as collateral security for any Guaranteed Obligations thereafter existing. Upon the indefeasible payment in full in immediately available funds of all of the Guaranteed Obligations and any amounts payable under this Guaranty (other than contingent indemnification obligations that survive termination of the Loan Documents for which no claim has been made) and the termination of all Commitments, each Guarantor shall be subrogated to the rights of the Creditor Parties to receive payments or distributions applicable to the Guaranteed Obligations until all Indebtedness of the Borrower held by such Guarantor shall be paid in full.</w:t>
      </w:r>
    </w:p>
    <w:p>
      <w:pPr>
        <w:spacing w:after="0" w:line="200" w:lineRule="exact"/>
        <w:rPr>
          <w:rFonts w:ascii="Arial" w:cs="Arial" w:eastAsia="Arial" w:hAnsi="Arial"/>
          <w:sz w:val="18"/>
          <w:szCs w:val="18"/>
          <w:color w:val="auto"/>
        </w:rPr>
      </w:pPr>
    </w:p>
    <w:p>
      <w:pPr>
        <w:spacing w:after="0" w:line="220" w:lineRule="exact"/>
        <w:rPr>
          <w:rFonts w:ascii="Arial" w:cs="Arial" w:eastAsia="Arial" w:hAnsi="Arial"/>
          <w:sz w:val="18"/>
          <w:szCs w:val="18"/>
          <w:color w:val="auto"/>
        </w:rPr>
      </w:pPr>
    </w:p>
    <w:p>
      <w:pPr>
        <w:jc w:val="both"/>
        <w:ind w:firstLine="599"/>
        <w:spacing w:after="0" w:line="263" w:lineRule="auto"/>
        <w:tabs>
          <w:tab w:leader="none" w:pos="1449" w:val="left"/>
        </w:tabs>
        <w:numPr>
          <w:ilvl w:val="0"/>
          <w:numId w:val="675"/>
        </w:numPr>
        <w:rPr>
          <w:rFonts w:ascii="Arial" w:cs="Arial" w:eastAsia="Arial" w:hAnsi="Arial"/>
          <w:sz w:val="20"/>
          <w:szCs w:val="20"/>
          <w:color w:val="auto"/>
        </w:rPr>
      </w:pPr>
      <w:r>
        <w:rPr>
          <w:rFonts w:ascii="Arial" w:cs="Arial" w:eastAsia="Arial" w:hAnsi="Arial"/>
          <w:sz w:val="20"/>
          <w:szCs w:val="20"/>
          <w:b w:val="1"/>
          <w:bCs w:val="1"/>
          <w:color w:val="auto"/>
        </w:rPr>
        <w:t xml:space="preserve">Additional Guarantors. </w:t>
      </w:r>
      <w:r>
        <w:rPr>
          <w:rFonts w:ascii="Arial" w:cs="Arial" w:eastAsia="Arial" w:hAnsi="Arial"/>
          <w:sz w:val="20"/>
          <w:szCs w:val="20"/>
          <w:color w:val="auto"/>
        </w:rPr>
        <w:t>Any Subsidiary of the REIT that is required to become a party to this Guaranty after the date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hereof pursuant to the Term Loan Agreement shall become a Guarantor hereunder by executing and delivering a joinder agreement in the form attached hereto as </w:t>
      </w:r>
      <w:r>
        <w:rPr>
          <w:rFonts w:ascii="Arial" w:cs="Arial" w:eastAsia="Arial" w:hAnsi="Arial"/>
          <w:sz w:val="20"/>
          <w:szCs w:val="20"/>
          <w:u w:val="single" w:color="auto"/>
          <w:color w:val="auto"/>
        </w:rPr>
        <w:t>Annex I</w:t>
      </w:r>
      <w:r>
        <w:rPr>
          <w:rFonts w:ascii="Arial" w:cs="Arial" w:eastAsia="Arial" w:hAnsi="Arial"/>
          <w:sz w:val="20"/>
          <w:szCs w:val="20"/>
          <w:color w:val="auto"/>
        </w:rPr>
        <w:t>.</w:t>
      </w:r>
    </w:p>
    <w:p>
      <w:pPr>
        <w:spacing w:after="0" w:line="193" w:lineRule="exact"/>
        <w:rPr>
          <w:rFonts w:ascii="Arial" w:cs="Arial" w:eastAsia="Arial" w:hAnsi="Arial"/>
          <w:sz w:val="20"/>
          <w:szCs w:val="20"/>
          <w:color w:val="auto"/>
        </w:rPr>
      </w:pPr>
    </w:p>
    <w:p>
      <w:pPr>
        <w:jc w:val="both"/>
        <w:ind w:firstLine="599"/>
        <w:spacing w:after="0" w:line="285" w:lineRule="auto"/>
        <w:tabs>
          <w:tab w:leader="none" w:pos="1449" w:val="left"/>
        </w:tabs>
        <w:numPr>
          <w:ilvl w:val="0"/>
          <w:numId w:val="675"/>
        </w:numPr>
        <w:rPr>
          <w:rFonts w:ascii="Arial" w:cs="Arial" w:eastAsia="Arial" w:hAnsi="Arial"/>
          <w:sz w:val="18"/>
          <w:szCs w:val="18"/>
          <w:color w:val="auto"/>
        </w:rPr>
      </w:pPr>
      <w:r>
        <w:rPr>
          <w:rFonts w:ascii="Arial" w:cs="Arial" w:eastAsia="Arial" w:hAnsi="Arial"/>
          <w:sz w:val="18"/>
          <w:szCs w:val="18"/>
          <w:b w:val="1"/>
          <w:bCs w:val="1"/>
          <w:color w:val="auto"/>
        </w:rPr>
        <w:t>Contribution</w:t>
      </w:r>
      <w:r>
        <w:rPr>
          <w:rFonts w:ascii="Arial" w:cs="Arial" w:eastAsia="Arial" w:hAnsi="Arial"/>
          <w:sz w:val="18"/>
          <w:szCs w:val="18"/>
          <w:color w:val="auto"/>
        </w:rPr>
        <w:t>. At any time a payment in respect of the Guaranteed Obligations is made under this Guaranty, the right of</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 of each Guarantor against each other Guarantor shall be determined as provided in the immediately following sentence, with the right of contribution of each Guarantor to be revised and restated as of each date on which a payment (a “</w:t>
      </w:r>
      <w:r>
        <w:rPr>
          <w:rFonts w:ascii="Arial" w:cs="Arial" w:eastAsia="Arial" w:hAnsi="Arial"/>
          <w:sz w:val="18"/>
          <w:szCs w:val="18"/>
          <w:u w:val="single" w:color="auto"/>
          <w:color w:val="auto"/>
        </w:rPr>
        <w:t>Relevant Payment</w:t>
      </w:r>
      <w:r>
        <w:rPr>
          <w:rFonts w:ascii="Arial" w:cs="Arial" w:eastAsia="Arial" w:hAnsi="Arial"/>
          <w:sz w:val="18"/>
          <w:szCs w:val="18"/>
          <w:color w:val="auto"/>
        </w:rPr>
        <w:t>”) is made on the Guaranteed Obligations under this Guaranty. At any time that a Relevant Payment is made by a Guarantor that results in the aggregate payments made by such Guarantor in respect of the Guaranteed Obligations to and including the date of the Relevant Payment exceeding such Guarantor’s Contribution Percentage (as defined below) of the aggregate payments made by all Guarantors in respect of the Guaranteed Obligations to and including the date of the Relevant Payment (such excess, the “</w:t>
      </w:r>
      <w:r>
        <w:rPr>
          <w:rFonts w:ascii="Arial" w:cs="Arial" w:eastAsia="Arial" w:hAnsi="Arial"/>
          <w:sz w:val="18"/>
          <w:szCs w:val="18"/>
          <w:u w:val="single" w:color="auto"/>
          <w:color w:val="auto"/>
        </w:rPr>
        <w:t>Aggregate Excess Amount</w:t>
      </w:r>
      <w:r>
        <w:rPr>
          <w:rFonts w:ascii="Arial" w:cs="Arial" w:eastAsia="Arial" w:hAnsi="Arial"/>
          <w:sz w:val="18"/>
          <w:szCs w:val="18"/>
          <w:color w:val="auto"/>
        </w:rPr>
        <w:t>”), each such Guarantor shall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357" w:right="239" w:bottom="1440" w:gutter="0" w:footer="0" w:header="0"/>
        </w:sectPr>
      </w:pPr>
    </w:p>
    <w:bookmarkStart w:id="559" w:name="page560"/>
    <w:bookmarkEnd w:id="559"/>
    <w:p>
      <w:pPr>
        <w:jc w:val="both"/>
        <w:spacing w:after="0" w:line="277" w:lineRule="auto"/>
        <w:rPr>
          <w:sz w:val="20"/>
          <w:szCs w:val="20"/>
          <w:color w:val="auto"/>
        </w:rPr>
      </w:pPr>
      <w:r>
        <w:rPr>
          <w:rFonts w:ascii="Arial" w:cs="Arial" w:eastAsia="Arial" w:hAnsi="Arial"/>
          <w:sz w:val="18"/>
          <w:szCs w:val="18"/>
          <w:color w:val="auto"/>
        </w:rPr>
        <w:t>have a right of contribution against each other Guarantor who either has not made any payments or has made payments in respect of the Guaranteed Obligations to and including the date of the Relevant Payment in an aggregate amount less than such other Guarantor’s Contribution Percentage of the aggregate payments made to and including the date of the Relevant Payment by all Guarantors in respect of the Guaranteed Obligations (the aggregate amount of such deficit, the “</w:t>
      </w:r>
      <w:r>
        <w:rPr>
          <w:rFonts w:ascii="Arial" w:cs="Arial" w:eastAsia="Arial" w:hAnsi="Arial"/>
          <w:sz w:val="18"/>
          <w:szCs w:val="18"/>
          <w:u w:val="single" w:color="auto"/>
          <w:color w:val="auto"/>
        </w:rPr>
        <w:t>Aggregate Deficit Amount</w:t>
      </w:r>
      <w:r>
        <w:rPr>
          <w:rFonts w:ascii="Arial" w:cs="Arial" w:eastAsia="Arial" w:hAnsi="Arial"/>
          <w:sz w:val="18"/>
          <w:szCs w:val="18"/>
          <w:color w:val="auto"/>
        </w:rPr>
        <w:t xml:space="preserve">”) in an amount equal to (x) a fraction the numerator of which is the Aggregate Excess Amount of such Guarantor and the denominator of which is the Aggregate Excess Amount of all Guarantors multiplied by (y) the Aggregate Deficit Amount of such other Guarantor. A Guarantor’s right of contribution pursuant to the preceding sentences shall arise at the time of each computation, subject to adjustment at the time of each computation; </w:t>
      </w:r>
      <w:r>
        <w:rPr>
          <w:rFonts w:ascii="Arial" w:cs="Arial" w:eastAsia="Arial" w:hAnsi="Arial"/>
          <w:sz w:val="18"/>
          <w:szCs w:val="18"/>
          <w:u w:val="single" w:color="auto"/>
          <w:color w:val="auto"/>
        </w:rPr>
        <w:t>provided</w:t>
      </w:r>
      <w:r>
        <w:rPr>
          <w:rFonts w:ascii="Arial" w:cs="Arial" w:eastAsia="Arial" w:hAnsi="Arial"/>
          <w:sz w:val="18"/>
          <w:szCs w:val="18"/>
          <w:color w:val="auto"/>
        </w:rPr>
        <w:t>, that no Guarantor may take any action to enforce such right until all of the Guaranteed Obligations and any amounts payable under this Guaranty (other than contingent indemnification obligations that survive termination of the Loan Documents and for which no claim has been made) have been indefeasibly paid and performed in full in immediately available funds and all Commitments are terminated, it being expressly recognized and agreed by all parties hereto that any Guarantor’s right of contribution arising pursuant to this Section 20 against any other Guarantor shall be expressly junior and subordinate to such other Guarantor’s obligations and liabilities in respect of the Guaranteed Obligations and any other obligations owing under this Guaranty. As used in this Section 20, (i) each Guarantor’s “</w:t>
      </w:r>
      <w:r>
        <w:rPr>
          <w:rFonts w:ascii="Arial" w:cs="Arial" w:eastAsia="Arial" w:hAnsi="Arial"/>
          <w:sz w:val="18"/>
          <w:szCs w:val="18"/>
          <w:u w:val="single" w:color="auto"/>
          <w:color w:val="auto"/>
        </w:rPr>
        <w:t>Contribution Percentage</w:t>
      </w:r>
      <w:r>
        <w:rPr>
          <w:rFonts w:ascii="Arial" w:cs="Arial" w:eastAsia="Arial" w:hAnsi="Arial"/>
          <w:sz w:val="18"/>
          <w:szCs w:val="18"/>
          <w:color w:val="auto"/>
        </w:rPr>
        <w:t>” shall mean the percentage obtained by dividing (x) the Adjusted Net Worth (as defined below) of such Guarantor by (y) the aggregate Adjusted Net Worth of all Guarantors; (ii) the “</w:t>
      </w:r>
      <w:r>
        <w:rPr>
          <w:rFonts w:ascii="Arial" w:cs="Arial" w:eastAsia="Arial" w:hAnsi="Arial"/>
          <w:sz w:val="18"/>
          <w:szCs w:val="18"/>
          <w:u w:val="single" w:color="auto"/>
          <w:color w:val="auto"/>
        </w:rPr>
        <w:t>Adjusted Net Worth</w:t>
      </w:r>
      <w:r>
        <w:rPr>
          <w:rFonts w:ascii="Arial" w:cs="Arial" w:eastAsia="Arial" w:hAnsi="Arial"/>
          <w:sz w:val="18"/>
          <w:szCs w:val="18"/>
          <w:color w:val="auto"/>
        </w:rPr>
        <w:t>” of each Guarantor shall mean the greater of (x) the Net Worth (as defined below) of such Guarantor and (y) zero; and (iii) the “</w:t>
      </w:r>
      <w:r>
        <w:rPr>
          <w:rFonts w:ascii="Arial" w:cs="Arial" w:eastAsia="Arial" w:hAnsi="Arial"/>
          <w:sz w:val="18"/>
          <w:szCs w:val="18"/>
          <w:u w:val="single" w:color="auto"/>
          <w:color w:val="auto"/>
        </w:rPr>
        <w:t>Net Worth</w:t>
      </w:r>
      <w:r>
        <w:rPr>
          <w:rFonts w:ascii="Arial" w:cs="Arial" w:eastAsia="Arial" w:hAnsi="Arial"/>
          <w:sz w:val="18"/>
          <w:szCs w:val="18"/>
          <w:color w:val="auto"/>
        </w:rPr>
        <w:t>” of each Guarantor shall mean the amount by which the fair saleable value of such Guarantor’s assets on the date of any Relevant Payment exceeds its existing debts and other liabilities (including contingent liabilities, but without giving effect to any Guaranteed Obligations arising under this Guaranty) on such date. All parties hereto recognize and agree that, except for any right of contribution arising pursuant to this Section 20, each Guarantor who makes any payment in respect of the Guaranteed Obligations shall have no right of contribution or subrogation against any other Guarantor in respect of such payment until all of the Guaranteed Obligations (other than contingent indemnification obligations that survive termination of the Loan Documents for which no claim has been made) have been indefeasibly paid and performed in full in cash and all Commitments are terminated. Each of the Guarantors recognizes and acknowledges that the rights to contribution arising hereunder shall constitute an asset in favor of the party entitled to such contribution. In this connection, each Guarantor has the right to waive its contribution right against any Guarantor to the extent that after giving effect to such waiver such Guarantor would remain solvent, in the determination of the Required Lenders.</w:t>
      </w:r>
    </w:p>
    <w:p>
      <w:pPr>
        <w:spacing w:after="0" w:line="192" w:lineRule="exact"/>
        <w:rPr>
          <w:sz w:val="20"/>
          <w:szCs w:val="20"/>
          <w:color w:val="auto"/>
        </w:rPr>
      </w:pPr>
    </w:p>
    <w:p>
      <w:pPr>
        <w:jc w:val="both"/>
        <w:ind w:firstLine="599"/>
        <w:spacing w:after="0" w:line="305" w:lineRule="auto"/>
        <w:tabs>
          <w:tab w:leader="none" w:pos="1449" w:val="left"/>
        </w:tabs>
        <w:numPr>
          <w:ilvl w:val="0"/>
          <w:numId w:val="676"/>
        </w:numPr>
        <w:rPr>
          <w:rFonts w:ascii="Arial" w:cs="Arial" w:eastAsia="Arial" w:hAnsi="Arial"/>
          <w:sz w:val="18"/>
          <w:szCs w:val="18"/>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Guaranty may be executed in any number of counterparts and by the different parties hereto on separate</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each of which when so executed and delivered shall be an original, but all of which shall together constitute one and the same instrument. A set of counterparts executed by all the parties hereto shall be lodged with the Borrower and the Administrative Agent.</w:t>
      </w:r>
    </w:p>
    <w:p>
      <w:pPr>
        <w:spacing w:after="0" w:line="160" w:lineRule="exact"/>
        <w:rPr>
          <w:rFonts w:ascii="Arial" w:cs="Arial" w:eastAsia="Arial" w:hAnsi="Arial"/>
          <w:sz w:val="18"/>
          <w:szCs w:val="18"/>
          <w:color w:val="auto"/>
        </w:rPr>
      </w:pPr>
    </w:p>
    <w:p>
      <w:pPr>
        <w:ind w:firstLine="599"/>
        <w:spacing w:after="0" w:line="279" w:lineRule="auto"/>
        <w:tabs>
          <w:tab w:leader="none" w:pos="1449" w:val="left"/>
        </w:tabs>
        <w:numPr>
          <w:ilvl w:val="0"/>
          <w:numId w:val="676"/>
        </w:numPr>
        <w:rPr>
          <w:rFonts w:ascii="Arial" w:cs="Arial" w:eastAsia="Arial" w:hAnsi="Arial"/>
          <w:sz w:val="20"/>
          <w:szCs w:val="20"/>
          <w:color w:val="auto"/>
        </w:rPr>
      </w:pPr>
      <w:r>
        <w:rPr>
          <w:rFonts w:ascii="Arial" w:cs="Arial" w:eastAsia="Arial" w:hAnsi="Arial"/>
          <w:sz w:val="20"/>
          <w:szCs w:val="20"/>
          <w:b w:val="1"/>
          <w:bCs w:val="1"/>
          <w:color w:val="auto"/>
        </w:rPr>
        <w:t xml:space="preserve">Headings Descriptive. </w:t>
      </w:r>
      <w:r>
        <w:rPr>
          <w:rFonts w:ascii="Arial" w:cs="Arial" w:eastAsia="Arial" w:hAnsi="Arial"/>
          <w:sz w:val="20"/>
          <w:szCs w:val="20"/>
          <w:color w:val="auto"/>
        </w:rPr>
        <w:t>The headings of the several Sections of this Guaranty are inserted for convenience only and shall not</w:t>
      </w:r>
      <w:r>
        <w:rPr>
          <w:rFonts w:ascii="Arial" w:cs="Arial" w:eastAsia="Arial" w:hAnsi="Arial"/>
          <w:sz w:val="20"/>
          <w:szCs w:val="20"/>
          <w:b w:val="1"/>
          <w:bCs w:val="1"/>
          <w:color w:val="auto"/>
        </w:rPr>
        <w:t xml:space="preserve"> </w:t>
      </w:r>
      <w:r>
        <w:rPr>
          <w:rFonts w:ascii="Arial" w:cs="Arial" w:eastAsia="Arial" w:hAnsi="Arial"/>
          <w:sz w:val="20"/>
          <w:szCs w:val="20"/>
          <w:color w:val="auto"/>
        </w:rPr>
        <w:t>in any way affect the meaning or construction of any provision of this Guaranty.</w:t>
      </w:r>
    </w:p>
    <w:p>
      <w:pPr>
        <w:spacing w:after="0" w:line="177" w:lineRule="exact"/>
        <w:rPr>
          <w:rFonts w:ascii="Arial" w:cs="Arial" w:eastAsia="Arial" w:hAnsi="Arial"/>
          <w:sz w:val="20"/>
          <w:szCs w:val="20"/>
          <w:color w:val="auto"/>
        </w:rPr>
      </w:pPr>
    </w:p>
    <w:p>
      <w:pPr>
        <w:jc w:val="both"/>
        <w:ind w:firstLine="599"/>
        <w:spacing w:after="0" w:line="253" w:lineRule="auto"/>
        <w:tabs>
          <w:tab w:leader="none" w:pos="1449" w:val="left"/>
        </w:tabs>
        <w:numPr>
          <w:ilvl w:val="0"/>
          <w:numId w:val="676"/>
        </w:numPr>
        <w:rPr>
          <w:rFonts w:ascii="Arial" w:cs="Arial" w:eastAsia="Arial" w:hAnsi="Arial"/>
          <w:sz w:val="20"/>
          <w:szCs w:val="20"/>
          <w:color w:val="auto"/>
        </w:rPr>
      </w:pPr>
      <w:r>
        <w:rPr>
          <w:rFonts w:ascii="Arial" w:cs="Arial" w:eastAsia="Arial" w:hAnsi="Arial"/>
          <w:sz w:val="20"/>
          <w:szCs w:val="20"/>
          <w:b w:val="1"/>
          <w:bCs w:val="1"/>
          <w:color w:val="auto"/>
        </w:rPr>
        <w:t xml:space="preserve">Governing Law; Assignment; Jurisdiction; Notices. This Guaranty shall be governed by, and construed in accordance with, the law of the State of New York applicable to contracts executed, and to be fully performed, in such State. </w:t>
      </w:r>
      <w:r>
        <w:rPr>
          <w:rFonts w:ascii="Arial" w:cs="Arial" w:eastAsia="Arial" w:hAnsi="Arial"/>
          <w:sz w:val="20"/>
          <w:szCs w:val="20"/>
          <w:color w:val="auto"/>
        </w:rPr>
        <w:t>This</w:t>
      </w:r>
      <w:r>
        <w:rPr>
          <w:rFonts w:ascii="Arial" w:cs="Arial" w:eastAsia="Arial" w:hAnsi="Arial"/>
          <w:sz w:val="20"/>
          <w:szCs w:val="20"/>
          <w:b w:val="1"/>
          <w:bCs w:val="1"/>
          <w:color w:val="auto"/>
        </w:rPr>
        <w:t xml:space="preserve"> </w:t>
      </w:r>
      <w:r>
        <w:rPr>
          <w:rFonts w:ascii="Arial" w:cs="Arial" w:eastAsia="Arial" w:hAnsi="Arial"/>
          <w:sz w:val="20"/>
          <w:szCs w:val="20"/>
          <w:color w:val="auto"/>
        </w:rPr>
        <w:t>Guaranty shall (a) bind the Guarantor and its successors and assigns, provided that no Guarantor may assign its rights or obligations under this Guaranty (and any attempted assignment without such consent shall be void), and (b) inure to the benefit of the Creditor Parties and their respective successors and assigns and the Lenders may, in accordance with Section 10.06 of the Term Loan Agreement and without affecting the obligations of any Guarantor hereunder, assign, sell or grant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358" w:right="239" w:bottom="1440" w:gutter="0" w:footer="0" w:header="0"/>
        </w:sectPr>
      </w:pPr>
    </w:p>
    <w:bookmarkStart w:id="560" w:name="page561"/>
    <w:bookmarkEnd w:id="560"/>
    <w:p>
      <w:pPr>
        <w:jc w:val="both"/>
        <w:spacing w:after="0" w:line="278" w:lineRule="auto"/>
        <w:rPr>
          <w:sz w:val="20"/>
          <w:szCs w:val="20"/>
          <w:color w:val="auto"/>
        </w:rPr>
      </w:pPr>
      <w:r>
        <w:rPr>
          <w:rFonts w:ascii="Arial" w:cs="Arial" w:eastAsia="Arial" w:hAnsi="Arial"/>
          <w:sz w:val="18"/>
          <w:szCs w:val="18"/>
          <w:color w:val="auto"/>
        </w:rPr>
        <w:t>participations in the Guaranteed Obligations and this Guaranty, in whole or in part. Each Guarantor hereby irrevocably and unconditionally agrees that it will not commence any action, litigation or proceeding of any kind or description, whether in law or equity, whether in contract or in tort or otherwise, against the Creditor Parties or any of their affiliates in any way relating to this Guaranty, any other Loan Document, the agreement regarding fees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provided that nothing in this Guaranty shall limit the right of the Creditor Parties to commence any proceeding in the federal or state courts of any other jurisdiction to the extent such Creditor Party determines that such action is necessary or appropriate to exercise its rights or remedies under the Loan Documents. Each of the parties hereto (x) agrees that a final judgment in any such action, litigation or proceeding shall be conclusive and may be enforced in other jurisdictions by suit on the judgment or in any other manner provided by law, and (y) consents to the service of process out of any of the aforementioned courts, in the manner provided in Section 10.02 of the Term Loan Agreement, to (A) in the case of the Administrative Agent, at the address provided in the Term Loan Agreement and (B) in the case of a Guarantor, at its address set forth opposite its signature page below. All notices and other communications to any Guarantor under this Guaranty shall be in writing and delivered in the manner set forth in Section 10.02 of the Term Loan Agreement. All notices and other communications shall be in writing and addressed to such party at (i) in the case of any Creditor Party, as provided in the Term Loan Agreement, and (ii) in the case of any Guarantor, at its address set forth opposite its signature below.</w:t>
      </w:r>
    </w:p>
    <w:p>
      <w:pPr>
        <w:spacing w:after="0" w:line="190" w:lineRule="exact"/>
        <w:rPr>
          <w:sz w:val="20"/>
          <w:szCs w:val="20"/>
          <w:color w:val="auto"/>
        </w:rPr>
      </w:pPr>
    </w:p>
    <w:p>
      <w:pPr>
        <w:jc w:val="both"/>
        <w:ind w:firstLine="599"/>
        <w:spacing w:after="0" w:line="258" w:lineRule="auto"/>
        <w:tabs>
          <w:tab w:leader="none" w:pos="1449" w:val="left"/>
        </w:tabs>
        <w:numPr>
          <w:ilvl w:val="0"/>
          <w:numId w:val="677"/>
        </w:numPr>
        <w:rPr>
          <w:rFonts w:ascii="Arial" w:cs="Arial" w:eastAsia="Arial" w:hAnsi="Arial"/>
          <w:sz w:val="20"/>
          <w:szCs w:val="20"/>
          <w:color w:val="auto"/>
        </w:rPr>
      </w:pPr>
      <w:r>
        <w:rPr>
          <w:rFonts w:ascii="Arial" w:cs="Arial" w:eastAsia="Arial" w:hAnsi="Arial"/>
          <w:sz w:val="20"/>
          <w:szCs w:val="20"/>
          <w:b w:val="1"/>
          <w:bCs w:val="1"/>
          <w:color w:val="auto"/>
        </w:rPr>
        <w:t xml:space="preserve">WAIVER OF JURY TRIAL; FINAL AGREEMENT. </w:t>
      </w:r>
      <w:r>
        <w:rPr>
          <w:rFonts w:ascii="Arial" w:cs="Arial" w:eastAsia="Arial" w:hAnsi="Arial"/>
          <w:sz w:val="20"/>
          <w:szCs w:val="20"/>
          <w:color w:val="auto"/>
        </w:rPr>
        <w:t>TO THE EXTENT ALLOWED BY APPLICABLE LAW, EACH</w:t>
      </w:r>
      <w:r>
        <w:rPr>
          <w:rFonts w:ascii="Arial" w:cs="Arial" w:eastAsia="Arial" w:hAnsi="Arial"/>
          <w:sz w:val="20"/>
          <w:szCs w:val="20"/>
          <w:b w:val="1"/>
          <w:bCs w:val="1"/>
          <w:color w:val="auto"/>
        </w:rPr>
        <w:t xml:space="preserve"> </w:t>
      </w:r>
      <w:r>
        <w:rPr>
          <w:rFonts w:ascii="Arial" w:cs="Arial" w:eastAsia="Arial" w:hAnsi="Arial"/>
          <w:sz w:val="20"/>
          <w:szCs w:val="20"/>
          <w:color w:val="auto"/>
        </w:rPr>
        <w:t>GUARANTOR AND THE ADMINISTRATIVE AGENT EACH IRREVOCABLY WAIVES TRIAL BY JURY WITH RESPECT TO ANY ACTION, CLAIM, SUIT OR PROCEEDING ON, ARISING OUT OF OR RELATING TO THIS GUARANTY OR THE GUARANTEED OBLIGATIONS.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358" w:right="239" w:bottom="1440" w:gutter="0" w:footer="0" w:header="0"/>
        </w:sectPr>
      </w:pPr>
    </w:p>
    <w:bookmarkStart w:id="561" w:name="page562"/>
    <w:bookmarkEnd w:id="561"/>
    <w:p>
      <w:pPr>
        <w:ind w:left="1200"/>
        <w:spacing w:after="0"/>
        <w:rPr>
          <w:sz w:val="20"/>
          <w:szCs w:val="20"/>
          <w:color w:val="auto"/>
        </w:rPr>
      </w:pPr>
      <w:r>
        <w:rPr>
          <w:rFonts w:ascii="Arial" w:cs="Arial" w:eastAsia="Arial" w:hAnsi="Arial"/>
          <w:sz w:val="18"/>
          <w:szCs w:val="18"/>
          <w:color w:val="auto"/>
        </w:rPr>
        <w:t>IN WITNESS WHEREOF, each Guarantor has caused this Guaranty to be executed and delivered as of the date first above</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000" w:type="dxa"/>
            <w:vAlign w:val="bottom"/>
            <w:gridSpan w:val="4"/>
          </w:tcPr>
          <w:p>
            <w:pPr>
              <w:spacing w:after="0"/>
              <w:rPr>
                <w:sz w:val="20"/>
                <w:szCs w:val="20"/>
                <w:color w:val="auto"/>
              </w:rPr>
            </w:pPr>
            <w:r>
              <w:rPr>
                <w:rFonts w:ascii="Arial" w:cs="Arial" w:eastAsia="Arial" w:hAnsi="Arial"/>
                <w:sz w:val="20"/>
                <w:szCs w:val="20"/>
                <w:color w:val="auto"/>
              </w:rPr>
              <w:t>Address:</w:t>
            </w:r>
          </w:p>
        </w:tc>
        <w:tc>
          <w:tcPr>
            <w:tcW w:w="6340" w:type="dxa"/>
            <w:vAlign w:val="bottom"/>
            <w:gridSpan w:val="2"/>
          </w:tcPr>
          <w:p>
            <w:pPr>
              <w:spacing w:after="0"/>
              <w:rPr>
                <w:sz w:val="20"/>
                <w:szCs w:val="20"/>
                <w:color w:val="auto"/>
              </w:rPr>
            </w:pPr>
            <w:r>
              <w:rPr>
                <w:rFonts w:ascii="Arial" w:cs="Arial" w:eastAsia="Arial" w:hAnsi="Arial"/>
                <w:sz w:val="20"/>
                <w:szCs w:val="20"/>
                <w:color w:val="auto"/>
              </w:rPr>
              <w:t>AMERICAN ASSETS TRUST, INC.</w:t>
            </w:r>
          </w:p>
        </w:tc>
        <w:tc>
          <w:tcPr>
            <w:tcW w:w="0" w:type="dxa"/>
            <w:vAlign w:val="bottom"/>
          </w:tcPr>
          <w:p>
            <w:pPr>
              <w:spacing w:after="0"/>
              <w:rPr>
                <w:sz w:val="1"/>
                <w:szCs w:val="1"/>
                <w:color w:val="auto"/>
              </w:rPr>
            </w:pPr>
          </w:p>
        </w:tc>
      </w:tr>
      <w:tr>
        <w:trPr>
          <w:trHeight w:val="557"/>
        </w:trPr>
        <w:tc>
          <w:tcPr>
            <w:tcW w:w="5000" w:type="dxa"/>
            <w:vAlign w:val="bottom"/>
            <w:gridSpan w:val="4"/>
          </w:tcPr>
          <w:p>
            <w:pPr>
              <w:spacing w:after="0"/>
              <w:rPr>
                <w:sz w:val="20"/>
                <w:szCs w:val="20"/>
                <w:color w:val="auto"/>
              </w:rPr>
            </w:pPr>
            <w:r>
              <w:rPr>
                <w:rFonts w:ascii="Arial" w:cs="Arial" w:eastAsia="Arial" w:hAnsi="Arial"/>
                <w:sz w:val="20"/>
                <w:szCs w:val="20"/>
                <w:color w:val="auto"/>
              </w:rPr>
              <w:t>11455 El Camino Real</w:t>
            </w:r>
          </w:p>
        </w:tc>
        <w:tc>
          <w:tcPr>
            <w:tcW w:w="660" w:type="dxa"/>
            <w:vAlign w:val="bottom"/>
          </w:tcPr>
          <w:p>
            <w:pPr>
              <w:spacing w:after="0"/>
              <w:rPr>
                <w:sz w:val="20"/>
                <w:szCs w:val="20"/>
                <w:color w:val="auto"/>
              </w:rPr>
            </w:pPr>
            <w:r>
              <w:rPr>
                <w:rFonts w:ascii="Arial" w:cs="Arial" w:eastAsia="Arial" w:hAnsi="Arial"/>
                <w:sz w:val="20"/>
                <w:szCs w:val="20"/>
                <w:color w:val="auto"/>
              </w:rPr>
              <w:t>By:</w:t>
            </w:r>
          </w:p>
        </w:tc>
        <w:tc>
          <w:tcPr>
            <w:tcW w:w="5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000" w:type="dxa"/>
            <w:vAlign w:val="bottom"/>
            <w:gridSpan w:val="4"/>
          </w:tcPr>
          <w:p>
            <w:pPr>
              <w:spacing w:after="0"/>
              <w:rPr>
                <w:sz w:val="20"/>
                <w:szCs w:val="20"/>
                <w:color w:val="auto"/>
              </w:rPr>
            </w:pPr>
            <w:r>
              <w:rPr>
                <w:rFonts w:ascii="Arial" w:cs="Arial" w:eastAsia="Arial" w:hAnsi="Arial"/>
                <w:sz w:val="20"/>
                <w:szCs w:val="20"/>
                <w:color w:val="auto"/>
              </w:rPr>
              <w:t>Suite 200</w:t>
            </w:r>
          </w:p>
        </w:tc>
        <w:tc>
          <w:tcPr>
            <w:tcW w:w="660" w:type="dxa"/>
            <w:vAlign w:val="bottom"/>
          </w:tcPr>
          <w:p>
            <w:pPr>
              <w:spacing w:after="0"/>
              <w:rPr>
                <w:sz w:val="22"/>
                <w:szCs w:val="22"/>
                <w:color w:val="auto"/>
              </w:rPr>
            </w:pPr>
          </w:p>
        </w:tc>
        <w:tc>
          <w:tcPr>
            <w:tcW w:w="5680" w:type="dxa"/>
            <w:vAlign w:val="bottom"/>
          </w:tcPr>
          <w:p>
            <w:pPr>
              <w:ind w:left="20"/>
              <w:spacing w:after="0"/>
              <w:rPr>
                <w:sz w:val="20"/>
                <w:szCs w:val="20"/>
                <w:color w:val="auto"/>
              </w:rPr>
            </w:pPr>
            <w:r>
              <w:rPr>
                <w:rFonts w:ascii="Arial" w:cs="Arial" w:eastAsia="Arial" w:hAnsi="Arial"/>
                <w:sz w:val="20"/>
                <w:szCs w:val="20"/>
                <w:color w:val="auto"/>
              </w:rPr>
              <w:t>Name: Ernest Rady</w:t>
            </w:r>
          </w:p>
        </w:tc>
        <w:tc>
          <w:tcPr>
            <w:tcW w:w="0" w:type="dxa"/>
            <w:vAlign w:val="bottom"/>
          </w:tcPr>
          <w:p>
            <w:pPr>
              <w:spacing w:after="0"/>
              <w:rPr>
                <w:sz w:val="1"/>
                <w:szCs w:val="1"/>
                <w:color w:val="auto"/>
              </w:rPr>
            </w:pPr>
          </w:p>
        </w:tc>
      </w:tr>
      <w:tr>
        <w:trPr>
          <w:trHeight w:val="275"/>
        </w:trPr>
        <w:tc>
          <w:tcPr>
            <w:tcW w:w="5000" w:type="dxa"/>
            <w:vAlign w:val="bottom"/>
            <w:gridSpan w:val="4"/>
          </w:tcPr>
          <w:p>
            <w:pPr>
              <w:spacing w:after="0"/>
              <w:rPr>
                <w:sz w:val="20"/>
                <w:szCs w:val="20"/>
                <w:color w:val="auto"/>
              </w:rPr>
            </w:pPr>
            <w:r>
              <w:rPr>
                <w:rFonts w:ascii="Arial" w:cs="Arial" w:eastAsia="Arial" w:hAnsi="Arial"/>
                <w:sz w:val="20"/>
                <w:szCs w:val="20"/>
                <w:color w:val="auto"/>
              </w:rPr>
              <w:t>San Diego, CA 92130</w:t>
            </w:r>
          </w:p>
        </w:tc>
        <w:tc>
          <w:tcPr>
            <w:tcW w:w="660" w:type="dxa"/>
            <w:vAlign w:val="bottom"/>
          </w:tcPr>
          <w:p>
            <w:pPr>
              <w:spacing w:after="0"/>
              <w:rPr>
                <w:sz w:val="23"/>
                <w:szCs w:val="23"/>
                <w:color w:val="auto"/>
              </w:rPr>
            </w:pPr>
          </w:p>
        </w:tc>
        <w:tc>
          <w:tcPr>
            <w:tcW w:w="5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000" w:type="dxa"/>
            <w:vAlign w:val="bottom"/>
            <w:gridSpan w:val="4"/>
          </w:tcPr>
          <w:p>
            <w:pPr>
              <w:spacing w:after="0"/>
              <w:rPr>
                <w:sz w:val="20"/>
                <w:szCs w:val="20"/>
                <w:color w:val="auto"/>
              </w:rPr>
            </w:pPr>
            <w:r>
              <w:rPr>
                <w:rFonts w:ascii="Arial" w:cs="Arial" w:eastAsia="Arial" w:hAnsi="Arial"/>
                <w:sz w:val="20"/>
                <w:szCs w:val="20"/>
                <w:color w:val="auto"/>
              </w:rPr>
              <w:t>Fax No.: (858) 350-2620</w:t>
            </w:r>
          </w:p>
        </w:tc>
        <w:tc>
          <w:tcPr>
            <w:tcW w:w="66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20"/>
                <w:szCs w:val="20"/>
                <w:color w:val="auto"/>
              </w:rPr>
              <w:t>Title: Chairman, President and Chief Executive Officer</w:t>
            </w:r>
          </w:p>
        </w:tc>
        <w:tc>
          <w:tcPr>
            <w:tcW w:w="0" w:type="dxa"/>
            <w:vAlign w:val="bottom"/>
          </w:tcPr>
          <w:p>
            <w:pPr>
              <w:spacing w:after="0"/>
              <w:rPr>
                <w:sz w:val="1"/>
                <w:szCs w:val="1"/>
                <w:color w:val="auto"/>
              </w:rPr>
            </w:pPr>
          </w:p>
        </w:tc>
      </w:tr>
      <w:tr>
        <w:trPr>
          <w:trHeight w:val="275"/>
        </w:trPr>
        <w:tc>
          <w:tcPr>
            <w:tcW w:w="5000" w:type="dxa"/>
            <w:vAlign w:val="bottom"/>
            <w:gridSpan w:val="4"/>
          </w:tcPr>
          <w:p>
            <w:pPr>
              <w:spacing w:after="0"/>
              <w:rPr>
                <w:sz w:val="20"/>
                <w:szCs w:val="20"/>
                <w:color w:val="auto"/>
              </w:rPr>
            </w:pPr>
            <w:r>
              <w:rPr>
                <w:rFonts w:ascii="Arial" w:cs="Arial" w:eastAsia="Arial" w:hAnsi="Arial"/>
                <w:sz w:val="20"/>
                <w:szCs w:val="20"/>
                <w:color w:val="auto"/>
              </w:rPr>
              <w:t>Tel. No.: (858) 350-2600</w:t>
            </w:r>
          </w:p>
        </w:tc>
        <w:tc>
          <w:tcPr>
            <w:tcW w:w="660" w:type="dxa"/>
            <w:vAlign w:val="bottom"/>
          </w:tcPr>
          <w:p>
            <w:pPr>
              <w:spacing w:after="0"/>
              <w:rPr>
                <w:sz w:val="23"/>
                <w:szCs w:val="23"/>
                <w:color w:val="auto"/>
              </w:rPr>
            </w:pPr>
          </w:p>
        </w:tc>
        <w:tc>
          <w:tcPr>
            <w:tcW w:w="5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5000" w:type="dxa"/>
            <w:vAlign w:val="bottom"/>
            <w:gridSpan w:val="4"/>
          </w:tcPr>
          <w:p>
            <w:pPr>
              <w:spacing w:after="0" w:line="228"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rbarton@americanassets.com</w:t>
            </w:r>
          </w:p>
        </w:tc>
        <w:tc>
          <w:tcPr>
            <w:tcW w:w="660" w:type="dxa"/>
            <w:vAlign w:val="bottom"/>
          </w:tcPr>
          <w:p>
            <w:pPr>
              <w:spacing w:after="0" w:line="228" w:lineRule="exact"/>
              <w:rPr>
                <w:sz w:val="20"/>
                <w:szCs w:val="20"/>
                <w:color w:val="auto"/>
              </w:rPr>
            </w:pPr>
            <w:r>
              <w:rPr>
                <w:rFonts w:ascii="Arial" w:cs="Arial" w:eastAsia="Arial" w:hAnsi="Arial"/>
                <w:sz w:val="20"/>
                <w:szCs w:val="20"/>
                <w:color w:val="auto"/>
              </w:rPr>
              <w:t>By:</w:t>
            </w:r>
          </w:p>
        </w:tc>
        <w:tc>
          <w:tcPr>
            <w:tcW w:w="5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5000" w:type="dxa"/>
            <w:vAlign w:val="bottom"/>
            <w:gridSpan w:val="4"/>
            <w:vMerge w:val="restart"/>
          </w:tcPr>
          <w:p>
            <w:pPr>
              <w:spacing w:after="0"/>
              <w:rPr>
                <w:sz w:val="20"/>
                <w:szCs w:val="20"/>
                <w:color w:val="auto"/>
              </w:rPr>
            </w:pPr>
            <w:r>
              <w:rPr>
                <w:rFonts w:ascii="Arial" w:cs="Arial" w:eastAsia="Arial" w:hAnsi="Arial"/>
                <w:sz w:val="20"/>
                <w:szCs w:val="20"/>
                <w:color w:val="auto"/>
              </w:rPr>
              <w:t>Attention: Robert F. Barton, Chief</w:t>
            </w:r>
          </w:p>
        </w:tc>
        <w:tc>
          <w:tcPr>
            <w:tcW w:w="660" w:type="dxa"/>
            <w:vAlign w:val="bottom"/>
          </w:tcPr>
          <w:p>
            <w:pPr>
              <w:spacing w:after="0"/>
              <w:rPr>
                <w:sz w:val="3"/>
                <w:szCs w:val="3"/>
                <w:color w:val="auto"/>
              </w:rPr>
            </w:pPr>
          </w:p>
        </w:tc>
        <w:tc>
          <w:tcPr>
            <w:tcW w:w="5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5000" w:type="dxa"/>
            <w:vAlign w:val="bottom"/>
            <w:gridSpan w:val="4"/>
            <w:vMerge w:val="continue"/>
          </w:tcPr>
          <w:p>
            <w:pPr>
              <w:spacing w:after="0"/>
              <w:rPr>
                <w:sz w:val="21"/>
                <w:szCs w:val="21"/>
                <w:color w:val="auto"/>
              </w:rPr>
            </w:pPr>
          </w:p>
        </w:tc>
        <w:tc>
          <w:tcPr>
            <w:tcW w:w="660" w:type="dxa"/>
            <w:vAlign w:val="bottom"/>
          </w:tcPr>
          <w:p>
            <w:pPr>
              <w:spacing w:after="0"/>
              <w:rPr>
                <w:sz w:val="21"/>
                <w:szCs w:val="21"/>
                <w:color w:val="auto"/>
              </w:rPr>
            </w:pPr>
          </w:p>
        </w:tc>
        <w:tc>
          <w:tcPr>
            <w:tcW w:w="5680" w:type="dxa"/>
            <w:vAlign w:val="bottom"/>
          </w:tcPr>
          <w:p>
            <w:pPr>
              <w:ind w:left="20"/>
              <w:spacing w:after="0"/>
              <w:rPr>
                <w:sz w:val="20"/>
                <w:szCs w:val="20"/>
                <w:color w:val="auto"/>
              </w:rPr>
            </w:pPr>
            <w:r>
              <w:rPr>
                <w:rFonts w:ascii="Arial" w:cs="Arial" w:eastAsia="Arial" w:hAnsi="Arial"/>
                <w:sz w:val="20"/>
                <w:szCs w:val="20"/>
                <w:color w:val="auto"/>
              </w:rPr>
              <w:t>Name: Robert F. Barton</w:t>
            </w:r>
          </w:p>
        </w:tc>
        <w:tc>
          <w:tcPr>
            <w:tcW w:w="0" w:type="dxa"/>
            <w:vAlign w:val="bottom"/>
          </w:tcPr>
          <w:p>
            <w:pPr>
              <w:spacing w:after="0"/>
              <w:rPr>
                <w:sz w:val="1"/>
                <w:szCs w:val="1"/>
                <w:color w:val="auto"/>
              </w:rPr>
            </w:pPr>
          </w:p>
        </w:tc>
      </w:tr>
      <w:tr>
        <w:trPr>
          <w:trHeight w:val="275"/>
        </w:trPr>
        <w:tc>
          <w:tcPr>
            <w:tcW w:w="5000" w:type="dxa"/>
            <w:vAlign w:val="bottom"/>
            <w:gridSpan w:val="4"/>
          </w:tcPr>
          <w:p>
            <w:pPr>
              <w:spacing w:after="0"/>
              <w:rPr>
                <w:sz w:val="20"/>
                <w:szCs w:val="20"/>
                <w:color w:val="auto"/>
              </w:rPr>
            </w:pPr>
            <w:r>
              <w:rPr>
                <w:rFonts w:ascii="Arial" w:cs="Arial" w:eastAsia="Arial" w:hAnsi="Arial"/>
                <w:sz w:val="20"/>
                <w:szCs w:val="20"/>
                <w:color w:val="auto"/>
              </w:rPr>
              <w:t>Financial Officer</w:t>
            </w:r>
          </w:p>
        </w:tc>
        <w:tc>
          <w:tcPr>
            <w:tcW w:w="660" w:type="dxa"/>
            <w:vAlign w:val="bottom"/>
          </w:tcPr>
          <w:p>
            <w:pPr>
              <w:spacing w:after="0"/>
              <w:rPr>
                <w:sz w:val="23"/>
                <w:szCs w:val="23"/>
                <w:color w:val="auto"/>
              </w:rPr>
            </w:pPr>
          </w:p>
        </w:tc>
        <w:tc>
          <w:tcPr>
            <w:tcW w:w="5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20"/>
                <w:szCs w:val="20"/>
                <w:color w:val="auto"/>
              </w:rPr>
              <w:t>Title: Chief Financial Officer and Executive Vice President</w:t>
            </w:r>
          </w:p>
        </w:tc>
        <w:tc>
          <w:tcPr>
            <w:tcW w:w="0" w:type="dxa"/>
            <w:vAlign w:val="bottom"/>
          </w:tcPr>
          <w:p>
            <w:pPr>
              <w:spacing w:after="0"/>
              <w:rPr>
                <w:sz w:val="1"/>
                <w:szCs w:val="1"/>
                <w:color w:val="auto"/>
              </w:rPr>
            </w:pPr>
          </w:p>
        </w:tc>
      </w:tr>
      <w:tr>
        <w:trPr>
          <w:trHeight w:val="275"/>
        </w:trPr>
        <w:tc>
          <w:tcPr>
            <w:tcW w:w="5000" w:type="dxa"/>
            <w:vAlign w:val="bottom"/>
            <w:gridSpan w:val="4"/>
          </w:tcPr>
          <w:p>
            <w:pPr>
              <w:spacing w:after="0"/>
              <w:rPr>
                <w:sz w:val="20"/>
                <w:szCs w:val="20"/>
                <w:color w:val="auto"/>
              </w:rPr>
            </w:pPr>
            <w:r>
              <w:rPr>
                <w:rFonts w:ascii="Arial" w:cs="Arial" w:eastAsia="Arial" w:hAnsi="Arial"/>
                <w:sz w:val="20"/>
                <w:szCs w:val="20"/>
                <w:color w:val="auto"/>
              </w:rPr>
              <w:t>with a copy to:</w:t>
            </w:r>
          </w:p>
        </w:tc>
        <w:tc>
          <w:tcPr>
            <w:tcW w:w="660" w:type="dxa"/>
            <w:vAlign w:val="bottom"/>
          </w:tcPr>
          <w:p>
            <w:pPr>
              <w:spacing w:after="0"/>
              <w:rPr>
                <w:sz w:val="23"/>
                <w:szCs w:val="23"/>
                <w:color w:val="auto"/>
              </w:rPr>
            </w:pPr>
          </w:p>
        </w:tc>
        <w:tc>
          <w:tcPr>
            <w:tcW w:w="5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340" w:type="dxa"/>
            <w:vAlign w:val="bottom"/>
            <w:gridSpan w:val="2"/>
          </w:tcPr>
          <w:p>
            <w:pPr>
              <w:spacing w:after="0"/>
              <w:rPr>
                <w:sz w:val="20"/>
                <w:szCs w:val="20"/>
                <w:color w:val="auto"/>
              </w:rPr>
            </w:pPr>
            <w:r>
              <w:rPr>
                <w:rFonts w:ascii="Arial" w:cs="Arial" w:eastAsia="Arial" w:hAnsi="Arial"/>
                <w:sz w:val="20"/>
                <w:szCs w:val="20"/>
                <w:color w:val="EE2724"/>
                <w:strike w:val="1"/>
              </w:rPr>
              <w:t>AMERICAN ASSETS TRUST MANAGEMENT LLC</w:t>
            </w:r>
          </w:p>
        </w:tc>
        <w:tc>
          <w:tcPr>
            <w:tcW w:w="0" w:type="dxa"/>
            <w:vAlign w:val="bottom"/>
          </w:tcPr>
          <w:p>
            <w:pPr>
              <w:spacing w:after="0"/>
              <w:rPr>
                <w:sz w:val="1"/>
                <w:szCs w:val="1"/>
                <w:color w:val="auto"/>
              </w:rPr>
            </w:pPr>
          </w:p>
        </w:tc>
      </w:tr>
      <w:tr>
        <w:trPr>
          <w:trHeight w:val="500"/>
        </w:trPr>
        <w:tc>
          <w:tcPr>
            <w:tcW w:w="5000" w:type="dxa"/>
            <w:vAlign w:val="bottom"/>
            <w:gridSpan w:val="4"/>
          </w:tcPr>
          <w:p>
            <w:pPr>
              <w:spacing w:after="0"/>
              <w:rPr>
                <w:sz w:val="20"/>
                <w:szCs w:val="20"/>
                <w:color w:val="auto"/>
              </w:rPr>
            </w:pPr>
            <w:r>
              <w:rPr>
                <w:rFonts w:ascii="Arial" w:cs="Arial" w:eastAsia="Arial" w:hAnsi="Arial"/>
                <w:sz w:val="20"/>
                <w:szCs w:val="20"/>
                <w:color w:val="auto"/>
              </w:rPr>
              <w:t>11455 El Camino Real</w:t>
            </w:r>
          </w:p>
        </w:tc>
        <w:tc>
          <w:tcPr>
            <w:tcW w:w="6340" w:type="dxa"/>
            <w:vAlign w:val="bottom"/>
            <w:gridSpan w:val="2"/>
          </w:tcPr>
          <w:p>
            <w:pPr>
              <w:spacing w:after="0"/>
              <w:rPr>
                <w:sz w:val="20"/>
                <w:szCs w:val="20"/>
                <w:color w:val="auto"/>
              </w:rPr>
            </w:pPr>
            <w:r>
              <w:rPr>
                <w:rFonts w:ascii="Arial" w:cs="Arial" w:eastAsia="Arial" w:hAnsi="Arial"/>
                <w:sz w:val="20"/>
                <w:szCs w:val="20"/>
                <w:color w:val="EE2724"/>
                <w:strike w:val="1"/>
              </w:rPr>
              <w:t>PACIFIC DEL MAR ASSETS LLC</w:t>
            </w:r>
          </w:p>
        </w:tc>
        <w:tc>
          <w:tcPr>
            <w:tcW w:w="0" w:type="dxa"/>
            <w:vAlign w:val="bottom"/>
          </w:tcPr>
          <w:p>
            <w:pPr>
              <w:spacing w:after="0"/>
              <w:rPr>
                <w:sz w:val="1"/>
                <w:szCs w:val="1"/>
                <w:color w:val="auto"/>
              </w:rPr>
            </w:pPr>
          </w:p>
        </w:tc>
      </w:tr>
      <w:tr>
        <w:trPr>
          <w:trHeight w:val="275"/>
        </w:trPr>
        <w:tc>
          <w:tcPr>
            <w:tcW w:w="5000" w:type="dxa"/>
            <w:vAlign w:val="bottom"/>
            <w:gridSpan w:val="4"/>
          </w:tcPr>
          <w:p>
            <w:pPr>
              <w:spacing w:after="0"/>
              <w:rPr>
                <w:sz w:val="20"/>
                <w:szCs w:val="20"/>
                <w:color w:val="auto"/>
              </w:rPr>
            </w:pPr>
            <w:r>
              <w:rPr>
                <w:rFonts w:ascii="Arial" w:cs="Arial" w:eastAsia="Arial" w:hAnsi="Arial"/>
                <w:sz w:val="20"/>
                <w:szCs w:val="20"/>
                <w:color w:val="auto"/>
              </w:rPr>
              <w:t>Suite 200</w:t>
            </w:r>
          </w:p>
        </w:tc>
        <w:tc>
          <w:tcPr>
            <w:tcW w:w="6340" w:type="dxa"/>
            <w:vAlign w:val="bottom"/>
            <w:gridSpan w:val="2"/>
          </w:tcPr>
          <w:p>
            <w:pPr>
              <w:spacing w:after="0"/>
              <w:rPr>
                <w:sz w:val="20"/>
                <w:szCs w:val="20"/>
                <w:color w:val="auto"/>
              </w:rPr>
            </w:pPr>
            <w:r>
              <w:rPr>
                <w:rFonts w:ascii="Arial" w:cs="Arial" w:eastAsia="Arial" w:hAnsi="Arial"/>
                <w:sz w:val="20"/>
                <w:szCs w:val="20"/>
                <w:color w:val="EE2724"/>
                <w:strike w:val="1"/>
              </w:rPr>
              <w:t>PACIFIC CARMEL MOUNTAIN ASSETS LLC</w:t>
            </w:r>
          </w:p>
        </w:tc>
        <w:tc>
          <w:tcPr>
            <w:tcW w:w="0" w:type="dxa"/>
            <w:vAlign w:val="bottom"/>
          </w:tcPr>
          <w:p>
            <w:pPr>
              <w:spacing w:after="0"/>
              <w:rPr>
                <w:sz w:val="1"/>
                <w:szCs w:val="1"/>
                <w:color w:val="auto"/>
              </w:rPr>
            </w:pPr>
          </w:p>
        </w:tc>
      </w:tr>
      <w:tr>
        <w:trPr>
          <w:trHeight w:val="275"/>
        </w:trPr>
        <w:tc>
          <w:tcPr>
            <w:tcW w:w="5000" w:type="dxa"/>
            <w:vAlign w:val="bottom"/>
            <w:gridSpan w:val="4"/>
          </w:tcPr>
          <w:p>
            <w:pPr>
              <w:spacing w:after="0"/>
              <w:rPr>
                <w:sz w:val="20"/>
                <w:szCs w:val="20"/>
                <w:color w:val="auto"/>
              </w:rPr>
            </w:pPr>
            <w:r>
              <w:rPr>
                <w:rFonts w:ascii="Arial" w:cs="Arial" w:eastAsia="Arial" w:hAnsi="Arial"/>
                <w:sz w:val="20"/>
                <w:szCs w:val="20"/>
                <w:color w:val="auto"/>
              </w:rPr>
              <w:t>San Diego, CA 92130</w:t>
            </w:r>
          </w:p>
        </w:tc>
        <w:tc>
          <w:tcPr>
            <w:tcW w:w="6340" w:type="dxa"/>
            <w:vAlign w:val="bottom"/>
            <w:gridSpan w:val="2"/>
          </w:tcPr>
          <w:p>
            <w:pPr>
              <w:spacing w:after="0"/>
              <w:rPr>
                <w:sz w:val="20"/>
                <w:szCs w:val="20"/>
                <w:color w:val="auto"/>
              </w:rPr>
            </w:pPr>
            <w:r>
              <w:rPr>
                <w:rFonts w:ascii="Arial" w:cs="Arial" w:eastAsia="Arial" w:hAnsi="Arial"/>
                <w:sz w:val="20"/>
                <w:szCs w:val="20"/>
                <w:color w:val="EE2724"/>
                <w:strike w:val="1"/>
              </w:rPr>
              <w:t>PACIFIC SOLANA BEACH ASSETS LLC</w:t>
            </w:r>
          </w:p>
        </w:tc>
        <w:tc>
          <w:tcPr>
            <w:tcW w:w="0" w:type="dxa"/>
            <w:vAlign w:val="bottom"/>
          </w:tcPr>
          <w:p>
            <w:pPr>
              <w:spacing w:after="0"/>
              <w:rPr>
                <w:sz w:val="1"/>
                <w:szCs w:val="1"/>
                <w:color w:val="auto"/>
              </w:rPr>
            </w:pPr>
          </w:p>
        </w:tc>
      </w:tr>
      <w:tr>
        <w:trPr>
          <w:trHeight w:val="275"/>
        </w:trPr>
        <w:tc>
          <w:tcPr>
            <w:tcW w:w="5000" w:type="dxa"/>
            <w:vAlign w:val="bottom"/>
            <w:gridSpan w:val="4"/>
          </w:tcPr>
          <w:p>
            <w:pPr>
              <w:spacing w:after="0"/>
              <w:rPr>
                <w:sz w:val="20"/>
                <w:szCs w:val="20"/>
                <w:color w:val="auto"/>
              </w:rPr>
            </w:pPr>
            <w:r>
              <w:rPr>
                <w:rFonts w:ascii="Arial" w:cs="Arial" w:eastAsia="Arial" w:hAnsi="Arial"/>
                <w:sz w:val="20"/>
                <w:szCs w:val="20"/>
                <w:color w:val="auto"/>
              </w:rPr>
              <w:t>Fax No.: (858) 350-2620</w:t>
            </w:r>
          </w:p>
        </w:tc>
        <w:tc>
          <w:tcPr>
            <w:tcW w:w="6340" w:type="dxa"/>
            <w:vAlign w:val="bottom"/>
            <w:gridSpan w:val="2"/>
          </w:tcPr>
          <w:p>
            <w:pPr>
              <w:spacing w:after="0"/>
              <w:rPr>
                <w:sz w:val="20"/>
                <w:szCs w:val="20"/>
                <w:color w:val="auto"/>
              </w:rPr>
            </w:pPr>
            <w:r>
              <w:rPr>
                <w:rFonts w:ascii="Arial" w:cs="Arial" w:eastAsia="Arial" w:hAnsi="Arial"/>
                <w:sz w:val="20"/>
                <w:szCs w:val="20"/>
                <w:color w:val="EE2724"/>
                <w:strike w:val="1"/>
              </w:rPr>
              <w:t>BEACH WALK HOLDINGS LLC</w:t>
            </w:r>
          </w:p>
        </w:tc>
        <w:tc>
          <w:tcPr>
            <w:tcW w:w="0" w:type="dxa"/>
            <w:vAlign w:val="bottom"/>
          </w:tcPr>
          <w:p>
            <w:pPr>
              <w:spacing w:after="0"/>
              <w:rPr>
                <w:sz w:val="1"/>
                <w:szCs w:val="1"/>
                <w:color w:val="auto"/>
              </w:rPr>
            </w:pPr>
          </w:p>
        </w:tc>
      </w:tr>
      <w:tr>
        <w:trPr>
          <w:trHeight w:val="275"/>
        </w:trPr>
        <w:tc>
          <w:tcPr>
            <w:tcW w:w="5000" w:type="dxa"/>
            <w:vAlign w:val="bottom"/>
            <w:gridSpan w:val="4"/>
          </w:tcPr>
          <w:p>
            <w:pPr>
              <w:spacing w:after="0"/>
              <w:rPr>
                <w:sz w:val="20"/>
                <w:szCs w:val="20"/>
                <w:color w:val="auto"/>
              </w:rPr>
            </w:pPr>
            <w:r>
              <w:rPr>
                <w:rFonts w:ascii="Arial" w:cs="Arial" w:eastAsia="Arial" w:hAnsi="Arial"/>
                <w:sz w:val="20"/>
                <w:szCs w:val="20"/>
                <w:color w:val="auto"/>
              </w:rPr>
              <w:t>Tel. No.: (858) 350-2600</w:t>
            </w:r>
          </w:p>
        </w:tc>
        <w:tc>
          <w:tcPr>
            <w:tcW w:w="6340" w:type="dxa"/>
            <w:vAlign w:val="bottom"/>
            <w:gridSpan w:val="2"/>
          </w:tcPr>
          <w:p>
            <w:pPr>
              <w:spacing w:after="0"/>
              <w:rPr>
                <w:sz w:val="20"/>
                <w:szCs w:val="20"/>
                <w:color w:val="auto"/>
              </w:rPr>
            </w:pPr>
            <w:r>
              <w:rPr>
                <w:rFonts w:ascii="Arial" w:cs="Arial" w:eastAsia="Arial" w:hAnsi="Arial"/>
                <w:sz w:val="20"/>
                <w:szCs w:val="20"/>
                <w:color w:val="EE2724"/>
                <w:strike w:val="1"/>
              </w:rPr>
              <w:t>ICW PLAZA MERGER SUB LLC</w:t>
            </w:r>
          </w:p>
        </w:tc>
        <w:tc>
          <w:tcPr>
            <w:tcW w:w="0" w:type="dxa"/>
            <w:vAlign w:val="bottom"/>
          </w:tcPr>
          <w:p>
            <w:pPr>
              <w:spacing w:after="0"/>
              <w:rPr>
                <w:sz w:val="1"/>
                <w:szCs w:val="1"/>
                <w:color w:val="auto"/>
              </w:rPr>
            </w:pPr>
          </w:p>
        </w:tc>
      </w:tr>
      <w:tr>
        <w:trPr>
          <w:trHeight w:val="227"/>
        </w:trPr>
        <w:tc>
          <w:tcPr>
            <w:tcW w:w="5000" w:type="dxa"/>
            <w:vAlign w:val="bottom"/>
            <w:gridSpan w:val="4"/>
          </w:tcPr>
          <w:p>
            <w:pPr>
              <w:spacing w:after="0" w:line="228"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awyll@americanassets.com</w:t>
            </w:r>
          </w:p>
        </w:tc>
        <w:tc>
          <w:tcPr>
            <w:tcW w:w="6340" w:type="dxa"/>
            <w:vAlign w:val="bottom"/>
            <w:gridSpan w:val="2"/>
          </w:tcPr>
          <w:p>
            <w:pPr>
              <w:spacing w:after="0" w:line="228" w:lineRule="exact"/>
              <w:rPr>
                <w:sz w:val="20"/>
                <w:szCs w:val="20"/>
                <w:color w:val="auto"/>
              </w:rPr>
            </w:pPr>
            <w:r>
              <w:rPr>
                <w:rFonts w:ascii="Arial" w:cs="Arial" w:eastAsia="Arial" w:hAnsi="Arial"/>
                <w:sz w:val="20"/>
                <w:szCs w:val="20"/>
                <w:color w:val="EE2724"/>
                <w:strike w:val="1"/>
              </w:rPr>
              <w:t>IMPERIAL STRAND LLC</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5000" w:type="dxa"/>
            <w:vAlign w:val="bottom"/>
            <w:gridSpan w:val="4"/>
          </w:tcPr>
          <w:p>
            <w:pPr>
              <w:spacing w:after="0"/>
              <w:rPr>
                <w:sz w:val="20"/>
                <w:szCs w:val="20"/>
                <w:color w:val="auto"/>
              </w:rPr>
            </w:pPr>
            <w:r>
              <w:rPr>
                <w:rFonts w:ascii="Arial" w:cs="Arial" w:eastAsia="Arial" w:hAnsi="Arial"/>
                <w:sz w:val="20"/>
                <w:szCs w:val="20"/>
                <w:color w:val="auto"/>
              </w:rPr>
              <w:t>Attention: Adam Wyll, SVP, General</w:t>
            </w:r>
          </w:p>
        </w:tc>
        <w:tc>
          <w:tcPr>
            <w:tcW w:w="6340" w:type="dxa"/>
            <w:vAlign w:val="bottom"/>
            <w:gridSpan w:val="2"/>
          </w:tcPr>
          <w:p>
            <w:pPr>
              <w:spacing w:after="0"/>
              <w:rPr>
                <w:sz w:val="20"/>
                <w:szCs w:val="20"/>
                <w:color w:val="auto"/>
              </w:rPr>
            </w:pPr>
            <w:r>
              <w:rPr>
                <w:rFonts w:ascii="Arial" w:cs="Arial" w:eastAsia="Arial" w:hAnsi="Arial"/>
                <w:sz w:val="20"/>
                <w:szCs w:val="20"/>
                <w:color w:val="EE2724"/>
                <w:strike w:val="1"/>
              </w:rPr>
              <w:t>MARINER’S POINT, LLC</w:t>
            </w:r>
          </w:p>
        </w:tc>
        <w:tc>
          <w:tcPr>
            <w:tcW w:w="0" w:type="dxa"/>
            <w:vAlign w:val="bottom"/>
          </w:tcPr>
          <w:p>
            <w:pPr>
              <w:spacing w:after="0"/>
              <w:rPr>
                <w:sz w:val="1"/>
                <w:szCs w:val="1"/>
                <w:color w:val="auto"/>
              </w:rPr>
            </w:pPr>
          </w:p>
        </w:tc>
      </w:tr>
      <w:tr>
        <w:trPr>
          <w:trHeight w:val="275"/>
        </w:trPr>
        <w:tc>
          <w:tcPr>
            <w:tcW w:w="5000" w:type="dxa"/>
            <w:vAlign w:val="bottom"/>
            <w:gridSpan w:val="4"/>
          </w:tcPr>
          <w:p>
            <w:pPr>
              <w:spacing w:after="0"/>
              <w:rPr>
                <w:sz w:val="20"/>
                <w:szCs w:val="20"/>
                <w:color w:val="auto"/>
              </w:rPr>
            </w:pPr>
            <w:r>
              <w:rPr>
                <w:rFonts w:ascii="Arial" w:cs="Arial" w:eastAsia="Arial" w:hAnsi="Arial"/>
                <w:sz w:val="20"/>
                <w:szCs w:val="20"/>
                <w:color w:val="auto"/>
              </w:rPr>
              <w:t>Counsel</w:t>
            </w:r>
          </w:p>
        </w:tc>
        <w:tc>
          <w:tcPr>
            <w:tcW w:w="6340" w:type="dxa"/>
            <w:vAlign w:val="bottom"/>
            <w:gridSpan w:val="2"/>
          </w:tcPr>
          <w:p>
            <w:pPr>
              <w:spacing w:after="0"/>
              <w:rPr>
                <w:sz w:val="20"/>
                <w:szCs w:val="20"/>
                <w:color w:val="auto"/>
              </w:rPr>
            </w:pPr>
            <w:r>
              <w:rPr>
                <w:rFonts w:ascii="Arial" w:cs="Arial" w:eastAsia="Arial" w:hAnsi="Arial"/>
                <w:sz w:val="20"/>
                <w:szCs w:val="20"/>
                <w:color w:val="EE2724"/>
                <w:strike w:val="1"/>
              </w:rPr>
              <w:t>PACIFIC SOUTH COURT ASSETS LLC</w:t>
            </w:r>
          </w:p>
        </w:tc>
        <w:tc>
          <w:tcPr>
            <w:tcW w:w="0" w:type="dxa"/>
            <w:vAlign w:val="bottom"/>
          </w:tcPr>
          <w:p>
            <w:pPr>
              <w:spacing w:after="0"/>
              <w:rPr>
                <w:sz w:val="1"/>
                <w:szCs w:val="1"/>
                <w:color w:val="auto"/>
              </w:rPr>
            </w:pPr>
          </w:p>
        </w:tc>
      </w:tr>
      <w:tr>
        <w:trPr>
          <w:trHeight w:val="275"/>
        </w:trPr>
        <w:tc>
          <w:tcPr>
            <w:tcW w:w="5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340" w:type="dxa"/>
            <w:vAlign w:val="bottom"/>
            <w:gridSpan w:val="2"/>
          </w:tcPr>
          <w:p>
            <w:pPr>
              <w:spacing w:after="0"/>
              <w:rPr>
                <w:sz w:val="20"/>
                <w:szCs w:val="20"/>
                <w:color w:val="auto"/>
              </w:rPr>
            </w:pPr>
            <w:r>
              <w:rPr>
                <w:rFonts w:ascii="Arial" w:cs="Arial" w:eastAsia="Arial" w:hAnsi="Arial"/>
                <w:sz w:val="20"/>
                <w:szCs w:val="20"/>
                <w:color w:val="EE2724"/>
                <w:strike w:val="1"/>
              </w:rPr>
              <w:t>PACIFIC TORREY DAYCARE ASSETS LLC</w:t>
            </w:r>
          </w:p>
        </w:tc>
        <w:tc>
          <w:tcPr>
            <w:tcW w:w="0" w:type="dxa"/>
            <w:vAlign w:val="bottom"/>
          </w:tcPr>
          <w:p>
            <w:pPr>
              <w:spacing w:after="0"/>
              <w:rPr>
                <w:sz w:val="1"/>
                <w:szCs w:val="1"/>
                <w:color w:val="auto"/>
              </w:rPr>
            </w:pPr>
          </w:p>
        </w:tc>
      </w:tr>
      <w:tr>
        <w:trPr>
          <w:trHeight w:val="275"/>
        </w:trPr>
        <w:tc>
          <w:tcPr>
            <w:tcW w:w="5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340" w:type="dxa"/>
            <w:vAlign w:val="bottom"/>
            <w:gridSpan w:val="2"/>
          </w:tcPr>
          <w:p>
            <w:pPr>
              <w:spacing w:after="0"/>
              <w:rPr>
                <w:sz w:val="20"/>
                <w:szCs w:val="20"/>
                <w:color w:val="auto"/>
              </w:rPr>
            </w:pPr>
            <w:r>
              <w:rPr>
                <w:rFonts w:ascii="Arial" w:cs="Arial" w:eastAsia="Arial" w:hAnsi="Arial"/>
                <w:sz w:val="20"/>
                <w:szCs w:val="20"/>
                <w:color w:val="EE2724"/>
                <w:strike w:val="1"/>
              </w:rPr>
              <w:t>LANDMARK VENTURE JV, LLC</w:t>
            </w:r>
          </w:p>
        </w:tc>
        <w:tc>
          <w:tcPr>
            <w:tcW w:w="0" w:type="dxa"/>
            <w:vAlign w:val="bottom"/>
          </w:tcPr>
          <w:p>
            <w:pPr>
              <w:spacing w:after="0"/>
              <w:rPr>
                <w:sz w:val="1"/>
                <w:szCs w:val="1"/>
                <w:color w:val="auto"/>
              </w:rPr>
            </w:pPr>
          </w:p>
        </w:tc>
      </w:tr>
      <w:tr>
        <w:trPr>
          <w:trHeight w:val="275"/>
        </w:trPr>
        <w:tc>
          <w:tcPr>
            <w:tcW w:w="5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340" w:type="dxa"/>
            <w:vAlign w:val="bottom"/>
            <w:gridSpan w:val="2"/>
          </w:tcPr>
          <w:p>
            <w:pPr>
              <w:spacing w:after="0"/>
              <w:rPr>
                <w:sz w:val="20"/>
                <w:szCs w:val="20"/>
                <w:color w:val="auto"/>
              </w:rPr>
            </w:pPr>
            <w:r>
              <w:rPr>
                <w:rFonts w:ascii="Arial" w:cs="Arial" w:eastAsia="Arial" w:hAnsi="Arial"/>
                <w:sz w:val="20"/>
                <w:szCs w:val="20"/>
                <w:color w:val="EE2724"/>
                <w:strike w:val="1"/>
              </w:rPr>
              <w:t>PACIFIC FIRECREEK HOLDINGS, LLC</w:t>
            </w:r>
          </w:p>
        </w:tc>
        <w:tc>
          <w:tcPr>
            <w:tcW w:w="0" w:type="dxa"/>
            <w:vAlign w:val="bottom"/>
          </w:tcPr>
          <w:p>
            <w:pPr>
              <w:spacing w:after="0"/>
              <w:rPr>
                <w:sz w:val="1"/>
                <w:szCs w:val="1"/>
                <w:color w:val="auto"/>
              </w:rPr>
            </w:pPr>
          </w:p>
        </w:tc>
      </w:tr>
      <w:tr>
        <w:trPr>
          <w:trHeight w:val="275"/>
        </w:trPr>
        <w:tc>
          <w:tcPr>
            <w:tcW w:w="5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340" w:type="dxa"/>
            <w:vAlign w:val="bottom"/>
            <w:gridSpan w:val="2"/>
          </w:tcPr>
          <w:p>
            <w:pPr>
              <w:spacing w:after="0"/>
              <w:rPr>
                <w:sz w:val="20"/>
                <w:szCs w:val="20"/>
                <w:color w:val="auto"/>
              </w:rPr>
            </w:pPr>
            <w:r>
              <w:rPr>
                <w:rFonts w:ascii="Arial" w:cs="Arial" w:eastAsia="Arial" w:hAnsi="Arial"/>
                <w:sz w:val="20"/>
                <w:szCs w:val="20"/>
                <w:color w:val="EE2724"/>
                <w:strike w:val="1"/>
              </w:rPr>
              <w:t>BROADWAY 225 SORRENTO HOLDINGS, LLC</w:t>
            </w:r>
          </w:p>
        </w:tc>
        <w:tc>
          <w:tcPr>
            <w:tcW w:w="0" w:type="dxa"/>
            <w:vAlign w:val="bottom"/>
          </w:tcPr>
          <w:p>
            <w:pPr>
              <w:spacing w:after="0"/>
              <w:rPr>
                <w:sz w:val="1"/>
                <w:szCs w:val="1"/>
                <w:color w:val="auto"/>
              </w:rPr>
            </w:pPr>
          </w:p>
        </w:tc>
      </w:tr>
      <w:tr>
        <w:trPr>
          <w:trHeight w:val="275"/>
        </w:trPr>
        <w:tc>
          <w:tcPr>
            <w:tcW w:w="5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340" w:type="dxa"/>
            <w:vAlign w:val="bottom"/>
            <w:gridSpan w:val="2"/>
          </w:tcPr>
          <w:p>
            <w:pPr>
              <w:spacing w:after="0"/>
              <w:rPr>
                <w:sz w:val="20"/>
                <w:szCs w:val="20"/>
                <w:color w:val="auto"/>
              </w:rPr>
            </w:pPr>
            <w:r>
              <w:rPr>
                <w:rFonts w:ascii="Arial" w:cs="Arial" w:eastAsia="Arial" w:hAnsi="Arial"/>
                <w:sz w:val="20"/>
                <w:szCs w:val="20"/>
                <w:color w:val="EE2724"/>
                <w:strike w:val="1"/>
              </w:rPr>
              <w:t>BROADWAY 225 STONECREST HOLDINGS, LLC</w:t>
            </w:r>
          </w:p>
        </w:tc>
        <w:tc>
          <w:tcPr>
            <w:tcW w:w="0" w:type="dxa"/>
            <w:vAlign w:val="bottom"/>
          </w:tcPr>
          <w:p>
            <w:pPr>
              <w:spacing w:after="0"/>
              <w:rPr>
                <w:sz w:val="1"/>
                <w:szCs w:val="1"/>
                <w:color w:val="auto"/>
              </w:rPr>
            </w:pPr>
          </w:p>
        </w:tc>
      </w:tr>
      <w:tr>
        <w:trPr>
          <w:trHeight w:val="275"/>
        </w:trPr>
        <w:tc>
          <w:tcPr>
            <w:tcW w:w="5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340" w:type="dxa"/>
            <w:vAlign w:val="bottom"/>
            <w:gridSpan w:val="2"/>
          </w:tcPr>
          <w:p>
            <w:pPr>
              <w:spacing w:after="0"/>
              <w:rPr>
                <w:sz w:val="20"/>
                <w:szCs w:val="20"/>
                <w:color w:val="auto"/>
              </w:rPr>
            </w:pPr>
            <w:r>
              <w:rPr>
                <w:rFonts w:ascii="Arial" w:cs="Arial" w:eastAsia="Arial" w:hAnsi="Arial"/>
                <w:sz w:val="20"/>
                <w:szCs w:val="20"/>
                <w:color w:val="EE2724"/>
                <w:strike w:val="1"/>
              </w:rPr>
              <w:t>EBW HOTEL LLC</w:t>
            </w:r>
          </w:p>
        </w:tc>
        <w:tc>
          <w:tcPr>
            <w:tcW w:w="0" w:type="dxa"/>
            <w:vAlign w:val="bottom"/>
          </w:tcPr>
          <w:p>
            <w:pPr>
              <w:spacing w:after="0"/>
              <w:rPr>
                <w:sz w:val="1"/>
                <w:szCs w:val="1"/>
                <w:color w:val="auto"/>
              </w:rPr>
            </w:pPr>
          </w:p>
        </w:tc>
      </w:tr>
      <w:tr>
        <w:trPr>
          <w:trHeight w:val="275"/>
        </w:trPr>
        <w:tc>
          <w:tcPr>
            <w:tcW w:w="5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340" w:type="dxa"/>
            <w:vAlign w:val="bottom"/>
            <w:gridSpan w:val="2"/>
          </w:tcPr>
          <w:p>
            <w:pPr>
              <w:spacing w:after="0"/>
              <w:rPr>
                <w:sz w:val="20"/>
                <w:szCs w:val="20"/>
                <w:color w:val="auto"/>
              </w:rPr>
            </w:pPr>
            <w:r>
              <w:rPr>
                <w:rFonts w:ascii="Arial" w:cs="Arial" w:eastAsia="Arial" w:hAnsi="Arial"/>
                <w:sz w:val="20"/>
                <w:szCs w:val="20"/>
                <w:color w:val="EE2724"/>
                <w:strike w:val="1"/>
              </w:rPr>
              <w:t>WAIKELE VENTURE HOLDINGS LLC</w:t>
            </w:r>
          </w:p>
        </w:tc>
        <w:tc>
          <w:tcPr>
            <w:tcW w:w="0" w:type="dxa"/>
            <w:vAlign w:val="bottom"/>
          </w:tcPr>
          <w:p>
            <w:pPr>
              <w:spacing w:after="0"/>
              <w:rPr>
                <w:sz w:val="1"/>
                <w:szCs w:val="1"/>
                <w:color w:val="auto"/>
              </w:rPr>
            </w:pPr>
          </w:p>
        </w:tc>
      </w:tr>
      <w:tr>
        <w:trPr>
          <w:trHeight w:val="275"/>
        </w:trPr>
        <w:tc>
          <w:tcPr>
            <w:tcW w:w="5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340" w:type="dxa"/>
            <w:vAlign w:val="bottom"/>
            <w:gridSpan w:val="2"/>
          </w:tcPr>
          <w:p>
            <w:pPr>
              <w:spacing w:after="0"/>
              <w:rPr>
                <w:sz w:val="20"/>
                <w:szCs w:val="20"/>
                <w:color w:val="auto"/>
              </w:rPr>
            </w:pPr>
            <w:r>
              <w:rPr>
                <w:rFonts w:ascii="Arial" w:cs="Arial" w:eastAsia="Arial" w:hAnsi="Arial"/>
                <w:sz w:val="20"/>
                <w:szCs w:val="20"/>
                <w:color w:val="EE2724"/>
                <w:strike w:val="1"/>
              </w:rPr>
              <w:t>PACIFIC SANTA FE ASSETS LLC</w:t>
            </w:r>
          </w:p>
        </w:tc>
        <w:tc>
          <w:tcPr>
            <w:tcW w:w="0" w:type="dxa"/>
            <w:vAlign w:val="bottom"/>
          </w:tcPr>
          <w:p>
            <w:pPr>
              <w:spacing w:after="0"/>
              <w:rPr>
                <w:sz w:val="1"/>
                <w:szCs w:val="1"/>
                <w:color w:val="auto"/>
              </w:rPr>
            </w:pPr>
          </w:p>
        </w:tc>
      </w:tr>
      <w:tr>
        <w:trPr>
          <w:trHeight w:val="275"/>
        </w:trPr>
        <w:tc>
          <w:tcPr>
            <w:tcW w:w="5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340" w:type="dxa"/>
            <w:vAlign w:val="bottom"/>
            <w:gridSpan w:val="2"/>
          </w:tcPr>
          <w:p>
            <w:pPr>
              <w:spacing w:after="0"/>
              <w:rPr>
                <w:sz w:val="20"/>
                <w:szCs w:val="20"/>
                <w:color w:val="auto"/>
              </w:rPr>
            </w:pPr>
            <w:r>
              <w:rPr>
                <w:rFonts w:ascii="Arial" w:cs="Arial" w:eastAsia="Arial" w:hAnsi="Arial"/>
                <w:sz w:val="20"/>
                <w:szCs w:val="20"/>
                <w:color w:val="EE2724"/>
                <w:strike w:val="1"/>
              </w:rPr>
              <w:t>SB CORPORATE CENTRE LLC</w:t>
            </w:r>
          </w:p>
        </w:tc>
        <w:tc>
          <w:tcPr>
            <w:tcW w:w="0" w:type="dxa"/>
            <w:vAlign w:val="bottom"/>
          </w:tcPr>
          <w:p>
            <w:pPr>
              <w:spacing w:after="0"/>
              <w:rPr>
                <w:sz w:val="1"/>
                <w:szCs w:val="1"/>
                <w:color w:val="auto"/>
              </w:rPr>
            </w:pPr>
          </w:p>
        </w:tc>
      </w:tr>
      <w:tr>
        <w:trPr>
          <w:trHeight w:val="275"/>
        </w:trPr>
        <w:tc>
          <w:tcPr>
            <w:tcW w:w="5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340" w:type="dxa"/>
            <w:vAlign w:val="bottom"/>
            <w:gridSpan w:val="2"/>
          </w:tcPr>
          <w:p>
            <w:pPr>
              <w:spacing w:after="0"/>
              <w:rPr>
                <w:sz w:val="20"/>
                <w:szCs w:val="20"/>
                <w:color w:val="auto"/>
              </w:rPr>
            </w:pPr>
            <w:r>
              <w:rPr>
                <w:rFonts w:ascii="Arial" w:cs="Arial" w:eastAsia="Arial" w:hAnsi="Arial"/>
                <w:sz w:val="20"/>
                <w:szCs w:val="20"/>
                <w:color w:val="EE2724"/>
                <w:strike w:val="1"/>
              </w:rPr>
              <w:t>SB TOWNE CENTRE LLC</w:t>
            </w:r>
          </w:p>
        </w:tc>
        <w:tc>
          <w:tcPr>
            <w:tcW w:w="0" w:type="dxa"/>
            <w:vAlign w:val="bottom"/>
          </w:tcPr>
          <w:p>
            <w:pPr>
              <w:spacing w:after="0"/>
              <w:rPr>
                <w:sz w:val="1"/>
                <w:szCs w:val="1"/>
                <w:color w:val="auto"/>
              </w:rPr>
            </w:pPr>
          </w:p>
        </w:tc>
      </w:tr>
      <w:tr>
        <w:trPr>
          <w:trHeight w:val="275"/>
        </w:trPr>
        <w:tc>
          <w:tcPr>
            <w:tcW w:w="5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340" w:type="dxa"/>
            <w:vAlign w:val="bottom"/>
            <w:gridSpan w:val="2"/>
          </w:tcPr>
          <w:p>
            <w:pPr>
              <w:spacing w:after="0"/>
              <w:rPr>
                <w:sz w:val="20"/>
                <w:szCs w:val="20"/>
                <w:color w:val="auto"/>
              </w:rPr>
            </w:pPr>
            <w:r>
              <w:rPr>
                <w:rFonts w:ascii="Arial" w:cs="Arial" w:eastAsia="Arial" w:hAnsi="Arial"/>
                <w:sz w:val="20"/>
                <w:szCs w:val="20"/>
                <w:color w:val="EE2724"/>
                <w:strike w:val="1"/>
              </w:rPr>
              <w:t>AAT TORREY RESERVE 5, LLC</w:t>
            </w:r>
          </w:p>
        </w:tc>
        <w:tc>
          <w:tcPr>
            <w:tcW w:w="0" w:type="dxa"/>
            <w:vAlign w:val="bottom"/>
          </w:tcPr>
          <w:p>
            <w:pPr>
              <w:spacing w:after="0"/>
              <w:rPr>
                <w:sz w:val="1"/>
                <w:szCs w:val="1"/>
                <w:color w:val="auto"/>
              </w:rPr>
            </w:pPr>
          </w:p>
        </w:tc>
      </w:tr>
      <w:tr>
        <w:trPr>
          <w:trHeight w:val="275"/>
        </w:trPr>
        <w:tc>
          <w:tcPr>
            <w:tcW w:w="5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340" w:type="dxa"/>
            <w:vAlign w:val="bottom"/>
            <w:gridSpan w:val="2"/>
          </w:tcPr>
          <w:p>
            <w:pPr>
              <w:spacing w:after="0"/>
              <w:rPr>
                <w:sz w:val="20"/>
                <w:szCs w:val="20"/>
                <w:color w:val="auto"/>
              </w:rPr>
            </w:pPr>
            <w:r>
              <w:rPr>
                <w:rFonts w:ascii="Arial" w:cs="Arial" w:eastAsia="Arial" w:hAnsi="Arial"/>
                <w:sz w:val="20"/>
                <w:szCs w:val="20"/>
                <w:color w:val="EE2724"/>
                <w:strike w:val="1"/>
              </w:rPr>
              <w:t>AAT TORREY 13-14, LLC</w:t>
            </w:r>
          </w:p>
        </w:tc>
        <w:tc>
          <w:tcPr>
            <w:tcW w:w="0" w:type="dxa"/>
            <w:vAlign w:val="bottom"/>
          </w:tcPr>
          <w:p>
            <w:pPr>
              <w:spacing w:after="0"/>
              <w:rPr>
                <w:sz w:val="1"/>
                <w:szCs w:val="1"/>
                <w:color w:val="auto"/>
              </w:rPr>
            </w:pPr>
          </w:p>
        </w:tc>
      </w:tr>
      <w:tr>
        <w:trPr>
          <w:trHeight w:val="275"/>
        </w:trPr>
        <w:tc>
          <w:tcPr>
            <w:tcW w:w="5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340" w:type="dxa"/>
            <w:vAlign w:val="bottom"/>
            <w:gridSpan w:val="2"/>
          </w:tcPr>
          <w:p>
            <w:pPr>
              <w:spacing w:after="0"/>
              <w:rPr>
                <w:sz w:val="20"/>
                <w:szCs w:val="20"/>
                <w:color w:val="auto"/>
              </w:rPr>
            </w:pPr>
            <w:r>
              <w:rPr>
                <w:rFonts w:ascii="Arial" w:cs="Arial" w:eastAsia="Arial" w:hAnsi="Arial"/>
                <w:sz w:val="20"/>
                <w:szCs w:val="20"/>
                <w:color w:val="EE2724"/>
                <w:strike w:val="1"/>
              </w:rPr>
              <w:t>PACIFIC WAIKIKI ASSETS LLC</w:t>
            </w:r>
          </w:p>
        </w:tc>
        <w:tc>
          <w:tcPr>
            <w:tcW w:w="0" w:type="dxa"/>
            <w:vAlign w:val="bottom"/>
          </w:tcPr>
          <w:p>
            <w:pPr>
              <w:spacing w:after="0"/>
              <w:rPr>
                <w:sz w:val="1"/>
                <w:szCs w:val="1"/>
                <w:color w:val="auto"/>
              </w:rPr>
            </w:pPr>
          </w:p>
        </w:tc>
      </w:tr>
      <w:tr>
        <w:trPr>
          <w:trHeight w:val="275"/>
        </w:trPr>
        <w:tc>
          <w:tcPr>
            <w:tcW w:w="5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340" w:type="dxa"/>
            <w:vAlign w:val="bottom"/>
            <w:gridSpan w:val="2"/>
          </w:tcPr>
          <w:p>
            <w:pPr>
              <w:spacing w:after="0"/>
              <w:rPr>
                <w:sz w:val="20"/>
                <w:szCs w:val="20"/>
                <w:color w:val="auto"/>
              </w:rPr>
            </w:pPr>
            <w:r>
              <w:rPr>
                <w:rFonts w:ascii="Arial" w:cs="Arial" w:eastAsia="Arial" w:hAnsi="Arial"/>
                <w:sz w:val="20"/>
                <w:szCs w:val="20"/>
                <w:color w:val="EE2724"/>
                <w:strike w:val="1"/>
              </w:rPr>
              <w:t>AAT DEL MONTE, LLC</w:t>
            </w:r>
          </w:p>
        </w:tc>
        <w:tc>
          <w:tcPr>
            <w:tcW w:w="0" w:type="dxa"/>
            <w:vAlign w:val="bottom"/>
          </w:tcPr>
          <w:p>
            <w:pPr>
              <w:spacing w:after="0"/>
              <w:rPr>
                <w:sz w:val="1"/>
                <w:szCs w:val="1"/>
                <w:color w:val="auto"/>
              </w:rPr>
            </w:pPr>
          </w:p>
        </w:tc>
      </w:tr>
      <w:tr>
        <w:trPr>
          <w:trHeight w:val="275"/>
        </w:trPr>
        <w:tc>
          <w:tcPr>
            <w:tcW w:w="5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340" w:type="dxa"/>
            <w:vAlign w:val="bottom"/>
            <w:gridSpan w:val="2"/>
          </w:tcPr>
          <w:p>
            <w:pPr>
              <w:spacing w:after="0"/>
              <w:rPr>
                <w:sz w:val="20"/>
                <w:szCs w:val="20"/>
                <w:color w:val="auto"/>
              </w:rPr>
            </w:pPr>
            <w:r>
              <w:rPr>
                <w:rFonts w:ascii="Arial" w:cs="Arial" w:eastAsia="Arial" w:hAnsi="Arial"/>
                <w:sz w:val="20"/>
                <w:szCs w:val="20"/>
                <w:color w:val="EE2724"/>
                <w:strike w:val="1"/>
              </w:rPr>
              <w:t>AAT WAIKELE CENTER, LLC</w:t>
            </w:r>
          </w:p>
        </w:tc>
        <w:tc>
          <w:tcPr>
            <w:tcW w:w="0" w:type="dxa"/>
            <w:vAlign w:val="bottom"/>
          </w:tcPr>
          <w:p>
            <w:pPr>
              <w:spacing w:after="0"/>
              <w:rPr>
                <w:sz w:val="1"/>
                <w:szCs w:val="1"/>
                <w:color w:val="auto"/>
              </w:rPr>
            </w:pPr>
          </w:p>
        </w:tc>
      </w:tr>
      <w:tr>
        <w:trPr>
          <w:trHeight w:val="275"/>
        </w:trPr>
        <w:tc>
          <w:tcPr>
            <w:tcW w:w="5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340" w:type="dxa"/>
            <w:vAlign w:val="bottom"/>
            <w:gridSpan w:val="2"/>
          </w:tcPr>
          <w:p>
            <w:pPr>
              <w:spacing w:after="0"/>
              <w:rPr>
                <w:sz w:val="20"/>
                <w:szCs w:val="20"/>
                <w:color w:val="auto"/>
              </w:rPr>
            </w:pPr>
            <w:r>
              <w:rPr>
                <w:rFonts w:ascii="Arial" w:cs="Arial" w:eastAsia="Arial" w:hAnsi="Arial"/>
                <w:sz w:val="20"/>
                <w:szCs w:val="20"/>
                <w:color w:val="EE2724"/>
                <w:strike w:val="1"/>
              </w:rPr>
              <w:t>AAT ALAMO QUARRY, LLC</w:t>
            </w:r>
          </w:p>
        </w:tc>
        <w:tc>
          <w:tcPr>
            <w:tcW w:w="0" w:type="dxa"/>
            <w:vAlign w:val="bottom"/>
          </w:tcPr>
          <w:p>
            <w:pPr>
              <w:spacing w:after="0"/>
              <w:rPr>
                <w:sz w:val="1"/>
                <w:szCs w:val="1"/>
                <w:color w:val="auto"/>
              </w:rPr>
            </w:pPr>
          </w:p>
        </w:tc>
      </w:tr>
      <w:tr>
        <w:trPr>
          <w:trHeight w:val="550"/>
        </w:trPr>
        <w:tc>
          <w:tcPr>
            <w:tcW w:w="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20"/>
                <w:szCs w:val="20"/>
                <w:color w:val="EE2724"/>
                <w:strike w:val="1"/>
              </w:rPr>
              <w:t>By:</w:t>
            </w:r>
          </w:p>
        </w:tc>
        <w:tc>
          <w:tcPr>
            <w:tcW w:w="5680" w:type="dxa"/>
            <w:vAlign w:val="bottom"/>
          </w:tcPr>
          <w:p>
            <w:pPr>
              <w:ind w:left="20"/>
              <w:spacing w:after="0"/>
              <w:rPr>
                <w:sz w:val="20"/>
                <w:szCs w:val="20"/>
                <w:color w:val="auto"/>
              </w:rPr>
            </w:pPr>
            <w:r>
              <w:rPr>
                <w:rFonts w:ascii="Arial" w:cs="Arial" w:eastAsia="Arial" w:hAnsi="Arial"/>
                <w:sz w:val="20"/>
                <w:szCs w:val="20"/>
                <w:color w:val="EE2724"/>
                <w:strike w:val="1"/>
              </w:rPr>
              <w:t>AMERICAN ASSETS TRUST, L.P. its Sole Member</w:t>
            </w:r>
          </w:p>
        </w:tc>
        <w:tc>
          <w:tcPr>
            <w:tcW w:w="0" w:type="dxa"/>
            <w:vAlign w:val="bottom"/>
          </w:tcPr>
          <w:p>
            <w:pPr>
              <w:spacing w:after="0"/>
              <w:rPr>
                <w:sz w:val="1"/>
                <w:szCs w:val="1"/>
                <w:color w:val="auto"/>
              </w:rPr>
            </w:pPr>
          </w:p>
        </w:tc>
      </w:tr>
      <w:tr>
        <w:trPr>
          <w:trHeight w:val="550"/>
        </w:trPr>
        <w:tc>
          <w:tcPr>
            <w:tcW w:w="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20"/>
                <w:szCs w:val="20"/>
                <w:color w:val="EE2724"/>
                <w:strike w:val="1"/>
              </w:rPr>
              <w:t>By:</w:t>
            </w:r>
          </w:p>
        </w:tc>
        <w:tc>
          <w:tcPr>
            <w:tcW w:w="5680" w:type="dxa"/>
            <w:vAlign w:val="bottom"/>
          </w:tcPr>
          <w:p>
            <w:pPr>
              <w:ind w:left="20"/>
              <w:spacing w:after="0"/>
              <w:rPr>
                <w:sz w:val="20"/>
                <w:szCs w:val="20"/>
                <w:color w:val="auto"/>
              </w:rPr>
            </w:pPr>
            <w:r>
              <w:rPr>
                <w:rFonts w:ascii="Arial" w:cs="Arial" w:eastAsia="Arial" w:hAnsi="Arial"/>
                <w:sz w:val="20"/>
                <w:szCs w:val="20"/>
                <w:color w:val="EE2724"/>
                <w:strike w:val="1"/>
              </w:rPr>
              <w:t>AMERICAN ASSETS TRUST, INC. its General Partner</w:t>
            </w:r>
          </w:p>
        </w:tc>
        <w:tc>
          <w:tcPr>
            <w:tcW w:w="0" w:type="dxa"/>
            <w:vAlign w:val="bottom"/>
          </w:tcPr>
          <w:p>
            <w:pPr>
              <w:spacing w:after="0"/>
              <w:rPr>
                <w:sz w:val="1"/>
                <w:szCs w:val="1"/>
                <w:color w:val="auto"/>
              </w:rPr>
            </w:pPr>
          </w:p>
        </w:tc>
      </w:tr>
      <w:tr>
        <w:trPr>
          <w:trHeight w:val="282"/>
        </w:trPr>
        <w:tc>
          <w:tcPr>
            <w:tcW w:w="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20"/>
                <w:szCs w:val="20"/>
                <w:color w:val="EE2724"/>
                <w:strike w:val="1"/>
              </w:rPr>
              <w:t>By:</w:t>
            </w:r>
          </w:p>
        </w:tc>
        <w:tc>
          <w:tcPr>
            <w:tcW w:w="5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80" w:type="dxa"/>
            <w:vAlign w:val="bottom"/>
          </w:tcPr>
          <w:p>
            <w:pPr>
              <w:ind w:left="20"/>
              <w:spacing w:after="0"/>
              <w:rPr>
                <w:sz w:val="20"/>
                <w:szCs w:val="20"/>
                <w:color w:val="auto"/>
              </w:rPr>
            </w:pPr>
            <w:r>
              <w:rPr>
                <w:rFonts w:ascii="Arial" w:cs="Arial" w:eastAsia="Arial" w:hAnsi="Arial"/>
                <w:sz w:val="20"/>
                <w:szCs w:val="20"/>
                <w:color w:val="EE2724"/>
                <w:strike w:val="1"/>
              </w:rPr>
              <w:t>Name: Ernest Rady</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5680"/>
        <w:spacing w:after="0"/>
        <w:rPr>
          <w:sz w:val="20"/>
          <w:szCs w:val="20"/>
          <w:color w:val="auto"/>
        </w:rPr>
      </w:pPr>
      <w:r>
        <w:rPr>
          <w:rFonts w:ascii="Arial" w:cs="Arial" w:eastAsia="Arial" w:hAnsi="Arial"/>
          <w:sz w:val="20"/>
          <w:szCs w:val="20"/>
          <w:color w:val="EE2724"/>
          <w:strike w:val="1"/>
        </w:rPr>
        <w:t>Title: Chairman, President and Chief Executive Officer</w:t>
      </w:r>
    </w:p>
    <w:p>
      <w:pPr>
        <w:spacing w:after="0" w:line="257"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[Signature Page to Guaranty]</w:t>
      </w:r>
    </w:p>
    <w:p>
      <w:pPr>
        <w:sectPr>
          <w:pgSz w:w="11900" w:h="16838" w:orient="portrait"/>
          <w:cols w:equalWidth="0" w:num="1">
            <w:col w:w="11340"/>
          </w:cols>
          <w:pgMar w:left="320" w:top="594" w:right="239" w:bottom="1136" w:gutter="0" w:footer="0" w:header="0"/>
        </w:sectPr>
      </w:pPr>
    </w:p>
    <w:bookmarkStart w:id="562" w:name="page563"/>
    <w:bookmarkEnd w:id="562"/>
    <w:p>
      <w:pPr>
        <w:ind w:left="3860"/>
        <w:spacing w:after="0"/>
        <w:rPr>
          <w:sz w:val="20"/>
          <w:szCs w:val="20"/>
          <w:color w:val="auto"/>
        </w:rPr>
      </w:pPr>
      <w:r>
        <w:rPr>
          <w:rFonts w:ascii="Arial" w:cs="Arial" w:eastAsia="Arial" w:hAnsi="Arial"/>
          <w:sz w:val="20"/>
          <w:szCs w:val="20"/>
          <w:color w:val="EE2724"/>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24765</wp:posOffset>
            </wp:positionV>
            <wp:extent cx="3624580"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37" w:lineRule="exact"/>
        <w:rPr>
          <w:sz w:val="20"/>
          <w:szCs w:val="20"/>
          <w:color w:val="auto"/>
        </w:rPr>
      </w:pPr>
    </w:p>
    <w:p>
      <w:pPr>
        <w:ind w:left="4540"/>
        <w:spacing w:after="0"/>
        <w:rPr>
          <w:sz w:val="20"/>
          <w:szCs w:val="20"/>
          <w:color w:val="auto"/>
        </w:rPr>
      </w:pPr>
      <w:r>
        <w:rPr>
          <w:rFonts w:ascii="Arial" w:cs="Arial" w:eastAsia="Arial" w:hAnsi="Arial"/>
          <w:sz w:val="20"/>
          <w:szCs w:val="20"/>
          <w:color w:val="EE2724"/>
          <w:strike w:val="1"/>
        </w:rPr>
        <w:t>Name: Robert F. Barton</w:t>
      </w:r>
    </w:p>
    <w:p>
      <w:pPr>
        <w:spacing w:after="0" w:line="45" w:lineRule="exact"/>
        <w:rPr>
          <w:sz w:val="20"/>
          <w:szCs w:val="20"/>
          <w:color w:val="auto"/>
        </w:rPr>
      </w:pPr>
    </w:p>
    <w:p>
      <w:pPr>
        <w:ind w:left="4540"/>
        <w:spacing w:after="0"/>
        <w:rPr>
          <w:sz w:val="20"/>
          <w:szCs w:val="20"/>
          <w:color w:val="auto"/>
        </w:rPr>
      </w:pPr>
      <w:r>
        <w:rPr>
          <w:rFonts w:ascii="Arial" w:cs="Arial" w:eastAsia="Arial" w:hAnsi="Arial"/>
          <w:sz w:val="18"/>
          <w:szCs w:val="18"/>
          <w:color w:val="EE2724"/>
          <w:strike w:val="1"/>
        </w:rPr>
        <w:t>Title: Chief Financial Officer and Executive Vice President</w:t>
      </w:r>
    </w:p>
    <w:p>
      <w:pPr>
        <w:spacing w:after="0" w:line="343"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PACIFIC TORREY RESERVE WEST HOLDINGS, L.P.</w:t>
      </w:r>
    </w:p>
    <w:p>
      <w:pPr>
        <w:sectPr>
          <w:pgSz w:w="11900" w:h="16838" w:orient="portrait"/>
          <w:cols w:equalWidth="0" w:num="1">
            <w:col w:w="9280"/>
          </w:cols>
          <w:pgMar w:left="1440" w:top="496" w:right="1179" w:bottom="1440" w:gutter="0" w:footer="0" w:header="0"/>
        </w:sectPr>
      </w:pPr>
    </w:p>
    <w:p>
      <w:pPr>
        <w:spacing w:after="0" w:line="320" w:lineRule="exact"/>
        <w:rPr>
          <w:sz w:val="20"/>
          <w:szCs w:val="20"/>
          <w:color w:val="auto"/>
        </w:rPr>
      </w:pPr>
    </w:p>
    <w:p>
      <w:pPr>
        <w:ind w:left="3860"/>
        <w:spacing w:after="0"/>
        <w:rPr>
          <w:sz w:val="20"/>
          <w:szCs w:val="20"/>
          <w:color w:val="auto"/>
        </w:rPr>
      </w:pPr>
      <w:r>
        <w:rPr>
          <w:rFonts w:ascii="Arial" w:cs="Arial" w:eastAsia="Arial" w:hAnsi="Arial"/>
          <w:sz w:val="19"/>
          <w:szCs w:val="19"/>
          <w:color w:val="EE2724"/>
          <w:strike w:val="1"/>
        </w:rPr>
        <w:t>By:</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right="1620"/>
        <w:spacing w:after="0" w:line="373" w:lineRule="auto"/>
        <w:rPr>
          <w:sz w:val="20"/>
          <w:szCs w:val="20"/>
          <w:color w:val="auto"/>
        </w:rPr>
      </w:pPr>
      <w:r>
        <w:rPr>
          <w:rFonts w:ascii="Arial" w:cs="Arial" w:eastAsia="Arial" w:hAnsi="Arial"/>
          <w:sz w:val="18"/>
          <w:szCs w:val="18"/>
          <w:color w:val="EE2724"/>
          <w:strike w:val="1"/>
        </w:rPr>
        <w:t>PACIFIC TORREY RESERVE WEST ASSETS LLC, its General Partner</w:t>
      </w:r>
    </w:p>
    <w:p>
      <w:pPr>
        <w:spacing w:after="0" w:line="181" w:lineRule="exact"/>
        <w:rPr>
          <w:sz w:val="20"/>
          <w:szCs w:val="20"/>
          <w:color w:val="auto"/>
        </w:rPr>
      </w:pPr>
    </w:p>
    <w:p>
      <w:pPr>
        <w:sectPr>
          <w:pgSz w:w="11900" w:h="16838" w:orient="portrait"/>
          <w:cols w:equalWidth="0" w:num="2">
            <w:col w:w="4140" w:space="400"/>
            <w:col w:w="4740"/>
          </w:cols>
          <w:pgMar w:left="1440" w:top="496" w:right="1179" w:bottom="1440" w:gutter="0" w:footer="0" w:header="0"/>
          <w:type w:val="continuous"/>
        </w:sectPr>
      </w:pPr>
    </w:p>
    <w:p>
      <w:pPr>
        <w:ind w:left="3860"/>
        <w:spacing w:after="0"/>
        <w:rPr>
          <w:sz w:val="20"/>
          <w:szCs w:val="20"/>
          <w:color w:val="auto"/>
        </w:rPr>
      </w:pPr>
      <w:r>
        <w:rPr>
          <w:rFonts w:ascii="Arial" w:cs="Arial" w:eastAsia="Arial" w:hAnsi="Arial"/>
          <w:sz w:val="19"/>
          <w:szCs w:val="19"/>
          <w:color w:val="EE2724"/>
          <w:strike w:val="1"/>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EE2724"/>
          <w:strike w:val="1"/>
        </w:rPr>
        <w:t>AMERICAN ASSETS TRUST, L.P. its Sole Member</w:t>
      </w:r>
    </w:p>
    <w:p>
      <w:pPr>
        <w:spacing w:after="0" w:line="211" w:lineRule="exact"/>
        <w:rPr>
          <w:sz w:val="20"/>
          <w:szCs w:val="20"/>
          <w:color w:val="auto"/>
        </w:rPr>
      </w:pPr>
    </w:p>
    <w:p>
      <w:pPr>
        <w:sectPr>
          <w:pgSz w:w="11900" w:h="16838" w:orient="portrait"/>
          <w:cols w:equalWidth="0" w:num="2">
            <w:col w:w="4140" w:space="400"/>
            <w:col w:w="4740"/>
          </w:cols>
          <w:pgMar w:left="1440" w:top="496" w:right="1179" w:bottom="1440" w:gutter="0" w:footer="0" w:header="0"/>
          <w:type w:val="continuous"/>
        </w:sectPr>
      </w:pPr>
    </w:p>
    <w:p>
      <w:pPr>
        <w:spacing w:after="0" w:line="131" w:lineRule="exact"/>
        <w:rPr>
          <w:sz w:val="20"/>
          <w:szCs w:val="20"/>
          <w:color w:val="auto"/>
        </w:rPr>
      </w:pPr>
    </w:p>
    <w:p>
      <w:pPr>
        <w:ind w:left="3860"/>
        <w:spacing w:after="0"/>
        <w:rPr>
          <w:sz w:val="20"/>
          <w:szCs w:val="20"/>
          <w:color w:val="auto"/>
        </w:rPr>
      </w:pPr>
      <w:r>
        <w:rPr>
          <w:rFonts w:ascii="Arial" w:cs="Arial" w:eastAsia="Arial" w:hAnsi="Arial"/>
          <w:sz w:val="19"/>
          <w:szCs w:val="19"/>
          <w:color w:val="EE2724"/>
          <w:strike w:val="1"/>
        </w:rPr>
        <w:t>By:</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EE2724"/>
          <w:strike w:val="1"/>
        </w:rPr>
        <w:t>AMERICAN ASSETS TRUST, INC. its General Partner</w:t>
      </w:r>
    </w:p>
    <w:p>
      <w:pPr>
        <w:spacing w:after="0" w:line="211" w:lineRule="exact"/>
        <w:rPr>
          <w:sz w:val="20"/>
          <w:szCs w:val="20"/>
          <w:color w:val="auto"/>
        </w:rPr>
      </w:pPr>
    </w:p>
    <w:p>
      <w:pPr>
        <w:sectPr>
          <w:pgSz w:w="11900" w:h="16838" w:orient="portrait"/>
          <w:cols w:equalWidth="0" w:num="2">
            <w:col w:w="4140" w:space="400"/>
            <w:col w:w="4740"/>
          </w:cols>
          <w:pgMar w:left="1440" w:top="496" w:right="1179" w:bottom="1440" w:gutter="0" w:footer="0" w:header="0"/>
          <w:type w:val="continuous"/>
        </w:sectPr>
      </w:pPr>
    </w:p>
    <w:p>
      <w:pPr>
        <w:spacing w:after="0" w:line="131"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24765</wp:posOffset>
            </wp:positionV>
            <wp:extent cx="3624580"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37" w:lineRule="exact"/>
        <w:rPr>
          <w:sz w:val="20"/>
          <w:szCs w:val="20"/>
          <w:color w:val="auto"/>
        </w:rPr>
      </w:pPr>
    </w:p>
    <w:p>
      <w:pPr>
        <w:ind w:left="4540"/>
        <w:spacing w:after="0"/>
        <w:rPr>
          <w:sz w:val="20"/>
          <w:szCs w:val="20"/>
          <w:color w:val="auto"/>
        </w:rPr>
      </w:pPr>
      <w:r>
        <w:rPr>
          <w:rFonts w:ascii="Arial" w:cs="Arial" w:eastAsia="Arial" w:hAnsi="Arial"/>
          <w:sz w:val="20"/>
          <w:szCs w:val="20"/>
          <w:color w:val="EE2724"/>
          <w:strike w:val="1"/>
        </w:rPr>
        <w:t>Name: Ernest Rady</w:t>
      </w:r>
    </w:p>
    <w:p>
      <w:pPr>
        <w:spacing w:after="0" w:line="295" w:lineRule="exact"/>
        <w:rPr>
          <w:sz w:val="20"/>
          <w:szCs w:val="20"/>
          <w:color w:val="auto"/>
        </w:rPr>
      </w:pPr>
    </w:p>
    <w:p>
      <w:pPr>
        <w:ind w:left="4540"/>
        <w:spacing w:after="0"/>
        <w:rPr>
          <w:sz w:val="20"/>
          <w:szCs w:val="20"/>
          <w:color w:val="auto"/>
        </w:rPr>
      </w:pPr>
      <w:r>
        <w:rPr>
          <w:rFonts w:ascii="Arial" w:cs="Arial" w:eastAsia="Arial" w:hAnsi="Arial"/>
          <w:sz w:val="19"/>
          <w:szCs w:val="19"/>
          <w:color w:val="EE2724"/>
          <w:strike w:val="1"/>
        </w:rPr>
        <w:t>Title: Chairman, President and Chief Executive Officer</w:t>
      </w:r>
    </w:p>
    <w:p>
      <w:pPr>
        <w:spacing w:after="0" w:line="331"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24765</wp:posOffset>
            </wp:positionV>
            <wp:extent cx="362458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37" w:lineRule="exact"/>
        <w:rPr>
          <w:sz w:val="20"/>
          <w:szCs w:val="20"/>
          <w:color w:val="auto"/>
        </w:rPr>
      </w:pPr>
    </w:p>
    <w:p>
      <w:pPr>
        <w:ind w:left="4540"/>
        <w:spacing w:after="0"/>
        <w:rPr>
          <w:sz w:val="20"/>
          <w:szCs w:val="20"/>
          <w:color w:val="auto"/>
        </w:rPr>
      </w:pPr>
      <w:r>
        <w:rPr>
          <w:rFonts w:ascii="Arial" w:cs="Arial" w:eastAsia="Arial" w:hAnsi="Arial"/>
          <w:sz w:val="20"/>
          <w:szCs w:val="20"/>
          <w:color w:val="EE2724"/>
          <w:strike w:val="1"/>
        </w:rPr>
        <w:t>Name: Robert F. Barton</w:t>
      </w:r>
    </w:p>
    <w:p>
      <w:pPr>
        <w:spacing w:after="0" w:line="45" w:lineRule="exact"/>
        <w:rPr>
          <w:sz w:val="20"/>
          <w:szCs w:val="20"/>
          <w:color w:val="auto"/>
        </w:rPr>
      </w:pPr>
    </w:p>
    <w:p>
      <w:pPr>
        <w:ind w:left="4540"/>
        <w:spacing w:after="0"/>
        <w:rPr>
          <w:sz w:val="20"/>
          <w:szCs w:val="20"/>
          <w:color w:val="auto"/>
        </w:rPr>
      </w:pPr>
      <w:r>
        <w:rPr>
          <w:rFonts w:ascii="Arial" w:cs="Arial" w:eastAsia="Arial" w:hAnsi="Arial"/>
          <w:sz w:val="18"/>
          <w:szCs w:val="18"/>
          <w:color w:val="EE2724"/>
          <w:strike w:val="1"/>
        </w:rPr>
        <w:t>Title: Chief Financial Officer and Executive Vice President</w:t>
      </w:r>
    </w:p>
    <w:p>
      <w:pPr>
        <w:sectPr>
          <w:pgSz w:w="11900" w:h="16838" w:orient="portrait"/>
          <w:cols w:equalWidth="0" w:num="1">
            <w:col w:w="9280"/>
          </w:cols>
          <w:pgMar w:left="1440" w:top="496" w:right="1179" w:bottom="1440" w:gutter="0" w:footer="0" w:header="0"/>
          <w:type w:val="continuous"/>
        </w:sectPr>
      </w:pPr>
    </w:p>
    <w:p>
      <w:pPr>
        <w:spacing w:after="0" w:line="343" w:lineRule="exact"/>
        <w:rPr>
          <w:sz w:val="20"/>
          <w:szCs w:val="20"/>
          <w:color w:val="auto"/>
        </w:rPr>
      </w:pPr>
    </w:p>
    <w:p>
      <w:pPr>
        <w:ind w:left="3860"/>
        <w:spacing w:after="0"/>
        <w:rPr>
          <w:sz w:val="20"/>
          <w:szCs w:val="20"/>
          <w:color w:val="auto"/>
        </w:rPr>
      </w:pPr>
      <w:r>
        <w:rPr>
          <w:rFonts w:ascii="Arial" w:cs="Arial" w:eastAsia="Arial" w:hAnsi="Arial"/>
          <w:sz w:val="19"/>
          <w:szCs w:val="19"/>
          <w:color w:val="EE2724"/>
          <w:strike w:val="1"/>
        </w:rPr>
        <w:t>CARMEL COUNTRY PLAZA, L.P.</w:t>
      </w:r>
    </w:p>
    <w:p>
      <w:pPr>
        <w:sectPr>
          <w:pgSz w:w="11900" w:h="16838" w:orient="portrait"/>
          <w:cols w:equalWidth="0" w:num="1">
            <w:col w:w="9280"/>
          </w:cols>
          <w:pgMar w:left="1440" w:top="496" w:right="1179" w:bottom="1440" w:gutter="0" w:footer="0" w:header="0"/>
          <w:type w:val="continuous"/>
        </w:sectPr>
      </w:pPr>
    </w:p>
    <w:p>
      <w:pPr>
        <w:spacing w:after="0" w:line="331" w:lineRule="exact"/>
        <w:rPr>
          <w:sz w:val="20"/>
          <w:szCs w:val="20"/>
          <w:color w:val="auto"/>
        </w:rPr>
      </w:pPr>
    </w:p>
    <w:p>
      <w:pPr>
        <w:ind w:left="3860"/>
        <w:spacing w:after="0"/>
        <w:rPr>
          <w:sz w:val="20"/>
          <w:szCs w:val="20"/>
          <w:color w:val="auto"/>
        </w:rPr>
      </w:pPr>
      <w:r>
        <w:rPr>
          <w:rFonts w:ascii="Arial" w:cs="Arial" w:eastAsia="Arial" w:hAnsi="Arial"/>
          <w:sz w:val="19"/>
          <w:szCs w:val="19"/>
          <w:color w:val="EE2724"/>
          <w:strike w:val="1"/>
        </w:rPr>
        <w:t>By:</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EE2724"/>
          <w:strike w:val="1"/>
        </w:rPr>
        <w:t>PACIFIC DEL MAR ASSETS LLC, its General Partner</w:t>
      </w:r>
    </w:p>
    <w:p>
      <w:pPr>
        <w:spacing w:after="0" w:line="211" w:lineRule="exact"/>
        <w:rPr>
          <w:sz w:val="20"/>
          <w:szCs w:val="20"/>
          <w:color w:val="auto"/>
        </w:rPr>
      </w:pPr>
    </w:p>
    <w:p>
      <w:pPr>
        <w:sectPr>
          <w:pgSz w:w="11900" w:h="16838" w:orient="portrait"/>
          <w:cols w:equalWidth="0" w:num="2">
            <w:col w:w="4140" w:space="400"/>
            <w:col w:w="4740"/>
          </w:cols>
          <w:pgMar w:left="1440" w:top="496" w:right="1179" w:bottom="1440" w:gutter="0" w:footer="0" w:header="0"/>
          <w:type w:val="continuous"/>
        </w:sectPr>
      </w:pPr>
    </w:p>
    <w:p>
      <w:pPr>
        <w:spacing w:after="0" w:line="131" w:lineRule="exact"/>
        <w:rPr>
          <w:sz w:val="20"/>
          <w:szCs w:val="20"/>
          <w:color w:val="auto"/>
        </w:rPr>
      </w:pPr>
    </w:p>
    <w:p>
      <w:pPr>
        <w:ind w:left="3860"/>
        <w:spacing w:after="0"/>
        <w:rPr>
          <w:sz w:val="20"/>
          <w:szCs w:val="20"/>
          <w:color w:val="auto"/>
        </w:rPr>
      </w:pPr>
      <w:r>
        <w:rPr>
          <w:rFonts w:ascii="Arial" w:cs="Arial" w:eastAsia="Arial" w:hAnsi="Arial"/>
          <w:sz w:val="19"/>
          <w:szCs w:val="19"/>
          <w:color w:val="EE2724"/>
          <w:strike w:val="1"/>
        </w:rPr>
        <w:t>By:</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EE2724"/>
          <w:strike w:val="1"/>
        </w:rPr>
        <w:t>AMERICAN ASSETS TRUST, L.P. its Sole Member</w:t>
      </w:r>
    </w:p>
    <w:p>
      <w:pPr>
        <w:spacing w:after="0" w:line="211" w:lineRule="exact"/>
        <w:rPr>
          <w:sz w:val="20"/>
          <w:szCs w:val="20"/>
          <w:color w:val="auto"/>
        </w:rPr>
      </w:pPr>
    </w:p>
    <w:p>
      <w:pPr>
        <w:sectPr>
          <w:pgSz w:w="11900" w:h="16838" w:orient="portrait"/>
          <w:cols w:equalWidth="0" w:num="2">
            <w:col w:w="4140" w:space="400"/>
            <w:col w:w="4740"/>
          </w:cols>
          <w:pgMar w:left="1440" w:top="496" w:right="1179" w:bottom="1440" w:gutter="0" w:footer="0" w:header="0"/>
          <w:type w:val="continuous"/>
        </w:sectPr>
      </w:pPr>
    </w:p>
    <w:p>
      <w:pPr>
        <w:spacing w:after="0" w:line="131" w:lineRule="exact"/>
        <w:rPr>
          <w:sz w:val="20"/>
          <w:szCs w:val="20"/>
          <w:color w:val="auto"/>
        </w:rPr>
      </w:pPr>
    </w:p>
    <w:p>
      <w:pPr>
        <w:ind w:left="3860"/>
        <w:spacing w:after="0"/>
        <w:rPr>
          <w:sz w:val="20"/>
          <w:szCs w:val="20"/>
          <w:color w:val="auto"/>
        </w:rPr>
      </w:pPr>
      <w:r>
        <w:rPr>
          <w:rFonts w:ascii="Arial" w:cs="Arial" w:eastAsia="Arial" w:hAnsi="Arial"/>
          <w:sz w:val="19"/>
          <w:szCs w:val="19"/>
          <w:color w:val="EE2724"/>
          <w:strike w:val="1"/>
        </w:rPr>
        <w:t>By:</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EE2724"/>
          <w:strike w:val="1"/>
        </w:rPr>
        <w:t>AMERICAN ASSETS TRUST, INC. its General Partner</w:t>
      </w:r>
    </w:p>
    <w:p>
      <w:pPr>
        <w:spacing w:after="0" w:line="211" w:lineRule="exact"/>
        <w:rPr>
          <w:sz w:val="20"/>
          <w:szCs w:val="20"/>
          <w:color w:val="auto"/>
        </w:rPr>
      </w:pPr>
    </w:p>
    <w:p>
      <w:pPr>
        <w:sectPr>
          <w:pgSz w:w="11900" w:h="16838" w:orient="portrait"/>
          <w:cols w:equalWidth="0" w:num="2">
            <w:col w:w="4140" w:space="400"/>
            <w:col w:w="4740"/>
          </w:cols>
          <w:pgMar w:left="1440" w:top="496" w:right="1179" w:bottom="1440" w:gutter="0" w:footer="0" w:header="0"/>
          <w:type w:val="continuous"/>
        </w:sectPr>
      </w:pPr>
    </w:p>
    <w:p>
      <w:pPr>
        <w:spacing w:after="0" w:line="131"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24765</wp:posOffset>
            </wp:positionV>
            <wp:extent cx="3624580"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37" w:lineRule="exact"/>
        <w:rPr>
          <w:sz w:val="20"/>
          <w:szCs w:val="20"/>
          <w:color w:val="auto"/>
        </w:rPr>
      </w:pPr>
    </w:p>
    <w:p>
      <w:pPr>
        <w:ind w:left="4540"/>
        <w:spacing w:after="0"/>
        <w:rPr>
          <w:sz w:val="20"/>
          <w:szCs w:val="20"/>
          <w:color w:val="auto"/>
        </w:rPr>
      </w:pPr>
      <w:r>
        <w:rPr>
          <w:rFonts w:ascii="Arial" w:cs="Arial" w:eastAsia="Arial" w:hAnsi="Arial"/>
          <w:sz w:val="20"/>
          <w:szCs w:val="20"/>
          <w:color w:val="EE2724"/>
          <w:strike w:val="1"/>
        </w:rPr>
        <w:t>Name: Ernest Rady</w:t>
      </w:r>
    </w:p>
    <w:p>
      <w:pPr>
        <w:spacing w:after="0" w:line="295" w:lineRule="exact"/>
        <w:rPr>
          <w:sz w:val="20"/>
          <w:szCs w:val="20"/>
          <w:color w:val="auto"/>
        </w:rPr>
      </w:pPr>
    </w:p>
    <w:p>
      <w:pPr>
        <w:ind w:left="4540"/>
        <w:spacing w:after="0"/>
        <w:rPr>
          <w:sz w:val="20"/>
          <w:szCs w:val="20"/>
          <w:color w:val="auto"/>
        </w:rPr>
      </w:pPr>
      <w:r>
        <w:rPr>
          <w:rFonts w:ascii="Arial" w:cs="Arial" w:eastAsia="Arial" w:hAnsi="Arial"/>
          <w:sz w:val="19"/>
          <w:szCs w:val="19"/>
          <w:color w:val="EE2724"/>
          <w:strike w:val="1"/>
        </w:rPr>
        <w:t>Title: Chairman, President and Chief Executive Officer</w:t>
      </w:r>
    </w:p>
    <w:p>
      <w:pPr>
        <w:spacing w:after="0" w:line="331"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24765</wp:posOffset>
            </wp:positionV>
            <wp:extent cx="3624580"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37" w:lineRule="exact"/>
        <w:rPr>
          <w:sz w:val="20"/>
          <w:szCs w:val="20"/>
          <w:color w:val="auto"/>
        </w:rPr>
      </w:pPr>
    </w:p>
    <w:p>
      <w:pPr>
        <w:ind w:left="4540"/>
        <w:spacing w:after="0"/>
        <w:rPr>
          <w:sz w:val="20"/>
          <w:szCs w:val="20"/>
          <w:color w:val="auto"/>
        </w:rPr>
      </w:pPr>
      <w:r>
        <w:rPr>
          <w:rFonts w:ascii="Arial" w:cs="Arial" w:eastAsia="Arial" w:hAnsi="Arial"/>
          <w:sz w:val="20"/>
          <w:szCs w:val="20"/>
          <w:color w:val="EE2724"/>
          <w:strike w:val="1"/>
        </w:rPr>
        <w:t>Name: Robert F. Barton</w:t>
      </w:r>
    </w:p>
    <w:p>
      <w:pPr>
        <w:spacing w:after="0" w:line="45" w:lineRule="exact"/>
        <w:rPr>
          <w:sz w:val="20"/>
          <w:szCs w:val="20"/>
          <w:color w:val="auto"/>
        </w:rPr>
      </w:pPr>
    </w:p>
    <w:p>
      <w:pPr>
        <w:ind w:left="4540"/>
        <w:spacing w:after="0"/>
        <w:rPr>
          <w:sz w:val="20"/>
          <w:szCs w:val="20"/>
          <w:color w:val="auto"/>
        </w:rPr>
      </w:pPr>
      <w:r>
        <w:rPr>
          <w:rFonts w:ascii="Arial" w:cs="Arial" w:eastAsia="Arial" w:hAnsi="Arial"/>
          <w:sz w:val="18"/>
          <w:szCs w:val="18"/>
          <w:color w:val="EE2724"/>
          <w:strike w:val="1"/>
        </w:rPr>
        <w:t>Title: Chief Financial Officer and Executive Vice President</w:t>
      </w:r>
    </w:p>
    <w:p>
      <w:pPr>
        <w:sectPr>
          <w:pgSz w:w="11900" w:h="16838" w:orient="portrait"/>
          <w:cols w:equalWidth="0" w:num="1">
            <w:col w:w="9280"/>
          </w:cols>
          <w:pgMar w:left="1440" w:top="496" w:right="1179" w:bottom="1440" w:gutter="0" w:footer="0" w:header="0"/>
          <w:type w:val="continuous"/>
        </w:sectPr>
      </w:pPr>
    </w:p>
    <w:p>
      <w:pPr>
        <w:spacing w:after="0" w:line="343" w:lineRule="exact"/>
        <w:rPr>
          <w:sz w:val="20"/>
          <w:szCs w:val="20"/>
          <w:color w:val="auto"/>
        </w:rPr>
      </w:pPr>
    </w:p>
    <w:p>
      <w:pPr>
        <w:ind w:left="3860"/>
        <w:spacing w:after="0"/>
        <w:rPr>
          <w:sz w:val="20"/>
          <w:szCs w:val="20"/>
          <w:color w:val="auto"/>
        </w:rPr>
      </w:pPr>
      <w:r>
        <w:rPr>
          <w:rFonts w:ascii="Arial" w:cs="Arial" w:eastAsia="Arial" w:hAnsi="Arial"/>
          <w:sz w:val="19"/>
          <w:szCs w:val="19"/>
          <w:color w:val="EE2724"/>
          <w:strike w:val="1"/>
        </w:rPr>
        <w:t>PACIFIC CARMEL MOUNTAIN HOLDINGS, L.P.</w:t>
      </w:r>
    </w:p>
    <w:p>
      <w:pPr>
        <w:spacing w:after="0" w:line="331" w:lineRule="exact"/>
        <w:rPr>
          <w:sz w:val="20"/>
          <w:szCs w:val="20"/>
          <w:color w:val="auto"/>
        </w:rPr>
      </w:pPr>
    </w:p>
    <w:p>
      <w:pPr>
        <w:jc w:val="both"/>
        <w:ind w:left="3860"/>
        <w:spacing w:after="0"/>
        <w:tabs>
          <w:tab w:leader="none" w:pos="4520" w:val="left"/>
        </w:tabs>
        <w:rPr>
          <w:sz w:val="20"/>
          <w:szCs w:val="20"/>
          <w:color w:val="auto"/>
        </w:rPr>
      </w:pPr>
      <w:r>
        <w:rPr>
          <w:rFonts w:ascii="Arial" w:cs="Arial" w:eastAsia="Arial" w:hAnsi="Arial"/>
          <w:sz w:val="20"/>
          <w:szCs w:val="20"/>
          <w:color w:val="EE2724"/>
          <w:strike w:val="1"/>
        </w:rPr>
        <w:t>By:</w:t>
      </w:r>
      <w:r>
        <w:rPr>
          <w:sz w:val="20"/>
          <w:szCs w:val="20"/>
          <w:color w:val="auto"/>
        </w:rPr>
        <w:tab/>
      </w:r>
      <w:r>
        <w:rPr>
          <w:rFonts w:ascii="Arial" w:cs="Arial" w:eastAsia="Arial" w:hAnsi="Arial"/>
          <w:sz w:val="20"/>
          <w:szCs w:val="20"/>
          <w:color w:val="EE2724"/>
          <w:strike w:val="1"/>
        </w:rPr>
        <w:t>PACIFIC CARMEL MOUNTAIN</w:t>
      </w:r>
    </w:p>
    <w:p>
      <w:pPr>
        <w:spacing w:after="0" w:line="45" w:lineRule="exact"/>
        <w:rPr>
          <w:sz w:val="20"/>
          <w:szCs w:val="20"/>
          <w:color w:val="auto"/>
        </w:rPr>
      </w:pPr>
    </w:p>
    <w:p>
      <w:pPr>
        <w:jc w:val="right"/>
        <w:ind w:right="1980"/>
        <w:spacing w:after="0"/>
        <w:rPr>
          <w:sz w:val="20"/>
          <w:szCs w:val="20"/>
          <w:color w:val="auto"/>
        </w:rPr>
      </w:pPr>
      <w:r>
        <w:rPr>
          <w:rFonts w:ascii="Arial" w:cs="Arial" w:eastAsia="Arial" w:hAnsi="Arial"/>
          <w:sz w:val="20"/>
          <w:szCs w:val="20"/>
          <w:color w:val="EE2724"/>
          <w:strike w:val="1"/>
        </w:rPr>
        <w:t>ASSETS LLC, its General Partner</w:t>
      </w:r>
    </w:p>
    <w:p>
      <w:pPr>
        <w:spacing w:after="0" w:line="200" w:lineRule="exact"/>
        <w:rPr>
          <w:sz w:val="20"/>
          <w:szCs w:val="20"/>
          <w:color w:val="auto"/>
        </w:rPr>
      </w:pPr>
    </w:p>
    <w:p>
      <w:pPr>
        <w:spacing w:after="0" w:line="33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[Signature Page to Guaranty]</w:t>
      </w:r>
    </w:p>
    <w:p>
      <w:pPr>
        <w:sectPr>
          <w:pgSz w:w="11900" w:h="16838" w:orient="portrait"/>
          <w:cols w:equalWidth="0" w:num="1">
            <w:col w:w="9280"/>
          </w:cols>
          <w:pgMar w:left="1440" w:top="496" w:right="1179" w:bottom="1440" w:gutter="0" w:footer="0" w:header="0"/>
          <w:type w:val="continuous"/>
        </w:sectPr>
      </w:pPr>
    </w:p>
    <w:bookmarkStart w:id="563" w:name="page564"/>
    <w:bookmarkEnd w:id="563"/>
    <w:p>
      <w:pPr>
        <w:spacing w:after="0" w:line="195" w:lineRule="auto"/>
        <w:framePr w:w="360" w:h="178" w:wrap="auto" w:vAnchor="page" w:hAnchor="page" w:x="5260" w:y="1611"/>
        <w:rPr>
          <w:rFonts w:ascii="Arial" w:cs="Arial" w:eastAsia="Arial" w:hAnsi="Arial"/>
          <w:sz w:val="19"/>
          <w:szCs w:val="19"/>
          <w:color w:val="EE2724"/>
          <w:strike w:val="1"/>
        </w:rPr>
      </w:pPr>
      <w:r>
        <w:rPr>
          <w:rFonts w:ascii="Arial" w:cs="Arial" w:eastAsia="Arial" w:hAnsi="Arial"/>
          <w:sz w:val="19"/>
          <w:szCs w:val="19"/>
          <w:color w:val="EE2724"/>
          <w:strike w:val="1"/>
        </w:rPr>
        <w:t>By:</w:t>
      </w:r>
    </w:p>
    <w:p>
      <w:pPr>
        <w:spacing w:after="0" w:line="206" w:lineRule="auto"/>
        <w:framePr w:w="1660" w:h="178" w:wrap="auto" w:vAnchor="page" w:hAnchor="page" w:x="5940" w:y="1898"/>
        <w:rPr>
          <w:rFonts w:ascii="Arial" w:cs="Arial" w:eastAsia="Arial" w:hAnsi="Arial"/>
          <w:sz w:val="18"/>
          <w:szCs w:val="18"/>
          <w:color w:val="EE2724"/>
          <w:strike w:val="1"/>
        </w:rPr>
      </w:pPr>
      <w:r>
        <w:rPr>
          <w:rFonts w:ascii="Arial" w:cs="Arial" w:eastAsia="Arial" w:hAnsi="Arial"/>
          <w:sz w:val="18"/>
          <w:szCs w:val="18"/>
          <w:color w:val="EE2724"/>
          <w:strike w:val="1"/>
        </w:rPr>
        <w:t>Name: Ernest Rady</w:t>
      </w:r>
    </w:p>
    <w:p>
      <w:pPr>
        <w:spacing w:after="0" w:line="206" w:lineRule="auto"/>
        <w:framePr w:w="4500" w:h="178" w:wrap="auto" w:vAnchor="page" w:hAnchor="page" w:x="5940" w:y="2423"/>
        <w:rPr>
          <w:rFonts w:ascii="Arial" w:cs="Arial" w:eastAsia="Arial" w:hAnsi="Arial"/>
          <w:sz w:val="18"/>
          <w:szCs w:val="18"/>
          <w:color w:val="EE2724"/>
          <w:strike w:val="1"/>
        </w:rPr>
      </w:pPr>
      <w:r>
        <w:rPr>
          <w:rFonts w:ascii="Arial" w:cs="Arial" w:eastAsia="Arial" w:hAnsi="Arial"/>
          <w:sz w:val="18"/>
          <w:szCs w:val="18"/>
          <w:color w:val="EE2724"/>
          <w:strike w:val="1"/>
        </w:rPr>
        <w:t>Title: Chairman, President and Chief Executive Officer</w:t>
      </w:r>
    </w:p>
    <w:p>
      <w:pPr>
        <w:spacing w:after="0" w:line="195" w:lineRule="auto"/>
        <w:framePr w:w="360" w:h="178" w:wrap="auto" w:vAnchor="page" w:hAnchor="page" w:x="5260" w:y="2972"/>
        <w:rPr>
          <w:rFonts w:ascii="Arial" w:cs="Arial" w:eastAsia="Arial" w:hAnsi="Arial"/>
          <w:sz w:val="19"/>
          <w:szCs w:val="19"/>
          <w:color w:val="EE2724"/>
          <w:strike w:val="1"/>
        </w:rPr>
      </w:pPr>
      <w:r>
        <w:rPr>
          <w:rFonts w:ascii="Arial" w:cs="Arial" w:eastAsia="Arial" w:hAnsi="Arial"/>
          <w:sz w:val="19"/>
          <w:szCs w:val="19"/>
          <w:color w:val="EE2724"/>
          <w:strike w:val="1"/>
        </w:rPr>
        <w:t>By:</w:t>
      </w:r>
    </w:p>
    <w:p>
      <w:pPr>
        <w:spacing w:after="0" w:line="206" w:lineRule="auto"/>
        <w:framePr w:w="2000" w:h="178" w:wrap="auto" w:vAnchor="page" w:hAnchor="page" w:x="5940" w:y="3259"/>
        <w:rPr>
          <w:rFonts w:ascii="Arial" w:cs="Arial" w:eastAsia="Arial" w:hAnsi="Arial"/>
          <w:sz w:val="18"/>
          <w:szCs w:val="18"/>
          <w:color w:val="EE2724"/>
          <w:strike w:val="1"/>
        </w:rPr>
      </w:pPr>
      <w:r>
        <w:rPr>
          <w:rFonts w:ascii="Arial" w:cs="Arial" w:eastAsia="Arial" w:hAnsi="Arial"/>
          <w:sz w:val="18"/>
          <w:szCs w:val="18"/>
          <w:color w:val="EE2724"/>
          <w:strike w:val="1"/>
        </w:rPr>
        <w:t>Name: Robert F. Barton</w:t>
      </w:r>
    </w:p>
    <w:p>
      <w:pPr>
        <w:spacing w:after="0" w:line="206" w:lineRule="auto"/>
        <w:framePr w:w="4820" w:h="178" w:wrap="auto" w:vAnchor="page" w:hAnchor="page" w:x="5940" w:y="3534"/>
        <w:rPr>
          <w:rFonts w:ascii="Arial" w:cs="Arial" w:eastAsia="Arial" w:hAnsi="Arial"/>
          <w:sz w:val="18"/>
          <w:szCs w:val="18"/>
          <w:color w:val="EE2724"/>
          <w:strike w:val="1"/>
        </w:rPr>
      </w:pPr>
      <w:r>
        <w:rPr>
          <w:rFonts w:ascii="Arial" w:cs="Arial" w:eastAsia="Arial" w:hAnsi="Arial"/>
          <w:sz w:val="18"/>
          <w:szCs w:val="18"/>
          <w:color w:val="EE2724"/>
          <w:strike w:val="1"/>
        </w:rPr>
        <w:t>Title: Chief Financial Officer and Executive Vice President</w:t>
      </w:r>
    </w:p>
    <w:p>
      <w:pPr>
        <w:spacing w:after="0" w:line="195" w:lineRule="auto"/>
        <w:framePr w:w="3900" w:h="178" w:wrap="auto" w:vAnchor="page" w:hAnchor="page" w:x="5260" w:y="4084"/>
        <w:rPr>
          <w:rFonts w:ascii="Arial" w:cs="Arial" w:eastAsia="Arial" w:hAnsi="Arial"/>
          <w:sz w:val="19"/>
          <w:szCs w:val="19"/>
          <w:color w:val="EE2724"/>
          <w:strike w:val="1"/>
        </w:rPr>
      </w:pPr>
      <w:r>
        <w:rPr>
          <w:rFonts w:ascii="Arial" w:cs="Arial" w:eastAsia="Arial" w:hAnsi="Arial"/>
          <w:sz w:val="19"/>
          <w:szCs w:val="19"/>
          <w:color w:val="EE2724"/>
          <w:strike w:val="1"/>
        </w:rPr>
        <w:t>PACIFIC SOLANA BEACH HOLDINGS, L.P.</w:t>
      </w:r>
    </w:p>
    <w:p>
      <w:pPr>
        <w:spacing w:after="0" w:line="262" w:lineRule="auto"/>
        <w:framePr w:w="360" w:h="178" w:wrap="auto" w:vAnchor="page" w:hAnchor="page" w:x="5260" w:y="4633"/>
        <w:rPr>
          <w:rFonts w:ascii="Arial" w:cs="Arial" w:eastAsia="Arial" w:hAnsi="Arial"/>
          <w:sz w:val="20"/>
          <w:szCs w:val="20"/>
          <w:color w:val="EE2724"/>
          <w:strike w:val="1"/>
        </w:rPr>
      </w:pPr>
      <w:r>
        <w:rPr>
          <w:rFonts w:ascii="Arial" w:cs="Arial" w:eastAsia="Arial" w:hAnsi="Arial"/>
          <w:sz w:val="20"/>
          <w:szCs w:val="20"/>
          <w:color w:val="EE2724"/>
          <w:strike w:val="1"/>
        </w:rPr>
        <w:t>By:</w:t>
      </w:r>
    </w:p>
    <w:p>
      <w:pPr>
        <w:spacing w:after="0" w:line="262" w:lineRule="auto"/>
        <w:framePr w:w="2840" w:h="453" w:wrap="auto" w:vAnchor="page" w:hAnchor="page" w:x="5940" w:y="4633"/>
        <w:rPr>
          <w:rFonts w:ascii="Arial" w:cs="Arial" w:eastAsia="Arial" w:hAnsi="Arial"/>
          <w:sz w:val="18"/>
          <w:szCs w:val="18"/>
          <w:color w:val="EE2724"/>
          <w:strike w:val="1"/>
        </w:rPr>
      </w:pPr>
      <w:r>
        <w:rPr>
          <w:rFonts w:ascii="Arial" w:cs="Arial" w:eastAsia="Arial" w:hAnsi="Arial"/>
          <w:sz w:val="18"/>
          <w:szCs w:val="18"/>
          <w:color w:val="EE2724"/>
          <w:strike w:val="1"/>
        </w:rPr>
        <w:t>PACIFIC SOLANA BEACH ASSETS LLC, its General Partner</w:t>
      </w:r>
    </w:p>
    <w:p>
      <w:pPr>
        <w:spacing w:after="0" w:line="206" w:lineRule="auto"/>
        <w:framePr w:w="360" w:h="178" w:wrap="auto" w:vAnchor="page" w:hAnchor="page" w:x="5260" w:y="5458"/>
        <w:rPr>
          <w:rFonts w:ascii="Arial" w:cs="Arial" w:eastAsia="Arial" w:hAnsi="Arial"/>
          <w:sz w:val="20"/>
          <w:szCs w:val="20"/>
          <w:color w:val="EE2724"/>
          <w:strike w:val="1"/>
        </w:rPr>
      </w:pPr>
      <w:r>
        <w:rPr>
          <w:rFonts w:ascii="Arial" w:cs="Arial" w:eastAsia="Arial" w:hAnsi="Arial"/>
          <w:sz w:val="20"/>
          <w:szCs w:val="20"/>
          <w:color w:val="EE2724"/>
          <w:strike w:val="1"/>
        </w:rPr>
        <w:t>By:</w:t>
      </w:r>
    </w:p>
    <w:p>
      <w:pPr>
        <w:spacing w:after="0" w:line="206" w:lineRule="auto"/>
        <w:framePr w:w="4380" w:h="178" w:wrap="auto" w:vAnchor="page" w:hAnchor="page" w:x="5940" w:y="5458"/>
        <w:rPr>
          <w:rFonts w:ascii="Arial" w:cs="Arial" w:eastAsia="Arial" w:hAnsi="Arial"/>
          <w:sz w:val="18"/>
          <w:szCs w:val="18"/>
          <w:color w:val="EE2724"/>
          <w:strike w:val="1"/>
        </w:rPr>
      </w:pPr>
      <w:r>
        <w:rPr>
          <w:rFonts w:ascii="Arial" w:cs="Arial" w:eastAsia="Arial" w:hAnsi="Arial"/>
          <w:sz w:val="18"/>
          <w:szCs w:val="18"/>
          <w:color w:val="EE2724"/>
          <w:strike w:val="1"/>
        </w:rPr>
        <w:t>AMERICAN ASSETS TRUST, L.P. its Sole Member</w:t>
      </w:r>
    </w:p>
    <w:p>
      <w:pPr>
        <w:spacing w:after="0" w:line="206" w:lineRule="auto"/>
        <w:framePr w:w="360" w:h="178" w:wrap="auto" w:vAnchor="page" w:hAnchor="page" w:x="5260" w:y="6007"/>
        <w:rPr>
          <w:rFonts w:ascii="Arial" w:cs="Arial" w:eastAsia="Arial" w:hAnsi="Arial"/>
          <w:sz w:val="20"/>
          <w:szCs w:val="20"/>
          <w:color w:val="EE2724"/>
          <w:strike w:val="1"/>
        </w:rPr>
      </w:pPr>
      <w:r>
        <w:rPr>
          <w:rFonts w:ascii="Arial" w:cs="Arial" w:eastAsia="Arial" w:hAnsi="Arial"/>
          <w:sz w:val="20"/>
          <w:szCs w:val="20"/>
          <w:color w:val="EE2724"/>
          <w:strike w:val="1"/>
        </w:rPr>
        <w:t>By:</w:t>
      </w:r>
    </w:p>
    <w:p>
      <w:pPr>
        <w:spacing w:after="0" w:line="206" w:lineRule="auto"/>
        <w:framePr w:w="4640" w:h="178" w:wrap="auto" w:vAnchor="page" w:hAnchor="page" w:x="5940" w:y="6007"/>
        <w:rPr>
          <w:rFonts w:ascii="Arial" w:cs="Arial" w:eastAsia="Arial" w:hAnsi="Arial"/>
          <w:sz w:val="18"/>
          <w:szCs w:val="18"/>
          <w:color w:val="EE2724"/>
          <w:strike w:val="1"/>
        </w:rPr>
      </w:pPr>
      <w:r>
        <w:rPr>
          <w:rFonts w:ascii="Arial" w:cs="Arial" w:eastAsia="Arial" w:hAnsi="Arial"/>
          <w:sz w:val="18"/>
          <w:szCs w:val="18"/>
          <w:color w:val="EE2724"/>
          <w:strike w:val="1"/>
        </w:rPr>
        <w:t>AMERICAN ASSETS TRUST, INC. its General Partner</w:t>
      </w:r>
    </w:p>
    <w:p>
      <w:pPr>
        <w:spacing w:after="0" w:line="195" w:lineRule="auto"/>
        <w:framePr w:w="360" w:h="178" w:wrap="auto" w:vAnchor="page" w:hAnchor="page" w:x="5260" w:y="6557"/>
        <w:rPr>
          <w:rFonts w:ascii="Arial" w:cs="Arial" w:eastAsia="Arial" w:hAnsi="Arial"/>
          <w:sz w:val="19"/>
          <w:szCs w:val="19"/>
          <w:color w:val="EE2724"/>
          <w:strike w:val="1"/>
        </w:rPr>
      </w:pPr>
      <w:r>
        <w:rPr>
          <w:rFonts w:ascii="Arial" w:cs="Arial" w:eastAsia="Arial" w:hAnsi="Arial"/>
          <w:sz w:val="19"/>
          <w:szCs w:val="19"/>
          <w:color w:val="EE2724"/>
          <w:strike w:val="1"/>
        </w:rPr>
        <w:t>By:</w:t>
      </w:r>
    </w:p>
    <w:p>
      <w:pPr>
        <w:spacing w:after="0" w:line="206" w:lineRule="auto"/>
        <w:framePr w:w="1660" w:h="178" w:wrap="auto" w:vAnchor="page" w:hAnchor="page" w:x="5940" w:y="6844"/>
        <w:rPr>
          <w:rFonts w:ascii="Arial" w:cs="Arial" w:eastAsia="Arial" w:hAnsi="Arial"/>
          <w:sz w:val="18"/>
          <w:szCs w:val="18"/>
          <w:color w:val="EE2724"/>
          <w:strike w:val="1"/>
        </w:rPr>
      </w:pPr>
      <w:r>
        <w:rPr>
          <w:rFonts w:ascii="Arial" w:cs="Arial" w:eastAsia="Arial" w:hAnsi="Arial"/>
          <w:sz w:val="18"/>
          <w:szCs w:val="18"/>
          <w:color w:val="EE2724"/>
          <w:strike w:val="1"/>
        </w:rPr>
        <w:t>Name: Ernest Rady</w:t>
      </w:r>
    </w:p>
    <w:p>
      <w:pPr>
        <w:spacing w:after="0" w:line="206" w:lineRule="auto"/>
        <w:framePr w:w="4500" w:h="178" w:wrap="auto" w:vAnchor="page" w:hAnchor="page" w:x="5940" w:y="7368"/>
        <w:rPr>
          <w:rFonts w:ascii="Arial" w:cs="Arial" w:eastAsia="Arial" w:hAnsi="Arial"/>
          <w:sz w:val="18"/>
          <w:szCs w:val="18"/>
          <w:color w:val="EE2724"/>
          <w:strike w:val="1"/>
        </w:rPr>
      </w:pPr>
      <w:r>
        <w:rPr>
          <w:rFonts w:ascii="Arial" w:cs="Arial" w:eastAsia="Arial" w:hAnsi="Arial"/>
          <w:sz w:val="18"/>
          <w:szCs w:val="18"/>
          <w:color w:val="EE2724"/>
          <w:strike w:val="1"/>
        </w:rPr>
        <w:t>Title: Chairman, President and Chief Executive Officer</w:t>
      </w:r>
    </w:p>
    <w:p>
      <w:pPr>
        <w:spacing w:after="0" w:line="195" w:lineRule="auto"/>
        <w:framePr w:w="360" w:h="178" w:wrap="auto" w:vAnchor="page" w:hAnchor="page" w:x="5260" w:y="7918"/>
        <w:rPr>
          <w:rFonts w:ascii="Arial" w:cs="Arial" w:eastAsia="Arial" w:hAnsi="Arial"/>
          <w:sz w:val="19"/>
          <w:szCs w:val="19"/>
          <w:color w:val="EE2724"/>
          <w:strike w:val="1"/>
        </w:rPr>
      </w:pPr>
      <w:r>
        <w:rPr>
          <w:rFonts w:ascii="Arial" w:cs="Arial" w:eastAsia="Arial" w:hAnsi="Arial"/>
          <w:sz w:val="19"/>
          <w:szCs w:val="19"/>
          <w:color w:val="EE2724"/>
          <w:strike w:val="1"/>
        </w:rPr>
        <w:t>By:</w:t>
      </w:r>
    </w:p>
    <w:p>
      <w:pPr>
        <w:spacing w:after="0" w:line="206" w:lineRule="auto"/>
        <w:framePr w:w="2000" w:h="178" w:wrap="auto" w:vAnchor="page" w:hAnchor="page" w:x="5940" w:y="8205"/>
        <w:rPr>
          <w:rFonts w:ascii="Arial" w:cs="Arial" w:eastAsia="Arial" w:hAnsi="Arial"/>
          <w:sz w:val="18"/>
          <w:szCs w:val="18"/>
          <w:color w:val="EE2724"/>
          <w:strike w:val="1"/>
        </w:rPr>
      </w:pPr>
      <w:r>
        <w:rPr>
          <w:rFonts w:ascii="Arial" w:cs="Arial" w:eastAsia="Arial" w:hAnsi="Arial"/>
          <w:sz w:val="18"/>
          <w:szCs w:val="18"/>
          <w:color w:val="EE2724"/>
          <w:strike w:val="1"/>
        </w:rPr>
        <w:t>Name: Robert F. Barton</w:t>
      </w:r>
    </w:p>
    <w:p>
      <w:pPr>
        <w:spacing w:after="0" w:line="206" w:lineRule="auto"/>
        <w:framePr w:w="4820" w:h="178" w:wrap="auto" w:vAnchor="page" w:hAnchor="page" w:x="5940" w:y="8480"/>
        <w:rPr>
          <w:rFonts w:ascii="Arial" w:cs="Arial" w:eastAsia="Arial" w:hAnsi="Arial"/>
          <w:sz w:val="18"/>
          <w:szCs w:val="18"/>
          <w:color w:val="EE2724"/>
          <w:strike w:val="1"/>
        </w:rPr>
      </w:pPr>
      <w:r>
        <w:rPr>
          <w:rFonts w:ascii="Arial" w:cs="Arial" w:eastAsia="Arial" w:hAnsi="Arial"/>
          <w:sz w:val="18"/>
          <w:szCs w:val="18"/>
          <w:color w:val="EE2724"/>
          <w:strike w:val="1"/>
        </w:rPr>
        <w:t>Title: Chief Financial Officer and Executive Vice President</w:t>
      </w:r>
    </w:p>
    <w:p>
      <w:pPr>
        <w:spacing w:after="0" w:line="195" w:lineRule="auto"/>
        <w:framePr w:w="1820" w:h="178" w:wrap="auto" w:vAnchor="page" w:hAnchor="page" w:x="5260" w:y="9030"/>
        <w:rPr>
          <w:rFonts w:ascii="Arial" w:cs="Arial" w:eastAsia="Arial" w:hAnsi="Arial"/>
          <w:sz w:val="19"/>
          <w:szCs w:val="19"/>
          <w:color w:val="EE2724"/>
          <w:strike w:val="1"/>
        </w:rPr>
      </w:pPr>
      <w:r>
        <w:rPr>
          <w:rFonts w:ascii="Arial" w:cs="Arial" w:eastAsia="Arial" w:hAnsi="Arial"/>
          <w:sz w:val="19"/>
          <w:szCs w:val="19"/>
          <w:color w:val="EE2724"/>
          <w:strike w:val="1"/>
        </w:rPr>
        <w:t>ABW LEWERS LLC</w:t>
      </w:r>
    </w:p>
    <w:p>
      <w:pPr>
        <w:spacing w:after="0" w:line="206" w:lineRule="auto"/>
        <w:framePr w:w="360" w:h="178" w:wrap="auto" w:vAnchor="page" w:hAnchor="page" w:x="5260" w:y="9579"/>
        <w:rPr>
          <w:rFonts w:ascii="Arial" w:cs="Arial" w:eastAsia="Arial" w:hAnsi="Arial"/>
          <w:sz w:val="20"/>
          <w:szCs w:val="20"/>
          <w:color w:val="EE2724"/>
          <w:strike w:val="1"/>
        </w:rPr>
      </w:pPr>
      <w:r>
        <w:rPr>
          <w:rFonts w:ascii="Arial" w:cs="Arial" w:eastAsia="Arial" w:hAnsi="Arial"/>
          <w:sz w:val="20"/>
          <w:szCs w:val="20"/>
          <w:color w:val="EE2724"/>
          <w:strike w:val="1"/>
        </w:rPr>
        <w:t>By:</w:t>
      </w:r>
    </w:p>
    <w:p>
      <w:pPr>
        <w:spacing w:after="0" w:line="206" w:lineRule="auto"/>
        <w:framePr w:w="4820" w:h="178" w:wrap="auto" w:vAnchor="page" w:hAnchor="page" w:x="5940" w:y="9579"/>
        <w:rPr>
          <w:rFonts w:ascii="Arial" w:cs="Arial" w:eastAsia="Arial" w:hAnsi="Arial"/>
          <w:sz w:val="18"/>
          <w:szCs w:val="18"/>
          <w:color w:val="EE2724"/>
          <w:strike w:val="1"/>
        </w:rPr>
      </w:pPr>
      <w:r>
        <w:rPr>
          <w:rFonts w:ascii="Arial" w:cs="Arial" w:eastAsia="Arial" w:hAnsi="Arial"/>
          <w:sz w:val="18"/>
          <w:szCs w:val="18"/>
          <w:color w:val="EE2724"/>
          <w:strike w:val="1"/>
        </w:rPr>
        <w:t>AMERICAN ASSETS TRUST, L.P. its Managing Member</w:t>
      </w:r>
    </w:p>
    <w:p>
      <w:pPr>
        <w:spacing w:after="0" w:line="206" w:lineRule="auto"/>
        <w:framePr w:w="360" w:h="178" w:wrap="auto" w:vAnchor="page" w:hAnchor="page" w:x="5260" w:y="10129"/>
        <w:rPr>
          <w:rFonts w:ascii="Arial" w:cs="Arial" w:eastAsia="Arial" w:hAnsi="Arial"/>
          <w:sz w:val="20"/>
          <w:szCs w:val="20"/>
          <w:color w:val="EE2724"/>
          <w:strike w:val="1"/>
        </w:rPr>
      </w:pPr>
      <w:r>
        <w:rPr>
          <w:rFonts w:ascii="Arial" w:cs="Arial" w:eastAsia="Arial" w:hAnsi="Arial"/>
          <w:sz w:val="20"/>
          <w:szCs w:val="20"/>
          <w:color w:val="EE2724"/>
          <w:strike w:val="1"/>
        </w:rPr>
        <w:t>By:</w:t>
      </w:r>
    </w:p>
    <w:p>
      <w:pPr>
        <w:spacing w:after="0" w:line="206" w:lineRule="auto"/>
        <w:framePr w:w="4640" w:h="178" w:wrap="auto" w:vAnchor="page" w:hAnchor="page" w:x="5940" w:y="10129"/>
        <w:rPr>
          <w:rFonts w:ascii="Arial" w:cs="Arial" w:eastAsia="Arial" w:hAnsi="Arial"/>
          <w:sz w:val="18"/>
          <w:szCs w:val="18"/>
          <w:color w:val="EE2724"/>
          <w:strike w:val="1"/>
        </w:rPr>
      </w:pPr>
      <w:r>
        <w:rPr>
          <w:rFonts w:ascii="Arial" w:cs="Arial" w:eastAsia="Arial" w:hAnsi="Arial"/>
          <w:sz w:val="18"/>
          <w:szCs w:val="18"/>
          <w:color w:val="EE2724"/>
          <w:strike w:val="1"/>
        </w:rPr>
        <w:t>AMERICAN ASSETS TRUST, INC. its General Partner</w:t>
      </w:r>
    </w:p>
    <w:p>
      <w:pPr>
        <w:spacing w:after="0" w:line="195" w:lineRule="auto"/>
        <w:framePr w:w="360" w:h="178" w:wrap="auto" w:vAnchor="page" w:hAnchor="page" w:x="5260" w:y="10678"/>
        <w:rPr>
          <w:rFonts w:ascii="Arial" w:cs="Arial" w:eastAsia="Arial" w:hAnsi="Arial"/>
          <w:sz w:val="19"/>
          <w:szCs w:val="19"/>
          <w:color w:val="EE2724"/>
          <w:strike w:val="1"/>
        </w:rPr>
      </w:pPr>
      <w:r>
        <w:rPr>
          <w:rFonts w:ascii="Arial" w:cs="Arial" w:eastAsia="Arial" w:hAnsi="Arial"/>
          <w:sz w:val="19"/>
          <w:szCs w:val="19"/>
          <w:color w:val="EE2724"/>
          <w:strike w:val="1"/>
        </w:rPr>
        <w:t>By:</w:t>
      </w:r>
    </w:p>
    <w:p>
      <w:pPr>
        <w:spacing w:after="0" w:line="206" w:lineRule="auto"/>
        <w:framePr w:w="1660" w:h="178" w:wrap="auto" w:vAnchor="page" w:hAnchor="page" w:x="5940" w:y="10966"/>
        <w:rPr>
          <w:rFonts w:ascii="Arial" w:cs="Arial" w:eastAsia="Arial" w:hAnsi="Arial"/>
          <w:sz w:val="18"/>
          <w:szCs w:val="18"/>
          <w:color w:val="EE2724"/>
          <w:strike w:val="1"/>
        </w:rPr>
      </w:pPr>
      <w:r>
        <w:rPr>
          <w:rFonts w:ascii="Arial" w:cs="Arial" w:eastAsia="Arial" w:hAnsi="Arial"/>
          <w:sz w:val="18"/>
          <w:szCs w:val="18"/>
          <w:color w:val="EE2724"/>
          <w:strike w:val="1"/>
        </w:rPr>
        <w:t>Name: Ernest Rady</w:t>
      </w:r>
    </w:p>
    <w:p>
      <w:pPr>
        <w:spacing w:after="0" w:line="206" w:lineRule="auto"/>
        <w:framePr w:w="4500" w:h="178" w:wrap="auto" w:vAnchor="page" w:hAnchor="page" w:x="5940" w:y="11490"/>
        <w:rPr>
          <w:rFonts w:ascii="Arial" w:cs="Arial" w:eastAsia="Arial" w:hAnsi="Arial"/>
          <w:sz w:val="18"/>
          <w:szCs w:val="18"/>
          <w:color w:val="EE2724"/>
          <w:strike w:val="1"/>
        </w:rPr>
      </w:pPr>
      <w:r>
        <w:rPr>
          <w:rFonts w:ascii="Arial" w:cs="Arial" w:eastAsia="Arial" w:hAnsi="Arial"/>
          <w:sz w:val="18"/>
          <w:szCs w:val="18"/>
          <w:color w:val="EE2724"/>
          <w:strike w:val="1"/>
        </w:rPr>
        <w:t>Title: Chairman, President and Chief Executive Officer</w:t>
      </w:r>
    </w:p>
    <w:p>
      <w:pPr>
        <w:spacing w:after="0" w:line="206" w:lineRule="auto"/>
        <w:framePr w:w="2420" w:h="178" w:wrap="auto" w:vAnchor="page" w:hAnchor="page" w:x="4740" w:y="12252"/>
        <w:rPr>
          <w:rFonts w:ascii="Arial" w:cs="Arial" w:eastAsia="Arial" w:hAnsi="Arial"/>
          <w:sz w:val="18"/>
          <w:szCs w:val="18"/>
          <w:color w:val="EE2724"/>
          <w:strike w:val="1"/>
        </w:rPr>
      </w:pPr>
      <w:r>
        <w:rPr>
          <w:rFonts w:ascii="Arial" w:cs="Arial" w:eastAsia="Arial" w:hAnsi="Arial"/>
          <w:sz w:val="18"/>
          <w:szCs w:val="18"/>
          <w:color w:val="EE2724"/>
          <w:strike w:val="1"/>
        </w:rPr>
        <w:t>[Signature Page to Guaranty]</w:t>
      </w:r>
    </w:p>
    <w:p>
      <w:pPr>
        <w:spacing w:after="0" w:line="421" w:lineRule="auto"/>
        <w:framePr w:w="4640" w:h="728" w:wrap="auto" w:vAnchor="page" w:hAnchor="page" w:x="5940" w:y="512"/>
        <w:rPr>
          <w:rFonts w:ascii="Arial" w:cs="Arial" w:eastAsia="Arial" w:hAnsi="Arial"/>
          <w:sz w:val="18"/>
          <w:szCs w:val="18"/>
          <w:color w:val="EE2724"/>
          <w:strike w:val="1"/>
        </w:rPr>
      </w:pPr>
      <w:r>
        <w:rPr>
          <w:rFonts w:ascii="Arial" w:cs="Arial" w:eastAsia="Arial" w:hAnsi="Arial"/>
          <w:sz w:val="18"/>
          <w:szCs w:val="18"/>
          <w:color w:val="EE2724"/>
          <w:strike w:val="1"/>
        </w:rPr>
        <w:t>AMERICAN ASSETS TRUST, L.P. its Sole Member AMERICAN ASSETS TRUST, INC. its General Partner</w:t>
      </w:r>
    </w:p>
    <w:p>
      <w:pPr>
        <w:spacing w:after="0" w:line="195" w:lineRule="auto"/>
        <w:framePr w:w="360" w:h="178" w:wrap="auto" w:vAnchor="page" w:hAnchor="page" w:x="5260" w:y="512"/>
        <w:rPr>
          <w:rFonts w:ascii="Arial" w:cs="Arial" w:eastAsia="Arial" w:hAnsi="Arial"/>
          <w:sz w:val="19"/>
          <w:szCs w:val="19"/>
          <w:color w:val="EE2724"/>
          <w:strike w:val="1"/>
        </w:rPr>
      </w:pPr>
      <w:r>
        <w:rPr>
          <w:rFonts w:ascii="Arial" w:cs="Arial" w:eastAsia="Arial" w:hAnsi="Arial"/>
          <w:sz w:val="19"/>
          <w:szCs w:val="19"/>
          <w:color w:val="EE2724"/>
          <w:strike w:val="1"/>
        </w:rPr>
        <w:t>By:</w:t>
      </w:r>
    </w:p>
    <w:p>
      <w:pPr>
        <w:spacing w:after="0" w:line="195" w:lineRule="auto"/>
        <w:framePr w:w="360" w:h="178" w:wrap="auto" w:vAnchor="page" w:hAnchor="page" w:x="5260" w:y="1061"/>
        <w:rPr>
          <w:rFonts w:ascii="Arial" w:cs="Arial" w:eastAsia="Arial" w:hAnsi="Arial"/>
          <w:sz w:val="19"/>
          <w:szCs w:val="19"/>
          <w:color w:val="EE2724"/>
          <w:strike w:val="1"/>
        </w:rPr>
      </w:pPr>
      <w:r>
        <w:rPr>
          <w:rFonts w:ascii="Arial" w:cs="Arial" w:eastAsia="Arial" w:hAnsi="Arial"/>
          <w:sz w:val="19"/>
          <w:szCs w:val="19"/>
          <w:color w:val="EE2724"/>
          <w:strike w:val="1"/>
        </w:rPr>
        <w:t>By:</w:t>
      </w:r>
    </w:p>
    <w:p>
      <w:pPr>
        <w:spacing w:after="0" w:line="195" w:lineRule="auto"/>
        <w:rPr>
          <w:rFonts w:ascii="Arial" w:cs="Arial" w:eastAsia="Arial" w:hAnsi="Arial"/>
          <w:sz w:val="19"/>
          <w:szCs w:val="19"/>
          <w:color w:val="EE2724"/>
          <w:strike w:val="1"/>
        </w:rPr>
        <w:sectPr>
          <w:pgSz w:w="11900" w:h="16838" w:orient="portrait"/>
          <w:cols w:equalWidth="1" w:num="1" w:space="0"/>
          <w:pgMar w:left="1440" w:top="1440" w:right="1440" w:bottom="875" w:gutter="0" w:footer="0" w:header="0"/>
        </w:sectPr>
      </w:pPr>
      <w:r>
        <w:rPr>
          <w:rFonts w:ascii="Arial" w:cs="Arial" w:eastAsia="Arial" w:hAnsi="Arial"/>
          <w:sz w:val="19"/>
          <w:szCs w:val="19"/>
          <w:color w:val="EE2724"/>
          <w:strike w:val="1"/>
        </w:rPr>
        <w:drawing>
          <wp:anchor simplePos="0" relativeHeight="251657728" behindDoc="1" locked="0" layoutInCell="0" allowOverlap="1">
            <wp:simplePos x="0" y="0"/>
            <wp:positionH relativeFrom="page">
              <wp:posOffset>3784600</wp:posOffset>
            </wp:positionH>
            <wp:positionV relativeFrom="page">
              <wp:posOffset>6941185</wp:posOffset>
            </wp:positionV>
            <wp:extent cx="3624580"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624580" cy="7620"/>
                    </a:xfrm>
                    <a:prstGeom prst="rect">
                      <a:avLst/>
                    </a:prstGeom>
                    <a:noFill/>
                  </pic:spPr>
                </pic:pic>
              </a:graphicData>
            </a:graphic>
          </wp:anchor>
        </w:drawing>
        <w:drawing>
          <wp:anchor simplePos="0" relativeHeight="251657728" behindDoc="1" locked="0" layoutInCell="0" allowOverlap="1">
            <wp:simplePos x="0" y="0"/>
            <wp:positionH relativeFrom="page">
              <wp:posOffset>3784600</wp:posOffset>
            </wp:positionH>
            <wp:positionV relativeFrom="page">
              <wp:posOffset>5188585</wp:posOffset>
            </wp:positionV>
            <wp:extent cx="3624580"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624580" cy="7620"/>
                    </a:xfrm>
                    <a:prstGeom prst="rect">
                      <a:avLst/>
                    </a:prstGeom>
                    <a:noFill/>
                  </pic:spPr>
                </pic:pic>
              </a:graphicData>
            </a:graphic>
          </wp:anchor>
        </w:drawing>
        <w:drawing>
          <wp:anchor simplePos="0" relativeHeight="251657728" behindDoc="1" locked="0" layoutInCell="0" allowOverlap="1">
            <wp:simplePos x="0" y="0"/>
            <wp:positionH relativeFrom="page">
              <wp:posOffset>3784600</wp:posOffset>
            </wp:positionH>
            <wp:positionV relativeFrom="page">
              <wp:posOffset>4324350</wp:posOffset>
            </wp:positionV>
            <wp:extent cx="3624580"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624580" cy="7620"/>
                    </a:xfrm>
                    <a:prstGeom prst="rect">
                      <a:avLst/>
                    </a:prstGeom>
                    <a:noFill/>
                  </pic:spPr>
                </pic:pic>
              </a:graphicData>
            </a:graphic>
          </wp:anchor>
        </w:drawing>
        <w:drawing>
          <wp:anchor simplePos="0" relativeHeight="251657728" behindDoc="1" locked="0" layoutInCell="0" allowOverlap="1">
            <wp:simplePos x="0" y="0"/>
            <wp:positionH relativeFrom="page">
              <wp:posOffset>3784600</wp:posOffset>
            </wp:positionH>
            <wp:positionV relativeFrom="page">
              <wp:posOffset>2047875</wp:posOffset>
            </wp:positionV>
            <wp:extent cx="3624580"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624580" cy="7620"/>
                    </a:xfrm>
                    <a:prstGeom prst="rect">
                      <a:avLst/>
                    </a:prstGeom>
                    <a:noFill/>
                  </pic:spPr>
                </pic:pic>
              </a:graphicData>
            </a:graphic>
          </wp:anchor>
        </w:drawing>
        <w:drawing>
          <wp:anchor simplePos="0" relativeHeight="251657728" behindDoc="1" locked="0" layoutInCell="0" allowOverlap="1">
            <wp:simplePos x="0" y="0"/>
            <wp:positionH relativeFrom="page">
              <wp:posOffset>3784600</wp:posOffset>
            </wp:positionH>
            <wp:positionV relativeFrom="page">
              <wp:posOffset>1183640</wp:posOffset>
            </wp:positionV>
            <wp:extent cx="3624580"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bookmarkStart w:id="564" w:name="page565"/>
    <w:bookmarkEnd w:id="564"/>
    <w:p>
      <w:pPr>
        <w:ind w:left="3860"/>
        <w:spacing w:after="0"/>
        <w:rPr>
          <w:sz w:val="20"/>
          <w:szCs w:val="20"/>
          <w:color w:val="auto"/>
        </w:rPr>
      </w:pPr>
      <w:r>
        <w:rPr>
          <w:rFonts w:ascii="Arial" w:cs="Arial" w:eastAsia="Arial" w:hAnsi="Arial"/>
          <w:sz w:val="20"/>
          <w:szCs w:val="20"/>
          <w:color w:val="EE2724"/>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24765</wp:posOffset>
            </wp:positionV>
            <wp:extent cx="3624580"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37" w:lineRule="exact"/>
        <w:rPr>
          <w:sz w:val="20"/>
          <w:szCs w:val="20"/>
          <w:color w:val="auto"/>
        </w:rPr>
      </w:pPr>
    </w:p>
    <w:p>
      <w:pPr>
        <w:ind w:left="4540"/>
        <w:spacing w:after="0"/>
        <w:rPr>
          <w:sz w:val="20"/>
          <w:szCs w:val="20"/>
          <w:color w:val="auto"/>
        </w:rPr>
      </w:pPr>
      <w:r>
        <w:rPr>
          <w:rFonts w:ascii="Arial" w:cs="Arial" w:eastAsia="Arial" w:hAnsi="Arial"/>
          <w:sz w:val="20"/>
          <w:szCs w:val="20"/>
          <w:color w:val="EE2724"/>
          <w:strike w:val="1"/>
        </w:rPr>
        <w:t>Name: Robert F. Barton</w:t>
      </w:r>
    </w:p>
    <w:p>
      <w:pPr>
        <w:spacing w:after="0" w:line="45" w:lineRule="exact"/>
        <w:rPr>
          <w:sz w:val="20"/>
          <w:szCs w:val="20"/>
          <w:color w:val="auto"/>
        </w:rPr>
      </w:pPr>
    </w:p>
    <w:p>
      <w:pPr>
        <w:ind w:left="4540"/>
        <w:spacing w:after="0"/>
        <w:rPr>
          <w:sz w:val="20"/>
          <w:szCs w:val="20"/>
          <w:color w:val="auto"/>
        </w:rPr>
      </w:pPr>
      <w:r>
        <w:rPr>
          <w:rFonts w:ascii="Arial" w:cs="Arial" w:eastAsia="Arial" w:hAnsi="Arial"/>
          <w:sz w:val="18"/>
          <w:szCs w:val="18"/>
          <w:color w:val="EE2724"/>
          <w:strike w:val="1"/>
        </w:rPr>
        <w:t>Title: Chief Financial Officer and Executive Vice President</w:t>
      </w:r>
    </w:p>
    <w:p>
      <w:pPr>
        <w:spacing w:after="0" w:line="343"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ABW 2181 HOLDINGS LLC</w:t>
      </w:r>
    </w:p>
    <w:p>
      <w:pPr>
        <w:spacing w:after="0" w:line="320" w:lineRule="exact"/>
        <w:rPr>
          <w:sz w:val="20"/>
          <w:szCs w:val="20"/>
          <w:color w:val="auto"/>
        </w:rPr>
      </w:pPr>
    </w:p>
    <w:p>
      <w:pPr>
        <w:ind w:left="3860"/>
        <w:spacing w:after="0"/>
        <w:tabs>
          <w:tab w:leader="none" w:pos="4520" w:val="left"/>
        </w:tabs>
        <w:rPr>
          <w:sz w:val="20"/>
          <w:szCs w:val="20"/>
          <w:color w:val="auto"/>
        </w:rPr>
      </w:pPr>
      <w:r>
        <w:rPr>
          <w:rFonts w:ascii="Arial" w:cs="Arial" w:eastAsia="Arial" w:hAnsi="Arial"/>
          <w:sz w:val="20"/>
          <w:szCs w:val="20"/>
          <w:color w:val="EE2724"/>
          <w:strike w:val="1"/>
        </w:rPr>
        <w:t>By:</w:t>
      </w:r>
      <w:r>
        <w:rPr>
          <w:sz w:val="20"/>
          <w:szCs w:val="20"/>
          <w:color w:val="auto"/>
        </w:rPr>
        <w:tab/>
      </w:r>
      <w:r>
        <w:rPr>
          <w:rFonts w:ascii="Arial" w:cs="Arial" w:eastAsia="Arial" w:hAnsi="Arial"/>
          <w:sz w:val="20"/>
          <w:szCs w:val="20"/>
          <w:color w:val="EE2724"/>
          <w:strike w:val="1"/>
        </w:rPr>
        <w:t>ABW LEWERS LLC, its Sole Member</w:t>
      </w:r>
    </w:p>
    <w:p>
      <w:pPr>
        <w:spacing w:after="0" w:line="320" w:lineRule="exact"/>
        <w:rPr>
          <w:sz w:val="20"/>
          <w:szCs w:val="20"/>
          <w:color w:val="auto"/>
        </w:rPr>
      </w:pPr>
    </w:p>
    <w:p>
      <w:pPr>
        <w:ind w:left="3860"/>
        <w:spacing w:after="0"/>
        <w:tabs>
          <w:tab w:leader="none" w:pos="4520" w:val="left"/>
        </w:tabs>
        <w:rPr>
          <w:sz w:val="20"/>
          <w:szCs w:val="20"/>
          <w:color w:val="auto"/>
        </w:rPr>
      </w:pPr>
      <w:r>
        <w:rPr>
          <w:rFonts w:ascii="Arial" w:cs="Arial" w:eastAsia="Arial" w:hAnsi="Arial"/>
          <w:sz w:val="18"/>
          <w:szCs w:val="18"/>
          <w:color w:val="EE2724"/>
          <w:strike w:val="1"/>
        </w:rPr>
        <w:t>By:</w:t>
      </w:r>
      <w:r>
        <w:rPr>
          <w:sz w:val="20"/>
          <w:szCs w:val="20"/>
          <w:color w:val="auto"/>
        </w:rPr>
        <w:tab/>
      </w:r>
      <w:r>
        <w:rPr>
          <w:rFonts w:ascii="Arial" w:cs="Arial" w:eastAsia="Arial" w:hAnsi="Arial"/>
          <w:sz w:val="18"/>
          <w:szCs w:val="18"/>
          <w:color w:val="EE2724"/>
          <w:strike w:val="1"/>
        </w:rPr>
        <w:t>AMERICAN ASSETS TRUST, L.P. its Managing Member</w:t>
      </w:r>
    </w:p>
    <w:p>
      <w:pPr>
        <w:spacing w:after="0" w:line="343" w:lineRule="exact"/>
        <w:rPr>
          <w:sz w:val="20"/>
          <w:szCs w:val="20"/>
          <w:color w:val="auto"/>
        </w:rPr>
      </w:pPr>
    </w:p>
    <w:p>
      <w:pPr>
        <w:ind w:left="3860"/>
        <w:spacing w:after="0"/>
        <w:tabs>
          <w:tab w:leader="none" w:pos="4520" w:val="left"/>
        </w:tabs>
        <w:rPr>
          <w:sz w:val="20"/>
          <w:szCs w:val="20"/>
          <w:color w:val="auto"/>
        </w:rPr>
      </w:pPr>
      <w:r>
        <w:rPr>
          <w:rFonts w:ascii="Arial" w:cs="Arial" w:eastAsia="Arial" w:hAnsi="Arial"/>
          <w:sz w:val="19"/>
          <w:szCs w:val="19"/>
          <w:color w:val="EE2724"/>
          <w:strike w:val="1"/>
        </w:rPr>
        <w:t>By:</w:t>
      </w:r>
      <w:r>
        <w:rPr>
          <w:sz w:val="20"/>
          <w:szCs w:val="20"/>
          <w:color w:val="auto"/>
        </w:rPr>
        <w:tab/>
      </w:r>
      <w:r>
        <w:rPr>
          <w:rFonts w:ascii="Arial" w:cs="Arial" w:eastAsia="Arial" w:hAnsi="Arial"/>
          <w:sz w:val="19"/>
          <w:szCs w:val="19"/>
          <w:color w:val="EE2724"/>
          <w:strike w:val="1"/>
        </w:rPr>
        <w:t>AMERICAN ASSETS TRUST, INC. its General Partner</w:t>
      </w:r>
    </w:p>
    <w:p>
      <w:pPr>
        <w:spacing w:after="0" w:line="331"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24765</wp:posOffset>
            </wp:positionV>
            <wp:extent cx="3624580"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37" w:lineRule="exact"/>
        <w:rPr>
          <w:sz w:val="20"/>
          <w:szCs w:val="20"/>
          <w:color w:val="auto"/>
        </w:rPr>
      </w:pPr>
    </w:p>
    <w:p>
      <w:pPr>
        <w:ind w:left="4540"/>
        <w:spacing w:after="0"/>
        <w:rPr>
          <w:sz w:val="20"/>
          <w:szCs w:val="20"/>
          <w:color w:val="auto"/>
        </w:rPr>
      </w:pPr>
      <w:r>
        <w:rPr>
          <w:rFonts w:ascii="Arial" w:cs="Arial" w:eastAsia="Arial" w:hAnsi="Arial"/>
          <w:sz w:val="20"/>
          <w:szCs w:val="20"/>
          <w:color w:val="EE2724"/>
          <w:strike w:val="1"/>
        </w:rPr>
        <w:t>Name: Ernest Rady</w:t>
      </w:r>
    </w:p>
    <w:p>
      <w:pPr>
        <w:spacing w:after="0" w:line="295" w:lineRule="exact"/>
        <w:rPr>
          <w:sz w:val="20"/>
          <w:szCs w:val="20"/>
          <w:color w:val="auto"/>
        </w:rPr>
      </w:pPr>
    </w:p>
    <w:p>
      <w:pPr>
        <w:ind w:left="4540"/>
        <w:spacing w:after="0"/>
        <w:rPr>
          <w:sz w:val="20"/>
          <w:szCs w:val="20"/>
          <w:color w:val="auto"/>
        </w:rPr>
      </w:pPr>
      <w:r>
        <w:rPr>
          <w:rFonts w:ascii="Arial" w:cs="Arial" w:eastAsia="Arial" w:hAnsi="Arial"/>
          <w:sz w:val="19"/>
          <w:szCs w:val="19"/>
          <w:color w:val="EE2724"/>
          <w:strike w:val="1"/>
        </w:rPr>
        <w:t>Title: Chairman, President and Chief Executive Officer</w:t>
      </w:r>
    </w:p>
    <w:p>
      <w:pPr>
        <w:spacing w:after="0" w:line="331"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24765</wp:posOffset>
            </wp:positionV>
            <wp:extent cx="3624580"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37" w:lineRule="exact"/>
        <w:rPr>
          <w:sz w:val="20"/>
          <w:szCs w:val="20"/>
          <w:color w:val="auto"/>
        </w:rPr>
      </w:pPr>
    </w:p>
    <w:p>
      <w:pPr>
        <w:ind w:left="4540"/>
        <w:spacing w:after="0"/>
        <w:rPr>
          <w:sz w:val="20"/>
          <w:szCs w:val="20"/>
          <w:color w:val="auto"/>
        </w:rPr>
      </w:pPr>
      <w:r>
        <w:rPr>
          <w:rFonts w:ascii="Arial" w:cs="Arial" w:eastAsia="Arial" w:hAnsi="Arial"/>
          <w:sz w:val="20"/>
          <w:szCs w:val="20"/>
          <w:color w:val="EE2724"/>
          <w:strike w:val="1"/>
        </w:rPr>
        <w:t>Name: Robert F. Barton</w:t>
      </w:r>
    </w:p>
    <w:p>
      <w:pPr>
        <w:spacing w:after="0" w:line="45" w:lineRule="exact"/>
        <w:rPr>
          <w:sz w:val="20"/>
          <w:szCs w:val="20"/>
          <w:color w:val="auto"/>
        </w:rPr>
      </w:pPr>
    </w:p>
    <w:p>
      <w:pPr>
        <w:ind w:left="4540"/>
        <w:spacing w:after="0"/>
        <w:rPr>
          <w:sz w:val="20"/>
          <w:szCs w:val="20"/>
          <w:color w:val="auto"/>
        </w:rPr>
      </w:pPr>
      <w:r>
        <w:rPr>
          <w:rFonts w:ascii="Arial" w:cs="Arial" w:eastAsia="Arial" w:hAnsi="Arial"/>
          <w:sz w:val="18"/>
          <w:szCs w:val="18"/>
          <w:color w:val="EE2724"/>
          <w:strike w:val="1"/>
        </w:rPr>
        <w:t>Title: Chief Financial Officer and Executive Vice President</w:t>
      </w:r>
    </w:p>
    <w:p>
      <w:pPr>
        <w:spacing w:after="0" w:line="343"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ICW PLAZA HOLDINGS, LLC</w:t>
      </w:r>
    </w:p>
    <w:p>
      <w:pPr>
        <w:spacing w:after="0" w:line="320" w:lineRule="exact"/>
        <w:rPr>
          <w:sz w:val="20"/>
          <w:szCs w:val="20"/>
          <w:color w:val="auto"/>
        </w:rPr>
      </w:pPr>
    </w:p>
    <w:p>
      <w:pPr>
        <w:ind w:left="3860"/>
        <w:spacing w:after="0"/>
        <w:tabs>
          <w:tab w:leader="none" w:pos="4520" w:val="left"/>
        </w:tabs>
        <w:rPr>
          <w:sz w:val="20"/>
          <w:szCs w:val="20"/>
          <w:color w:val="auto"/>
        </w:rPr>
      </w:pPr>
      <w:r>
        <w:rPr>
          <w:rFonts w:ascii="Arial" w:cs="Arial" w:eastAsia="Arial" w:hAnsi="Arial"/>
          <w:sz w:val="20"/>
          <w:szCs w:val="20"/>
          <w:color w:val="EE2724"/>
          <w:strike w:val="1"/>
        </w:rPr>
        <w:t>By:</w:t>
      </w:r>
      <w:r>
        <w:rPr>
          <w:sz w:val="20"/>
          <w:szCs w:val="20"/>
          <w:color w:val="auto"/>
        </w:rPr>
        <w:tab/>
      </w:r>
      <w:r>
        <w:rPr>
          <w:rFonts w:ascii="Arial" w:cs="Arial" w:eastAsia="Arial" w:hAnsi="Arial"/>
          <w:sz w:val="20"/>
          <w:szCs w:val="20"/>
          <w:color w:val="EE2724"/>
          <w:strike w:val="1"/>
        </w:rPr>
        <w:t>ICW PLAZA MERGER SUB LLC, its Sole Member</w:t>
      </w:r>
    </w:p>
    <w:p>
      <w:pPr>
        <w:spacing w:after="0" w:line="320" w:lineRule="exact"/>
        <w:rPr>
          <w:sz w:val="20"/>
          <w:szCs w:val="20"/>
          <w:color w:val="auto"/>
        </w:rPr>
      </w:pPr>
    </w:p>
    <w:p>
      <w:pPr>
        <w:ind w:left="3860"/>
        <w:spacing w:after="0"/>
        <w:tabs>
          <w:tab w:leader="none" w:pos="4520" w:val="left"/>
        </w:tabs>
        <w:rPr>
          <w:sz w:val="20"/>
          <w:szCs w:val="20"/>
          <w:color w:val="auto"/>
        </w:rPr>
      </w:pPr>
      <w:r>
        <w:rPr>
          <w:rFonts w:ascii="Arial" w:cs="Arial" w:eastAsia="Arial" w:hAnsi="Arial"/>
          <w:sz w:val="20"/>
          <w:szCs w:val="20"/>
          <w:color w:val="EE2724"/>
          <w:strike w:val="1"/>
        </w:rPr>
        <w:t>By:</w:t>
      </w:r>
      <w:r>
        <w:rPr>
          <w:sz w:val="20"/>
          <w:szCs w:val="20"/>
          <w:color w:val="auto"/>
        </w:rPr>
        <w:tab/>
      </w:r>
      <w:r>
        <w:rPr>
          <w:rFonts w:ascii="Arial" w:cs="Arial" w:eastAsia="Arial" w:hAnsi="Arial"/>
          <w:sz w:val="20"/>
          <w:szCs w:val="20"/>
          <w:color w:val="EE2724"/>
          <w:strike w:val="1"/>
        </w:rPr>
        <w:t>AMERICAN ASSETS TRUST, L.P. its Sole Member</w:t>
      </w:r>
    </w:p>
    <w:p>
      <w:pPr>
        <w:spacing w:after="0" w:line="320" w:lineRule="exact"/>
        <w:rPr>
          <w:sz w:val="20"/>
          <w:szCs w:val="20"/>
          <w:color w:val="auto"/>
        </w:rPr>
      </w:pPr>
    </w:p>
    <w:p>
      <w:pPr>
        <w:ind w:left="3860"/>
        <w:spacing w:after="0"/>
        <w:tabs>
          <w:tab w:leader="none" w:pos="4520" w:val="left"/>
        </w:tabs>
        <w:rPr>
          <w:sz w:val="20"/>
          <w:szCs w:val="20"/>
          <w:color w:val="auto"/>
        </w:rPr>
      </w:pPr>
      <w:r>
        <w:rPr>
          <w:rFonts w:ascii="Arial" w:cs="Arial" w:eastAsia="Arial" w:hAnsi="Arial"/>
          <w:sz w:val="19"/>
          <w:szCs w:val="19"/>
          <w:color w:val="EE2724"/>
          <w:strike w:val="1"/>
        </w:rPr>
        <w:t>By:</w:t>
      </w:r>
      <w:r>
        <w:rPr>
          <w:sz w:val="20"/>
          <w:szCs w:val="20"/>
          <w:color w:val="auto"/>
        </w:rPr>
        <w:tab/>
      </w:r>
      <w:r>
        <w:rPr>
          <w:rFonts w:ascii="Arial" w:cs="Arial" w:eastAsia="Arial" w:hAnsi="Arial"/>
          <w:sz w:val="19"/>
          <w:szCs w:val="19"/>
          <w:color w:val="EE2724"/>
          <w:strike w:val="1"/>
        </w:rPr>
        <w:t>AMERICAN ASSETS TRUST, INC. its General Partner</w:t>
      </w:r>
    </w:p>
    <w:p>
      <w:pPr>
        <w:spacing w:after="0" w:line="331"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24765</wp:posOffset>
            </wp:positionV>
            <wp:extent cx="3624580" cy="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37" w:lineRule="exact"/>
        <w:rPr>
          <w:sz w:val="20"/>
          <w:szCs w:val="20"/>
          <w:color w:val="auto"/>
        </w:rPr>
      </w:pPr>
    </w:p>
    <w:p>
      <w:pPr>
        <w:ind w:left="4540"/>
        <w:spacing w:after="0"/>
        <w:rPr>
          <w:sz w:val="20"/>
          <w:szCs w:val="20"/>
          <w:color w:val="auto"/>
        </w:rPr>
      </w:pPr>
      <w:r>
        <w:rPr>
          <w:rFonts w:ascii="Arial" w:cs="Arial" w:eastAsia="Arial" w:hAnsi="Arial"/>
          <w:sz w:val="20"/>
          <w:szCs w:val="20"/>
          <w:color w:val="EE2724"/>
          <w:strike w:val="1"/>
        </w:rPr>
        <w:t>Name: Ernest Rady</w:t>
      </w:r>
    </w:p>
    <w:p>
      <w:pPr>
        <w:spacing w:after="0" w:line="295" w:lineRule="exact"/>
        <w:rPr>
          <w:sz w:val="20"/>
          <w:szCs w:val="20"/>
          <w:color w:val="auto"/>
        </w:rPr>
      </w:pPr>
    </w:p>
    <w:p>
      <w:pPr>
        <w:ind w:left="4540"/>
        <w:spacing w:after="0"/>
        <w:rPr>
          <w:sz w:val="20"/>
          <w:szCs w:val="20"/>
          <w:color w:val="auto"/>
        </w:rPr>
      </w:pPr>
      <w:r>
        <w:rPr>
          <w:rFonts w:ascii="Arial" w:cs="Arial" w:eastAsia="Arial" w:hAnsi="Arial"/>
          <w:sz w:val="19"/>
          <w:szCs w:val="19"/>
          <w:color w:val="EE2724"/>
          <w:strike w:val="1"/>
        </w:rPr>
        <w:t>Title: Chairman, President and Chief Executive Officer</w:t>
      </w:r>
    </w:p>
    <w:p>
      <w:pPr>
        <w:spacing w:after="0" w:line="331"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24765</wp:posOffset>
            </wp:positionV>
            <wp:extent cx="3624580"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37" w:lineRule="exact"/>
        <w:rPr>
          <w:sz w:val="20"/>
          <w:szCs w:val="20"/>
          <w:color w:val="auto"/>
        </w:rPr>
      </w:pPr>
    </w:p>
    <w:p>
      <w:pPr>
        <w:ind w:left="4540"/>
        <w:spacing w:after="0"/>
        <w:rPr>
          <w:sz w:val="20"/>
          <w:szCs w:val="20"/>
          <w:color w:val="auto"/>
        </w:rPr>
      </w:pPr>
      <w:r>
        <w:rPr>
          <w:rFonts w:ascii="Arial" w:cs="Arial" w:eastAsia="Arial" w:hAnsi="Arial"/>
          <w:sz w:val="20"/>
          <w:szCs w:val="20"/>
          <w:color w:val="EE2724"/>
          <w:strike w:val="1"/>
        </w:rPr>
        <w:t>Name: Robert F. Barton</w:t>
      </w:r>
    </w:p>
    <w:p>
      <w:pPr>
        <w:spacing w:after="0" w:line="45" w:lineRule="exact"/>
        <w:rPr>
          <w:sz w:val="20"/>
          <w:szCs w:val="20"/>
          <w:color w:val="auto"/>
        </w:rPr>
      </w:pPr>
    </w:p>
    <w:p>
      <w:pPr>
        <w:ind w:left="4540"/>
        <w:spacing w:after="0"/>
        <w:rPr>
          <w:sz w:val="20"/>
          <w:szCs w:val="20"/>
          <w:color w:val="auto"/>
        </w:rPr>
      </w:pPr>
      <w:r>
        <w:rPr>
          <w:rFonts w:ascii="Arial" w:cs="Arial" w:eastAsia="Arial" w:hAnsi="Arial"/>
          <w:sz w:val="18"/>
          <w:szCs w:val="18"/>
          <w:color w:val="EE2724"/>
          <w:strike w:val="1"/>
        </w:rPr>
        <w:t>Title: Chief Financial Officer and Executive Vice President</w:t>
      </w:r>
    </w:p>
    <w:p>
      <w:pPr>
        <w:spacing w:after="0" w:line="343"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AAT SOLANA 101, LLC</w:t>
      </w:r>
    </w:p>
    <w:p>
      <w:pPr>
        <w:spacing w:after="0" w:line="320" w:lineRule="exact"/>
        <w:rPr>
          <w:sz w:val="20"/>
          <w:szCs w:val="20"/>
          <w:color w:val="auto"/>
        </w:rPr>
      </w:pPr>
    </w:p>
    <w:p>
      <w:pPr>
        <w:ind w:left="3860"/>
        <w:spacing w:after="0"/>
        <w:tabs>
          <w:tab w:leader="none" w:pos="4520" w:val="left"/>
        </w:tabs>
        <w:rPr>
          <w:sz w:val="20"/>
          <w:szCs w:val="20"/>
          <w:color w:val="auto"/>
        </w:rPr>
      </w:pPr>
      <w:r>
        <w:rPr>
          <w:rFonts w:ascii="Arial" w:cs="Arial" w:eastAsia="Arial" w:hAnsi="Arial"/>
          <w:sz w:val="20"/>
          <w:szCs w:val="20"/>
          <w:color w:val="EE2724"/>
          <w:strike w:val="1"/>
        </w:rPr>
        <w:t>By:</w:t>
      </w:r>
      <w:r>
        <w:rPr>
          <w:sz w:val="20"/>
          <w:szCs w:val="20"/>
          <w:color w:val="auto"/>
        </w:rPr>
        <w:tab/>
      </w:r>
      <w:r>
        <w:rPr>
          <w:rFonts w:ascii="Arial" w:cs="Arial" w:eastAsia="Arial" w:hAnsi="Arial"/>
          <w:sz w:val="20"/>
          <w:szCs w:val="20"/>
          <w:color w:val="EE2724"/>
          <w:strike w:val="1"/>
        </w:rPr>
        <w:t>AMERICAN ASSETS TRUST, L.P. its Sole Member</w:t>
      </w:r>
    </w:p>
    <w:p>
      <w:pPr>
        <w:spacing w:after="0" w:line="200" w:lineRule="exact"/>
        <w:rPr>
          <w:sz w:val="20"/>
          <w:szCs w:val="20"/>
          <w:color w:val="auto"/>
        </w:rPr>
      </w:pPr>
    </w:p>
    <w:p>
      <w:pPr>
        <w:spacing w:after="0" w:line="33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[Signature Page to Guaranty]</w:t>
      </w:r>
    </w:p>
    <w:p>
      <w:pPr>
        <w:sectPr>
          <w:pgSz w:w="11900" w:h="16838" w:orient="portrait"/>
          <w:cols w:equalWidth="0" w:num="1">
            <w:col w:w="9280"/>
          </w:cols>
          <w:pgMar w:left="1440" w:top="495" w:right="1179" w:bottom="1440" w:gutter="0" w:footer="0" w:header="0"/>
        </w:sectPr>
      </w:pPr>
    </w:p>
    <w:bookmarkStart w:id="565" w:name="page566"/>
    <w:bookmarkEnd w:id="565"/>
    <w:p>
      <w:pPr>
        <w:ind w:left="3860"/>
        <w:spacing w:after="0"/>
        <w:rPr>
          <w:sz w:val="20"/>
          <w:szCs w:val="20"/>
          <w:color w:val="auto"/>
        </w:rPr>
      </w:pPr>
      <w:r>
        <w:rPr>
          <w:rFonts w:ascii="Arial" w:cs="Arial" w:eastAsia="Arial" w:hAnsi="Arial"/>
          <w:sz w:val="19"/>
          <w:szCs w:val="19"/>
          <w:color w:val="EE2724"/>
          <w:strike w:val="1"/>
        </w:rPr>
        <w:t>By:</w:t>
      </w:r>
    </w:p>
    <w:p>
      <w:pPr>
        <w:spacing w:after="0" w:line="331" w:lineRule="exact"/>
        <w:rPr>
          <w:sz w:val="20"/>
          <w:szCs w:val="20"/>
          <w:color w:val="auto"/>
        </w:rPr>
      </w:pPr>
    </w:p>
    <w:p>
      <w:pPr>
        <w:ind w:left="3860"/>
        <w:spacing w:after="0"/>
        <w:rPr>
          <w:sz w:val="20"/>
          <w:szCs w:val="20"/>
          <w:color w:val="auto"/>
        </w:rPr>
      </w:pPr>
      <w:r>
        <w:rPr>
          <w:rFonts w:ascii="Arial" w:cs="Arial" w:eastAsia="Arial" w:hAnsi="Arial"/>
          <w:sz w:val="19"/>
          <w:szCs w:val="19"/>
          <w:color w:val="EE2724"/>
          <w:strike w:val="1"/>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EE2724"/>
          <w:strike w:val="1"/>
        </w:rPr>
        <w:t>AMERICAN ASSETS TRUST, INC.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388620</wp:posOffset>
            </wp:positionV>
            <wp:extent cx="3624580"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630" w:lineRule="exact"/>
        <w:rPr>
          <w:sz w:val="20"/>
          <w:szCs w:val="20"/>
          <w:color w:val="auto"/>
        </w:rPr>
      </w:pPr>
    </w:p>
    <w:p>
      <w:pPr>
        <w:sectPr>
          <w:pgSz w:w="11900" w:h="16838" w:orient="portrait"/>
          <w:cols w:equalWidth="0" w:num="2">
            <w:col w:w="4140" w:space="400"/>
            <w:col w:w="4740"/>
          </w:cols>
          <w:pgMar w:left="1440" w:top="495" w:right="1179" w:bottom="1440" w:gutter="0" w:footer="0" w:header="0"/>
        </w:sectPr>
      </w:pPr>
    </w:p>
    <w:p>
      <w:pPr>
        <w:ind w:left="4540"/>
        <w:spacing w:after="0"/>
        <w:rPr>
          <w:sz w:val="20"/>
          <w:szCs w:val="20"/>
          <w:color w:val="auto"/>
        </w:rPr>
      </w:pPr>
      <w:r>
        <w:rPr>
          <w:rFonts w:ascii="Arial" w:cs="Arial" w:eastAsia="Arial" w:hAnsi="Arial"/>
          <w:sz w:val="20"/>
          <w:szCs w:val="20"/>
          <w:color w:val="EE2724"/>
          <w:strike w:val="1"/>
        </w:rPr>
        <w:t>Name: Ernest Rady</w:t>
      </w:r>
    </w:p>
    <w:p>
      <w:pPr>
        <w:spacing w:after="0" w:line="295" w:lineRule="exact"/>
        <w:rPr>
          <w:sz w:val="20"/>
          <w:szCs w:val="20"/>
          <w:color w:val="auto"/>
        </w:rPr>
      </w:pPr>
    </w:p>
    <w:p>
      <w:pPr>
        <w:ind w:left="4540"/>
        <w:spacing w:after="0"/>
        <w:rPr>
          <w:sz w:val="20"/>
          <w:szCs w:val="20"/>
          <w:color w:val="auto"/>
        </w:rPr>
      </w:pPr>
      <w:r>
        <w:rPr>
          <w:rFonts w:ascii="Arial" w:cs="Arial" w:eastAsia="Arial" w:hAnsi="Arial"/>
          <w:sz w:val="19"/>
          <w:szCs w:val="19"/>
          <w:color w:val="EE2724"/>
          <w:strike w:val="1"/>
        </w:rPr>
        <w:t>Title: Chairman, President and Chief Executive Officer</w:t>
      </w:r>
    </w:p>
    <w:p>
      <w:pPr>
        <w:spacing w:after="0" w:line="331"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24765</wp:posOffset>
            </wp:positionV>
            <wp:extent cx="3624580"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37" w:lineRule="exact"/>
        <w:rPr>
          <w:sz w:val="20"/>
          <w:szCs w:val="20"/>
          <w:color w:val="auto"/>
        </w:rPr>
      </w:pPr>
    </w:p>
    <w:p>
      <w:pPr>
        <w:ind w:left="4540"/>
        <w:spacing w:after="0"/>
        <w:rPr>
          <w:sz w:val="20"/>
          <w:szCs w:val="20"/>
          <w:color w:val="auto"/>
        </w:rPr>
      </w:pPr>
      <w:r>
        <w:rPr>
          <w:rFonts w:ascii="Arial" w:cs="Arial" w:eastAsia="Arial" w:hAnsi="Arial"/>
          <w:sz w:val="20"/>
          <w:szCs w:val="20"/>
          <w:color w:val="EE2724"/>
          <w:strike w:val="1"/>
        </w:rPr>
        <w:t>Name: Robert F. Barton</w:t>
      </w:r>
    </w:p>
    <w:p>
      <w:pPr>
        <w:spacing w:after="0" w:line="45" w:lineRule="exact"/>
        <w:rPr>
          <w:sz w:val="20"/>
          <w:szCs w:val="20"/>
          <w:color w:val="auto"/>
        </w:rPr>
      </w:pPr>
    </w:p>
    <w:p>
      <w:pPr>
        <w:ind w:left="4540"/>
        <w:spacing w:after="0"/>
        <w:rPr>
          <w:sz w:val="20"/>
          <w:szCs w:val="20"/>
          <w:color w:val="auto"/>
        </w:rPr>
      </w:pPr>
      <w:r>
        <w:rPr>
          <w:rFonts w:ascii="Arial" w:cs="Arial" w:eastAsia="Arial" w:hAnsi="Arial"/>
          <w:sz w:val="18"/>
          <w:szCs w:val="18"/>
          <w:color w:val="EE2724"/>
          <w:strike w:val="1"/>
        </w:rPr>
        <w:t>Title: Chief Financial Officer and Executive Vice President</w:t>
      </w:r>
    </w:p>
    <w:p>
      <w:pPr>
        <w:spacing w:after="0" w:line="343"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AAT GEARY MARKETPLACE, LLC</w:t>
      </w:r>
    </w:p>
    <w:p>
      <w:pPr>
        <w:spacing w:after="0" w:line="320" w:lineRule="exact"/>
        <w:rPr>
          <w:sz w:val="20"/>
          <w:szCs w:val="20"/>
          <w:color w:val="auto"/>
        </w:rPr>
      </w:pPr>
    </w:p>
    <w:p>
      <w:pPr>
        <w:ind w:left="3860"/>
        <w:spacing w:after="0"/>
        <w:tabs>
          <w:tab w:leader="none" w:pos="4520" w:val="left"/>
        </w:tabs>
        <w:rPr>
          <w:sz w:val="20"/>
          <w:szCs w:val="20"/>
          <w:color w:val="auto"/>
        </w:rPr>
      </w:pPr>
      <w:r>
        <w:rPr>
          <w:rFonts w:ascii="Arial" w:cs="Arial" w:eastAsia="Arial" w:hAnsi="Arial"/>
          <w:sz w:val="20"/>
          <w:szCs w:val="20"/>
          <w:color w:val="EE2724"/>
          <w:strike w:val="1"/>
        </w:rPr>
        <w:t>By:</w:t>
      </w:r>
      <w:r>
        <w:rPr>
          <w:sz w:val="20"/>
          <w:szCs w:val="20"/>
          <w:color w:val="auto"/>
        </w:rPr>
        <w:tab/>
      </w:r>
      <w:r>
        <w:rPr>
          <w:rFonts w:ascii="Arial" w:cs="Arial" w:eastAsia="Arial" w:hAnsi="Arial"/>
          <w:sz w:val="20"/>
          <w:szCs w:val="20"/>
          <w:color w:val="EE2724"/>
          <w:strike w:val="1"/>
        </w:rPr>
        <w:t>AMERICAN ASSETS TRUST, L.P. its Sole Member</w:t>
      </w:r>
    </w:p>
    <w:p>
      <w:pPr>
        <w:spacing w:after="0" w:line="320" w:lineRule="exact"/>
        <w:rPr>
          <w:sz w:val="20"/>
          <w:szCs w:val="20"/>
          <w:color w:val="auto"/>
        </w:rPr>
      </w:pPr>
    </w:p>
    <w:p>
      <w:pPr>
        <w:ind w:left="3860"/>
        <w:spacing w:after="0"/>
        <w:tabs>
          <w:tab w:leader="none" w:pos="4520" w:val="left"/>
        </w:tabs>
        <w:rPr>
          <w:sz w:val="20"/>
          <w:szCs w:val="20"/>
          <w:color w:val="auto"/>
        </w:rPr>
      </w:pPr>
      <w:r>
        <w:rPr>
          <w:rFonts w:ascii="Arial" w:cs="Arial" w:eastAsia="Arial" w:hAnsi="Arial"/>
          <w:sz w:val="19"/>
          <w:szCs w:val="19"/>
          <w:color w:val="EE2724"/>
          <w:strike w:val="1"/>
        </w:rPr>
        <w:t>By:</w:t>
      </w:r>
      <w:r>
        <w:rPr>
          <w:sz w:val="20"/>
          <w:szCs w:val="20"/>
          <w:color w:val="auto"/>
        </w:rPr>
        <w:tab/>
      </w:r>
      <w:r>
        <w:rPr>
          <w:rFonts w:ascii="Arial" w:cs="Arial" w:eastAsia="Arial" w:hAnsi="Arial"/>
          <w:sz w:val="19"/>
          <w:szCs w:val="19"/>
          <w:color w:val="EE2724"/>
          <w:strike w:val="1"/>
        </w:rPr>
        <w:t>AMERICAN ASSETS TRUST, INC. its General Partner</w:t>
      </w:r>
    </w:p>
    <w:p>
      <w:pPr>
        <w:spacing w:after="0" w:line="331"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24765</wp:posOffset>
            </wp:positionV>
            <wp:extent cx="362458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37" w:lineRule="exact"/>
        <w:rPr>
          <w:sz w:val="20"/>
          <w:szCs w:val="20"/>
          <w:color w:val="auto"/>
        </w:rPr>
      </w:pPr>
    </w:p>
    <w:p>
      <w:pPr>
        <w:ind w:left="4540"/>
        <w:spacing w:after="0"/>
        <w:rPr>
          <w:sz w:val="20"/>
          <w:szCs w:val="20"/>
          <w:color w:val="auto"/>
        </w:rPr>
      </w:pPr>
      <w:r>
        <w:rPr>
          <w:rFonts w:ascii="Arial" w:cs="Arial" w:eastAsia="Arial" w:hAnsi="Arial"/>
          <w:sz w:val="20"/>
          <w:szCs w:val="20"/>
          <w:color w:val="EE2724"/>
          <w:strike w:val="1"/>
        </w:rPr>
        <w:t>Name: Ernest Rady</w:t>
      </w:r>
    </w:p>
    <w:p>
      <w:pPr>
        <w:spacing w:after="0" w:line="295" w:lineRule="exact"/>
        <w:rPr>
          <w:sz w:val="20"/>
          <w:szCs w:val="20"/>
          <w:color w:val="auto"/>
        </w:rPr>
      </w:pPr>
    </w:p>
    <w:p>
      <w:pPr>
        <w:ind w:left="4540"/>
        <w:spacing w:after="0"/>
        <w:rPr>
          <w:sz w:val="20"/>
          <w:szCs w:val="20"/>
          <w:color w:val="auto"/>
        </w:rPr>
      </w:pPr>
      <w:r>
        <w:rPr>
          <w:rFonts w:ascii="Arial" w:cs="Arial" w:eastAsia="Arial" w:hAnsi="Arial"/>
          <w:sz w:val="19"/>
          <w:szCs w:val="19"/>
          <w:color w:val="EE2724"/>
          <w:strike w:val="1"/>
        </w:rPr>
        <w:t>Title: Chairman, President and Chief Executive Officer</w:t>
      </w:r>
    </w:p>
    <w:p>
      <w:pPr>
        <w:spacing w:after="0" w:line="331"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24765</wp:posOffset>
            </wp:positionV>
            <wp:extent cx="3624580"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37" w:lineRule="exact"/>
        <w:rPr>
          <w:sz w:val="20"/>
          <w:szCs w:val="20"/>
          <w:color w:val="auto"/>
        </w:rPr>
      </w:pPr>
    </w:p>
    <w:p>
      <w:pPr>
        <w:ind w:left="4540"/>
        <w:spacing w:after="0"/>
        <w:rPr>
          <w:sz w:val="20"/>
          <w:szCs w:val="20"/>
          <w:color w:val="auto"/>
        </w:rPr>
      </w:pPr>
      <w:r>
        <w:rPr>
          <w:rFonts w:ascii="Arial" w:cs="Arial" w:eastAsia="Arial" w:hAnsi="Arial"/>
          <w:sz w:val="20"/>
          <w:szCs w:val="20"/>
          <w:color w:val="EE2724"/>
          <w:strike w:val="1"/>
        </w:rPr>
        <w:t>Name: Robert F. Barton</w:t>
      </w:r>
    </w:p>
    <w:p>
      <w:pPr>
        <w:spacing w:after="0" w:line="45" w:lineRule="exact"/>
        <w:rPr>
          <w:sz w:val="20"/>
          <w:szCs w:val="20"/>
          <w:color w:val="auto"/>
        </w:rPr>
      </w:pPr>
    </w:p>
    <w:p>
      <w:pPr>
        <w:ind w:left="4540"/>
        <w:spacing w:after="0"/>
        <w:rPr>
          <w:sz w:val="20"/>
          <w:szCs w:val="20"/>
          <w:color w:val="auto"/>
        </w:rPr>
      </w:pPr>
      <w:r>
        <w:rPr>
          <w:rFonts w:ascii="Arial" w:cs="Arial" w:eastAsia="Arial" w:hAnsi="Arial"/>
          <w:sz w:val="18"/>
          <w:szCs w:val="18"/>
          <w:color w:val="EE2724"/>
          <w:strike w:val="1"/>
        </w:rPr>
        <w:t>Title: Chief Financial Officer and Executive Vice President</w:t>
      </w:r>
    </w:p>
    <w:p>
      <w:pPr>
        <w:spacing w:after="0" w:line="343"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AAT TORREY RESERVE 6, LLC</w:t>
      </w:r>
    </w:p>
    <w:p>
      <w:pPr>
        <w:spacing w:after="0" w:line="320" w:lineRule="exact"/>
        <w:rPr>
          <w:sz w:val="20"/>
          <w:szCs w:val="20"/>
          <w:color w:val="auto"/>
        </w:rPr>
      </w:pPr>
    </w:p>
    <w:p>
      <w:pPr>
        <w:ind w:left="3860"/>
        <w:spacing w:after="0"/>
        <w:tabs>
          <w:tab w:leader="none" w:pos="4520" w:val="left"/>
        </w:tabs>
        <w:rPr>
          <w:sz w:val="20"/>
          <w:szCs w:val="20"/>
          <w:color w:val="auto"/>
        </w:rPr>
      </w:pPr>
      <w:r>
        <w:rPr>
          <w:rFonts w:ascii="Arial" w:cs="Arial" w:eastAsia="Arial" w:hAnsi="Arial"/>
          <w:sz w:val="20"/>
          <w:szCs w:val="20"/>
          <w:color w:val="EE2724"/>
          <w:strike w:val="1"/>
        </w:rPr>
        <w:t>By:</w:t>
      </w:r>
      <w:r>
        <w:rPr>
          <w:sz w:val="20"/>
          <w:szCs w:val="20"/>
          <w:color w:val="auto"/>
        </w:rPr>
        <w:tab/>
      </w:r>
      <w:r>
        <w:rPr>
          <w:rFonts w:ascii="Arial" w:cs="Arial" w:eastAsia="Arial" w:hAnsi="Arial"/>
          <w:sz w:val="20"/>
          <w:szCs w:val="20"/>
          <w:color w:val="EE2724"/>
          <w:strike w:val="1"/>
        </w:rPr>
        <w:t>AMERICAN ASSETS TRUST, L.P. its Sole Member</w:t>
      </w:r>
    </w:p>
    <w:p>
      <w:pPr>
        <w:spacing w:after="0" w:line="320" w:lineRule="exact"/>
        <w:rPr>
          <w:sz w:val="20"/>
          <w:szCs w:val="20"/>
          <w:color w:val="auto"/>
        </w:rPr>
      </w:pPr>
    </w:p>
    <w:p>
      <w:pPr>
        <w:ind w:left="3860"/>
        <w:spacing w:after="0"/>
        <w:tabs>
          <w:tab w:leader="none" w:pos="4520" w:val="left"/>
        </w:tabs>
        <w:rPr>
          <w:sz w:val="20"/>
          <w:szCs w:val="20"/>
          <w:color w:val="auto"/>
        </w:rPr>
      </w:pPr>
      <w:r>
        <w:rPr>
          <w:rFonts w:ascii="Arial" w:cs="Arial" w:eastAsia="Arial" w:hAnsi="Arial"/>
          <w:sz w:val="19"/>
          <w:szCs w:val="19"/>
          <w:color w:val="EE2724"/>
          <w:strike w:val="1"/>
        </w:rPr>
        <w:t>By:</w:t>
      </w:r>
      <w:r>
        <w:rPr>
          <w:sz w:val="20"/>
          <w:szCs w:val="20"/>
          <w:color w:val="auto"/>
        </w:rPr>
        <w:tab/>
      </w:r>
      <w:r>
        <w:rPr>
          <w:rFonts w:ascii="Arial" w:cs="Arial" w:eastAsia="Arial" w:hAnsi="Arial"/>
          <w:sz w:val="19"/>
          <w:szCs w:val="19"/>
          <w:color w:val="EE2724"/>
          <w:strike w:val="1"/>
        </w:rPr>
        <w:t>AMERICAN ASSETS TRUST, INC. its General Partner</w:t>
      </w:r>
    </w:p>
    <w:p>
      <w:pPr>
        <w:spacing w:after="0" w:line="331"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24765</wp:posOffset>
            </wp:positionV>
            <wp:extent cx="3624580"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37" w:lineRule="exact"/>
        <w:rPr>
          <w:sz w:val="20"/>
          <w:szCs w:val="20"/>
          <w:color w:val="auto"/>
        </w:rPr>
      </w:pPr>
    </w:p>
    <w:p>
      <w:pPr>
        <w:ind w:left="4540"/>
        <w:spacing w:after="0"/>
        <w:rPr>
          <w:sz w:val="20"/>
          <w:szCs w:val="20"/>
          <w:color w:val="auto"/>
        </w:rPr>
      </w:pPr>
      <w:r>
        <w:rPr>
          <w:rFonts w:ascii="Arial" w:cs="Arial" w:eastAsia="Arial" w:hAnsi="Arial"/>
          <w:sz w:val="20"/>
          <w:szCs w:val="20"/>
          <w:color w:val="EE2724"/>
          <w:strike w:val="1"/>
        </w:rPr>
        <w:t>Name: Ernest Rady</w:t>
      </w:r>
    </w:p>
    <w:p>
      <w:pPr>
        <w:sectPr>
          <w:pgSz w:w="11900" w:h="16838" w:orient="portrait"/>
          <w:cols w:equalWidth="0" w:num="1">
            <w:col w:w="9280"/>
          </w:cols>
          <w:pgMar w:left="1440" w:top="495" w:right="1179" w:bottom="1440" w:gutter="0" w:footer="0" w:header="0"/>
          <w:type w:val="continuous"/>
        </w:sectPr>
      </w:pPr>
    </w:p>
    <w:p>
      <w:pPr>
        <w:spacing w:after="0" w:line="295" w:lineRule="exact"/>
        <w:rPr>
          <w:sz w:val="20"/>
          <w:szCs w:val="20"/>
          <w:color w:val="auto"/>
        </w:rPr>
      </w:pPr>
    </w:p>
    <w:p>
      <w:pPr>
        <w:ind w:left="4540"/>
        <w:spacing w:after="0"/>
        <w:rPr>
          <w:sz w:val="20"/>
          <w:szCs w:val="20"/>
          <w:color w:val="auto"/>
        </w:rPr>
      </w:pPr>
      <w:r>
        <w:rPr>
          <w:rFonts w:ascii="Arial" w:cs="Arial" w:eastAsia="Arial" w:hAnsi="Arial"/>
          <w:sz w:val="19"/>
          <w:szCs w:val="19"/>
          <w:color w:val="EE2724"/>
          <w:strike w:val="1"/>
        </w:rPr>
        <w:t>Title: Chairman, President and Chief Executive Officer</w:t>
      </w:r>
    </w:p>
    <w:p>
      <w:pPr>
        <w:spacing w:after="0" w:line="331"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24765</wp:posOffset>
            </wp:positionV>
            <wp:extent cx="3624580"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37" w:lineRule="exact"/>
        <w:rPr>
          <w:sz w:val="20"/>
          <w:szCs w:val="20"/>
          <w:color w:val="auto"/>
        </w:rPr>
      </w:pPr>
    </w:p>
    <w:p>
      <w:pPr>
        <w:ind w:left="4540"/>
        <w:spacing w:after="0"/>
        <w:rPr>
          <w:sz w:val="20"/>
          <w:szCs w:val="20"/>
          <w:color w:val="auto"/>
        </w:rPr>
      </w:pPr>
      <w:r>
        <w:rPr>
          <w:rFonts w:ascii="Arial" w:cs="Arial" w:eastAsia="Arial" w:hAnsi="Arial"/>
          <w:sz w:val="20"/>
          <w:szCs w:val="20"/>
          <w:color w:val="EE2724"/>
          <w:strike w:val="1"/>
        </w:rPr>
        <w:t>Name: Robert F. Barton</w:t>
      </w:r>
    </w:p>
    <w:p>
      <w:pPr>
        <w:spacing w:after="0" w:line="45" w:lineRule="exact"/>
        <w:rPr>
          <w:sz w:val="20"/>
          <w:szCs w:val="20"/>
          <w:color w:val="auto"/>
        </w:rPr>
      </w:pPr>
    </w:p>
    <w:p>
      <w:pPr>
        <w:ind w:left="4540"/>
        <w:spacing w:after="0"/>
        <w:rPr>
          <w:sz w:val="20"/>
          <w:szCs w:val="20"/>
          <w:color w:val="auto"/>
        </w:rPr>
      </w:pPr>
      <w:r>
        <w:rPr>
          <w:rFonts w:ascii="Arial" w:cs="Arial" w:eastAsia="Arial" w:hAnsi="Arial"/>
          <w:sz w:val="18"/>
          <w:szCs w:val="18"/>
          <w:color w:val="EE2724"/>
          <w:strike w:val="1"/>
        </w:rPr>
        <w:t>Title: Chief Financial Officer and Executive Vice President</w:t>
      </w:r>
    </w:p>
    <w:p>
      <w:pPr>
        <w:spacing w:after="0" w:line="343"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AAT LLOYD DISTRICT, LLC</w:t>
      </w:r>
    </w:p>
    <w:p>
      <w:pPr>
        <w:spacing w:after="0" w:line="200" w:lineRule="exact"/>
        <w:rPr>
          <w:sz w:val="20"/>
          <w:szCs w:val="20"/>
          <w:color w:val="auto"/>
        </w:rPr>
      </w:pPr>
    </w:p>
    <w:p>
      <w:pPr>
        <w:spacing w:after="0" w:line="33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[Signature Page to Guaranty]</w:t>
      </w:r>
    </w:p>
    <w:p>
      <w:pPr>
        <w:sectPr>
          <w:pgSz w:w="11900" w:h="16838" w:orient="portrait"/>
          <w:cols w:equalWidth="0" w:num="1">
            <w:col w:w="9280"/>
          </w:cols>
          <w:pgMar w:left="1440" w:top="495" w:right="1179" w:bottom="1440" w:gutter="0" w:footer="0" w:header="0"/>
          <w:type w:val="continuous"/>
        </w:sectPr>
      </w:pPr>
    </w:p>
    <w:bookmarkStart w:id="566" w:name="page567"/>
    <w:bookmarkEnd w:id="566"/>
    <w:p>
      <w:pPr>
        <w:ind w:left="3860"/>
        <w:spacing w:after="0"/>
        <w:rPr>
          <w:sz w:val="20"/>
          <w:szCs w:val="20"/>
          <w:color w:val="auto"/>
        </w:rPr>
      </w:pPr>
      <w:r>
        <w:rPr>
          <w:rFonts w:ascii="Arial" w:cs="Arial" w:eastAsia="Arial" w:hAnsi="Arial"/>
          <w:sz w:val="19"/>
          <w:szCs w:val="19"/>
          <w:color w:val="EE2724"/>
          <w:strike w:val="1"/>
        </w:rPr>
        <w:t>By:</w:t>
      </w:r>
    </w:p>
    <w:p>
      <w:pPr>
        <w:spacing w:after="0" w:line="331" w:lineRule="exact"/>
        <w:rPr>
          <w:sz w:val="20"/>
          <w:szCs w:val="20"/>
          <w:color w:val="auto"/>
        </w:rPr>
      </w:pPr>
    </w:p>
    <w:p>
      <w:pPr>
        <w:ind w:left="3860"/>
        <w:spacing w:after="0"/>
        <w:rPr>
          <w:sz w:val="20"/>
          <w:szCs w:val="20"/>
          <w:color w:val="auto"/>
        </w:rPr>
      </w:pPr>
      <w:r>
        <w:rPr>
          <w:rFonts w:ascii="Arial" w:cs="Arial" w:eastAsia="Arial" w:hAnsi="Arial"/>
          <w:sz w:val="19"/>
          <w:szCs w:val="19"/>
          <w:color w:val="EE2724"/>
          <w:strike w:val="1"/>
        </w:rPr>
        <w:t>By:</w:t>
      </w:r>
    </w:p>
    <w:p>
      <w:pPr>
        <w:spacing w:after="0" w:line="331" w:lineRule="exact"/>
        <w:rPr>
          <w:sz w:val="20"/>
          <w:szCs w:val="20"/>
          <w:color w:val="auto"/>
        </w:rPr>
      </w:pPr>
    </w:p>
    <w:p>
      <w:pPr>
        <w:ind w:left="3860"/>
        <w:spacing w:after="0"/>
        <w:rPr>
          <w:sz w:val="20"/>
          <w:szCs w:val="20"/>
          <w:color w:val="auto"/>
        </w:rPr>
      </w:pPr>
      <w:r>
        <w:rPr>
          <w:rFonts w:ascii="Arial" w:cs="Arial" w:eastAsia="Arial" w:hAnsi="Arial"/>
          <w:sz w:val="19"/>
          <w:szCs w:val="19"/>
          <w:color w:val="EE2724"/>
          <w:strike w:val="1"/>
        </w:rPr>
        <w:t>By:</w:t>
      </w:r>
    </w:p>
    <w:p>
      <w:pPr>
        <w:spacing w:after="0" w:line="20" w:lineRule="exact"/>
        <w:rPr>
          <w:sz w:val="20"/>
          <w:szCs w:val="20"/>
          <w:color w:val="auto"/>
        </w:rPr>
      </w:pPr>
      <w:r>
        <w:rPr>
          <w:sz w:val="20"/>
          <w:szCs w:val="20"/>
          <w:color w:val="auto"/>
        </w:rPr>
        <w:br w:type="column"/>
      </w:r>
    </w:p>
    <w:p>
      <w:pPr>
        <w:ind w:right="180"/>
        <w:spacing w:after="0" w:line="691" w:lineRule="auto"/>
        <w:rPr>
          <w:sz w:val="20"/>
          <w:szCs w:val="20"/>
          <w:color w:val="auto"/>
        </w:rPr>
      </w:pPr>
      <w:r>
        <w:rPr>
          <w:rFonts w:ascii="Arial" w:cs="Arial" w:eastAsia="Arial" w:hAnsi="Arial"/>
          <w:sz w:val="18"/>
          <w:szCs w:val="18"/>
          <w:color w:val="EE2724"/>
          <w:strike w:val="1"/>
        </w:rPr>
        <w:t>AMERICAN ASSETS TRUST, L.P. its Sole Member AMERICAN ASSETS TRUST, INC.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111760</wp:posOffset>
            </wp:positionV>
            <wp:extent cx="3624580"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4140" w:space="400"/>
            <w:col w:w="4740"/>
          </w:cols>
          <w:pgMar w:left="1440" w:top="495" w:right="1179" w:bottom="1440" w:gutter="0" w:footer="0" w:header="0"/>
        </w:sectPr>
      </w:pPr>
    </w:p>
    <w:p>
      <w:pPr>
        <w:ind w:left="4540"/>
        <w:spacing w:after="0"/>
        <w:rPr>
          <w:sz w:val="20"/>
          <w:szCs w:val="20"/>
          <w:color w:val="auto"/>
        </w:rPr>
      </w:pPr>
      <w:r>
        <w:rPr>
          <w:rFonts w:ascii="Arial" w:cs="Arial" w:eastAsia="Arial" w:hAnsi="Arial"/>
          <w:sz w:val="20"/>
          <w:szCs w:val="20"/>
          <w:color w:val="EE2724"/>
          <w:strike w:val="1"/>
        </w:rPr>
        <w:t>Name: Ernest Rady</w:t>
      </w:r>
    </w:p>
    <w:p>
      <w:pPr>
        <w:spacing w:after="0" w:line="295" w:lineRule="exact"/>
        <w:rPr>
          <w:sz w:val="20"/>
          <w:szCs w:val="20"/>
          <w:color w:val="auto"/>
        </w:rPr>
      </w:pPr>
    </w:p>
    <w:p>
      <w:pPr>
        <w:ind w:left="4540"/>
        <w:spacing w:after="0"/>
        <w:rPr>
          <w:sz w:val="20"/>
          <w:szCs w:val="20"/>
          <w:color w:val="auto"/>
        </w:rPr>
      </w:pPr>
      <w:r>
        <w:rPr>
          <w:rFonts w:ascii="Arial" w:cs="Arial" w:eastAsia="Arial" w:hAnsi="Arial"/>
          <w:sz w:val="19"/>
          <w:szCs w:val="19"/>
          <w:color w:val="EE2724"/>
          <w:strike w:val="1"/>
        </w:rPr>
        <w:t>Title: Chairman, President and Chief Executive Officer</w:t>
      </w:r>
    </w:p>
    <w:p>
      <w:pPr>
        <w:spacing w:after="0" w:line="331"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24765</wp:posOffset>
            </wp:positionV>
            <wp:extent cx="3624580"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37" w:lineRule="exact"/>
        <w:rPr>
          <w:sz w:val="20"/>
          <w:szCs w:val="20"/>
          <w:color w:val="auto"/>
        </w:rPr>
      </w:pPr>
    </w:p>
    <w:p>
      <w:pPr>
        <w:ind w:left="4540"/>
        <w:spacing w:after="0"/>
        <w:rPr>
          <w:sz w:val="20"/>
          <w:szCs w:val="20"/>
          <w:color w:val="auto"/>
        </w:rPr>
      </w:pPr>
      <w:r>
        <w:rPr>
          <w:rFonts w:ascii="Arial" w:cs="Arial" w:eastAsia="Arial" w:hAnsi="Arial"/>
          <w:sz w:val="20"/>
          <w:szCs w:val="20"/>
          <w:color w:val="EE2724"/>
          <w:strike w:val="1"/>
        </w:rPr>
        <w:t>Name: Robert F. Barton</w:t>
      </w:r>
    </w:p>
    <w:p>
      <w:pPr>
        <w:spacing w:after="0" w:line="45" w:lineRule="exact"/>
        <w:rPr>
          <w:sz w:val="20"/>
          <w:szCs w:val="20"/>
          <w:color w:val="auto"/>
        </w:rPr>
      </w:pPr>
    </w:p>
    <w:p>
      <w:pPr>
        <w:ind w:left="4540"/>
        <w:spacing w:after="0"/>
        <w:rPr>
          <w:sz w:val="20"/>
          <w:szCs w:val="20"/>
          <w:color w:val="auto"/>
        </w:rPr>
      </w:pPr>
      <w:r>
        <w:rPr>
          <w:rFonts w:ascii="Arial" w:cs="Arial" w:eastAsia="Arial" w:hAnsi="Arial"/>
          <w:sz w:val="18"/>
          <w:szCs w:val="18"/>
          <w:color w:val="EE2724"/>
          <w:strike w:val="1"/>
        </w:rPr>
        <w:t>Title: Chief Financial Officer and Executive Vice President</w:t>
      </w:r>
    </w:p>
    <w:p>
      <w:pPr>
        <w:spacing w:after="0" w:line="343"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AAT SORRENTO POINTE LLC</w:t>
      </w:r>
    </w:p>
    <w:p>
      <w:pPr>
        <w:spacing w:after="0" w:line="320" w:lineRule="exact"/>
        <w:rPr>
          <w:sz w:val="20"/>
          <w:szCs w:val="20"/>
          <w:color w:val="auto"/>
        </w:rPr>
      </w:pPr>
    </w:p>
    <w:p>
      <w:pPr>
        <w:ind w:left="3860"/>
        <w:spacing w:after="0"/>
        <w:tabs>
          <w:tab w:leader="none" w:pos="4520" w:val="left"/>
        </w:tabs>
        <w:rPr>
          <w:sz w:val="20"/>
          <w:szCs w:val="20"/>
          <w:color w:val="auto"/>
        </w:rPr>
      </w:pPr>
      <w:r>
        <w:rPr>
          <w:rFonts w:ascii="Arial" w:cs="Arial" w:eastAsia="Arial" w:hAnsi="Arial"/>
          <w:sz w:val="20"/>
          <w:szCs w:val="20"/>
          <w:color w:val="EE2724"/>
          <w:strike w:val="1"/>
        </w:rPr>
        <w:t>By:</w:t>
      </w:r>
      <w:r>
        <w:rPr>
          <w:sz w:val="20"/>
          <w:szCs w:val="20"/>
          <w:color w:val="auto"/>
        </w:rPr>
        <w:tab/>
      </w:r>
      <w:r>
        <w:rPr>
          <w:rFonts w:ascii="Arial" w:cs="Arial" w:eastAsia="Arial" w:hAnsi="Arial"/>
          <w:sz w:val="20"/>
          <w:szCs w:val="20"/>
          <w:color w:val="EE2724"/>
          <w:strike w:val="1"/>
        </w:rPr>
        <w:t>AMERICAN ASSETS TRUST, L.P. its Sole Member</w:t>
      </w:r>
    </w:p>
    <w:p>
      <w:pPr>
        <w:spacing w:after="0" w:line="320" w:lineRule="exact"/>
        <w:rPr>
          <w:sz w:val="20"/>
          <w:szCs w:val="20"/>
          <w:color w:val="auto"/>
        </w:rPr>
      </w:pPr>
    </w:p>
    <w:p>
      <w:pPr>
        <w:ind w:left="3860"/>
        <w:spacing w:after="0"/>
        <w:tabs>
          <w:tab w:leader="none" w:pos="4520" w:val="left"/>
        </w:tabs>
        <w:rPr>
          <w:sz w:val="20"/>
          <w:szCs w:val="20"/>
          <w:color w:val="auto"/>
        </w:rPr>
      </w:pPr>
      <w:r>
        <w:rPr>
          <w:rFonts w:ascii="Arial" w:cs="Arial" w:eastAsia="Arial" w:hAnsi="Arial"/>
          <w:sz w:val="19"/>
          <w:szCs w:val="19"/>
          <w:color w:val="EE2724"/>
          <w:strike w:val="1"/>
        </w:rPr>
        <w:t>By:</w:t>
      </w:r>
      <w:r>
        <w:rPr>
          <w:sz w:val="20"/>
          <w:szCs w:val="20"/>
          <w:color w:val="auto"/>
        </w:rPr>
        <w:tab/>
      </w:r>
      <w:r>
        <w:rPr>
          <w:rFonts w:ascii="Arial" w:cs="Arial" w:eastAsia="Arial" w:hAnsi="Arial"/>
          <w:sz w:val="19"/>
          <w:szCs w:val="19"/>
          <w:color w:val="EE2724"/>
          <w:strike w:val="1"/>
        </w:rPr>
        <w:t>AMERICAN ASSETS TRUST, INC. its General Partner</w:t>
      </w:r>
    </w:p>
    <w:p>
      <w:pPr>
        <w:spacing w:after="0" w:line="331"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24765</wp:posOffset>
            </wp:positionV>
            <wp:extent cx="3624580"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37" w:lineRule="exact"/>
        <w:rPr>
          <w:sz w:val="20"/>
          <w:szCs w:val="20"/>
          <w:color w:val="auto"/>
        </w:rPr>
      </w:pPr>
    </w:p>
    <w:p>
      <w:pPr>
        <w:ind w:left="4540"/>
        <w:spacing w:after="0"/>
        <w:rPr>
          <w:sz w:val="20"/>
          <w:szCs w:val="20"/>
          <w:color w:val="auto"/>
        </w:rPr>
      </w:pPr>
      <w:r>
        <w:rPr>
          <w:rFonts w:ascii="Arial" w:cs="Arial" w:eastAsia="Arial" w:hAnsi="Arial"/>
          <w:sz w:val="20"/>
          <w:szCs w:val="20"/>
          <w:color w:val="EE2724"/>
          <w:strike w:val="1"/>
        </w:rPr>
        <w:t>Name: Ernest Rady</w:t>
      </w:r>
    </w:p>
    <w:p>
      <w:pPr>
        <w:spacing w:after="0" w:line="295" w:lineRule="exact"/>
        <w:rPr>
          <w:sz w:val="20"/>
          <w:szCs w:val="20"/>
          <w:color w:val="auto"/>
        </w:rPr>
      </w:pPr>
    </w:p>
    <w:p>
      <w:pPr>
        <w:ind w:left="4540"/>
        <w:spacing w:after="0"/>
        <w:rPr>
          <w:sz w:val="20"/>
          <w:szCs w:val="20"/>
          <w:color w:val="auto"/>
        </w:rPr>
      </w:pPr>
      <w:r>
        <w:rPr>
          <w:rFonts w:ascii="Arial" w:cs="Arial" w:eastAsia="Arial" w:hAnsi="Arial"/>
          <w:sz w:val="19"/>
          <w:szCs w:val="19"/>
          <w:color w:val="EE2724"/>
          <w:strike w:val="1"/>
        </w:rPr>
        <w:t>Title: Chairman, President and Chief Executive Officer</w:t>
      </w:r>
    </w:p>
    <w:p>
      <w:pPr>
        <w:spacing w:after="0" w:line="331"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24765</wp:posOffset>
            </wp:positionV>
            <wp:extent cx="3624580"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37" w:lineRule="exact"/>
        <w:rPr>
          <w:sz w:val="20"/>
          <w:szCs w:val="20"/>
          <w:color w:val="auto"/>
        </w:rPr>
      </w:pPr>
    </w:p>
    <w:p>
      <w:pPr>
        <w:ind w:left="4540"/>
        <w:spacing w:after="0"/>
        <w:rPr>
          <w:sz w:val="20"/>
          <w:szCs w:val="20"/>
          <w:color w:val="auto"/>
        </w:rPr>
      </w:pPr>
      <w:r>
        <w:rPr>
          <w:rFonts w:ascii="Arial" w:cs="Arial" w:eastAsia="Arial" w:hAnsi="Arial"/>
          <w:sz w:val="20"/>
          <w:szCs w:val="20"/>
          <w:color w:val="EE2724"/>
          <w:strike w:val="1"/>
        </w:rPr>
        <w:t>Name: Robert F. Barton</w:t>
      </w:r>
    </w:p>
    <w:p>
      <w:pPr>
        <w:spacing w:after="0" w:line="45" w:lineRule="exact"/>
        <w:rPr>
          <w:sz w:val="20"/>
          <w:szCs w:val="20"/>
          <w:color w:val="auto"/>
        </w:rPr>
      </w:pPr>
    </w:p>
    <w:p>
      <w:pPr>
        <w:ind w:left="4540"/>
        <w:spacing w:after="0"/>
        <w:rPr>
          <w:sz w:val="20"/>
          <w:szCs w:val="20"/>
          <w:color w:val="auto"/>
        </w:rPr>
      </w:pPr>
      <w:r>
        <w:rPr>
          <w:rFonts w:ascii="Arial" w:cs="Arial" w:eastAsia="Arial" w:hAnsi="Arial"/>
          <w:sz w:val="18"/>
          <w:szCs w:val="18"/>
          <w:color w:val="EE2724"/>
          <w:strike w:val="1"/>
        </w:rPr>
        <w:t>Title: Chief Financial Officer and Executive Vice President</w:t>
      </w:r>
    </w:p>
    <w:p>
      <w:pPr>
        <w:spacing w:after="0" w:line="343"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PACIFIC SOUTH COURT HOLDINGS, L.P.</w:t>
      </w:r>
    </w:p>
    <w:p>
      <w:pPr>
        <w:spacing w:after="0" w:line="320" w:lineRule="exact"/>
        <w:rPr>
          <w:sz w:val="20"/>
          <w:szCs w:val="20"/>
          <w:color w:val="auto"/>
        </w:rPr>
      </w:pPr>
    </w:p>
    <w:p>
      <w:pPr>
        <w:ind w:left="3860"/>
        <w:spacing w:after="0"/>
        <w:tabs>
          <w:tab w:leader="none" w:pos="4520" w:val="left"/>
        </w:tabs>
        <w:rPr>
          <w:sz w:val="20"/>
          <w:szCs w:val="20"/>
          <w:color w:val="auto"/>
        </w:rPr>
      </w:pPr>
      <w:r>
        <w:rPr>
          <w:rFonts w:ascii="Arial" w:cs="Arial" w:eastAsia="Arial" w:hAnsi="Arial"/>
          <w:sz w:val="20"/>
          <w:szCs w:val="20"/>
          <w:color w:val="EE2724"/>
          <w:strike w:val="1"/>
        </w:rPr>
        <w:t>By:</w:t>
      </w:r>
      <w:r>
        <w:rPr>
          <w:sz w:val="20"/>
          <w:szCs w:val="20"/>
          <w:color w:val="auto"/>
        </w:rPr>
        <w:tab/>
      </w:r>
      <w:r>
        <w:rPr>
          <w:rFonts w:ascii="Arial" w:cs="Arial" w:eastAsia="Arial" w:hAnsi="Arial"/>
          <w:sz w:val="20"/>
          <w:szCs w:val="20"/>
          <w:color w:val="EE2724"/>
          <w:strike w:val="1"/>
        </w:rPr>
        <w:t>PACIFIC SOUTH COURT ASSETS LLC,</w:t>
      </w:r>
    </w:p>
    <w:p>
      <w:pPr>
        <w:spacing w:after="0" w:line="45" w:lineRule="exact"/>
        <w:rPr>
          <w:sz w:val="20"/>
          <w:szCs w:val="20"/>
          <w:color w:val="auto"/>
        </w:rPr>
      </w:pPr>
    </w:p>
    <w:p>
      <w:pPr>
        <w:ind w:left="4540"/>
        <w:spacing w:after="0"/>
        <w:rPr>
          <w:sz w:val="20"/>
          <w:szCs w:val="20"/>
          <w:color w:val="auto"/>
        </w:rPr>
      </w:pPr>
      <w:r>
        <w:rPr>
          <w:rFonts w:ascii="Arial" w:cs="Arial" w:eastAsia="Arial" w:hAnsi="Arial"/>
          <w:sz w:val="20"/>
          <w:szCs w:val="20"/>
          <w:color w:val="EE2724"/>
          <w:strike w:val="1"/>
        </w:rPr>
        <w:t>its General Partner</w:t>
      </w:r>
    </w:p>
    <w:p>
      <w:pPr>
        <w:spacing w:after="0" w:line="320" w:lineRule="exact"/>
        <w:rPr>
          <w:sz w:val="20"/>
          <w:szCs w:val="20"/>
          <w:color w:val="auto"/>
        </w:rPr>
      </w:pPr>
    </w:p>
    <w:p>
      <w:pPr>
        <w:ind w:left="3860"/>
        <w:spacing w:after="0"/>
        <w:tabs>
          <w:tab w:leader="none" w:pos="4520" w:val="left"/>
        </w:tabs>
        <w:rPr>
          <w:sz w:val="20"/>
          <w:szCs w:val="20"/>
          <w:color w:val="auto"/>
        </w:rPr>
      </w:pPr>
      <w:r>
        <w:rPr>
          <w:rFonts w:ascii="Arial" w:cs="Arial" w:eastAsia="Arial" w:hAnsi="Arial"/>
          <w:sz w:val="20"/>
          <w:szCs w:val="20"/>
          <w:color w:val="EE2724"/>
          <w:strike w:val="1"/>
        </w:rPr>
        <w:t>By:</w:t>
      </w:r>
      <w:r>
        <w:rPr>
          <w:sz w:val="20"/>
          <w:szCs w:val="20"/>
          <w:color w:val="auto"/>
        </w:rPr>
        <w:tab/>
      </w:r>
      <w:r>
        <w:rPr>
          <w:rFonts w:ascii="Arial" w:cs="Arial" w:eastAsia="Arial" w:hAnsi="Arial"/>
          <w:sz w:val="20"/>
          <w:szCs w:val="20"/>
          <w:color w:val="EE2724"/>
          <w:strike w:val="1"/>
        </w:rPr>
        <w:t>AMERICAN ASSETS TRUST, L.P. its Sole Member</w:t>
      </w:r>
    </w:p>
    <w:p>
      <w:pPr>
        <w:sectPr>
          <w:pgSz w:w="11900" w:h="16838" w:orient="portrait"/>
          <w:cols w:equalWidth="0" w:num="1">
            <w:col w:w="9280"/>
          </w:cols>
          <w:pgMar w:left="1440" w:top="495" w:right="1179" w:bottom="144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ind w:left="3860"/>
        <w:spacing w:after="0"/>
        <w:rPr>
          <w:sz w:val="20"/>
          <w:szCs w:val="20"/>
          <w:color w:val="auto"/>
        </w:rPr>
      </w:pPr>
      <w:r>
        <w:rPr>
          <w:rFonts w:ascii="Arial" w:cs="Arial" w:eastAsia="Arial" w:hAnsi="Arial"/>
          <w:sz w:val="19"/>
          <w:szCs w:val="19"/>
          <w:color w:val="EE2724"/>
          <w:strike w:val="1"/>
        </w:rPr>
        <w:t>By:</w:t>
      </w:r>
    </w:p>
    <w:p>
      <w:pPr>
        <w:spacing w:after="0" w:line="331" w:lineRule="exact"/>
        <w:rPr>
          <w:sz w:val="20"/>
          <w:szCs w:val="20"/>
          <w:color w:val="auto"/>
        </w:rPr>
      </w:pPr>
    </w:p>
    <w:p>
      <w:pPr>
        <w:ind w:left="3860"/>
        <w:spacing w:after="0"/>
        <w:rPr>
          <w:sz w:val="20"/>
          <w:szCs w:val="20"/>
          <w:color w:val="auto"/>
        </w:rPr>
      </w:pPr>
      <w:r>
        <w:rPr>
          <w:rFonts w:ascii="Arial" w:cs="Arial" w:eastAsia="Arial" w:hAnsi="Arial"/>
          <w:sz w:val="19"/>
          <w:szCs w:val="19"/>
          <w:color w:val="EE2724"/>
          <w:strike w:val="1"/>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EE2724"/>
          <w:strike w:val="1"/>
        </w:rPr>
        <w:t>AMERICAN ASSETS TRUST, INC.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388620</wp:posOffset>
            </wp:positionV>
            <wp:extent cx="3624580"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630" w:lineRule="exact"/>
        <w:rPr>
          <w:sz w:val="20"/>
          <w:szCs w:val="20"/>
          <w:color w:val="auto"/>
        </w:rPr>
      </w:pPr>
    </w:p>
    <w:p>
      <w:pPr>
        <w:sectPr>
          <w:pgSz w:w="11900" w:h="16838" w:orient="portrait"/>
          <w:cols w:equalWidth="0" w:num="2">
            <w:col w:w="4140" w:space="400"/>
            <w:col w:w="4740"/>
          </w:cols>
          <w:pgMar w:left="1440" w:top="495" w:right="1179" w:bottom="1440" w:gutter="0" w:footer="0" w:header="0"/>
          <w:type w:val="continuous"/>
        </w:sectPr>
      </w:pPr>
    </w:p>
    <w:p>
      <w:pPr>
        <w:ind w:left="4540"/>
        <w:spacing w:after="0"/>
        <w:rPr>
          <w:sz w:val="20"/>
          <w:szCs w:val="20"/>
          <w:color w:val="auto"/>
        </w:rPr>
      </w:pPr>
      <w:r>
        <w:rPr>
          <w:rFonts w:ascii="Arial" w:cs="Arial" w:eastAsia="Arial" w:hAnsi="Arial"/>
          <w:sz w:val="18"/>
          <w:szCs w:val="18"/>
          <w:color w:val="EE2724"/>
          <w:strike w:val="1"/>
        </w:rPr>
        <w:t>Name: Ernest Rady</w:t>
      </w:r>
    </w:p>
    <w:p>
      <w:pPr>
        <w:sectPr>
          <w:pgSz w:w="11900" w:h="16838" w:orient="portrait"/>
          <w:cols w:equalWidth="0" w:num="1">
            <w:col w:w="9280"/>
          </w:cols>
          <w:pgMar w:left="1440" w:top="495" w:right="1179" w:bottom="1440" w:gutter="0" w:footer="0" w:header="0"/>
          <w:type w:val="continuous"/>
        </w:sectPr>
      </w:pPr>
    </w:p>
    <w:p>
      <w:pPr>
        <w:spacing w:after="0" w:line="318" w:lineRule="exact"/>
        <w:rPr>
          <w:sz w:val="20"/>
          <w:szCs w:val="20"/>
          <w:color w:val="auto"/>
        </w:rPr>
      </w:pPr>
    </w:p>
    <w:p>
      <w:pPr>
        <w:ind w:left="4540"/>
        <w:spacing w:after="0"/>
        <w:rPr>
          <w:sz w:val="20"/>
          <w:szCs w:val="20"/>
          <w:color w:val="auto"/>
        </w:rPr>
      </w:pPr>
      <w:r>
        <w:rPr>
          <w:rFonts w:ascii="Arial" w:cs="Arial" w:eastAsia="Arial" w:hAnsi="Arial"/>
          <w:sz w:val="18"/>
          <w:szCs w:val="18"/>
          <w:color w:val="EE2724"/>
          <w:strike w:val="1"/>
        </w:rPr>
        <w:t>Title: Chairman, President and Chief Executive Officer</w:t>
      </w:r>
    </w:p>
    <w:p>
      <w:pPr>
        <w:spacing w:after="0" w:line="343"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24765</wp:posOffset>
            </wp:positionV>
            <wp:extent cx="2101850"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01850" cy="7620"/>
                    </a:xfrm>
                    <a:prstGeom prst="rect">
                      <a:avLst/>
                    </a:prstGeom>
                    <a:noFill/>
                  </pic:spPr>
                </pic:pic>
              </a:graphicData>
            </a:graphic>
          </wp:anchor>
        </w:drawing>
      </w:r>
    </w:p>
    <w:p>
      <w:pPr>
        <w:spacing w:after="0" w:line="25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[Signature Page to Guaranty]</w:t>
      </w:r>
    </w:p>
    <w:p>
      <w:pPr>
        <w:sectPr>
          <w:pgSz w:w="11900" w:h="16838" w:orient="portrait"/>
          <w:cols w:equalWidth="0" w:num="1">
            <w:col w:w="9280"/>
          </w:cols>
          <w:pgMar w:left="1440" w:top="495" w:right="1179" w:bottom="1440" w:gutter="0" w:footer="0" w:header="0"/>
          <w:type w:val="continuous"/>
        </w:sectPr>
      </w:pPr>
    </w:p>
    <w:bookmarkStart w:id="567" w:name="page568"/>
    <w:bookmarkEnd w:id="567"/>
    <w:p>
      <w:pPr>
        <w:ind w:left="4540"/>
        <w:spacing w:after="0"/>
        <w:rPr>
          <w:sz w:val="20"/>
          <w:szCs w:val="20"/>
          <w:color w:val="auto"/>
        </w:rPr>
      </w:pPr>
      <w:r>
        <w:rPr>
          <w:rFonts w:ascii="Arial" w:cs="Arial" w:eastAsia="Arial" w:hAnsi="Arial"/>
          <w:sz w:val="20"/>
          <w:szCs w:val="20"/>
          <w:color w:val="EE2724"/>
          <w:strike w:val="1"/>
        </w:rPr>
        <w:t>Name: Robert F. Barton</w:t>
      </w:r>
    </w:p>
    <w:p>
      <w:pPr>
        <w:spacing w:after="0" w:line="45" w:lineRule="exact"/>
        <w:rPr>
          <w:sz w:val="20"/>
          <w:szCs w:val="20"/>
          <w:color w:val="auto"/>
        </w:rPr>
      </w:pPr>
    </w:p>
    <w:p>
      <w:pPr>
        <w:ind w:left="4540"/>
        <w:spacing w:after="0"/>
        <w:rPr>
          <w:sz w:val="20"/>
          <w:szCs w:val="20"/>
          <w:color w:val="auto"/>
        </w:rPr>
      </w:pPr>
      <w:r>
        <w:rPr>
          <w:rFonts w:ascii="Arial" w:cs="Arial" w:eastAsia="Arial" w:hAnsi="Arial"/>
          <w:sz w:val="18"/>
          <w:szCs w:val="18"/>
          <w:color w:val="EE2724"/>
          <w:strike w:val="1"/>
        </w:rPr>
        <w:t>Title: Chief Financial Officer and Executive Vice President</w:t>
      </w:r>
    </w:p>
    <w:p>
      <w:pPr>
        <w:spacing w:after="0" w:line="343"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PACIFIC TORREY DAYCARE HOLDINGS, L.P.</w:t>
      </w:r>
    </w:p>
    <w:p>
      <w:pPr>
        <w:sectPr>
          <w:pgSz w:w="11900" w:h="16838" w:orient="portrait"/>
          <w:cols w:equalWidth="0" w:num="1">
            <w:col w:w="9280"/>
          </w:cols>
          <w:pgMar w:left="1440" w:top="494" w:right="1179" w:bottom="1440" w:gutter="0" w:footer="0" w:header="0"/>
        </w:sectPr>
      </w:pPr>
    </w:p>
    <w:p>
      <w:pPr>
        <w:spacing w:after="0" w:line="320" w:lineRule="exact"/>
        <w:rPr>
          <w:sz w:val="20"/>
          <w:szCs w:val="20"/>
          <w:color w:val="auto"/>
        </w:rPr>
      </w:pPr>
    </w:p>
    <w:p>
      <w:pPr>
        <w:ind w:left="3860"/>
        <w:spacing w:after="0"/>
        <w:rPr>
          <w:sz w:val="20"/>
          <w:szCs w:val="20"/>
          <w:color w:val="auto"/>
        </w:rPr>
      </w:pPr>
      <w:r>
        <w:rPr>
          <w:rFonts w:ascii="Arial" w:cs="Arial" w:eastAsia="Arial" w:hAnsi="Arial"/>
          <w:sz w:val="19"/>
          <w:szCs w:val="19"/>
          <w:color w:val="EE2724"/>
          <w:strike w:val="1"/>
        </w:rPr>
        <w:t>By:</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right="900"/>
        <w:spacing w:after="0" w:line="311" w:lineRule="auto"/>
        <w:rPr>
          <w:sz w:val="20"/>
          <w:szCs w:val="20"/>
          <w:color w:val="auto"/>
        </w:rPr>
      </w:pPr>
      <w:r>
        <w:rPr>
          <w:rFonts w:ascii="Arial" w:cs="Arial" w:eastAsia="Arial" w:hAnsi="Arial"/>
          <w:sz w:val="20"/>
          <w:szCs w:val="20"/>
          <w:color w:val="EE2724"/>
          <w:strike w:val="1"/>
        </w:rPr>
        <w:t>PACIFIC TORREY DAYCARE ASSETS LLC, its General Partner</w:t>
      </w:r>
    </w:p>
    <w:p>
      <w:pPr>
        <w:spacing w:after="0" w:line="200" w:lineRule="exact"/>
        <w:rPr>
          <w:sz w:val="20"/>
          <w:szCs w:val="20"/>
          <w:color w:val="auto"/>
        </w:rPr>
      </w:pPr>
    </w:p>
    <w:p>
      <w:pPr>
        <w:sectPr>
          <w:pgSz w:w="11900" w:h="16838" w:orient="portrait"/>
          <w:cols w:equalWidth="0" w:num="2">
            <w:col w:w="4140" w:space="400"/>
            <w:col w:w="4740"/>
          </w:cols>
          <w:pgMar w:left="1440" w:top="494" w:right="1179" w:bottom="1440" w:gutter="0" w:footer="0" w:header="0"/>
          <w:type w:val="continuous"/>
        </w:sectPr>
      </w:pPr>
    </w:p>
    <w:p>
      <w:pPr>
        <w:spacing w:after="0" w:line="28" w:lineRule="exact"/>
        <w:rPr>
          <w:sz w:val="20"/>
          <w:szCs w:val="20"/>
          <w:color w:val="auto"/>
        </w:rPr>
      </w:pPr>
    </w:p>
    <w:p>
      <w:pPr>
        <w:ind w:left="3860"/>
        <w:spacing w:after="0"/>
        <w:rPr>
          <w:sz w:val="20"/>
          <w:szCs w:val="20"/>
          <w:color w:val="auto"/>
        </w:rPr>
      </w:pPr>
      <w:r>
        <w:rPr>
          <w:rFonts w:ascii="Arial" w:cs="Arial" w:eastAsia="Arial" w:hAnsi="Arial"/>
          <w:sz w:val="19"/>
          <w:szCs w:val="19"/>
          <w:color w:val="EE2724"/>
          <w:strike w:val="1"/>
        </w:rPr>
        <w:t>By:</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EE2724"/>
          <w:strike w:val="1"/>
        </w:rPr>
        <w:t>AMERICAN ASSETS TRUST, L.P. its Sole Member</w:t>
      </w:r>
    </w:p>
    <w:p>
      <w:pPr>
        <w:spacing w:after="0" w:line="211" w:lineRule="exact"/>
        <w:rPr>
          <w:sz w:val="20"/>
          <w:szCs w:val="20"/>
          <w:color w:val="auto"/>
        </w:rPr>
      </w:pPr>
    </w:p>
    <w:p>
      <w:pPr>
        <w:sectPr>
          <w:pgSz w:w="11900" w:h="16838" w:orient="portrait"/>
          <w:cols w:equalWidth="0" w:num="2">
            <w:col w:w="4140" w:space="400"/>
            <w:col w:w="4740"/>
          </w:cols>
          <w:pgMar w:left="1440" w:top="494" w:right="1179" w:bottom="1440" w:gutter="0" w:footer="0" w:header="0"/>
          <w:type w:val="continuous"/>
        </w:sectPr>
      </w:pPr>
    </w:p>
    <w:p>
      <w:pPr>
        <w:spacing w:after="0" w:line="131" w:lineRule="exact"/>
        <w:rPr>
          <w:sz w:val="20"/>
          <w:szCs w:val="20"/>
          <w:color w:val="auto"/>
        </w:rPr>
      </w:pPr>
    </w:p>
    <w:p>
      <w:pPr>
        <w:ind w:left="3860"/>
        <w:spacing w:after="0"/>
        <w:rPr>
          <w:sz w:val="20"/>
          <w:szCs w:val="20"/>
          <w:color w:val="auto"/>
        </w:rPr>
      </w:pPr>
      <w:r>
        <w:rPr>
          <w:rFonts w:ascii="Arial" w:cs="Arial" w:eastAsia="Arial" w:hAnsi="Arial"/>
          <w:sz w:val="19"/>
          <w:szCs w:val="19"/>
          <w:color w:val="EE2724"/>
          <w:strike w:val="1"/>
        </w:rPr>
        <w:t>By:</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EE2724"/>
          <w:strike w:val="1"/>
        </w:rPr>
        <w:t>AMERICAN ASSETS TRUST, INC. its General Partner</w:t>
      </w:r>
    </w:p>
    <w:p>
      <w:pPr>
        <w:spacing w:after="0" w:line="211" w:lineRule="exact"/>
        <w:rPr>
          <w:sz w:val="20"/>
          <w:szCs w:val="20"/>
          <w:color w:val="auto"/>
        </w:rPr>
      </w:pPr>
    </w:p>
    <w:p>
      <w:pPr>
        <w:sectPr>
          <w:pgSz w:w="11900" w:h="16838" w:orient="portrait"/>
          <w:cols w:equalWidth="0" w:num="2">
            <w:col w:w="4140" w:space="400"/>
            <w:col w:w="4740"/>
          </w:cols>
          <w:pgMar w:left="1440" w:top="494" w:right="1179" w:bottom="1440" w:gutter="0" w:footer="0" w:header="0"/>
          <w:type w:val="continuous"/>
        </w:sectPr>
      </w:pPr>
    </w:p>
    <w:p>
      <w:pPr>
        <w:spacing w:after="0" w:line="131"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24765</wp:posOffset>
            </wp:positionV>
            <wp:extent cx="3624580"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37" w:lineRule="exact"/>
        <w:rPr>
          <w:sz w:val="20"/>
          <w:szCs w:val="20"/>
          <w:color w:val="auto"/>
        </w:rPr>
      </w:pPr>
    </w:p>
    <w:p>
      <w:pPr>
        <w:ind w:left="4540"/>
        <w:spacing w:after="0"/>
        <w:rPr>
          <w:sz w:val="20"/>
          <w:szCs w:val="20"/>
          <w:color w:val="auto"/>
        </w:rPr>
      </w:pPr>
      <w:r>
        <w:rPr>
          <w:rFonts w:ascii="Arial" w:cs="Arial" w:eastAsia="Arial" w:hAnsi="Arial"/>
          <w:sz w:val="20"/>
          <w:szCs w:val="20"/>
          <w:color w:val="EE2724"/>
          <w:strike w:val="1"/>
        </w:rPr>
        <w:t>Name: Ernest Rady</w:t>
      </w:r>
    </w:p>
    <w:p>
      <w:pPr>
        <w:spacing w:after="0" w:line="295" w:lineRule="exact"/>
        <w:rPr>
          <w:sz w:val="20"/>
          <w:szCs w:val="20"/>
          <w:color w:val="auto"/>
        </w:rPr>
      </w:pPr>
    </w:p>
    <w:p>
      <w:pPr>
        <w:ind w:left="4540"/>
        <w:spacing w:after="0"/>
        <w:rPr>
          <w:sz w:val="20"/>
          <w:szCs w:val="20"/>
          <w:color w:val="auto"/>
        </w:rPr>
      </w:pPr>
      <w:r>
        <w:rPr>
          <w:rFonts w:ascii="Arial" w:cs="Arial" w:eastAsia="Arial" w:hAnsi="Arial"/>
          <w:sz w:val="19"/>
          <w:szCs w:val="19"/>
          <w:color w:val="EE2724"/>
          <w:strike w:val="1"/>
        </w:rPr>
        <w:t>Title: Chairman, President and Chief Executive Officer</w:t>
      </w:r>
    </w:p>
    <w:p>
      <w:pPr>
        <w:spacing w:after="0" w:line="331"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24765</wp:posOffset>
            </wp:positionV>
            <wp:extent cx="3624580"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37" w:lineRule="exact"/>
        <w:rPr>
          <w:sz w:val="20"/>
          <w:szCs w:val="20"/>
          <w:color w:val="auto"/>
        </w:rPr>
      </w:pPr>
    </w:p>
    <w:p>
      <w:pPr>
        <w:ind w:left="4540"/>
        <w:spacing w:after="0"/>
        <w:rPr>
          <w:sz w:val="20"/>
          <w:szCs w:val="20"/>
          <w:color w:val="auto"/>
        </w:rPr>
      </w:pPr>
      <w:r>
        <w:rPr>
          <w:rFonts w:ascii="Arial" w:cs="Arial" w:eastAsia="Arial" w:hAnsi="Arial"/>
          <w:sz w:val="20"/>
          <w:szCs w:val="20"/>
          <w:color w:val="EE2724"/>
          <w:strike w:val="1"/>
        </w:rPr>
        <w:t>Name: Robert F. Barton</w:t>
      </w:r>
    </w:p>
    <w:p>
      <w:pPr>
        <w:spacing w:after="0" w:line="45" w:lineRule="exact"/>
        <w:rPr>
          <w:sz w:val="20"/>
          <w:szCs w:val="20"/>
          <w:color w:val="auto"/>
        </w:rPr>
      </w:pPr>
    </w:p>
    <w:p>
      <w:pPr>
        <w:ind w:left="4540"/>
        <w:spacing w:after="0"/>
        <w:rPr>
          <w:sz w:val="20"/>
          <w:szCs w:val="20"/>
          <w:color w:val="auto"/>
        </w:rPr>
      </w:pPr>
      <w:r>
        <w:rPr>
          <w:rFonts w:ascii="Arial" w:cs="Arial" w:eastAsia="Arial" w:hAnsi="Arial"/>
          <w:sz w:val="18"/>
          <w:szCs w:val="18"/>
          <w:color w:val="EE2724"/>
          <w:strike w:val="1"/>
        </w:rPr>
        <w:t>Title: Chief Financial Officer and Executive Vice President</w:t>
      </w:r>
    </w:p>
    <w:p>
      <w:pPr>
        <w:sectPr>
          <w:pgSz w:w="11900" w:h="16838" w:orient="portrait"/>
          <w:cols w:equalWidth="0" w:num="1">
            <w:col w:w="9280"/>
          </w:cols>
          <w:pgMar w:left="1440" w:top="494" w:right="1179" w:bottom="1440" w:gutter="0" w:footer="0" w:header="0"/>
          <w:type w:val="continuous"/>
        </w:sectPr>
      </w:pPr>
    </w:p>
    <w:p>
      <w:pPr>
        <w:spacing w:after="0" w:line="343" w:lineRule="exact"/>
        <w:rPr>
          <w:sz w:val="20"/>
          <w:szCs w:val="20"/>
          <w:color w:val="auto"/>
        </w:rPr>
      </w:pPr>
    </w:p>
    <w:p>
      <w:pPr>
        <w:ind w:left="3860"/>
        <w:spacing w:after="0"/>
        <w:rPr>
          <w:sz w:val="20"/>
          <w:szCs w:val="20"/>
          <w:color w:val="auto"/>
        </w:rPr>
      </w:pPr>
      <w:r>
        <w:rPr>
          <w:rFonts w:ascii="Arial" w:cs="Arial" w:eastAsia="Arial" w:hAnsi="Arial"/>
          <w:sz w:val="18"/>
          <w:szCs w:val="18"/>
          <w:color w:val="EE2724"/>
          <w:strike w:val="1"/>
        </w:rPr>
        <w:t>PACIFIC SANTA FE HOLDINGS, L.P.</w:t>
      </w:r>
    </w:p>
    <w:p>
      <w:pPr>
        <w:sectPr>
          <w:pgSz w:w="11900" w:h="16838" w:orient="portrait"/>
          <w:cols w:equalWidth="0" w:num="1">
            <w:col w:w="9280"/>
          </w:cols>
          <w:pgMar w:left="1440" w:top="494" w:right="1179" w:bottom="1440" w:gutter="0" w:footer="0" w:header="0"/>
          <w:type w:val="continuous"/>
        </w:sectPr>
      </w:pPr>
    </w:p>
    <w:p>
      <w:pPr>
        <w:spacing w:after="0" w:line="343" w:lineRule="exact"/>
        <w:rPr>
          <w:sz w:val="20"/>
          <w:szCs w:val="20"/>
          <w:color w:val="auto"/>
        </w:rPr>
      </w:pPr>
    </w:p>
    <w:p>
      <w:pPr>
        <w:ind w:left="3860"/>
        <w:spacing w:after="0"/>
        <w:rPr>
          <w:sz w:val="20"/>
          <w:szCs w:val="20"/>
          <w:color w:val="auto"/>
        </w:rPr>
      </w:pPr>
      <w:r>
        <w:rPr>
          <w:rFonts w:ascii="Arial" w:cs="Arial" w:eastAsia="Arial" w:hAnsi="Arial"/>
          <w:sz w:val="19"/>
          <w:szCs w:val="19"/>
          <w:color w:val="EE2724"/>
          <w:strike w:val="1"/>
        </w:rPr>
        <w:t>By:</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right="1760"/>
        <w:spacing w:after="0" w:line="311" w:lineRule="auto"/>
        <w:rPr>
          <w:sz w:val="20"/>
          <w:szCs w:val="20"/>
          <w:color w:val="auto"/>
        </w:rPr>
      </w:pPr>
      <w:r>
        <w:rPr>
          <w:rFonts w:ascii="Arial" w:cs="Arial" w:eastAsia="Arial" w:hAnsi="Arial"/>
          <w:sz w:val="20"/>
          <w:szCs w:val="20"/>
          <w:color w:val="EE2724"/>
          <w:strike w:val="1"/>
        </w:rPr>
        <w:t>PACIFIC SANTA FE ASSETS LLC, its General Partner</w:t>
      </w:r>
    </w:p>
    <w:p>
      <w:pPr>
        <w:spacing w:after="0" w:line="200" w:lineRule="exact"/>
        <w:rPr>
          <w:sz w:val="20"/>
          <w:szCs w:val="20"/>
          <w:color w:val="auto"/>
        </w:rPr>
      </w:pPr>
    </w:p>
    <w:p>
      <w:pPr>
        <w:sectPr>
          <w:pgSz w:w="11900" w:h="16838" w:orient="portrait"/>
          <w:cols w:equalWidth="0" w:num="2">
            <w:col w:w="4140" w:space="400"/>
            <w:col w:w="4740"/>
          </w:cols>
          <w:pgMar w:left="1440" w:top="494" w:right="1179" w:bottom="1440" w:gutter="0" w:footer="0" w:header="0"/>
          <w:type w:val="continuous"/>
        </w:sectPr>
      </w:pPr>
    </w:p>
    <w:p>
      <w:pPr>
        <w:spacing w:after="0" w:line="28" w:lineRule="exact"/>
        <w:rPr>
          <w:sz w:val="20"/>
          <w:szCs w:val="20"/>
          <w:color w:val="auto"/>
        </w:rPr>
      </w:pPr>
    </w:p>
    <w:p>
      <w:pPr>
        <w:ind w:left="3860"/>
        <w:spacing w:after="0"/>
        <w:rPr>
          <w:sz w:val="20"/>
          <w:szCs w:val="20"/>
          <w:color w:val="auto"/>
        </w:rPr>
      </w:pPr>
      <w:r>
        <w:rPr>
          <w:rFonts w:ascii="Arial" w:cs="Arial" w:eastAsia="Arial" w:hAnsi="Arial"/>
          <w:sz w:val="19"/>
          <w:szCs w:val="19"/>
          <w:color w:val="EE2724"/>
          <w:strike w:val="1"/>
        </w:rPr>
        <w:t>By:</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EE2724"/>
          <w:strike w:val="1"/>
        </w:rPr>
        <w:t>AMERICAN ASSETS TRUST, L.P. its Sole Member</w:t>
      </w:r>
    </w:p>
    <w:p>
      <w:pPr>
        <w:spacing w:after="0" w:line="211" w:lineRule="exact"/>
        <w:rPr>
          <w:sz w:val="20"/>
          <w:szCs w:val="20"/>
          <w:color w:val="auto"/>
        </w:rPr>
      </w:pPr>
    </w:p>
    <w:p>
      <w:pPr>
        <w:sectPr>
          <w:pgSz w:w="11900" w:h="16838" w:orient="portrait"/>
          <w:cols w:equalWidth="0" w:num="2">
            <w:col w:w="4140" w:space="400"/>
            <w:col w:w="4740"/>
          </w:cols>
          <w:pgMar w:left="1440" w:top="494" w:right="1179" w:bottom="1440" w:gutter="0" w:footer="0" w:header="0"/>
          <w:type w:val="continuous"/>
        </w:sectPr>
      </w:pPr>
    </w:p>
    <w:p>
      <w:pPr>
        <w:spacing w:after="0" w:line="131" w:lineRule="exact"/>
        <w:rPr>
          <w:sz w:val="20"/>
          <w:szCs w:val="20"/>
          <w:color w:val="auto"/>
        </w:rPr>
      </w:pPr>
    </w:p>
    <w:p>
      <w:pPr>
        <w:ind w:left="3860"/>
        <w:spacing w:after="0"/>
        <w:rPr>
          <w:sz w:val="20"/>
          <w:szCs w:val="20"/>
          <w:color w:val="auto"/>
        </w:rPr>
      </w:pPr>
      <w:r>
        <w:rPr>
          <w:rFonts w:ascii="Arial" w:cs="Arial" w:eastAsia="Arial" w:hAnsi="Arial"/>
          <w:sz w:val="19"/>
          <w:szCs w:val="19"/>
          <w:color w:val="EE2724"/>
          <w:strike w:val="1"/>
        </w:rPr>
        <w:t>By:</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EE2724"/>
          <w:strike w:val="1"/>
        </w:rPr>
        <w:t>AMERICAN ASSETS TRUST, INC. its General Partner</w:t>
      </w:r>
    </w:p>
    <w:p>
      <w:pPr>
        <w:spacing w:after="0" w:line="211" w:lineRule="exact"/>
        <w:rPr>
          <w:sz w:val="20"/>
          <w:szCs w:val="20"/>
          <w:color w:val="auto"/>
        </w:rPr>
      </w:pPr>
    </w:p>
    <w:p>
      <w:pPr>
        <w:sectPr>
          <w:pgSz w:w="11900" w:h="16838" w:orient="portrait"/>
          <w:cols w:equalWidth="0" w:num="2">
            <w:col w:w="4140" w:space="400"/>
            <w:col w:w="4740"/>
          </w:cols>
          <w:pgMar w:left="1440" w:top="494" w:right="1179" w:bottom="1440" w:gutter="0" w:footer="0" w:header="0"/>
          <w:type w:val="continuous"/>
        </w:sectPr>
      </w:pPr>
    </w:p>
    <w:p>
      <w:pPr>
        <w:spacing w:after="0" w:line="131"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24765</wp:posOffset>
            </wp:positionV>
            <wp:extent cx="3624580"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37" w:lineRule="exact"/>
        <w:rPr>
          <w:sz w:val="20"/>
          <w:szCs w:val="20"/>
          <w:color w:val="auto"/>
        </w:rPr>
      </w:pPr>
    </w:p>
    <w:p>
      <w:pPr>
        <w:ind w:left="4540"/>
        <w:spacing w:after="0"/>
        <w:rPr>
          <w:sz w:val="20"/>
          <w:szCs w:val="20"/>
          <w:color w:val="auto"/>
        </w:rPr>
      </w:pPr>
      <w:r>
        <w:rPr>
          <w:rFonts w:ascii="Arial" w:cs="Arial" w:eastAsia="Arial" w:hAnsi="Arial"/>
          <w:sz w:val="20"/>
          <w:szCs w:val="20"/>
          <w:color w:val="EE2724"/>
          <w:strike w:val="1"/>
        </w:rPr>
        <w:t>Name: Ernest Rady</w:t>
      </w:r>
    </w:p>
    <w:p>
      <w:pPr>
        <w:spacing w:after="0" w:line="295" w:lineRule="exact"/>
        <w:rPr>
          <w:sz w:val="20"/>
          <w:szCs w:val="20"/>
          <w:color w:val="auto"/>
        </w:rPr>
      </w:pPr>
    </w:p>
    <w:p>
      <w:pPr>
        <w:ind w:left="4540"/>
        <w:spacing w:after="0"/>
        <w:rPr>
          <w:sz w:val="20"/>
          <w:szCs w:val="20"/>
          <w:color w:val="auto"/>
        </w:rPr>
      </w:pPr>
      <w:r>
        <w:rPr>
          <w:rFonts w:ascii="Arial" w:cs="Arial" w:eastAsia="Arial" w:hAnsi="Arial"/>
          <w:sz w:val="19"/>
          <w:szCs w:val="19"/>
          <w:color w:val="EE2724"/>
          <w:strike w:val="1"/>
        </w:rPr>
        <w:t>Title: Chairman, President and Chief Executive Officer</w:t>
      </w:r>
    </w:p>
    <w:p>
      <w:pPr>
        <w:spacing w:after="0" w:line="331"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24765</wp:posOffset>
            </wp:positionV>
            <wp:extent cx="3624580"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37" w:lineRule="exact"/>
        <w:rPr>
          <w:sz w:val="20"/>
          <w:szCs w:val="20"/>
          <w:color w:val="auto"/>
        </w:rPr>
      </w:pPr>
    </w:p>
    <w:p>
      <w:pPr>
        <w:ind w:left="4540"/>
        <w:spacing w:after="0"/>
        <w:rPr>
          <w:sz w:val="20"/>
          <w:szCs w:val="20"/>
          <w:color w:val="auto"/>
        </w:rPr>
      </w:pPr>
      <w:r>
        <w:rPr>
          <w:rFonts w:ascii="Arial" w:cs="Arial" w:eastAsia="Arial" w:hAnsi="Arial"/>
          <w:sz w:val="20"/>
          <w:szCs w:val="20"/>
          <w:color w:val="EE2724"/>
          <w:strike w:val="1"/>
        </w:rPr>
        <w:t>Name: Robert F. Barton</w:t>
      </w:r>
    </w:p>
    <w:p>
      <w:pPr>
        <w:spacing w:after="0" w:line="45" w:lineRule="exact"/>
        <w:rPr>
          <w:sz w:val="20"/>
          <w:szCs w:val="20"/>
          <w:color w:val="auto"/>
        </w:rPr>
      </w:pPr>
    </w:p>
    <w:p>
      <w:pPr>
        <w:ind w:left="4540"/>
        <w:spacing w:after="0"/>
        <w:rPr>
          <w:sz w:val="20"/>
          <w:szCs w:val="20"/>
          <w:color w:val="auto"/>
        </w:rPr>
      </w:pPr>
      <w:r>
        <w:rPr>
          <w:rFonts w:ascii="Arial" w:cs="Arial" w:eastAsia="Arial" w:hAnsi="Arial"/>
          <w:sz w:val="18"/>
          <w:szCs w:val="18"/>
          <w:color w:val="EE2724"/>
          <w:strike w:val="1"/>
        </w:rPr>
        <w:t>Title: Chief Financial Officer and Executive Vice President</w:t>
      </w:r>
    </w:p>
    <w:p>
      <w:pPr>
        <w:sectPr>
          <w:pgSz w:w="11900" w:h="16838" w:orient="portrait"/>
          <w:cols w:equalWidth="0" w:num="1">
            <w:col w:w="9280"/>
          </w:cols>
          <w:pgMar w:left="1440" w:top="494" w:right="11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60"/>
        <w:spacing w:after="0"/>
        <w:rPr>
          <w:sz w:val="20"/>
          <w:szCs w:val="20"/>
          <w:color w:val="auto"/>
        </w:rPr>
      </w:pPr>
      <w:r>
        <w:rPr>
          <w:rFonts w:ascii="Arial" w:cs="Arial" w:eastAsia="Arial" w:hAnsi="Arial"/>
          <w:sz w:val="20"/>
          <w:szCs w:val="20"/>
          <w:color w:val="EE2724"/>
          <w:strike w:val="1"/>
        </w:rPr>
        <w:t>LANDMARK FIREHILL HOLDINGS, LLC</w:t>
      </w:r>
    </w:p>
    <w:p>
      <w:pPr>
        <w:spacing w:after="0" w:line="320" w:lineRule="exact"/>
        <w:rPr>
          <w:sz w:val="20"/>
          <w:szCs w:val="20"/>
          <w:color w:val="auto"/>
        </w:rPr>
      </w:pPr>
    </w:p>
    <w:p>
      <w:pPr>
        <w:ind w:left="3860"/>
        <w:spacing w:after="0"/>
        <w:tabs>
          <w:tab w:leader="none" w:pos="4520" w:val="left"/>
        </w:tabs>
        <w:rPr>
          <w:sz w:val="20"/>
          <w:szCs w:val="20"/>
          <w:color w:val="auto"/>
        </w:rPr>
      </w:pPr>
      <w:r>
        <w:rPr>
          <w:rFonts w:ascii="Arial" w:cs="Arial" w:eastAsia="Arial" w:hAnsi="Arial"/>
          <w:sz w:val="19"/>
          <w:szCs w:val="19"/>
          <w:color w:val="EE2724"/>
          <w:strike w:val="1"/>
        </w:rPr>
        <w:t>By:</w:t>
      </w:r>
      <w:r>
        <w:rPr>
          <w:sz w:val="20"/>
          <w:szCs w:val="20"/>
          <w:color w:val="auto"/>
        </w:rPr>
        <w:tab/>
      </w:r>
      <w:r>
        <w:rPr>
          <w:rFonts w:ascii="Arial" w:cs="Arial" w:eastAsia="Arial" w:hAnsi="Arial"/>
          <w:sz w:val="19"/>
          <w:szCs w:val="19"/>
          <w:color w:val="EE2724"/>
          <w:strike w:val="1"/>
        </w:rPr>
        <w:t>PACIFIC FIRECREEK HOLDINGS, LLC,</w:t>
      </w:r>
    </w:p>
    <w:p>
      <w:pPr>
        <w:spacing w:after="0" w:line="26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[Signature Page to Guaranty]</w:t>
      </w:r>
    </w:p>
    <w:p>
      <w:pPr>
        <w:sectPr>
          <w:pgSz w:w="11900" w:h="16838" w:orient="portrait"/>
          <w:cols w:equalWidth="0" w:num="1">
            <w:col w:w="9280"/>
          </w:cols>
          <w:pgMar w:left="1440" w:top="494" w:right="1179" w:bottom="1440" w:gutter="0" w:footer="0" w:header="0"/>
          <w:type w:val="continuous"/>
        </w:sectPr>
      </w:pPr>
    </w:p>
    <w:bookmarkStart w:id="568" w:name="page569"/>
    <w:bookmarkEnd w:id="568"/>
    <w:p>
      <w:pPr>
        <w:spacing w:after="0" w:line="195" w:lineRule="auto"/>
        <w:framePr w:w="360" w:h="178" w:wrap="auto" w:vAnchor="page" w:hAnchor="page" w:x="5260" w:y="8743"/>
        <w:rPr>
          <w:rFonts w:ascii="Arial" w:cs="Arial" w:eastAsia="Arial" w:hAnsi="Arial"/>
          <w:sz w:val="19"/>
          <w:szCs w:val="19"/>
          <w:color w:val="EE2724"/>
          <w:strike w:val="1"/>
        </w:rPr>
      </w:pPr>
      <w:r>
        <w:rPr>
          <w:rFonts w:ascii="Arial" w:cs="Arial" w:eastAsia="Arial" w:hAnsi="Arial"/>
          <w:sz w:val="19"/>
          <w:szCs w:val="19"/>
          <w:color w:val="EE2724"/>
          <w:strike w:val="1"/>
        </w:rPr>
        <w:t>By:</w:t>
      </w:r>
    </w:p>
    <w:p>
      <w:pPr>
        <w:spacing w:after="0" w:line="195" w:lineRule="auto"/>
        <w:framePr w:w="360" w:h="178" w:wrap="auto" w:vAnchor="page" w:hAnchor="page" w:x="5260" w:y="6282"/>
        <w:rPr>
          <w:rFonts w:ascii="Arial" w:cs="Arial" w:eastAsia="Arial" w:hAnsi="Arial"/>
          <w:sz w:val="19"/>
          <w:szCs w:val="19"/>
          <w:color w:val="EE2724"/>
          <w:strike w:val="1"/>
        </w:rPr>
      </w:pPr>
      <w:r>
        <w:rPr>
          <w:rFonts w:ascii="Arial" w:cs="Arial" w:eastAsia="Arial" w:hAnsi="Arial"/>
          <w:sz w:val="19"/>
          <w:szCs w:val="19"/>
          <w:color w:val="EE2724"/>
          <w:strike w:val="1"/>
        </w:rPr>
        <w:t>By:</w:t>
      </w:r>
    </w:p>
    <w:p>
      <w:pPr>
        <w:spacing w:after="0" w:line="195" w:lineRule="auto"/>
        <w:framePr w:w="360" w:h="178" w:wrap="auto" w:vAnchor="page" w:hAnchor="page" w:x="5260" w:y="6832"/>
        <w:rPr>
          <w:rFonts w:ascii="Arial" w:cs="Arial" w:eastAsia="Arial" w:hAnsi="Arial"/>
          <w:sz w:val="19"/>
          <w:szCs w:val="19"/>
          <w:color w:val="EE2724"/>
          <w:strike w:val="1"/>
        </w:rPr>
      </w:pPr>
      <w:r>
        <w:rPr>
          <w:rFonts w:ascii="Arial" w:cs="Arial" w:eastAsia="Arial" w:hAnsi="Arial"/>
          <w:sz w:val="19"/>
          <w:szCs w:val="19"/>
          <w:color w:val="EE2724"/>
          <w:strike w:val="1"/>
        </w:rPr>
        <w:t>By:</w:t>
      </w:r>
    </w:p>
    <w:p>
      <w:pPr>
        <w:spacing w:after="0" w:line="195" w:lineRule="auto"/>
        <w:framePr w:w="360" w:h="178" w:wrap="auto" w:vAnchor="page" w:hAnchor="page" w:x="5260" w:y="7381"/>
        <w:rPr>
          <w:rFonts w:ascii="Arial" w:cs="Arial" w:eastAsia="Arial" w:hAnsi="Arial"/>
          <w:sz w:val="19"/>
          <w:szCs w:val="19"/>
          <w:color w:val="EE2724"/>
          <w:strike w:val="1"/>
        </w:rPr>
      </w:pPr>
      <w:r>
        <w:rPr>
          <w:rFonts w:ascii="Arial" w:cs="Arial" w:eastAsia="Arial" w:hAnsi="Arial"/>
          <w:sz w:val="19"/>
          <w:szCs w:val="19"/>
          <w:color w:val="EE2724"/>
          <w:strike w:val="1"/>
        </w:rPr>
        <w:t>By:</w:t>
      </w:r>
    </w:p>
    <w:p>
      <w:pPr>
        <w:spacing w:after="0" w:line="200" w:lineRule="exact"/>
        <w:rPr>
          <w:rFonts w:ascii="Arial" w:cs="Arial" w:eastAsia="Arial" w:hAnsi="Arial"/>
          <w:sz w:val="19"/>
          <w:szCs w:val="19"/>
          <w:color w:val="EE2724"/>
          <w:strike w:val="1"/>
        </w:rPr>
      </w:pPr>
    </w:p>
    <w:p>
      <w:pPr>
        <w:spacing w:after="0" w:line="350" w:lineRule="exact"/>
        <w:rPr>
          <w:rFonts w:ascii="Arial" w:cs="Arial" w:eastAsia="Arial" w:hAnsi="Arial"/>
          <w:sz w:val="19"/>
          <w:szCs w:val="19"/>
          <w:color w:val="EE2724"/>
          <w:strike w:val="1"/>
        </w:rPr>
      </w:pPr>
    </w:p>
    <w:p>
      <w:pPr>
        <w:ind w:left="3860"/>
        <w:spacing w:after="0"/>
        <w:rPr>
          <w:sz w:val="20"/>
          <w:szCs w:val="20"/>
          <w:color w:val="auto"/>
        </w:rPr>
      </w:pPr>
      <w:r>
        <w:rPr>
          <w:rFonts w:ascii="Arial" w:cs="Arial" w:eastAsia="Arial" w:hAnsi="Arial"/>
          <w:sz w:val="19"/>
          <w:szCs w:val="19"/>
          <w:color w:val="EE2724"/>
          <w:strike w:val="1"/>
        </w:rPr>
        <w:t>By:</w:t>
      </w:r>
    </w:p>
    <w:p>
      <w:pPr>
        <w:spacing w:after="0" w:line="331" w:lineRule="exact"/>
        <w:rPr>
          <w:rFonts w:ascii="Arial" w:cs="Arial" w:eastAsia="Arial" w:hAnsi="Arial"/>
          <w:sz w:val="19"/>
          <w:szCs w:val="19"/>
          <w:color w:val="EE2724"/>
          <w:strike w:val="1"/>
        </w:rPr>
      </w:pPr>
    </w:p>
    <w:p>
      <w:pPr>
        <w:ind w:left="3860"/>
        <w:spacing w:after="0"/>
        <w:rPr>
          <w:sz w:val="20"/>
          <w:szCs w:val="20"/>
          <w:color w:val="auto"/>
        </w:rPr>
      </w:pPr>
      <w:r>
        <w:rPr>
          <w:rFonts w:ascii="Arial" w:cs="Arial" w:eastAsia="Arial" w:hAnsi="Arial"/>
          <w:sz w:val="19"/>
          <w:szCs w:val="19"/>
          <w:color w:val="EE2724"/>
          <w:strike w:val="1"/>
        </w:rPr>
        <w:t>By:</w:t>
      </w:r>
    </w:p>
    <w:p>
      <w:pPr>
        <w:spacing w:after="0" w:line="20" w:lineRule="exact"/>
        <w:rPr>
          <w:rFonts w:ascii="Arial" w:cs="Arial" w:eastAsia="Arial" w:hAnsi="Arial"/>
          <w:sz w:val="19"/>
          <w:szCs w:val="19"/>
          <w:color w:val="EE2724"/>
          <w:strike w:val="1"/>
        </w:rPr>
      </w:pPr>
      <w:r>
        <w:rPr>
          <w:rFonts w:ascii="Arial" w:cs="Arial" w:eastAsia="Arial" w:hAnsi="Arial"/>
          <w:sz w:val="19"/>
          <w:szCs w:val="19"/>
          <w:color w:val="EE2724"/>
          <w:strike w:val="1"/>
        </w:rPr>
        <w:br w:type="column"/>
      </w:r>
    </w:p>
    <w:p>
      <w:pPr>
        <w:spacing w:after="0"/>
        <w:rPr>
          <w:sz w:val="20"/>
          <w:szCs w:val="20"/>
          <w:color w:val="auto"/>
        </w:rPr>
      </w:pPr>
      <w:r>
        <w:rPr>
          <w:rFonts w:ascii="Arial" w:cs="Arial" w:eastAsia="Arial" w:hAnsi="Arial"/>
          <w:sz w:val="20"/>
          <w:szCs w:val="20"/>
          <w:color w:val="EE2724"/>
          <w:strike w:val="1"/>
        </w:rPr>
        <w:t>its Sole Member</w:t>
      </w:r>
    </w:p>
    <w:p>
      <w:pPr>
        <w:spacing w:after="0" w:line="320" w:lineRule="exact"/>
        <w:rPr>
          <w:rFonts w:ascii="Arial" w:cs="Arial" w:eastAsia="Arial" w:hAnsi="Arial"/>
          <w:sz w:val="19"/>
          <w:szCs w:val="19"/>
          <w:color w:val="EE2724"/>
          <w:strike w:val="1"/>
        </w:rPr>
      </w:pPr>
    </w:p>
    <w:p>
      <w:pPr>
        <w:spacing w:after="0"/>
        <w:rPr>
          <w:sz w:val="20"/>
          <w:szCs w:val="20"/>
          <w:color w:val="auto"/>
        </w:rPr>
      </w:pPr>
      <w:r>
        <w:rPr>
          <w:rFonts w:ascii="Arial" w:cs="Arial" w:eastAsia="Arial" w:hAnsi="Arial"/>
          <w:sz w:val="19"/>
          <w:szCs w:val="19"/>
          <w:color w:val="EE2724"/>
          <w:strike w:val="1"/>
        </w:rPr>
        <w:t>AMERICAN ASSETS TRUST, L.P. its Sole Member</w:t>
      </w:r>
    </w:p>
    <w:p>
      <w:pPr>
        <w:spacing w:after="0" w:line="331" w:lineRule="exact"/>
        <w:rPr>
          <w:rFonts w:ascii="Arial" w:cs="Arial" w:eastAsia="Arial" w:hAnsi="Arial"/>
          <w:sz w:val="19"/>
          <w:szCs w:val="19"/>
          <w:color w:val="EE2724"/>
          <w:strike w:val="1"/>
        </w:rPr>
      </w:pPr>
    </w:p>
    <w:p>
      <w:pPr>
        <w:spacing w:after="0"/>
        <w:rPr>
          <w:sz w:val="20"/>
          <w:szCs w:val="20"/>
          <w:color w:val="auto"/>
        </w:rPr>
      </w:pPr>
      <w:r>
        <w:rPr>
          <w:rFonts w:ascii="Arial" w:cs="Arial" w:eastAsia="Arial" w:hAnsi="Arial"/>
          <w:sz w:val="18"/>
          <w:szCs w:val="18"/>
          <w:color w:val="EE2724"/>
          <w:strike w:val="1"/>
        </w:rPr>
        <w:t>AMERICAN ASSETS TRUST, INC. its General Partner</w:t>
      </w:r>
    </w:p>
    <w:p>
      <w:pPr>
        <w:spacing w:after="0" w:line="211" w:lineRule="exact"/>
        <w:rPr>
          <w:rFonts w:ascii="Arial" w:cs="Arial" w:eastAsia="Arial" w:hAnsi="Arial"/>
          <w:sz w:val="19"/>
          <w:szCs w:val="19"/>
          <w:color w:val="EE2724"/>
          <w:strike w:val="1"/>
        </w:rPr>
      </w:pPr>
    </w:p>
    <w:p>
      <w:pPr>
        <w:sectPr>
          <w:pgSz w:w="11900" w:h="16838" w:orient="portrait"/>
          <w:cols w:equalWidth="0" w:num="2">
            <w:col w:w="4140" w:space="400"/>
            <w:col w:w="4740"/>
          </w:cols>
          <w:pgMar w:left="1440" w:top="495" w:right="1179" w:bottom="1440" w:gutter="0" w:footer="0" w:header="0"/>
        </w:sectPr>
      </w:pPr>
    </w:p>
    <w:p>
      <w:pPr>
        <w:spacing w:after="0" w:line="131" w:lineRule="exact"/>
        <w:rPr>
          <w:rFonts w:ascii="Arial" w:cs="Arial" w:eastAsia="Arial" w:hAnsi="Arial"/>
          <w:sz w:val="19"/>
          <w:szCs w:val="19"/>
          <w:color w:val="EE2724"/>
          <w:strike w:val="1"/>
        </w:rPr>
      </w:pPr>
    </w:p>
    <w:p>
      <w:pPr>
        <w:ind w:left="3860"/>
        <w:spacing w:after="0"/>
        <w:rPr>
          <w:sz w:val="20"/>
          <w:szCs w:val="20"/>
          <w:color w:val="auto"/>
        </w:rPr>
      </w:pPr>
      <w:r>
        <w:rPr>
          <w:rFonts w:ascii="Arial" w:cs="Arial" w:eastAsia="Arial" w:hAnsi="Arial"/>
          <w:sz w:val="20"/>
          <w:szCs w:val="20"/>
          <w:color w:val="EE2724"/>
          <w:strike w:val="1"/>
        </w:rPr>
        <w:t>By:</w:t>
      </w:r>
    </w:p>
    <w:p>
      <w:pPr>
        <w:spacing w:after="0" w:line="20" w:lineRule="exact"/>
        <w:rPr>
          <w:rFonts w:ascii="Arial" w:cs="Arial" w:eastAsia="Arial" w:hAnsi="Arial"/>
          <w:sz w:val="19"/>
          <w:szCs w:val="19"/>
          <w:color w:val="EE2724"/>
          <w:strike w:val="1"/>
        </w:rPr>
      </w:pPr>
      <w:r>
        <w:rPr>
          <w:rFonts w:ascii="Arial" w:cs="Arial" w:eastAsia="Arial" w:hAnsi="Arial"/>
          <w:sz w:val="19"/>
          <w:szCs w:val="19"/>
          <w:color w:val="EE2724"/>
          <w:strike w:val="1"/>
        </w:rPr>
        <w:drawing>
          <wp:anchor simplePos="0" relativeHeight="251657728" behindDoc="1" locked="0" layoutInCell="0" allowOverlap="1">
            <wp:simplePos x="0" y="0"/>
            <wp:positionH relativeFrom="column">
              <wp:posOffset>2870200</wp:posOffset>
            </wp:positionH>
            <wp:positionV relativeFrom="paragraph">
              <wp:posOffset>24765</wp:posOffset>
            </wp:positionV>
            <wp:extent cx="3624580"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37" w:lineRule="exact"/>
        <w:rPr>
          <w:rFonts w:ascii="Arial" w:cs="Arial" w:eastAsia="Arial" w:hAnsi="Arial"/>
          <w:sz w:val="19"/>
          <w:szCs w:val="19"/>
          <w:color w:val="EE2724"/>
          <w:strike w:val="1"/>
        </w:rPr>
      </w:pPr>
    </w:p>
    <w:p>
      <w:pPr>
        <w:ind w:left="4540"/>
        <w:spacing w:after="0"/>
        <w:rPr>
          <w:sz w:val="20"/>
          <w:szCs w:val="20"/>
          <w:color w:val="auto"/>
        </w:rPr>
      </w:pPr>
      <w:r>
        <w:rPr>
          <w:rFonts w:ascii="Arial" w:cs="Arial" w:eastAsia="Arial" w:hAnsi="Arial"/>
          <w:sz w:val="20"/>
          <w:szCs w:val="20"/>
          <w:color w:val="EE2724"/>
          <w:strike w:val="1"/>
        </w:rPr>
        <w:t>Name: Ernest Rady</w:t>
      </w:r>
    </w:p>
    <w:p>
      <w:pPr>
        <w:spacing w:after="0" w:line="295" w:lineRule="exact"/>
        <w:rPr>
          <w:rFonts w:ascii="Arial" w:cs="Arial" w:eastAsia="Arial" w:hAnsi="Arial"/>
          <w:sz w:val="19"/>
          <w:szCs w:val="19"/>
          <w:color w:val="EE2724"/>
          <w:strike w:val="1"/>
        </w:rPr>
      </w:pPr>
    </w:p>
    <w:p>
      <w:pPr>
        <w:ind w:left="4540"/>
        <w:spacing w:after="0"/>
        <w:rPr>
          <w:sz w:val="20"/>
          <w:szCs w:val="20"/>
          <w:color w:val="auto"/>
        </w:rPr>
      </w:pPr>
      <w:r>
        <w:rPr>
          <w:rFonts w:ascii="Arial" w:cs="Arial" w:eastAsia="Arial" w:hAnsi="Arial"/>
          <w:sz w:val="19"/>
          <w:szCs w:val="19"/>
          <w:color w:val="EE2724"/>
          <w:strike w:val="1"/>
        </w:rPr>
        <w:t>Title: Chairman, President and Chief Executive Officer</w:t>
      </w:r>
    </w:p>
    <w:p>
      <w:pPr>
        <w:spacing w:after="0" w:line="331" w:lineRule="exact"/>
        <w:rPr>
          <w:rFonts w:ascii="Arial" w:cs="Arial" w:eastAsia="Arial" w:hAnsi="Arial"/>
          <w:sz w:val="19"/>
          <w:szCs w:val="19"/>
          <w:color w:val="EE2724"/>
          <w:strike w:val="1"/>
        </w:rPr>
      </w:pPr>
    </w:p>
    <w:p>
      <w:pPr>
        <w:ind w:left="3860"/>
        <w:spacing w:after="0"/>
        <w:rPr>
          <w:sz w:val="20"/>
          <w:szCs w:val="20"/>
          <w:color w:val="auto"/>
        </w:rPr>
      </w:pPr>
      <w:r>
        <w:rPr>
          <w:rFonts w:ascii="Arial" w:cs="Arial" w:eastAsia="Arial" w:hAnsi="Arial"/>
          <w:sz w:val="20"/>
          <w:szCs w:val="20"/>
          <w:color w:val="EE2724"/>
          <w:strike w:val="1"/>
        </w:rPr>
        <w:t>By:</w:t>
      </w:r>
    </w:p>
    <w:p>
      <w:pPr>
        <w:spacing w:after="0" w:line="20" w:lineRule="exact"/>
        <w:rPr>
          <w:rFonts w:ascii="Arial" w:cs="Arial" w:eastAsia="Arial" w:hAnsi="Arial"/>
          <w:sz w:val="19"/>
          <w:szCs w:val="19"/>
          <w:color w:val="EE2724"/>
          <w:strike w:val="1"/>
        </w:rPr>
      </w:pPr>
      <w:r>
        <w:rPr>
          <w:rFonts w:ascii="Arial" w:cs="Arial" w:eastAsia="Arial" w:hAnsi="Arial"/>
          <w:sz w:val="19"/>
          <w:szCs w:val="19"/>
          <w:color w:val="EE2724"/>
          <w:strike w:val="1"/>
        </w:rPr>
        <w:drawing>
          <wp:anchor simplePos="0" relativeHeight="251657728" behindDoc="1" locked="0" layoutInCell="0" allowOverlap="1">
            <wp:simplePos x="0" y="0"/>
            <wp:positionH relativeFrom="column">
              <wp:posOffset>2870200</wp:posOffset>
            </wp:positionH>
            <wp:positionV relativeFrom="paragraph">
              <wp:posOffset>24765</wp:posOffset>
            </wp:positionV>
            <wp:extent cx="3624580"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37" w:lineRule="exact"/>
        <w:rPr>
          <w:rFonts w:ascii="Arial" w:cs="Arial" w:eastAsia="Arial" w:hAnsi="Arial"/>
          <w:sz w:val="19"/>
          <w:szCs w:val="19"/>
          <w:color w:val="EE2724"/>
          <w:strike w:val="1"/>
        </w:rPr>
      </w:pPr>
    </w:p>
    <w:p>
      <w:pPr>
        <w:ind w:left="4540"/>
        <w:spacing w:after="0"/>
        <w:rPr>
          <w:sz w:val="20"/>
          <w:szCs w:val="20"/>
          <w:color w:val="auto"/>
        </w:rPr>
      </w:pPr>
      <w:r>
        <w:rPr>
          <w:rFonts w:ascii="Arial" w:cs="Arial" w:eastAsia="Arial" w:hAnsi="Arial"/>
          <w:sz w:val="20"/>
          <w:szCs w:val="20"/>
          <w:color w:val="EE2724"/>
          <w:strike w:val="1"/>
        </w:rPr>
        <w:t>Name: Robert F. Barton</w:t>
      </w:r>
    </w:p>
    <w:p>
      <w:pPr>
        <w:spacing w:after="0" w:line="45" w:lineRule="exact"/>
        <w:rPr>
          <w:rFonts w:ascii="Arial" w:cs="Arial" w:eastAsia="Arial" w:hAnsi="Arial"/>
          <w:sz w:val="19"/>
          <w:szCs w:val="19"/>
          <w:color w:val="EE2724"/>
          <w:strike w:val="1"/>
        </w:rPr>
      </w:pPr>
    </w:p>
    <w:p>
      <w:pPr>
        <w:ind w:left="4540"/>
        <w:spacing w:after="0"/>
        <w:rPr>
          <w:sz w:val="20"/>
          <w:szCs w:val="20"/>
          <w:color w:val="auto"/>
        </w:rPr>
      </w:pPr>
      <w:r>
        <w:rPr>
          <w:rFonts w:ascii="Arial" w:cs="Arial" w:eastAsia="Arial" w:hAnsi="Arial"/>
          <w:sz w:val="18"/>
          <w:szCs w:val="18"/>
          <w:color w:val="EE2724"/>
          <w:strike w:val="1"/>
        </w:rPr>
        <w:t>Title: Chief Financial Officer and Executive Vice President</w:t>
      </w:r>
    </w:p>
    <w:p>
      <w:pPr>
        <w:sectPr>
          <w:pgSz w:w="11900" w:h="16838" w:orient="portrait"/>
          <w:cols w:equalWidth="0" w:num="1">
            <w:col w:w="9280"/>
          </w:cols>
          <w:pgMar w:left="1440" w:top="495" w:right="1179" w:bottom="1440" w:gutter="0" w:footer="0" w:header="0"/>
          <w:type w:val="continuous"/>
        </w:sectPr>
      </w:pPr>
    </w:p>
    <w:p>
      <w:pPr>
        <w:spacing w:after="0" w:line="200" w:lineRule="exact"/>
        <w:rPr>
          <w:rFonts w:ascii="Arial" w:cs="Arial" w:eastAsia="Arial" w:hAnsi="Arial"/>
          <w:sz w:val="19"/>
          <w:szCs w:val="19"/>
          <w:color w:val="EE2724"/>
          <w:strike w:val="1"/>
        </w:rPr>
      </w:pPr>
    </w:p>
    <w:p>
      <w:pPr>
        <w:spacing w:after="0" w:line="200" w:lineRule="exact"/>
        <w:rPr>
          <w:rFonts w:ascii="Arial" w:cs="Arial" w:eastAsia="Arial" w:hAnsi="Arial"/>
          <w:sz w:val="19"/>
          <w:szCs w:val="19"/>
          <w:color w:val="EE2724"/>
          <w:strike w:val="1"/>
        </w:rPr>
      </w:pPr>
    </w:p>
    <w:p>
      <w:pPr>
        <w:spacing w:after="0" w:line="217" w:lineRule="exact"/>
        <w:rPr>
          <w:rFonts w:ascii="Arial" w:cs="Arial" w:eastAsia="Arial" w:hAnsi="Arial"/>
          <w:sz w:val="19"/>
          <w:szCs w:val="19"/>
          <w:color w:val="EE2724"/>
          <w:strike w:val="1"/>
        </w:rPr>
      </w:pPr>
    </w:p>
    <w:p>
      <w:pPr>
        <w:ind w:left="3860"/>
        <w:spacing w:after="0"/>
        <w:rPr>
          <w:sz w:val="20"/>
          <w:szCs w:val="20"/>
          <w:color w:val="auto"/>
        </w:rPr>
      </w:pPr>
      <w:r>
        <w:rPr>
          <w:rFonts w:ascii="Arial" w:cs="Arial" w:eastAsia="Arial" w:hAnsi="Arial"/>
          <w:sz w:val="20"/>
          <w:szCs w:val="20"/>
          <w:color w:val="EE2724"/>
          <w:strike w:val="1"/>
        </w:rPr>
        <w:t>LANDMARK VENTURE HOLDINGS, LLC</w:t>
      </w:r>
    </w:p>
    <w:p>
      <w:pPr>
        <w:spacing w:after="0" w:line="320" w:lineRule="exact"/>
        <w:rPr>
          <w:rFonts w:ascii="Arial" w:cs="Arial" w:eastAsia="Arial" w:hAnsi="Arial"/>
          <w:sz w:val="19"/>
          <w:szCs w:val="19"/>
          <w:color w:val="EE2724"/>
          <w:strike w:val="1"/>
        </w:rPr>
      </w:pPr>
    </w:p>
    <w:p>
      <w:pPr>
        <w:ind w:left="3860"/>
        <w:spacing w:after="0"/>
        <w:tabs>
          <w:tab w:leader="none" w:pos="4520" w:val="left"/>
        </w:tabs>
        <w:rPr>
          <w:sz w:val="20"/>
          <w:szCs w:val="20"/>
          <w:color w:val="auto"/>
        </w:rPr>
      </w:pPr>
      <w:r>
        <w:rPr>
          <w:rFonts w:ascii="Arial" w:cs="Arial" w:eastAsia="Arial" w:hAnsi="Arial"/>
          <w:sz w:val="20"/>
          <w:szCs w:val="20"/>
          <w:color w:val="EE2724"/>
          <w:strike w:val="1"/>
        </w:rPr>
        <w:t>By:</w:t>
      </w:r>
      <w:r>
        <w:rPr>
          <w:sz w:val="20"/>
          <w:szCs w:val="20"/>
          <w:color w:val="auto"/>
        </w:rPr>
        <w:tab/>
      </w:r>
      <w:r>
        <w:rPr>
          <w:rFonts w:ascii="Arial" w:cs="Arial" w:eastAsia="Arial" w:hAnsi="Arial"/>
          <w:sz w:val="20"/>
          <w:szCs w:val="20"/>
          <w:color w:val="EE2724"/>
          <w:strike w:val="1"/>
        </w:rPr>
        <w:t>LANDMARK VENTURE JV, LLC,</w:t>
      </w:r>
    </w:p>
    <w:p>
      <w:pPr>
        <w:spacing w:after="0" w:line="45" w:lineRule="exact"/>
        <w:rPr>
          <w:rFonts w:ascii="Arial" w:cs="Arial" w:eastAsia="Arial" w:hAnsi="Arial"/>
          <w:sz w:val="19"/>
          <w:szCs w:val="19"/>
          <w:color w:val="EE2724"/>
          <w:strike w:val="1"/>
        </w:rPr>
      </w:pPr>
    </w:p>
    <w:p>
      <w:pPr>
        <w:ind w:left="4540"/>
        <w:spacing w:after="0"/>
        <w:rPr>
          <w:sz w:val="20"/>
          <w:szCs w:val="20"/>
          <w:color w:val="auto"/>
        </w:rPr>
      </w:pPr>
      <w:r>
        <w:rPr>
          <w:rFonts w:ascii="Arial" w:cs="Arial" w:eastAsia="Arial" w:hAnsi="Arial"/>
          <w:sz w:val="20"/>
          <w:szCs w:val="20"/>
          <w:color w:val="EE2724"/>
          <w:strike w:val="1"/>
        </w:rPr>
        <w:t>its Sole Member</w:t>
      </w:r>
    </w:p>
    <w:p>
      <w:pPr>
        <w:spacing w:after="0" w:line="320" w:lineRule="exact"/>
        <w:rPr>
          <w:rFonts w:ascii="Arial" w:cs="Arial" w:eastAsia="Arial" w:hAnsi="Arial"/>
          <w:sz w:val="19"/>
          <w:szCs w:val="19"/>
          <w:color w:val="EE2724"/>
          <w:strike w:val="1"/>
        </w:rPr>
      </w:pPr>
    </w:p>
    <w:p>
      <w:pPr>
        <w:ind w:left="4540" w:right="180"/>
        <w:spacing w:after="0" w:line="691" w:lineRule="auto"/>
        <w:rPr>
          <w:sz w:val="20"/>
          <w:szCs w:val="20"/>
          <w:color w:val="auto"/>
        </w:rPr>
      </w:pPr>
      <w:r>
        <w:rPr>
          <w:rFonts w:ascii="Arial" w:cs="Arial" w:eastAsia="Arial" w:hAnsi="Arial"/>
          <w:sz w:val="18"/>
          <w:szCs w:val="18"/>
          <w:color w:val="EE2724"/>
          <w:strike w:val="1"/>
        </w:rPr>
        <w:t>AMERICAN ASSETS TRUST, L.P. its Sole Member AMERICAN ASSETS TRUST, INC. its General Partner</w:t>
      </w:r>
    </w:p>
    <w:p>
      <w:pPr>
        <w:spacing w:after="0" w:line="20" w:lineRule="exact"/>
        <w:rPr>
          <w:rFonts w:ascii="Arial" w:cs="Arial" w:eastAsia="Arial" w:hAnsi="Arial"/>
          <w:sz w:val="19"/>
          <w:szCs w:val="19"/>
          <w:color w:val="EE2724"/>
          <w:strike w:val="1"/>
        </w:rPr>
      </w:pPr>
      <w:r>
        <w:rPr>
          <w:rFonts w:ascii="Arial" w:cs="Arial" w:eastAsia="Arial" w:hAnsi="Arial"/>
          <w:sz w:val="19"/>
          <w:szCs w:val="19"/>
          <w:color w:val="EE2724"/>
          <w:strike w:val="1"/>
        </w:rPr>
        <w:drawing>
          <wp:anchor simplePos="0" relativeHeight="251657728" behindDoc="1" locked="0" layoutInCell="0" allowOverlap="1">
            <wp:simplePos x="0" y="0"/>
            <wp:positionH relativeFrom="column">
              <wp:posOffset>2870200</wp:posOffset>
            </wp:positionH>
            <wp:positionV relativeFrom="paragraph">
              <wp:posOffset>111760</wp:posOffset>
            </wp:positionV>
            <wp:extent cx="3624580"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174" w:lineRule="exact"/>
        <w:rPr>
          <w:rFonts w:ascii="Arial" w:cs="Arial" w:eastAsia="Arial" w:hAnsi="Arial"/>
          <w:sz w:val="19"/>
          <w:szCs w:val="19"/>
          <w:color w:val="EE2724"/>
          <w:strike w:val="1"/>
        </w:rPr>
      </w:pPr>
    </w:p>
    <w:p>
      <w:pPr>
        <w:ind w:left="4540"/>
        <w:spacing w:after="0"/>
        <w:rPr>
          <w:sz w:val="20"/>
          <w:szCs w:val="20"/>
          <w:color w:val="auto"/>
        </w:rPr>
      </w:pPr>
      <w:r>
        <w:rPr>
          <w:rFonts w:ascii="Arial" w:cs="Arial" w:eastAsia="Arial" w:hAnsi="Arial"/>
          <w:sz w:val="20"/>
          <w:szCs w:val="20"/>
          <w:color w:val="EE2724"/>
          <w:strike w:val="1"/>
        </w:rPr>
        <w:t>Name: Ernest Rady</w:t>
      </w:r>
    </w:p>
    <w:p>
      <w:pPr>
        <w:spacing w:after="0" w:line="295" w:lineRule="exact"/>
        <w:rPr>
          <w:rFonts w:ascii="Arial" w:cs="Arial" w:eastAsia="Arial" w:hAnsi="Arial"/>
          <w:sz w:val="19"/>
          <w:szCs w:val="19"/>
          <w:color w:val="EE2724"/>
          <w:strike w:val="1"/>
        </w:rPr>
      </w:pPr>
    </w:p>
    <w:p>
      <w:pPr>
        <w:ind w:left="4540"/>
        <w:spacing w:after="0"/>
        <w:rPr>
          <w:sz w:val="20"/>
          <w:szCs w:val="20"/>
          <w:color w:val="auto"/>
        </w:rPr>
      </w:pPr>
      <w:r>
        <w:rPr>
          <w:rFonts w:ascii="Arial" w:cs="Arial" w:eastAsia="Arial" w:hAnsi="Arial"/>
          <w:sz w:val="19"/>
          <w:szCs w:val="19"/>
          <w:color w:val="EE2724"/>
          <w:strike w:val="1"/>
        </w:rPr>
        <w:t>Title: Chairman, President and Chief Executive Officer</w:t>
      </w:r>
    </w:p>
    <w:p>
      <w:pPr>
        <w:spacing w:after="0" w:line="20" w:lineRule="exact"/>
        <w:rPr>
          <w:rFonts w:ascii="Arial" w:cs="Arial" w:eastAsia="Arial" w:hAnsi="Arial"/>
          <w:sz w:val="19"/>
          <w:szCs w:val="19"/>
          <w:color w:val="EE2724"/>
          <w:strike w:val="1"/>
        </w:rPr>
      </w:pPr>
      <w:r>
        <w:rPr>
          <w:rFonts w:ascii="Arial" w:cs="Arial" w:eastAsia="Arial" w:hAnsi="Arial"/>
          <w:sz w:val="19"/>
          <w:szCs w:val="19"/>
          <w:color w:val="EE2724"/>
          <w:strike w:val="1"/>
        </w:rPr>
        <w:drawing>
          <wp:anchor simplePos="0" relativeHeight="251657728" behindDoc="1" locked="0" layoutInCell="0" allowOverlap="1">
            <wp:simplePos x="0" y="0"/>
            <wp:positionH relativeFrom="column">
              <wp:posOffset>2870200</wp:posOffset>
            </wp:positionH>
            <wp:positionV relativeFrom="paragraph">
              <wp:posOffset>381000</wp:posOffset>
            </wp:positionV>
            <wp:extent cx="3624580"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200" w:lineRule="exact"/>
        <w:rPr>
          <w:rFonts w:ascii="Arial" w:cs="Arial" w:eastAsia="Arial" w:hAnsi="Arial"/>
          <w:sz w:val="19"/>
          <w:szCs w:val="19"/>
          <w:color w:val="EE2724"/>
          <w:strike w:val="1"/>
        </w:rPr>
      </w:pPr>
    </w:p>
    <w:p>
      <w:pPr>
        <w:spacing w:after="0" w:line="398" w:lineRule="exact"/>
        <w:rPr>
          <w:rFonts w:ascii="Arial" w:cs="Arial" w:eastAsia="Arial" w:hAnsi="Arial"/>
          <w:sz w:val="19"/>
          <w:szCs w:val="19"/>
          <w:color w:val="EE2724"/>
          <w:strike w:val="1"/>
        </w:rPr>
      </w:pPr>
    </w:p>
    <w:p>
      <w:pPr>
        <w:ind w:left="4540"/>
        <w:spacing w:after="0"/>
        <w:rPr>
          <w:sz w:val="20"/>
          <w:szCs w:val="20"/>
          <w:color w:val="auto"/>
        </w:rPr>
      </w:pPr>
      <w:r>
        <w:rPr>
          <w:rFonts w:ascii="Arial" w:cs="Arial" w:eastAsia="Arial" w:hAnsi="Arial"/>
          <w:sz w:val="20"/>
          <w:szCs w:val="20"/>
          <w:color w:val="EE2724"/>
          <w:strike w:val="1"/>
        </w:rPr>
        <w:t>Name: Robert F. Barton</w:t>
      </w:r>
    </w:p>
    <w:p>
      <w:pPr>
        <w:spacing w:after="0" w:line="45" w:lineRule="exact"/>
        <w:rPr>
          <w:rFonts w:ascii="Arial" w:cs="Arial" w:eastAsia="Arial" w:hAnsi="Arial"/>
          <w:sz w:val="19"/>
          <w:szCs w:val="19"/>
          <w:color w:val="EE2724"/>
          <w:strike w:val="1"/>
        </w:rPr>
      </w:pPr>
    </w:p>
    <w:p>
      <w:pPr>
        <w:ind w:left="4540"/>
        <w:spacing w:after="0"/>
        <w:rPr>
          <w:sz w:val="20"/>
          <w:szCs w:val="20"/>
          <w:color w:val="auto"/>
        </w:rPr>
      </w:pPr>
      <w:r>
        <w:rPr>
          <w:rFonts w:ascii="Arial" w:cs="Arial" w:eastAsia="Arial" w:hAnsi="Arial"/>
          <w:sz w:val="18"/>
          <w:szCs w:val="18"/>
          <w:color w:val="EE2724"/>
          <w:strike w:val="1"/>
        </w:rPr>
        <w:t>Title: Chief Financial Officer and Executive Vice President</w:t>
      </w:r>
    </w:p>
    <w:p>
      <w:pPr>
        <w:spacing w:after="0" w:line="200" w:lineRule="exact"/>
        <w:rPr>
          <w:rFonts w:ascii="Arial" w:cs="Arial" w:eastAsia="Arial" w:hAnsi="Arial"/>
          <w:sz w:val="19"/>
          <w:szCs w:val="19"/>
          <w:color w:val="EE2724"/>
          <w:strike w:val="1"/>
        </w:rPr>
      </w:pPr>
    </w:p>
    <w:p>
      <w:pPr>
        <w:spacing w:after="0" w:line="200" w:lineRule="exact"/>
        <w:rPr>
          <w:rFonts w:ascii="Arial" w:cs="Arial" w:eastAsia="Arial" w:hAnsi="Arial"/>
          <w:sz w:val="19"/>
          <w:szCs w:val="19"/>
          <w:color w:val="EE2724"/>
          <w:strike w:val="1"/>
        </w:rPr>
      </w:pPr>
    </w:p>
    <w:p>
      <w:pPr>
        <w:spacing w:after="0" w:line="200" w:lineRule="exact"/>
        <w:rPr>
          <w:rFonts w:ascii="Arial" w:cs="Arial" w:eastAsia="Arial" w:hAnsi="Arial"/>
          <w:sz w:val="19"/>
          <w:szCs w:val="19"/>
          <w:color w:val="EE2724"/>
          <w:strike w:val="1"/>
        </w:rPr>
      </w:pPr>
    </w:p>
    <w:p>
      <w:pPr>
        <w:spacing w:after="0" w:line="292" w:lineRule="exact"/>
        <w:rPr>
          <w:rFonts w:ascii="Arial" w:cs="Arial" w:eastAsia="Arial" w:hAnsi="Arial"/>
          <w:sz w:val="19"/>
          <w:szCs w:val="19"/>
          <w:color w:val="EE2724"/>
          <w:strike w:val="1"/>
        </w:rPr>
      </w:pPr>
    </w:p>
    <w:p>
      <w:pPr>
        <w:ind w:left="3860"/>
        <w:spacing w:after="0"/>
        <w:rPr>
          <w:sz w:val="20"/>
          <w:szCs w:val="20"/>
          <w:color w:val="auto"/>
        </w:rPr>
      </w:pPr>
      <w:r>
        <w:rPr>
          <w:rFonts w:ascii="Arial" w:cs="Arial" w:eastAsia="Arial" w:hAnsi="Arial"/>
          <w:sz w:val="20"/>
          <w:szCs w:val="20"/>
          <w:color w:val="EE2724"/>
          <w:strike w:val="1"/>
        </w:rPr>
        <w:t>PACIFIC WAIKIKI HOLDINGS, L.P.</w:t>
      </w:r>
    </w:p>
    <w:p>
      <w:pPr>
        <w:spacing w:after="0" w:line="320" w:lineRule="exact"/>
        <w:rPr>
          <w:rFonts w:ascii="Arial" w:cs="Arial" w:eastAsia="Arial" w:hAnsi="Arial"/>
          <w:sz w:val="19"/>
          <w:szCs w:val="19"/>
          <w:color w:val="EE2724"/>
          <w:strike w:val="1"/>
        </w:rPr>
      </w:pPr>
    </w:p>
    <w:p>
      <w:pPr>
        <w:ind w:left="3860"/>
        <w:spacing w:after="0"/>
        <w:tabs>
          <w:tab w:leader="none" w:pos="4520" w:val="left"/>
        </w:tabs>
        <w:rPr>
          <w:sz w:val="20"/>
          <w:szCs w:val="20"/>
          <w:color w:val="auto"/>
        </w:rPr>
      </w:pPr>
      <w:r>
        <w:rPr>
          <w:rFonts w:ascii="Arial" w:cs="Arial" w:eastAsia="Arial" w:hAnsi="Arial"/>
          <w:sz w:val="20"/>
          <w:szCs w:val="20"/>
          <w:color w:val="EE2724"/>
          <w:strike w:val="1"/>
        </w:rPr>
        <w:t>By:</w:t>
      </w:r>
      <w:r>
        <w:rPr>
          <w:sz w:val="20"/>
          <w:szCs w:val="20"/>
          <w:color w:val="auto"/>
        </w:rPr>
        <w:tab/>
      </w:r>
      <w:r>
        <w:rPr>
          <w:rFonts w:ascii="Arial" w:cs="Arial" w:eastAsia="Arial" w:hAnsi="Arial"/>
          <w:sz w:val="20"/>
          <w:szCs w:val="20"/>
          <w:color w:val="EE2724"/>
          <w:strike w:val="1"/>
        </w:rPr>
        <w:t>PACIFIC WAIKIKI ASSETS, LLC,</w:t>
      </w:r>
    </w:p>
    <w:p>
      <w:pPr>
        <w:spacing w:after="0" w:line="45" w:lineRule="exact"/>
        <w:rPr>
          <w:rFonts w:ascii="Arial" w:cs="Arial" w:eastAsia="Arial" w:hAnsi="Arial"/>
          <w:sz w:val="19"/>
          <w:szCs w:val="19"/>
          <w:color w:val="EE2724"/>
          <w:strike w:val="1"/>
        </w:rPr>
      </w:pPr>
    </w:p>
    <w:p>
      <w:pPr>
        <w:ind w:left="4540"/>
        <w:spacing w:after="0"/>
        <w:rPr>
          <w:sz w:val="20"/>
          <w:szCs w:val="20"/>
          <w:color w:val="auto"/>
        </w:rPr>
      </w:pPr>
      <w:r>
        <w:rPr>
          <w:rFonts w:ascii="Arial" w:cs="Arial" w:eastAsia="Arial" w:hAnsi="Arial"/>
          <w:sz w:val="20"/>
          <w:szCs w:val="20"/>
          <w:color w:val="EE2724"/>
          <w:strike w:val="1"/>
        </w:rPr>
        <w:t>its General Partner</w:t>
      </w:r>
    </w:p>
    <w:p>
      <w:pPr>
        <w:spacing w:after="0" w:line="320" w:lineRule="exact"/>
        <w:rPr>
          <w:rFonts w:ascii="Arial" w:cs="Arial" w:eastAsia="Arial" w:hAnsi="Arial"/>
          <w:sz w:val="19"/>
          <w:szCs w:val="19"/>
          <w:color w:val="EE2724"/>
          <w:strike w:val="1"/>
        </w:rPr>
      </w:pPr>
    </w:p>
    <w:p>
      <w:pPr>
        <w:ind w:left="3860"/>
        <w:spacing w:after="0"/>
        <w:tabs>
          <w:tab w:leader="none" w:pos="4520" w:val="left"/>
        </w:tabs>
        <w:rPr>
          <w:sz w:val="20"/>
          <w:szCs w:val="20"/>
          <w:color w:val="auto"/>
        </w:rPr>
      </w:pPr>
      <w:r>
        <w:rPr>
          <w:rFonts w:ascii="Arial" w:cs="Arial" w:eastAsia="Arial" w:hAnsi="Arial"/>
          <w:sz w:val="20"/>
          <w:szCs w:val="20"/>
          <w:color w:val="EE2724"/>
          <w:strike w:val="1"/>
        </w:rPr>
        <w:t>By:</w:t>
      </w:r>
      <w:r>
        <w:rPr>
          <w:sz w:val="20"/>
          <w:szCs w:val="20"/>
          <w:color w:val="auto"/>
        </w:rPr>
        <w:tab/>
      </w:r>
      <w:r>
        <w:rPr>
          <w:rFonts w:ascii="Arial" w:cs="Arial" w:eastAsia="Arial" w:hAnsi="Arial"/>
          <w:sz w:val="20"/>
          <w:szCs w:val="20"/>
          <w:color w:val="EE2724"/>
          <w:strike w:val="1"/>
        </w:rPr>
        <w:t>AMERICAN ASSETS TRUST, L.P. its Sole Member</w:t>
      </w:r>
    </w:p>
    <w:p>
      <w:pPr>
        <w:spacing w:after="0" w:line="200" w:lineRule="exact"/>
        <w:rPr>
          <w:rFonts w:ascii="Arial" w:cs="Arial" w:eastAsia="Arial" w:hAnsi="Arial"/>
          <w:sz w:val="19"/>
          <w:szCs w:val="19"/>
          <w:color w:val="EE2724"/>
          <w:strike w:val="1"/>
        </w:rPr>
      </w:pPr>
    </w:p>
    <w:p>
      <w:pPr>
        <w:spacing w:after="0" w:line="332" w:lineRule="exact"/>
        <w:rPr>
          <w:rFonts w:ascii="Arial" w:cs="Arial" w:eastAsia="Arial" w:hAnsi="Arial"/>
          <w:sz w:val="19"/>
          <w:szCs w:val="19"/>
          <w:color w:val="EE2724"/>
          <w:strike w:val="1"/>
        </w:rPr>
      </w:pPr>
    </w:p>
    <w:p>
      <w:pPr>
        <w:jc w:val="center"/>
        <w:ind w:right="260"/>
        <w:spacing w:after="0"/>
        <w:rPr>
          <w:sz w:val="20"/>
          <w:szCs w:val="20"/>
          <w:color w:val="auto"/>
        </w:rPr>
      </w:pPr>
      <w:r>
        <w:rPr>
          <w:rFonts w:ascii="Arial" w:cs="Arial" w:eastAsia="Arial" w:hAnsi="Arial"/>
          <w:sz w:val="18"/>
          <w:szCs w:val="18"/>
          <w:color w:val="auto"/>
        </w:rPr>
        <w:t>[Signature Page to Guaranty]</w:t>
      </w:r>
    </w:p>
    <w:p>
      <w:pPr>
        <w:sectPr>
          <w:pgSz w:w="11900" w:h="16838" w:orient="portrait"/>
          <w:cols w:equalWidth="0" w:num="1">
            <w:col w:w="9280"/>
          </w:cols>
          <w:pgMar w:left="1440" w:top="495" w:right="1179" w:bottom="1440" w:gutter="0" w:footer="0" w:header="0"/>
          <w:type w:val="continuous"/>
        </w:sectPr>
      </w:pPr>
    </w:p>
    <w:bookmarkStart w:id="569" w:name="page570"/>
    <w:bookmarkEnd w:id="569"/>
    <w:p>
      <w:pPr>
        <w:ind w:left="5040"/>
        <w:spacing w:after="0"/>
        <w:tabs>
          <w:tab w:leader="none" w:pos="5700" w:val="left"/>
        </w:tabs>
        <w:rPr>
          <w:sz w:val="20"/>
          <w:szCs w:val="20"/>
          <w:color w:val="auto"/>
        </w:rPr>
      </w:pPr>
      <w:r>
        <w:rPr>
          <w:rFonts w:ascii="Arial" w:cs="Arial" w:eastAsia="Arial" w:hAnsi="Arial"/>
          <w:sz w:val="19"/>
          <w:szCs w:val="19"/>
          <w:color w:val="EE2724"/>
          <w:strike w:val="1"/>
        </w:rPr>
        <w:t>By:</w:t>
      </w:r>
      <w:r>
        <w:rPr>
          <w:sz w:val="20"/>
          <w:szCs w:val="20"/>
          <w:color w:val="auto"/>
        </w:rPr>
        <w:tab/>
      </w:r>
      <w:r>
        <w:rPr>
          <w:rFonts w:ascii="Arial" w:cs="Arial" w:eastAsia="Arial" w:hAnsi="Arial"/>
          <w:sz w:val="19"/>
          <w:szCs w:val="19"/>
          <w:color w:val="EE2724"/>
          <w:strike w:val="1"/>
        </w:rPr>
        <w:t>AMERICAN ASSETS TRUST, INC. its General Partner</w:t>
      </w:r>
    </w:p>
    <w:p>
      <w:pPr>
        <w:spacing w:after="0" w:line="331"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EE2724"/>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24765</wp:posOffset>
            </wp:positionV>
            <wp:extent cx="3624580"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37" w:lineRule="exact"/>
        <w:rPr>
          <w:sz w:val="20"/>
          <w:szCs w:val="20"/>
          <w:color w:val="auto"/>
        </w:rPr>
      </w:pPr>
    </w:p>
    <w:p>
      <w:pPr>
        <w:ind w:left="5720"/>
        <w:spacing w:after="0"/>
        <w:rPr>
          <w:sz w:val="20"/>
          <w:szCs w:val="20"/>
          <w:color w:val="auto"/>
        </w:rPr>
      </w:pPr>
      <w:r>
        <w:rPr>
          <w:rFonts w:ascii="Arial" w:cs="Arial" w:eastAsia="Arial" w:hAnsi="Arial"/>
          <w:sz w:val="20"/>
          <w:szCs w:val="20"/>
          <w:color w:val="EE2724"/>
          <w:strike w:val="1"/>
        </w:rPr>
        <w:t>Name: Ernest Rady</w:t>
      </w:r>
    </w:p>
    <w:p>
      <w:pPr>
        <w:spacing w:after="0" w:line="295" w:lineRule="exact"/>
        <w:rPr>
          <w:sz w:val="20"/>
          <w:szCs w:val="20"/>
          <w:color w:val="auto"/>
        </w:rPr>
      </w:pPr>
    </w:p>
    <w:p>
      <w:pPr>
        <w:ind w:left="5720"/>
        <w:spacing w:after="0"/>
        <w:rPr>
          <w:sz w:val="20"/>
          <w:szCs w:val="20"/>
          <w:color w:val="auto"/>
        </w:rPr>
      </w:pPr>
      <w:r>
        <w:rPr>
          <w:rFonts w:ascii="Arial" w:cs="Arial" w:eastAsia="Arial" w:hAnsi="Arial"/>
          <w:sz w:val="19"/>
          <w:szCs w:val="19"/>
          <w:color w:val="EE2724"/>
          <w:strike w:val="1"/>
        </w:rPr>
        <w:t>Title: Chairman, President and Chief Executive Officer</w:t>
      </w:r>
    </w:p>
    <w:p>
      <w:pPr>
        <w:spacing w:after="0" w:line="331"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EE2724"/>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24765</wp:posOffset>
            </wp:positionV>
            <wp:extent cx="3624580"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624580" cy="7620"/>
                    </a:xfrm>
                    <a:prstGeom prst="rect">
                      <a:avLst/>
                    </a:prstGeom>
                    <a:noFill/>
                  </pic:spPr>
                </pic:pic>
              </a:graphicData>
            </a:graphic>
          </wp:anchor>
        </w:drawing>
      </w:r>
    </w:p>
    <w:p>
      <w:pPr>
        <w:spacing w:after="0" w:line="37" w:lineRule="exact"/>
        <w:rPr>
          <w:sz w:val="20"/>
          <w:szCs w:val="20"/>
          <w:color w:val="auto"/>
        </w:rPr>
      </w:pPr>
    </w:p>
    <w:p>
      <w:pPr>
        <w:ind w:left="5720"/>
        <w:spacing w:after="0"/>
        <w:rPr>
          <w:sz w:val="20"/>
          <w:szCs w:val="20"/>
          <w:color w:val="auto"/>
        </w:rPr>
      </w:pPr>
      <w:r>
        <w:rPr>
          <w:rFonts w:ascii="Arial" w:cs="Arial" w:eastAsia="Arial" w:hAnsi="Arial"/>
          <w:sz w:val="20"/>
          <w:szCs w:val="20"/>
          <w:color w:val="EE2724"/>
          <w:strike w:val="1"/>
        </w:rPr>
        <w:t>Name: Robert F. Barton</w:t>
      </w:r>
    </w:p>
    <w:p>
      <w:pPr>
        <w:spacing w:after="0" w:line="45" w:lineRule="exact"/>
        <w:rPr>
          <w:sz w:val="20"/>
          <w:szCs w:val="20"/>
          <w:color w:val="auto"/>
        </w:rPr>
      </w:pPr>
    </w:p>
    <w:p>
      <w:pPr>
        <w:ind w:left="5720"/>
        <w:spacing w:after="0"/>
        <w:rPr>
          <w:sz w:val="20"/>
          <w:szCs w:val="20"/>
          <w:color w:val="auto"/>
        </w:rPr>
      </w:pPr>
      <w:r>
        <w:rPr>
          <w:rFonts w:ascii="Arial" w:cs="Arial" w:eastAsia="Arial" w:hAnsi="Arial"/>
          <w:sz w:val="18"/>
          <w:szCs w:val="18"/>
          <w:color w:val="EE2724"/>
          <w:strike w:val="1"/>
        </w:rPr>
        <w:t>Title: Chief Financial Officer and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color w:val="auto"/>
        </w:rPr>
        <w:t>Accepted and Agreed to:</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U.S. BANK NATIONAL ASSOCIATION</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as Administrative Agent</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57"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[Signature Page to Guaranty]</w:t>
      </w:r>
    </w:p>
    <w:p>
      <w:pPr>
        <w:sectPr>
          <w:pgSz w:w="11900" w:h="16838" w:orient="portrait"/>
          <w:cols w:equalWidth="0" w:num="1">
            <w:col w:w="10460"/>
          </w:cols>
          <w:pgMar w:left="260" w:top="495" w:right="1179" w:bottom="1440" w:gutter="0" w:footer="0" w:header="0"/>
        </w:sectPr>
      </w:pPr>
    </w:p>
    <w:bookmarkStart w:id="570" w:name="page571"/>
    <w:bookmarkEnd w:id="570"/>
    <w:p>
      <w:pPr>
        <w:jc w:val="center"/>
        <w:spacing w:after="0"/>
        <w:rPr>
          <w:sz w:val="20"/>
          <w:szCs w:val="20"/>
          <w:color w:val="auto"/>
        </w:rPr>
      </w:pPr>
      <w:r>
        <w:rPr>
          <w:rFonts w:ascii="Arial" w:cs="Arial" w:eastAsia="Arial" w:hAnsi="Arial"/>
          <w:sz w:val="20"/>
          <w:szCs w:val="20"/>
          <w:color w:val="auto"/>
        </w:rPr>
        <w:t>Annex I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Guaranty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Form of Joinder to Guaranty</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JOINDER NO. ___, dated as of _________, 20__ (this “</w:t>
      </w:r>
      <w:r>
        <w:rPr>
          <w:rFonts w:ascii="Arial" w:cs="Arial" w:eastAsia="Arial" w:hAnsi="Arial"/>
          <w:sz w:val="18"/>
          <w:szCs w:val="18"/>
          <w:u w:val="single" w:color="auto"/>
          <w:color w:val="auto"/>
        </w:rPr>
        <w:t>Joinder</w:t>
      </w:r>
      <w:r>
        <w:rPr>
          <w:rFonts w:ascii="Arial" w:cs="Arial" w:eastAsia="Arial" w:hAnsi="Arial"/>
          <w:sz w:val="18"/>
          <w:szCs w:val="18"/>
          <w:color w:val="auto"/>
        </w:rPr>
        <w:t>”), to the Guaranty dated as of March 1, 2016 (as amended, modified,</w:t>
      </w:r>
    </w:p>
    <w:p>
      <w:pPr>
        <w:spacing w:after="0" w:line="4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restated and/or supplemented from time to time, the “</w:t>
      </w:r>
      <w:r>
        <w:rPr>
          <w:rFonts w:ascii="Arial" w:cs="Arial" w:eastAsia="Arial" w:hAnsi="Arial"/>
          <w:sz w:val="18"/>
          <w:szCs w:val="18"/>
          <w:u w:val="single" w:color="auto"/>
          <w:color w:val="auto"/>
        </w:rPr>
        <w:t>Guaranty</w:t>
      </w:r>
      <w:r>
        <w:rPr>
          <w:rFonts w:ascii="Arial" w:cs="Arial" w:eastAsia="Arial" w:hAnsi="Arial"/>
          <w:sz w:val="18"/>
          <w:szCs w:val="18"/>
          <w:color w:val="auto"/>
        </w:rPr>
        <w:t>”), made by and among American Assets Trust, Inc., a Maryland corporation (the “</w:t>
      </w:r>
      <w:r>
        <w:rPr>
          <w:rFonts w:ascii="Arial" w:cs="Arial" w:eastAsia="Arial" w:hAnsi="Arial"/>
          <w:sz w:val="18"/>
          <w:szCs w:val="18"/>
          <w:u w:val="single" w:color="auto"/>
          <w:color w:val="auto"/>
        </w:rPr>
        <w:t>REIT</w:t>
      </w:r>
      <w:r>
        <w:rPr>
          <w:rFonts w:ascii="Arial" w:cs="Arial" w:eastAsia="Arial" w:hAnsi="Arial"/>
          <w:sz w:val="18"/>
          <w:szCs w:val="18"/>
          <w:color w:val="auto"/>
        </w:rPr>
        <w:t>”), and the Subsidiaries of the REIT party thereto in favor U.S. BANK NATIONAL ASSOCIATION, as Administrative Agent (in such capacity, together with any successor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benefit of the Creditor Parties.</w:t>
      </w:r>
    </w:p>
    <w:p>
      <w:pPr>
        <w:spacing w:after="0" w:line="138" w:lineRule="exact"/>
        <w:rPr>
          <w:sz w:val="20"/>
          <w:szCs w:val="20"/>
          <w:color w:val="auto"/>
        </w:rPr>
      </w:pPr>
    </w:p>
    <w:p>
      <w:pPr>
        <w:jc w:val="both"/>
        <w:ind w:firstLine="599"/>
        <w:spacing w:after="0" w:line="260" w:lineRule="auto"/>
        <w:tabs>
          <w:tab w:leader="none" w:pos="1393" w:val="left"/>
        </w:tabs>
        <w:numPr>
          <w:ilvl w:val="0"/>
          <w:numId w:val="678"/>
        </w:numPr>
        <w:rPr>
          <w:rFonts w:ascii="Arial" w:cs="Arial" w:eastAsia="Arial" w:hAnsi="Arial"/>
          <w:sz w:val="20"/>
          <w:szCs w:val="20"/>
          <w:color w:val="auto"/>
        </w:rPr>
      </w:pPr>
      <w:r>
        <w:rPr>
          <w:rFonts w:ascii="Arial" w:cs="Arial" w:eastAsia="Arial" w:hAnsi="Arial"/>
          <w:sz w:val="20"/>
          <w:szCs w:val="20"/>
          <w:color w:val="auto"/>
        </w:rPr>
        <w:t>Reference is made to (a) the Term Loan Agreement dated as of March 1, 2016 (as amended, modified, restated and/or supplemented from time to time, the “</w:t>
      </w:r>
      <w:r>
        <w:rPr>
          <w:rFonts w:ascii="Arial" w:cs="Arial" w:eastAsia="Arial" w:hAnsi="Arial"/>
          <w:sz w:val="20"/>
          <w:szCs w:val="20"/>
          <w:u w:val="single" w:color="auto"/>
          <w:color w:val="auto"/>
        </w:rPr>
        <w:t>Term Loan Agreement</w:t>
      </w:r>
      <w:r>
        <w:rPr>
          <w:rFonts w:ascii="Arial" w:cs="Arial" w:eastAsia="Arial" w:hAnsi="Arial"/>
          <w:sz w:val="20"/>
          <w:szCs w:val="20"/>
          <w:color w:val="auto"/>
        </w:rPr>
        <w:t>”) among the REIT, American Assets Trust, L.P., a Maryland limited partnership (the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party thereto and the Administrative Agent and (b) the Guaranty.</w:t>
      </w:r>
    </w:p>
    <w:p>
      <w:pPr>
        <w:spacing w:after="0" w:line="201" w:lineRule="exact"/>
        <w:rPr>
          <w:rFonts w:ascii="Arial" w:cs="Arial" w:eastAsia="Arial" w:hAnsi="Arial"/>
          <w:sz w:val="20"/>
          <w:szCs w:val="20"/>
          <w:color w:val="auto"/>
        </w:rPr>
      </w:pPr>
    </w:p>
    <w:p>
      <w:pPr>
        <w:ind w:left="1380" w:hanging="781"/>
        <w:spacing w:after="0"/>
        <w:tabs>
          <w:tab w:leader="none" w:pos="1380" w:val="left"/>
        </w:tabs>
        <w:numPr>
          <w:ilvl w:val="0"/>
          <w:numId w:val="678"/>
        </w:numPr>
        <w:rPr>
          <w:rFonts w:ascii="Arial" w:cs="Arial" w:eastAsia="Arial" w:hAnsi="Arial"/>
          <w:sz w:val="19"/>
          <w:szCs w:val="19"/>
          <w:color w:val="auto"/>
        </w:rPr>
      </w:pPr>
      <w:r>
        <w:rPr>
          <w:rFonts w:ascii="Arial" w:cs="Arial" w:eastAsia="Arial" w:hAnsi="Arial"/>
          <w:sz w:val="19"/>
          <w:szCs w:val="19"/>
          <w:color w:val="auto"/>
        </w:rPr>
        <w:t>Capitalized terms used herein and not otherwise defined herein shall have the meanings assigned to such terms in the</w:t>
      </w:r>
    </w:p>
    <w:p>
      <w:pPr>
        <w:spacing w:after="0" w:line="3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Guaranty.</w:t>
      </w:r>
    </w:p>
    <w:p>
      <w:pPr>
        <w:spacing w:after="0" w:line="228" w:lineRule="exact"/>
        <w:rPr>
          <w:rFonts w:ascii="Arial" w:cs="Arial" w:eastAsia="Arial" w:hAnsi="Arial"/>
          <w:sz w:val="19"/>
          <w:szCs w:val="19"/>
          <w:color w:val="auto"/>
        </w:rPr>
      </w:pPr>
    </w:p>
    <w:p>
      <w:pPr>
        <w:ind w:left="1380" w:hanging="781"/>
        <w:spacing w:after="0"/>
        <w:tabs>
          <w:tab w:leader="none" w:pos="1380" w:val="left"/>
        </w:tabs>
        <w:numPr>
          <w:ilvl w:val="0"/>
          <w:numId w:val="678"/>
        </w:numPr>
        <w:rPr>
          <w:rFonts w:ascii="Arial" w:cs="Arial" w:eastAsia="Arial" w:hAnsi="Arial"/>
          <w:sz w:val="20"/>
          <w:szCs w:val="20"/>
          <w:color w:val="auto"/>
        </w:rPr>
      </w:pPr>
      <w:r>
        <w:rPr>
          <w:rFonts w:ascii="Arial" w:cs="Arial" w:eastAsia="Arial" w:hAnsi="Arial"/>
          <w:sz w:val="20"/>
          <w:szCs w:val="20"/>
          <w:color w:val="auto"/>
        </w:rPr>
        <w:t>[NAME OF ENTITY] has [formed][acquired] ___________, ___________ [type of entity](the “</w:t>
      </w:r>
      <w:r>
        <w:rPr>
          <w:rFonts w:ascii="Arial" w:cs="Arial" w:eastAsia="Arial" w:hAnsi="Arial"/>
          <w:sz w:val="20"/>
          <w:szCs w:val="20"/>
          <w:u w:val="single" w:color="auto"/>
          <w:color w:val="auto"/>
        </w:rPr>
        <w:t>New Guarantor</w:t>
      </w:r>
      <w:r>
        <w:rPr>
          <w:rFonts w:ascii="Arial" w:cs="Arial" w:eastAsia="Arial" w:hAnsi="Arial"/>
          <w:sz w:val="20"/>
          <w:szCs w:val="20"/>
          <w:color w:val="auto"/>
        </w:rPr>
        <w:t>”).</w:t>
      </w:r>
    </w:p>
    <w:p>
      <w:pPr>
        <w:spacing w:after="0" w:line="244" w:lineRule="exact"/>
        <w:rPr>
          <w:rFonts w:ascii="Arial" w:cs="Arial" w:eastAsia="Arial" w:hAnsi="Arial"/>
          <w:sz w:val="20"/>
          <w:szCs w:val="20"/>
          <w:color w:val="auto"/>
        </w:rPr>
      </w:pPr>
    </w:p>
    <w:p>
      <w:pPr>
        <w:jc w:val="both"/>
        <w:ind w:firstLine="599"/>
        <w:spacing w:after="0" w:line="260" w:lineRule="auto"/>
        <w:tabs>
          <w:tab w:leader="none" w:pos="1393" w:val="left"/>
        </w:tabs>
        <w:numPr>
          <w:ilvl w:val="0"/>
          <w:numId w:val="678"/>
        </w:numPr>
        <w:rPr>
          <w:rFonts w:ascii="Arial" w:cs="Arial" w:eastAsia="Arial" w:hAnsi="Arial"/>
          <w:sz w:val="20"/>
          <w:szCs w:val="20"/>
          <w:color w:val="auto"/>
        </w:rPr>
      </w:pPr>
      <w:r>
        <w:rPr>
          <w:rFonts w:ascii="Arial" w:cs="Arial" w:eastAsia="Arial" w:hAnsi="Arial"/>
          <w:sz w:val="20"/>
          <w:szCs w:val="20"/>
          <w:color w:val="auto"/>
        </w:rPr>
        <w:t>Pursuant to the terms and provisions of the Term Loan Agreement, the New Guarantor is required to become a party to the Guaranty and guaranty the Obligations of the Borrower. The New Guarantor is executing this Joinder in accordance with the requirements of the Term Loan Agreement and Section 19 of the Guaranty to become a party to the Guaranty.</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Accordingly, the New Guarantor hereby agrees as follows:</w:t>
      </w:r>
    </w:p>
    <w:p>
      <w:pPr>
        <w:spacing w:after="0" w:line="207"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20"/>
          <w:szCs w:val="20"/>
          <w:color w:val="auto"/>
        </w:rPr>
        <w:t>Section 1. The New Guarantor is hereby added as a party to the Guaranty and hereby agrees to be bound as a “Guarantor” by all of the terms, covenants and provisions set forth in the Guaranty to the same extent it would have been bound if it had been a signatory to the Guaranty on the date of the Guaranty. In furtherance of the foregoing, the New Guarantor hereby absolutely and unconditionally guarantees, as a guaranty of payment and performance and not as a guaranty of collection, prompt payment when due, whether at stated maturity, by required prepayment, upon acceleration, demand or otherwise, and at all times thereafter, of all Guaranteed Obligations. The New Guarantor hereby makes each of the representations and warranties applicable to a “Guarantor” contained in the Guaranty.</w:t>
      </w:r>
    </w:p>
    <w:p>
      <w:pPr>
        <w:spacing w:after="0" w:line="215"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Section 2. The New Guarantor hereby represents and warrants to the Administrative Agent and the other Creditor Parties that this Joinder has been duly authorized, executed and delivered by it and constitutes its legal, valid and binding obligation, enforceable against it in accordance with its terms, except as enforceability may be limited by bankruptcy, insolvency, fraudulent conveyance, reorganization, moratorium or similar laws affecting the enforceability of creditors’ rights generally and by general principles of equity (regardless of whether enforcement is sought at law or in equity).</w:t>
      </w:r>
    </w:p>
    <w:p>
      <w:pPr>
        <w:spacing w:after="0" w:line="212"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Section 3. The New Guarantor hereby represents and warrants to the Administrative Agent and the other Creditor Parties that its U.S. taxpayer identification number (or, if such New Guarantor is a Non-U.S. Loan Party that does not have a U.S. taxpayer identification number, its unique identification number</w:t>
      </w:r>
    </w:p>
    <w:p>
      <w:pPr>
        <w:sectPr>
          <w:pgSz w:w="11900" w:h="16838" w:orient="portrait"/>
          <w:cols w:equalWidth="0" w:num="1">
            <w:col w:w="11420"/>
          </w:cols>
          <w:pgMar w:left="240" w:top="357" w:right="239" w:bottom="1440" w:gutter="0" w:footer="0" w:header="0"/>
        </w:sectPr>
      </w:pPr>
    </w:p>
    <w:bookmarkStart w:id="571" w:name="page572"/>
    <w:bookmarkEnd w:id="571"/>
    <w:p>
      <w:pPr>
        <w:spacing w:after="0"/>
        <w:rPr>
          <w:sz w:val="20"/>
          <w:szCs w:val="20"/>
          <w:color w:val="auto"/>
        </w:rPr>
      </w:pPr>
      <w:r>
        <w:rPr>
          <w:rFonts w:ascii="Arial" w:cs="Arial" w:eastAsia="Arial" w:hAnsi="Arial"/>
          <w:sz w:val="20"/>
          <w:szCs w:val="20"/>
          <w:color w:val="auto"/>
        </w:rPr>
        <w:t>issued to it by the jurisdiction of its incorporation or organization), is set forth under its signature to this Joinder.</w:t>
      </w:r>
    </w:p>
    <w:p>
      <w:pPr>
        <w:spacing w:after="0" w:line="245" w:lineRule="exact"/>
        <w:rPr>
          <w:sz w:val="20"/>
          <w:szCs w:val="20"/>
          <w:color w:val="auto"/>
        </w:rPr>
      </w:pPr>
    </w:p>
    <w:p>
      <w:pPr>
        <w:ind w:firstLine="599"/>
        <w:spacing w:after="0" w:line="272" w:lineRule="auto"/>
        <w:rPr>
          <w:sz w:val="20"/>
          <w:szCs w:val="20"/>
          <w:color w:val="auto"/>
        </w:rPr>
      </w:pPr>
      <w:r>
        <w:rPr>
          <w:rFonts w:ascii="Arial" w:cs="Arial" w:eastAsia="Arial" w:hAnsi="Arial"/>
          <w:sz w:val="20"/>
          <w:szCs w:val="20"/>
          <w:color w:val="auto"/>
        </w:rPr>
        <w:t>Section 4. This Joinder may be executed in counterparts (and by different parties hereto on different counterparts), each of which shall constitute an original, but all of which when taken together shall constitute a single contract.</w:t>
      </w:r>
    </w:p>
    <w:p>
      <w:pPr>
        <w:spacing w:after="0" w:line="191" w:lineRule="exact"/>
        <w:rPr>
          <w:sz w:val="20"/>
          <w:szCs w:val="20"/>
          <w:color w:val="auto"/>
        </w:rPr>
      </w:pPr>
    </w:p>
    <w:p>
      <w:pPr>
        <w:ind w:left="600"/>
        <w:spacing w:after="0"/>
        <w:tabs>
          <w:tab w:leader="none" w:pos="2580" w:val="left"/>
        </w:tabs>
        <w:rPr>
          <w:sz w:val="20"/>
          <w:szCs w:val="20"/>
          <w:color w:val="auto"/>
        </w:rPr>
      </w:pPr>
      <w:r>
        <w:rPr>
          <w:rFonts w:ascii="Arial" w:cs="Arial" w:eastAsia="Arial" w:hAnsi="Arial"/>
          <w:sz w:val="20"/>
          <w:szCs w:val="20"/>
          <w:color w:val="auto"/>
        </w:rPr>
        <w:t>Section 5.</w:t>
      </w:r>
      <w:r>
        <w:rPr>
          <w:sz w:val="20"/>
          <w:szCs w:val="20"/>
          <w:color w:val="auto"/>
        </w:rPr>
        <w:tab/>
      </w:r>
      <w:r>
        <w:rPr>
          <w:rFonts w:ascii="Arial" w:cs="Arial" w:eastAsia="Arial" w:hAnsi="Arial"/>
          <w:sz w:val="18"/>
          <w:szCs w:val="18"/>
          <w:color w:val="auto"/>
        </w:rPr>
        <w:t>Except as expressly supplemented hereby, the Guaranty shall remain in full force and effect.</w:t>
      </w:r>
    </w:p>
    <w:p>
      <w:pPr>
        <w:spacing w:after="0" w:line="245" w:lineRule="exact"/>
        <w:rPr>
          <w:sz w:val="20"/>
          <w:szCs w:val="20"/>
          <w:color w:val="auto"/>
        </w:rPr>
      </w:pPr>
    </w:p>
    <w:p>
      <w:pPr>
        <w:ind w:firstLine="599"/>
        <w:spacing w:after="0" w:line="272" w:lineRule="auto"/>
        <w:rPr>
          <w:sz w:val="20"/>
          <w:szCs w:val="20"/>
          <w:color w:val="auto"/>
        </w:rPr>
      </w:pPr>
      <w:r>
        <w:rPr>
          <w:rFonts w:ascii="Arial" w:cs="Arial" w:eastAsia="Arial" w:hAnsi="Arial"/>
          <w:sz w:val="20"/>
          <w:szCs w:val="20"/>
          <w:color w:val="auto"/>
        </w:rPr>
        <w:t>Section 6. THIS JOINDER SHALL BE GOVERNED BY, AND CONSTRUED IN ACCORDANCE WITH, THE LAW OF THE STATE OF NEW YORK APPLICABLE TO CONTRACTS EXECUTED, AND TO BE FULLY PERFORMED, IN SUCH STATE.</w:t>
      </w:r>
    </w:p>
    <w:p>
      <w:pPr>
        <w:spacing w:after="0" w:line="191" w:lineRule="exact"/>
        <w:rPr>
          <w:sz w:val="20"/>
          <w:szCs w:val="20"/>
          <w:color w:val="auto"/>
        </w:rPr>
      </w:pPr>
    </w:p>
    <w:p>
      <w:pPr>
        <w:ind w:firstLine="599"/>
        <w:spacing w:after="0" w:line="272" w:lineRule="auto"/>
        <w:rPr>
          <w:sz w:val="20"/>
          <w:szCs w:val="20"/>
          <w:color w:val="auto"/>
        </w:rPr>
      </w:pPr>
      <w:r>
        <w:rPr>
          <w:rFonts w:ascii="Arial" w:cs="Arial" w:eastAsia="Arial" w:hAnsi="Arial"/>
          <w:sz w:val="20"/>
          <w:szCs w:val="20"/>
          <w:color w:val="auto"/>
        </w:rPr>
        <w:t>Section 7. All communications and notices to be provided to the New Guarantor hereunder or under the Guaranty shall be given to the New Guarantor at the address set forth under its signature.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58" w:right="239" w:bottom="1440" w:gutter="0" w:footer="0" w:header="0"/>
        </w:sectPr>
      </w:pPr>
    </w:p>
    <w:bookmarkStart w:id="572" w:name="page573"/>
    <w:bookmarkEnd w:id="572"/>
    <w:p>
      <w:pPr>
        <w:ind w:firstLine="599"/>
        <w:spacing w:after="0" w:line="272" w:lineRule="auto"/>
        <w:rPr>
          <w:sz w:val="20"/>
          <w:szCs w:val="20"/>
          <w:color w:val="auto"/>
        </w:rPr>
      </w:pPr>
      <w:r>
        <w:rPr>
          <w:rFonts w:ascii="Arial" w:cs="Arial" w:eastAsia="Arial" w:hAnsi="Arial"/>
          <w:sz w:val="20"/>
          <w:szCs w:val="20"/>
          <w:color w:val="auto"/>
        </w:rPr>
        <w:t>IN WITNESS WHEREOF, the New Guarantor and the Administrative Agent have duly executed this Joinder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620"/>
        <w:spacing w:after="0"/>
        <w:rPr>
          <w:sz w:val="20"/>
          <w:szCs w:val="20"/>
          <w:color w:val="auto"/>
        </w:rPr>
      </w:pPr>
      <w:r>
        <w:rPr>
          <w:rFonts w:ascii="Arial" w:cs="Arial" w:eastAsia="Arial" w:hAnsi="Arial"/>
          <w:sz w:val="20"/>
          <w:szCs w:val="20"/>
          <w:color w:val="auto"/>
        </w:rPr>
        <w:t>[NEW GUARANTOR]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2522220</wp:posOffset>
            </wp:positionH>
            <wp:positionV relativeFrom="paragraph">
              <wp:posOffset>24765</wp:posOffset>
            </wp:positionV>
            <wp:extent cx="2347595"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347595" cy="7620"/>
                    </a:xfrm>
                    <a:prstGeom prst="rect">
                      <a:avLst/>
                    </a:prstGeom>
                    <a:noFill/>
                  </pic:spPr>
                </pic:pic>
              </a:graphicData>
            </a:graphic>
          </wp:anchor>
        </w:drawing>
      </w:r>
    </w:p>
    <w:p>
      <w:pPr>
        <w:spacing w:after="0" w:line="37"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Name:</w:t>
      </w:r>
    </w:p>
    <w:p>
      <w:pPr>
        <w:spacing w:after="0" w:line="45"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Title:</w:t>
      </w:r>
    </w:p>
    <w:p>
      <w:pPr>
        <w:spacing w:after="0" w:line="320" w:lineRule="exact"/>
        <w:rPr>
          <w:sz w:val="20"/>
          <w:szCs w:val="20"/>
          <w:color w:val="auto"/>
        </w:rPr>
      </w:pPr>
    </w:p>
    <w:p>
      <w:pPr>
        <w:ind w:left="3620"/>
        <w:spacing w:after="0"/>
        <w:tabs>
          <w:tab w:leader="none" w:pos="5340" w:val="left"/>
        </w:tabs>
        <w:rPr>
          <w:sz w:val="20"/>
          <w:szCs w:val="20"/>
          <w:color w:val="auto"/>
        </w:rPr>
      </w:pPr>
      <w:r>
        <w:rPr>
          <w:rFonts w:ascii="Arial" w:cs="Arial" w:eastAsia="Arial" w:hAnsi="Arial"/>
          <w:sz w:val="20"/>
          <w:szCs w:val="20"/>
          <w:color w:val="auto"/>
        </w:rPr>
        <w:t>U.S.Taxpayer</w:t>
      </w:r>
      <w:r>
        <w:rPr>
          <w:sz w:val="20"/>
          <w:szCs w:val="20"/>
          <w:color w:val="auto"/>
        </w:rPr>
        <w:tab/>
      </w:r>
      <w:r>
        <w:rPr>
          <w:rFonts w:ascii="Arial" w:cs="Arial" w:eastAsia="Arial" w:hAnsi="Arial"/>
          <w:sz w:val="20"/>
          <w:szCs w:val="20"/>
          <w:color w:val="auto"/>
        </w:rPr>
        <w:t>Identification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2299970</wp:posOffset>
            </wp:positionH>
            <wp:positionV relativeFrom="paragraph">
              <wp:posOffset>-13970</wp:posOffset>
            </wp:positionV>
            <wp:extent cx="1783715"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783715" cy="7620"/>
                    </a:xfrm>
                    <a:prstGeom prst="rect">
                      <a:avLst/>
                    </a:prstGeom>
                    <a:noFill/>
                  </pic:spPr>
                </pic:pic>
              </a:graphicData>
            </a:graphic>
          </wp:anchor>
        </w:drawing>
      </w:r>
    </w:p>
    <w:p>
      <w:pPr>
        <w:ind w:left="3620"/>
        <w:spacing w:after="0"/>
        <w:tabs>
          <w:tab w:leader="none" w:pos="6460" w:val="left"/>
        </w:tabs>
        <w:rPr>
          <w:sz w:val="20"/>
          <w:szCs w:val="20"/>
          <w:color w:val="auto"/>
        </w:rPr>
      </w:pPr>
      <w:r>
        <w:rPr>
          <w:rFonts w:ascii="Arial" w:cs="Arial" w:eastAsia="Arial" w:hAnsi="Arial"/>
          <w:sz w:val="20"/>
          <w:szCs w:val="20"/>
          <w:u w:val="single" w:color="auto"/>
          <w:color w:val="auto"/>
        </w:rPr>
        <w:t>Number</w:t>
      </w:r>
      <w:r>
        <w:rPr>
          <w:rFonts w:ascii="Arial" w:cs="Arial" w:eastAsia="Arial" w:hAnsi="Arial"/>
          <w:sz w:val="20"/>
          <w:szCs w:val="20"/>
          <w:color w:val="auto"/>
        </w:rPr>
        <w:t>:</w:t>
      </w:r>
      <w:r>
        <w:rPr>
          <w:sz w:val="20"/>
          <w:szCs w:val="20"/>
          <w:color w:val="auto"/>
        </w:rPr>
        <w:tab/>
      </w:r>
      <w:r>
        <w:rPr>
          <w:rFonts w:ascii="Arial" w:cs="Arial" w:eastAsia="Arial" w:hAnsi="Arial"/>
          <w:sz w:val="17"/>
          <w:szCs w:val="17"/>
          <w:color w:val="auto"/>
        </w:rPr>
        <w:t>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620"/>
        <w:spacing w:after="0"/>
        <w:rPr>
          <w:sz w:val="20"/>
          <w:szCs w:val="20"/>
          <w:color w:val="auto"/>
        </w:rPr>
      </w:pPr>
      <w:r>
        <w:rPr>
          <w:rFonts w:ascii="Arial" w:cs="Arial" w:eastAsia="Arial" w:hAnsi="Arial"/>
          <w:sz w:val="20"/>
          <w:szCs w:val="20"/>
          <w:u w:val="single" w:color="auto"/>
          <w:color w:val="auto"/>
        </w:rPr>
        <w:t>Address of New Guarantor</w:t>
      </w:r>
      <w:r>
        <w:rPr>
          <w:rFonts w:ascii="Arial" w:cs="Arial" w:eastAsia="Arial" w:hAnsi="Arial"/>
          <w:sz w:val="20"/>
          <w:szCs w:val="20"/>
          <w:color w:val="auto"/>
        </w:rPr>
        <w:t>:</w:t>
      </w:r>
    </w:p>
    <w:p>
      <w:pPr>
        <w:spacing w:after="0" w:line="200" w:lineRule="exact"/>
        <w:rPr>
          <w:sz w:val="20"/>
          <w:szCs w:val="20"/>
          <w:color w:val="auto"/>
        </w:rPr>
      </w:pPr>
    </w:p>
    <w:p>
      <w:pPr>
        <w:spacing w:after="0" w:line="319" w:lineRule="exact"/>
        <w:rPr>
          <w:sz w:val="20"/>
          <w:szCs w:val="20"/>
          <w:color w:val="auto"/>
        </w:rPr>
      </w:pPr>
    </w:p>
    <w:p>
      <w:pPr>
        <w:ind w:left="4360" w:hanging="738"/>
        <w:spacing w:after="0"/>
        <w:tabs>
          <w:tab w:leader="none" w:pos="4360" w:val="left"/>
        </w:tabs>
        <w:numPr>
          <w:ilvl w:val="0"/>
          <w:numId w:val="679"/>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20"/>
          <w:szCs w:val="20"/>
          <w:color w:val="auto"/>
        </w:rPr>
        <w:t>Accepted and Agreed to:</w:t>
      </w: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20"/>
          <w:szCs w:val="20"/>
          <w:color w:val="auto"/>
        </w:rPr>
        <w:t>US NATIONAL BANK ASSOCIATION</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24765</wp:posOffset>
            </wp:positionV>
            <wp:extent cx="2743835"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743835" cy="762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580"/>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44" w:lineRule="exact"/>
        <w:rPr>
          <w:sz w:val="20"/>
          <w:szCs w:val="20"/>
          <w:color w:val="auto"/>
        </w:rPr>
      </w:pPr>
    </w:p>
    <w:p>
      <w:pPr>
        <w:ind w:left="5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Joinder to Guaranty]</w:t>
      </w:r>
    </w:p>
    <w:p>
      <w:pPr>
        <w:sectPr>
          <w:pgSz w:w="11900" w:h="16838" w:orient="portrait"/>
          <w:cols w:equalWidth="0" w:num="1">
            <w:col w:w="11420"/>
          </w:cols>
          <w:pgMar w:left="240" w:top="357" w:right="239" w:bottom="1440" w:gutter="0" w:footer="0" w:header="0"/>
        </w:sectPr>
      </w:pPr>
    </w:p>
    <w:bookmarkStart w:id="573" w:name="page574"/>
    <w:bookmarkEnd w:id="573"/>
    <w:p>
      <w:pPr>
        <w:jc w:val="center"/>
        <w:ind w:right="-20"/>
        <w:spacing w:after="0"/>
        <w:rPr>
          <w:sz w:val="20"/>
          <w:szCs w:val="20"/>
          <w:color w:val="auto"/>
        </w:rPr>
      </w:pPr>
      <w:r>
        <w:rPr>
          <w:rFonts w:ascii="Arial" w:cs="Arial" w:eastAsia="Arial" w:hAnsi="Arial"/>
          <w:sz w:val="20"/>
          <w:szCs w:val="20"/>
          <w:b w:val="1"/>
          <w:bCs w:val="1"/>
          <w:color w:val="auto"/>
        </w:rPr>
        <w:t>EXHIBIT B-2</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Clean Copy of Amended Guaranty Agreement</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[Attached]</w:t>
      </w:r>
    </w:p>
    <w:p>
      <w:pPr>
        <w:sectPr>
          <w:pgSz w:w="11900" w:h="16838" w:orient="portrait"/>
          <w:cols w:equalWidth="0" w:num="1">
            <w:col w:w="9019"/>
          </w:cols>
          <w:pgMar w:left="1440" w:top="352" w:right="1440" w:bottom="1440" w:gutter="0" w:footer="0" w:header="0"/>
        </w:sectPr>
      </w:pPr>
    </w:p>
    <w:bookmarkStart w:id="574" w:name="page575"/>
    <w:bookmarkEnd w:id="574"/>
    <w:p>
      <w:pPr>
        <w:jc w:val="right"/>
        <w:spacing w:after="0"/>
        <w:rPr>
          <w:sz w:val="20"/>
          <w:szCs w:val="20"/>
          <w:color w:val="auto"/>
        </w:rPr>
      </w:pPr>
      <w:r>
        <w:rPr>
          <w:rFonts w:ascii="Arial" w:cs="Arial" w:eastAsia="Arial" w:hAnsi="Arial"/>
          <w:sz w:val="17"/>
          <w:szCs w:val="17"/>
          <w:b w:val="1"/>
          <w:bCs w:val="1"/>
          <w:color w:val="auto"/>
        </w:rPr>
        <w:t>Conformed to include Third Amendment to Term Loan Agreement dated as of January 9, 2018</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GUARANTY</w:t>
      </w:r>
    </w:p>
    <w:p>
      <w:pPr>
        <w:spacing w:after="0" w:line="213" w:lineRule="exact"/>
        <w:rPr>
          <w:sz w:val="20"/>
          <w:szCs w:val="20"/>
          <w:color w:val="auto"/>
        </w:rPr>
      </w:pPr>
    </w:p>
    <w:p>
      <w:pPr>
        <w:jc w:val="both"/>
        <w:ind w:firstLine="1199"/>
        <w:spacing w:after="0" w:line="270" w:lineRule="auto"/>
        <w:rPr>
          <w:sz w:val="20"/>
          <w:szCs w:val="20"/>
          <w:color w:val="auto"/>
        </w:rPr>
      </w:pPr>
      <w:r>
        <w:rPr>
          <w:rFonts w:ascii="Arial" w:cs="Arial" w:eastAsia="Arial" w:hAnsi="Arial"/>
          <w:sz w:val="19"/>
          <w:szCs w:val="19"/>
          <w:color w:val="auto"/>
        </w:rPr>
        <w:t>GUARANTY (as amended, modified, restated and/or supplemented from time to time, this “</w:t>
      </w:r>
      <w:r>
        <w:rPr>
          <w:rFonts w:ascii="Arial" w:cs="Arial" w:eastAsia="Arial" w:hAnsi="Arial"/>
          <w:sz w:val="19"/>
          <w:szCs w:val="19"/>
          <w:u w:val="single" w:color="auto"/>
          <w:color w:val="auto"/>
        </w:rPr>
        <w:t>Guaranty</w:t>
      </w:r>
      <w:r>
        <w:rPr>
          <w:rFonts w:ascii="Arial" w:cs="Arial" w:eastAsia="Arial" w:hAnsi="Arial"/>
          <w:sz w:val="19"/>
          <w:szCs w:val="19"/>
          <w:color w:val="auto"/>
        </w:rPr>
        <w:t>”), dated as of March 1, 2016 made by and among each of the undersigned guarantors (each, a “</w:t>
      </w:r>
      <w:r>
        <w:rPr>
          <w:rFonts w:ascii="Arial" w:cs="Arial" w:eastAsia="Arial" w:hAnsi="Arial"/>
          <w:sz w:val="19"/>
          <w:szCs w:val="19"/>
          <w:u w:val="single" w:color="auto"/>
          <w:color w:val="auto"/>
        </w:rPr>
        <w:t>Guarantor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Guarantors</w:t>
      </w:r>
      <w:r>
        <w:rPr>
          <w:rFonts w:ascii="Arial" w:cs="Arial" w:eastAsia="Arial" w:hAnsi="Arial"/>
          <w:sz w:val="19"/>
          <w:szCs w:val="19"/>
          <w:color w:val="auto"/>
        </w:rPr>
        <w:t>”) in favor of U.S. BANK NATIONAL ASSOCIATION, as Administrative Agent (in such capacity, together with any successor administrative agent,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for the benefit of the Creditor Parties (as defined below). Except as otherwise defined herein, all capitalized terms used herein and defined in the Term Loan Agreement (as defined below) shall be used herein as therein defined.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 I T N E S S E T H :</w:t>
      </w:r>
    </w:p>
    <w:p>
      <w:pPr>
        <w:spacing w:after="0" w:line="207" w:lineRule="exact"/>
        <w:rPr>
          <w:sz w:val="20"/>
          <w:szCs w:val="20"/>
          <w:color w:val="auto"/>
        </w:rPr>
      </w:pPr>
    </w:p>
    <w:p>
      <w:pPr>
        <w:jc w:val="both"/>
        <w:ind w:firstLine="1199"/>
        <w:spacing w:after="0" w:line="273" w:lineRule="auto"/>
        <w:rPr>
          <w:sz w:val="20"/>
          <w:szCs w:val="20"/>
          <w:color w:val="auto"/>
        </w:rPr>
      </w:pPr>
      <w:r>
        <w:rPr>
          <w:rFonts w:ascii="Arial" w:cs="Arial" w:eastAsia="Arial" w:hAnsi="Arial"/>
          <w:sz w:val="19"/>
          <w:szCs w:val="19"/>
          <w:color w:val="auto"/>
        </w:rPr>
        <w:t>WHEREAS, concurrently with the execution hereof, American Assets Trust, Inc., a Maryland corporation (the “</w:t>
      </w:r>
      <w:r>
        <w:rPr>
          <w:rFonts w:ascii="Arial" w:cs="Arial" w:eastAsia="Arial" w:hAnsi="Arial"/>
          <w:sz w:val="19"/>
          <w:szCs w:val="19"/>
          <w:u w:val="single" w:color="auto"/>
          <w:color w:val="auto"/>
        </w:rPr>
        <w:t>REIT</w:t>
      </w:r>
      <w:r>
        <w:rPr>
          <w:rFonts w:ascii="Arial" w:cs="Arial" w:eastAsia="Arial" w:hAnsi="Arial"/>
          <w:sz w:val="19"/>
          <w:szCs w:val="19"/>
          <w:color w:val="auto"/>
        </w:rPr>
        <w:t>”), American Assets Trust, L.P., a Maryland limited partnership (the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party thereto (the “</w:t>
      </w:r>
      <w:r>
        <w:rPr>
          <w:rFonts w:ascii="Arial" w:cs="Arial" w:eastAsia="Arial" w:hAnsi="Arial"/>
          <w:sz w:val="19"/>
          <w:szCs w:val="19"/>
          <w:u w:val="single" w:color="auto"/>
          <w:color w:val="auto"/>
        </w:rPr>
        <w:t>Lenders</w:t>
      </w:r>
      <w:r>
        <w:rPr>
          <w:rFonts w:ascii="Arial" w:cs="Arial" w:eastAsia="Arial" w:hAnsi="Arial"/>
          <w:sz w:val="19"/>
          <w:szCs w:val="19"/>
          <w:color w:val="auto"/>
        </w:rPr>
        <w:t>”) and the Administrative Agent are entering into a Term Loan Agreement, dated as of the date hereof (as amended, restated, supplemented or otherwise modified from time to time, the “</w:t>
      </w:r>
      <w:r>
        <w:rPr>
          <w:rFonts w:ascii="Arial" w:cs="Arial" w:eastAsia="Arial" w:hAnsi="Arial"/>
          <w:sz w:val="19"/>
          <w:szCs w:val="19"/>
          <w:u w:val="single" w:color="auto"/>
          <w:color w:val="auto"/>
        </w:rPr>
        <w:t>Term Loan Agreement</w:t>
      </w:r>
      <w:r>
        <w:rPr>
          <w:rFonts w:ascii="Arial" w:cs="Arial" w:eastAsia="Arial" w:hAnsi="Arial"/>
          <w:sz w:val="19"/>
          <w:szCs w:val="19"/>
          <w:color w:val="auto"/>
        </w:rPr>
        <w:t>”), on the terms and subject to the conditions set forth therein.</w:t>
      </w:r>
    </w:p>
    <w:p>
      <w:pPr>
        <w:spacing w:after="0" w:line="15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WHEREAS, each Guarantor is either the REIT, which is the direct parent of the Borrower, or a direct or indirect Subsidiary of</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the REIT.</w:t>
      </w:r>
    </w:p>
    <w:p>
      <w:pPr>
        <w:spacing w:after="0" w:line="191" w:lineRule="exact"/>
        <w:rPr>
          <w:sz w:val="20"/>
          <w:szCs w:val="20"/>
          <w:color w:val="auto"/>
        </w:rPr>
      </w:pPr>
    </w:p>
    <w:p>
      <w:pPr>
        <w:jc w:val="both"/>
        <w:ind w:firstLine="1199"/>
        <w:spacing w:after="0" w:line="299" w:lineRule="auto"/>
        <w:rPr>
          <w:sz w:val="20"/>
          <w:szCs w:val="20"/>
          <w:color w:val="auto"/>
        </w:rPr>
      </w:pPr>
      <w:r>
        <w:rPr>
          <w:rFonts w:ascii="Arial" w:cs="Arial" w:eastAsia="Arial" w:hAnsi="Arial"/>
          <w:sz w:val="19"/>
          <w:szCs w:val="19"/>
          <w:color w:val="auto"/>
        </w:rPr>
        <w:t>WHEREAS, it is a condition precedent to the effectiveness of the Term Loan Agreement and the continuation and making of the Term Loans to the Borrower that each Guarantor shall have executed and delivered this Guaranty to the Administrative Agent.</w:t>
      </w:r>
    </w:p>
    <w:p>
      <w:pPr>
        <w:spacing w:after="0" w:line="130" w:lineRule="exact"/>
        <w:rPr>
          <w:sz w:val="20"/>
          <w:szCs w:val="20"/>
          <w:color w:val="auto"/>
        </w:rPr>
      </w:pPr>
    </w:p>
    <w:p>
      <w:pPr>
        <w:jc w:val="both"/>
        <w:ind w:firstLine="1199"/>
        <w:spacing w:after="0" w:line="260" w:lineRule="auto"/>
        <w:rPr>
          <w:sz w:val="20"/>
          <w:szCs w:val="20"/>
          <w:color w:val="auto"/>
        </w:rPr>
      </w:pPr>
      <w:r>
        <w:rPr>
          <w:rFonts w:ascii="Arial" w:cs="Arial" w:eastAsia="Arial" w:hAnsi="Arial"/>
          <w:sz w:val="20"/>
          <w:szCs w:val="20"/>
          <w:color w:val="auto"/>
        </w:rPr>
        <w:t>WHEREAS, each Guarantor will obtain substantial direct and indirect benefits from the incurrence of the Term Loans by the Borrower under the Term Loan Agreement and, accordingly, desires to execute this Guaranty in order to satisfy the condition described in the preceding paragraph and to induce the Lenders to continue to make the Term Loans to the Borrower.</w:t>
      </w:r>
    </w:p>
    <w:p>
      <w:pPr>
        <w:spacing w:after="0" w:line="164" w:lineRule="exact"/>
        <w:rPr>
          <w:sz w:val="20"/>
          <w:szCs w:val="20"/>
          <w:color w:val="auto"/>
        </w:rPr>
      </w:pPr>
    </w:p>
    <w:p>
      <w:pPr>
        <w:jc w:val="both"/>
        <w:ind w:firstLine="1199"/>
        <w:spacing w:after="0" w:line="253" w:lineRule="auto"/>
        <w:rPr>
          <w:sz w:val="20"/>
          <w:szCs w:val="20"/>
          <w:color w:val="auto"/>
        </w:rPr>
      </w:pPr>
      <w:r>
        <w:rPr>
          <w:rFonts w:ascii="Arial" w:cs="Arial" w:eastAsia="Arial" w:hAnsi="Arial"/>
          <w:sz w:val="20"/>
          <w:szCs w:val="20"/>
          <w:color w:val="auto"/>
        </w:rPr>
        <w:t>NOW, THEREFORE, in consideration of the foregoing and other benefits accruing to each Guarantor, the receipt and sufficiency of which are hereby acknowledged, each Guarantor hereby makes the following representations and warranties to the Administrative Agent for the benefit of the Administrative Agent, the Lenders and the other parties to whom any Obligations are owing (together with the Administrative Agent and the Lenders, the “</w:t>
      </w:r>
      <w:r>
        <w:rPr>
          <w:rFonts w:ascii="Arial" w:cs="Arial" w:eastAsia="Arial" w:hAnsi="Arial"/>
          <w:sz w:val="20"/>
          <w:szCs w:val="20"/>
          <w:u w:val="single" w:color="auto"/>
          <w:color w:val="auto"/>
        </w:rPr>
        <w:t>Creditor Parties</w:t>
      </w:r>
      <w:r>
        <w:rPr>
          <w:rFonts w:ascii="Arial" w:cs="Arial" w:eastAsia="Arial" w:hAnsi="Arial"/>
          <w:sz w:val="20"/>
          <w:szCs w:val="20"/>
          <w:color w:val="auto"/>
        </w:rPr>
        <w:t>”) and hereby covenants and agrees with each other Guarantor and the Administrative Agent for the benefit of the Creditor Parties as follows:</w:t>
      </w:r>
    </w:p>
    <w:p>
      <w:pPr>
        <w:spacing w:after="0" w:line="168" w:lineRule="exact"/>
        <w:rPr>
          <w:sz w:val="20"/>
          <w:szCs w:val="20"/>
          <w:color w:val="auto"/>
        </w:rPr>
      </w:pPr>
    </w:p>
    <w:p>
      <w:pPr>
        <w:jc w:val="both"/>
        <w:ind w:firstLine="599"/>
        <w:spacing w:after="0" w:line="266" w:lineRule="auto"/>
        <w:tabs>
          <w:tab w:leader="none" w:pos="1349" w:val="left"/>
        </w:tabs>
        <w:numPr>
          <w:ilvl w:val="0"/>
          <w:numId w:val="68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Guaranty. </w:t>
      </w:r>
      <w:r>
        <w:rPr>
          <w:rFonts w:ascii="Arial" w:cs="Arial" w:eastAsia="Arial" w:hAnsi="Arial"/>
          <w:sz w:val="19"/>
          <w:szCs w:val="19"/>
          <w:color w:val="auto"/>
        </w:rPr>
        <w:t>Each Guarantor, jointly and severally with the other Guarantors, hereby absolutely and unconditionally</w:t>
      </w:r>
      <w:r>
        <w:rPr>
          <w:rFonts w:ascii="Arial" w:cs="Arial" w:eastAsia="Arial" w:hAnsi="Arial"/>
          <w:sz w:val="19"/>
          <w:szCs w:val="19"/>
          <w:b w:val="1"/>
          <w:bCs w:val="1"/>
          <w:color w:val="auto"/>
        </w:rPr>
        <w:t xml:space="preserve"> </w:t>
      </w:r>
      <w:r>
        <w:rPr>
          <w:rFonts w:ascii="Arial" w:cs="Arial" w:eastAsia="Arial" w:hAnsi="Arial"/>
          <w:sz w:val="19"/>
          <w:szCs w:val="19"/>
          <w:color w:val="auto"/>
        </w:rPr>
        <w:t>guarantees, as a guaranty of payment and performance and not as a guaranty of collection, prompt payment when due, whether at stated maturity, by required prepayment, upon acceleration, demand or otherwise, and at all times thereafter, of all of the Obligations, including without limitation (i) the principal of, premium, if any, and interest on the Term Notes issued by, and the Term Loans made to, the Borrower under the Term Loan Agreement, (ii) all renewals, extensions, amendments and other modifications thereof, and (iii) all out-of-pocket expenses incurred by any Creditor Party (including the reasonable and documented fees, charges and disbursements of any counsel for any Creditor Party) in connection with the collection or enforcement thereof for which the Borrower is liable under the Term Loan Agreement, and whether recovery upon such Obligations may be or hereafter become unenforceable or shall be an allowed or disallowed claim under any proceeding or case commenced by or against the Borrower or any other Loan Party under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784" w:right="239" w:bottom="1440" w:gutter="0" w:footer="0" w:header="0"/>
        </w:sectPr>
      </w:pPr>
    </w:p>
    <w:bookmarkStart w:id="575" w:name="page576"/>
    <w:bookmarkEnd w:id="575"/>
    <w:p>
      <w:pPr>
        <w:jc w:val="both"/>
        <w:spacing w:after="0" w:line="280" w:lineRule="auto"/>
        <w:rPr>
          <w:sz w:val="20"/>
          <w:szCs w:val="20"/>
          <w:color w:val="auto"/>
        </w:rPr>
      </w:pPr>
      <w:r>
        <w:rPr>
          <w:rFonts w:ascii="Arial" w:cs="Arial" w:eastAsia="Arial" w:hAnsi="Arial"/>
          <w:sz w:val="18"/>
          <w:szCs w:val="18"/>
          <w:color w:val="auto"/>
        </w:rPr>
        <w:t>Bankruptcy Code (Title 11, United States Code), any successor statute or any other liquidation, conservatorship, bankruptcy, assignment for the benefit of creditors, moratorium, rearrangement, receivership, insolvency, reorganization, or similar debtor relief laws of the United States or other applicable jurisdictions from time to time in effect (collectively, “</w:t>
      </w:r>
      <w:r>
        <w:rPr>
          <w:rFonts w:ascii="Arial" w:cs="Arial" w:eastAsia="Arial" w:hAnsi="Arial"/>
          <w:sz w:val="18"/>
          <w:szCs w:val="18"/>
          <w:u w:val="single" w:color="auto"/>
          <w:color w:val="auto"/>
        </w:rPr>
        <w:t>Debtor Relief Laws</w:t>
      </w:r>
      <w:r>
        <w:rPr>
          <w:rFonts w:ascii="Arial" w:cs="Arial" w:eastAsia="Arial" w:hAnsi="Arial"/>
          <w:sz w:val="18"/>
          <w:szCs w:val="18"/>
          <w:color w:val="auto"/>
        </w:rPr>
        <w:t>”), and including interest that accrues after the commencement by or against the Borrower or any other Loan Party of any proceeding under any Debtor Relief Laws (collectively, the “</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The books and records of the Administrative Agent or the Creditor Parties showing the amount of the Guaranteed Obligations shall be admissible in evidence in any action or proceeding, and shall be binding upon the Guarantors and conclusive for the purpose of establishing the amount of the Guaranteed Obligations absent manifest error. This Guaranty shall not be affected by the genuineness, validity, regularity or enforceability of the Guaranteed Obligations or any instrument or agreement evidencing any Guaranteed Obligations, or by the existence, validity, enforceability, perfection, non-perfection or extent of any collateral therefor, or by any fact or circumstance relating to the Guaranteed Obligations which might otherwise constitute a defense to the obligations of any Guarantor under this Guaranty, and each Guarantor hereby irrevocably waives any defenses (other than the defense of payment and performance in full of the Guaranteed Obligations) it may now have or hereafter acquire in any way relating to any or all of the foregoing.</w:t>
      </w:r>
    </w:p>
    <w:p>
      <w:pPr>
        <w:spacing w:after="0" w:line="187" w:lineRule="exact"/>
        <w:rPr>
          <w:sz w:val="20"/>
          <w:szCs w:val="20"/>
          <w:color w:val="auto"/>
        </w:rPr>
      </w:pPr>
    </w:p>
    <w:p>
      <w:pPr>
        <w:jc w:val="both"/>
        <w:ind w:firstLine="1199"/>
        <w:spacing w:after="0" w:line="262" w:lineRule="auto"/>
        <w:rPr>
          <w:sz w:val="20"/>
          <w:szCs w:val="20"/>
          <w:color w:val="auto"/>
        </w:rPr>
      </w:pPr>
      <w:r>
        <w:rPr>
          <w:rFonts w:ascii="Arial" w:cs="Arial" w:eastAsia="Arial" w:hAnsi="Arial"/>
          <w:sz w:val="19"/>
          <w:szCs w:val="19"/>
          <w:color w:val="auto"/>
        </w:rPr>
        <w:t xml:space="preserve">Anything contained in this Guaranty to the contrary notwithstanding, it is the intention of each Guarantor and the Creditor Parties that the obligations of each Guarantor hereunder at any time shall be limited to an aggregate amount equal to the largest amount that would not render its obligations hereunder subject to avoidance as a fraudulent transfer or conveyance under Section 548 of the Bankruptcy Code (Title 11, United States Code) or any comparable provisions of any similar federal or state law. To that end, but only in the event and to the extent that after giving effect to </w:t>
      </w:r>
      <w:r>
        <w:rPr>
          <w:rFonts w:ascii="Arial" w:cs="Arial" w:eastAsia="Arial" w:hAnsi="Arial"/>
          <w:sz w:val="19"/>
          <w:szCs w:val="19"/>
          <w:u w:val="single" w:color="auto"/>
          <w:color w:val="auto"/>
        </w:rPr>
        <w:t>Section 20</w:t>
      </w:r>
      <w:r>
        <w:rPr>
          <w:rFonts w:ascii="Arial" w:cs="Arial" w:eastAsia="Arial" w:hAnsi="Arial"/>
          <w:sz w:val="19"/>
          <w:szCs w:val="19"/>
          <w:color w:val="auto"/>
        </w:rPr>
        <w:t xml:space="preserve"> of this Guaranty, such Guarantor’s obligations with respect to the Guaranteed Obligations or any payment made pursuant to such Guaranteed Obligations would, but for the operation of the first sentence of this paragraph, be subject to avoidance or recovery in any such proceeding under applicable Debtor Relief Laws after giving effect to </w:t>
      </w:r>
      <w:r>
        <w:rPr>
          <w:rFonts w:ascii="Arial" w:cs="Arial" w:eastAsia="Arial" w:hAnsi="Arial"/>
          <w:sz w:val="19"/>
          <w:szCs w:val="19"/>
          <w:u w:val="single" w:color="auto"/>
          <w:color w:val="auto"/>
        </w:rPr>
        <w:t>Section 20</w:t>
      </w:r>
      <w:r>
        <w:rPr>
          <w:rFonts w:ascii="Arial" w:cs="Arial" w:eastAsia="Arial" w:hAnsi="Arial"/>
          <w:sz w:val="19"/>
          <w:szCs w:val="19"/>
          <w:color w:val="auto"/>
        </w:rPr>
        <w:t xml:space="preserve"> of this Guaranty, the amount of such Guarantor’s obligations with respect to the Guaranteed Obligations shall be limited to the largest amount which, after giving effect thereto, would not, under applicable Debtor Relief Laws, render such Guarantor’s obligations with respect to the Guaranteed Obligations unenforceable or avoidable or otherwise subject to recovery under applicable Debtor Relief Laws. To the extent any payment actually made pursuant to the Guaranteed Obligations exceeds the limitation of the first sentence of this paragraph and is otherwise subject to avoidance and recovery in any such proceeding under applicable Debtor Relief Laws, the amount subject to avoidance shall in all events be limited to the amount by which such actual payment exceeds such limitation, and the Guaranteed Obligations as limited by the first sentence of this paragraph shall in all events remain in full force and effect and be fully enforceable against such Guarantor. The first sentence of this paragraph is intended solely to preserve the rights of the Creditor Parties hereunder against such Guarantor in such proceeding to the maximum extent permitted by applicable Debtor Relief Laws and neither such Guarantor, the Borrower, any other Guarantor nor any other Person shall have any right or claim under such sentence that would not otherwise be available under applicable Debtor Relief Laws in such proceeding.</w:t>
      </w:r>
    </w:p>
    <w:p>
      <w:pPr>
        <w:spacing w:after="0" w:line="210" w:lineRule="exact"/>
        <w:rPr>
          <w:sz w:val="20"/>
          <w:szCs w:val="20"/>
          <w:color w:val="auto"/>
        </w:rPr>
      </w:pPr>
    </w:p>
    <w:p>
      <w:pPr>
        <w:ind w:firstLine="599"/>
        <w:spacing w:after="0" w:line="279" w:lineRule="auto"/>
        <w:tabs>
          <w:tab w:leader="none" w:pos="1349" w:val="left"/>
        </w:tabs>
        <w:numPr>
          <w:ilvl w:val="1"/>
          <w:numId w:val="68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 Setoff or Deductions; Taxes; Payments. </w:t>
      </w:r>
      <w:r>
        <w:rPr>
          <w:rFonts w:ascii="Arial" w:cs="Arial" w:eastAsia="Arial" w:hAnsi="Arial"/>
          <w:sz w:val="20"/>
          <w:szCs w:val="20"/>
          <w:color w:val="auto"/>
        </w:rPr>
        <w:t>All payments by any Guarantor hereunder shall be made in accordance with,</w:t>
      </w:r>
      <w:r>
        <w:rPr>
          <w:rFonts w:ascii="Arial" w:cs="Arial" w:eastAsia="Arial" w:hAnsi="Arial"/>
          <w:sz w:val="20"/>
          <w:szCs w:val="20"/>
          <w:b w:val="1"/>
          <w:bCs w:val="1"/>
          <w:color w:val="auto"/>
        </w:rPr>
        <w:t xml:space="preserve"> </w:t>
      </w:r>
      <w:r>
        <w:rPr>
          <w:rFonts w:ascii="Arial" w:cs="Arial" w:eastAsia="Arial" w:hAnsi="Arial"/>
          <w:sz w:val="20"/>
          <w:szCs w:val="20"/>
          <w:color w:val="auto"/>
        </w:rPr>
        <w:t>and subject to the provisions of, Section 3.01 of the Term Loan Agreement.</w:t>
      </w:r>
    </w:p>
    <w:p>
      <w:pPr>
        <w:spacing w:after="0" w:line="177" w:lineRule="exact"/>
        <w:rPr>
          <w:rFonts w:ascii="Arial" w:cs="Arial" w:eastAsia="Arial" w:hAnsi="Arial"/>
          <w:sz w:val="20"/>
          <w:szCs w:val="20"/>
          <w:b w:val="1"/>
          <w:bCs w:val="1"/>
          <w:color w:val="auto"/>
        </w:rPr>
      </w:pPr>
    </w:p>
    <w:p>
      <w:pPr>
        <w:jc w:val="both"/>
        <w:ind w:firstLine="599"/>
        <w:spacing w:after="0" w:line="283" w:lineRule="auto"/>
        <w:tabs>
          <w:tab w:leader="none" w:pos="1349" w:val="left"/>
        </w:tabs>
        <w:numPr>
          <w:ilvl w:val="1"/>
          <w:numId w:val="681"/>
        </w:numPr>
        <w:rPr>
          <w:rFonts w:ascii="Arial" w:cs="Arial" w:eastAsia="Arial" w:hAnsi="Arial"/>
          <w:sz w:val="18"/>
          <w:szCs w:val="18"/>
          <w:b w:val="1"/>
          <w:bCs w:val="1"/>
          <w:color w:val="auto"/>
        </w:rPr>
      </w:pPr>
      <w:r>
        <w:rPr>
          <w:rFonts w:ascii="Arial" w:cs="Arial" w:eastAsia="Arial" w:hAnsi="Arial"/>
          <w:sz w:val="18"/>
          <w:szCs w:val="18"/>
          <w:b w:val="1"/>
          <w:bCs w:val="1"/>
          <w:color w:val="auto"/>
        </w:rPr>
        <w:t>Rights of Creditor Parties</w:t>
      </w:r>
      <w:r>
        <w:rPr>
          <w:rFonts w:ascii="Arial" w:cs="Arial" w:eastAsia="Arial" w:hAnsi="Arial"/>
          <w:sz w:val="18"/>
          <w:szCs w:val="18"/>
          <w:color w:val="auto"/>
        </w:rPr>
        <w:t>. Each Guarantor consents and agrees that the Creditor Parties may, at any time and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without notice or demand, and without affecting the enforceability or continuing effectiveness hereof: (a) amend, extend, renew, compromise, discharge, accelerate or otherwise change the times for payment or the terms of the Guaranteed Obligations or any part thereof;</w:t>
      </w:r>
    </w:p>
    <w:p>
      <w:pPr>
        <w:spacing w:after="0" w:line="1" w:lineRule="exact"/>
        <w:rPr>
          <w:rFonts w:ascii="Arial" w:cs="Arial" w:eastAsia="Arial" w:hAnsi="Arial"/>
          <w:sz w:val="18"/>
          <w:szCs w:val="18"/>
          <w:b w:val="1"/>
          <w:bCs w:val="1"/>
          <w:color w:val="auto"/>
        </w:rPr>
      </w:pPr>
    </w:p>
    <w:p>
      <w:pPr>
        <w:ind w:left="280" w:hanging="280"/>
        <w:spacing w:after="0"/>
        <w:tabs>
          <w:tab w:leader="none" w:pos="280" w:val="left"/>
        </w:tabs>
        <w:numPr>
          <w:ilvl w:val="0"/>
          <w:numId w:val="682"/>
        </w:numPr>
        <w:rPr>
          <w:rFonts w:ascii="Arial" w:cs="Arial" w:eastAsia="Arial" w:hAnsi="Arial"/>
          <w:sz w:val="20"/>
          <w:szCs w:val="20"/>
          <w:color w:val="auto"/>
        </w:rPr>
      </w:pPr>
      <w:r>
        <w:rPr>
          <w:rFonts w:ascii="Arial" w:cs="Arial" w:eastAsia="Arial" w:hAnsi="Arial"/>
          <w:sz w:val="20"/>
          <w:szCs w:val="20"/>
          <w:color w:val="auto"/>
        </w:rPr>
        <w:t>to the extent any security shall have been granted to secure the payment of this Guaranty or any Guaranteed Obligations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795" w:right="239" w:bottom="1440" w:gutter="0" w:footer="0" w:header="0"/>
        </w:sectPr>
      </w:pPr>
    </w:p>
    <w:bookmarkStart w:id="576" w:name="page577"/>
    <w:bookmarkEnd w:id="576"/>
    <w:p>
      <w:pPr>
        <w:jc w:val="both"/>
        <w:spacing w:after="0" w:line="288" w:lineRule="auto"/>
        <w:rPr>
          <w:sz w:val="20"/>
          <w:szCs w:val="20"/>
          <w:color w:val="auto"/>
        </w:rPr>
      </w:pPr>
      <w:r>
        <w:rPr>
          <w:rFonts w:ascii="Arial" w:cs="Arial" w:eastAsia="Arial" w:hAnsi="Arial"/>
          <w:sz w:val="18"/>
          <w:szCs w:val="18"/>
          <w:color w:val="auto"/>
        </w:rPr>
        <w:t>take, hold, exchange, enforce, waive, release, fail to perfect, sell, or otherwise dispose of any such security; (c) apply such security (if any) and direct the order or manner of sale thereof as the Creditor Parties in their sole discretion may determine; and (d) release or substitute one or more of any endorsers or other guarantors of any of the Guaranteed Obligations. Without limiting the generality of the foregoing, each Guarantor consents to the taking of, or failure to take, any action which might in any manner or to any extent vary the risks of the Guarantors under this Guaranty or which, but for this provision, might operate as a discharge of one or more of the Guarantors.</w:t>
      </w:r>
    </w:p>
    <w:p>
      <w:pPr>
        <w:spacing w:after="0" w:line="176" w:lineRule="exact"/>
        <w:rPr>
          <w:sz w:val="20"/>
          <w:szCs w:val="20"/>
          <w:color w:val="auto"/>
        </w:rPr>
      </w:pPr>
    </w:p>
    <w:p>
      <w:pPr>
        <w:jc w:val="both"/>
        <w:ind w:firstLine="599"/>
        <w:spacing w:after="0" w:line="264" w:lineRule="auto"/>
        <w:tabs>
          <w:tab w:leader="none" w:pos="1349" w:val="left"/>
        </w:tabs>
        <w:numPr>
          <w:ilvl w:val="0"/>
          <w:numId w:val="68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Certain Waivers. </w:t>
      </w:r>
      <w:r>
        <w:rPr>
          <w:rFonts w:ascii="Arial" w:cs="Arial" w:eastAsia="Arial" w:hAnsi="Arial"/>
          <w:sz w:val="19"/>
          <w:szCs w:val="19"/>
          <w:color w:val="auto"/>
        </w:rPr>
        <w:t>Each Guarantor waives (a) any defense arising by reason of any disability or other defense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 any other Loan Party or any other guarantor of the Guaranteed Obligations or any part thereof, or the cessation from any cause whatsoever (including any act or omission of any Creditor Party) of the liability of the Borrower; (b) any defense based on any claim that such Guarantor’s obligations exceed or are more burdensome than those of the Borrower; (c) the benefit of any statute of limitations affecting such Guarantor’s liability hereunder; (d) any right to require any Creditor Party to proceed against the Borrower or any other Loan Party, proceed against or exhaust any security for any of the Guaranteed Obligations, or pursue any other remedy in the power of any Creditor Party; (e) any benefit of and any right to participate in any security now or hereafter held by any Creditor Party; and (f) to the full extent permitted by law, any and all other defenses (other than the defense of payment and performance in full of the Guaranteed Obligations) or benefits that may be derived from or afforded by applicable law limiting the liability of or exonerating guarantors or sureties.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Guaranteed Obligations, and all notices of acceptance of this Guaranty or of the existence, creation or incurrence of new or additional Guaranteed Obligations.</w:t>
      </w:r>
    </w:p>
    <w:p>
      <w:pPr>
        <w:spacing w:after="0" w:line="197" w:lineRule="exact"/>
        <w:rPr>
          <w:rFonts w:ascii="Arial" w:cs="Arial" w:eastAsia="Arial" w:hAnsi="Arial"/>
          <w:sz w:val="19"/>
          <w:szCs w:val="19"/>
          <w:b w:val="1"/>
          <w:bCs w:val="1"/>
          <w:color w:val="auto"/>
        </w:rPr>
      </w:pPr>
    </w:p>
    <w:p>
      <w:pPr>
        <w:jc w:val="both"/>
        <w:ind w:firstLine="599"/>
        <w:spacing w:after="0" w:line="255" w:lineRule="auto"/>
        <w:tabs>
          <w:tab w:leader="none" w:pos="1349" w:val="left"/>
        </w:tabs>
        <w:numPr>
          <w:ilvl w:val="0"/>
          <w:numId w:val="683"/>
        </w:numPr>
        <w:rPr>
          <w:rFonts w:ascii="Arial" w:cs="Arial" w:eastAsia="Arial" w:hAnsi="Arial"/>
          <w:sz w:val="20"/>
          <w:szCs w:val="20"/>
          <w:b w:val="1"/>
          <w:bCs w:val="1"/>
          <w:color w:val="auto"/>
        </w:rPr>
      </w:pPr>
      <w:r>
        <w:rPr>
          <w:rFonts w:ascii="Arial" w:cs="Arial" w:eastAsia="Arial" w:hAnsi="Arial"/>
          <w:sz w:val="20"/>
          <w:szCs w:val="20"/>
          <w:b w:val="1"/>
          <w:bCs w:val="1"/>
          <w:color w:val="auto"/>
        </w:rPr>
        <w:t>Obligations Independent</w:t>
      </w:r>
      <w:r>
        <w:rPr>
          <w:rFonts w:ascii="Arial" w:cs="Arial" w:eastAsia="Arial" w:hAnsi="Arial"/>
          <w:sz w:val="20"/>
          <w:szCs w:val="20"/>
          <w:color w:val="auto"/>
        </w:rPr>
        <w:t>. The obligations of each Guarantor hereunder are those of primary obligor, and not merely as</w:t>
      </w:r>
      <w:r>
        <w:rPr>
          <w:rFonts w:ascii="Arial" w:cs="Arial" w:eastAsia="Arial" w:hAnsi="Arial"/>
          <w:sz w:val="20"/>
          <w:szCs w:val="20"/>
          <w:b w:val="1"/>
          <w:bCs w:val="1"/>
          <w:color w:val="auto"/>
        </w:rPr>
        <w:t xml:space="preserve"> </w:t>
      </w:r>
      <w:r>
        <w:rPr>
          <w:rFonts w:ascii="Arial" w:cs="Arial" w:eastAsia="Arial" w:hAnsi="Arial"/>
          <w:sz w:val="20"/>
          <w:szCs w:val="20"/>
          <w:color w:val="auto"/>
        </w:rPr>
        <w:t>surety, and are independent of the Guaranteed Obligations and the obligations of any other guarantor of the Guaranteed Obligations or any part thereof, and a separate action may be brought against any Guarantor to enforce this Guaranty whether or not the Borrower or any other Person is joined as a party. For the avoidance of doubt, all obligations of each Guarantor under this Guaranty are joint and several obligations of all the Guarantors.</w:t>
      </w:r>
    </w:p>
    <w:p>
      <w:pPr>
        <w:spacing w:after="0" w:line="202" w:lineRule="exact"/>
        <w:rPr>
          <w:rFonts w:ascii="Arial" w:cs="Arial" w:eastAsia="Arial" w:hAnsi="Arial"/>
          <w:sz w:val="20"/>
          <w:szCs w:val="20"/>
          <w:b w:val="1"/>
          <w:bCs w:val="1"/>
          <w:color w:val="auto"/>
        </w:rPr>
      </w:pPr>
    </w:p>
    <w:p>
      <w:pPr>
        <w:jc w:val="both"/>
        <w:ind w:firstLine="599"/>
        <w:spacing w:after="0" w:line="251" w:lineRule="auto"/>
        <w:tabs>
          <w:tab w:leader="none" w:pos="1349" w:val="left"/>
        </w:tabs>
        <w:numPr>
          <w:ilvl w:val="0"/>
          <w:numId w:val="68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Subrogation. </w:t>
      </w:r>
      <w:r>
        <w:rPr>
          <w:rFonts w:ascii="Arial" w:cs="Arial" w:eastAsia="Arial" w:hAnsi="Arial"/>
          <w:sz w:val="20"/>
          <w:szCs w:val="20"/>
          <w:color w:val="auto"/>
        </w:rPr>
        <w:t>No Guarantor shall exercise any right of subrogation, contribution, indemnity, reimbursement or similar rights</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any payments it makes under this Guaranty until all of the Guaranteed Obligations and any amounts payable under this Guaranty (other than contingent indemnification obligations that survive termination of the Loan Documents for which no claim has been made) have been indefeasibly paid and performed in full in immediately available funds and all Commitments are terminated. If any amounts are paid to any Guarantor in violation of the foregoing limitation, then such amounts shall be held in trust by such Guarantor for the benefit of the Creditor Parties and shall forthwith be paid to the Administrative Agent for the benefit of the Creditor Parties for application to the Guaranteed Obligations in accordance with the terms of the Loan Documents or, if the Loan Documents do not provide for the application of such amount, to be held by the Administrative Agent as collateral security for any Guaranteed Obligations thereafter existing, whether matured or unmatured.</w:t>
      </w:r>
    </w:p>
    <w:p>
      <w:pPr>
        <w:spacing w:after="0" w:line="208" w:lineRule="exact"/>
        <w:rPr>
          <w:rFonts w:ascii="Arial" w:cs="Arial" w:eastAsia="Arial" w:hAnsi="Arial"/>
          <w:sz w:val="20"/>
          <w:szCs w:val="20"/>
          <w:b w:val="1"/>
          <w:bCs w:val="1"/>
          <w:color w:val="auto"/>
        </w:rPr>
      </w:pPr>
    </w:p>
    <w:p>
      <w:pPr>
        <w:jc w:val="both"/>
        <w:ind w:firstLine="599"/>
        <w:spacing w:after="0" w:line="280" w:lineRule="auto"/>
        <w:tabs>
          <w:tab w:leader="none" w:pos="1349" w:val="left"/>
        </w:tabs>
        <w:numPr>
          <w:ilvl w:val="0"/>
          <w:numId w:val="68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Reinstatement. </w:t>
      </w:r>
      <w:r>
        <w:rPr>
          <w:rFonts w:ascii="Arial" w:cs="Arial" w:eastAsia="Arial" w:hAnsi="Arial"/>
          <w:sz w:val="19"/>
          <w:szCs w:val="19"/>
          <w:color w:val="auto"/>
        </w:rPr>
        <w:t>(a) This Guaranty is a continuing and irrevocable guaranty of all Guaranteed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now or hereafter existing and shall remain in full force and effect until all of the Guaranteed Obligations (other than contingent indemnification obligations that survive termination of the Loan Documents for which no claim has been made) and any amounts payable under this Guaranty have been indefeasibly paid and performed in full in immediately available funds and all Commitments are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795" w:right="239" w:bottom="1440" w:gutter="0" w:footer="0" w:header="0"/>
        </w:sectPr>
      </w:pPr>
    </w:p>
    <w:bookmarkStart w:id="577" w:name="page578"/>
    <w:bookmarkEnd w:id="577"/>
    <w:p>
      <w:pPr>
        <w:jc w:val="both"/>
        <w:spacing w:after="0" w:line="251" w:lineRule="auto"/>
        <w:rPr>
          <w:sz w:val="20"/>
          <w:szCs w:val="20"/>
          <w:color w:val="auto"/>
        </w:rPr>
      </w:pPr>
      <w:r>
        <w:rPr>
          <w:rFonts w:ascii="Arial" w:cs="Arial" w:eastAsia="Arial" w:hAnsi="Arial"/>
          <w:sz w:val="20"/>
          <w:szCs w:val="20"/>
          <w:color w:val="auto"/>
        </w:rPr>
        <w:t>terminated. Notwithstanding the foregoing, this Guaranty shall continue in full force and effect or be revived, as the case may be, if any payment by or on behalf of the Borrower or a Guarantor is made, or a Creditor Party exercises its right of setoff, in respect of the Guaranteed Obligations and such payment or the proceeds of such setoff or any part thereof is subsequently invalidated, declared to be fraudulent or preferential, set aside or required (including pursuant to any settlement entered into by a Creditor Party in its discretion) to be repaid to a trustee, receiver or any other party, in connection with any proceeding under any Debtor Relief Laws or otherwise, all as if such payment had not been made or such setoff had not occurred and whether or not the Creditor Parties are in possession of or have released this Guaranty and regardless of any prior revocation, rescission, termination or reduction. The obligations of the Guarantors under this paragraph shall survive termination of this Guaranty.</w:t>
      </w:r>
    </w:p>
    <w:p>
      <w:pPr>
        <w:spacing w:after="0" w:line="212" w:lineRule="exact"/>
        <w:rPr>
          <w:sz w:val="20"/>
          <w:szCs w:val="20"/>
          <w:color w:val="auto"/>
        </w:rPr>
      </w:pPr>
    </w:p>
    <w:p>
      <w:pPr>
        <w:jc w:val="both"/>
        <w:ind w:firstLine="599"/>
        <w:spacing w:after="0" w:line="266" w:lineRule="auto"/>
        <w:tabs>
          <w:tab w:leader="none" w:pos="1049" w:val="left"/>
        </w:tabs>
        <w:numPr>
          <w:ilvl w:val="0"/>
          <w:numId w:val="684"/>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Guaranty, each Guarantor hereby acknowledges and agrees that if at any time any Subsidiary of the Borrower is released from its obligations as a Guarantor under this Guaranty and, subsequent to such release, such Subsidiary is a borrower or guarantor of, or otherwise has a payment obligation in respect of, any Indebtedness for borrowed money that constitutes Recourse Indebtedness (other than Indebtedness permitted under Section 7.02(b) of the Term Loan Agreement then, immediately at the time such Subsidiary becomes such an obligor, all obligations of such Subsidiary under this Guaranty (including its guaranty of the Guaranteed Obligations hereunder) shall be automatically revived and reinstated without any action on the part of the Administrative Agent, such Subsidiary or any other Person. In connection with any such revival and reinstatement of the obligations of such Subsidiary hereunder, such Subsidiary shall (x) execute such reaffirmations of its obligations hereunder (including reaffirmations of its guaranty of the Guaranteed Obligations) as reasonably requested by the Administrative Agent and (y) cause all requirements of Section 6.12 of the Term Loan Agreement to be satisfied with respect to such Subsidiary.</w:t>
      </w:r>
    </w:p>
    <w:p>
      <w:pPr>
        <w:spacing w:after="0" w:line="158" w:lineRule="exact"/>
        <w:rPr>
          <w:sz w:val="20"/>
          <w:szCs w:val="20"/>
          <w:color w:val="auto"/>
        </w:rPr>
      </w:pPr>
    </w:p>
    <w:p>
      <w:pPr>
        <w:jc w:val="both"/>
        <w:ind w:firstLine="599"/>
        <w:spacing w:after="0" w:line="281" w:lineRule="auto"/>
        <w:tabs>
          <w:tab w:leader="none" w:pos="1349" w:val="left"/>
        </w:tabs>
        <w:numPr>
          <w:ilvl w:val="0"/>
          <w:numId w:val="6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Release of Liability of Guarantor. </w:t>
      </w:r>
      <w:r>
        <w:rPr>
          <w:rFonts w:ascii="Arial" w:cs="Arial" w:eastAsia="Arial" w:hAnsi="Arial"/>
          <w:sz w:val="18"/>
          <w:szCs w:val="18"/>
          <w:color w:val="auto"/>
        </w:rPr>
        <w:t>(a) At the request and at the sole expense of the Borrower, in the event that (i)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Guarantor that is a Subsidiary of the Borrower becomes an Excluded Subsidiary or satisfies the Exemption Condition as a result of a transaction permitted under the Term Loan Agreement or (ii) all of the capital stock or other Equity Interests of any Guarantor is sold or otherwise disposed of (including by way of the merger or consolidation of such Guarantor with or into another Person) or liquidated (except to the extent that such sale or disposition is to the Borrower, the REIT or any of their respective Affiliates) in any such case in compliance with the requirements of Section 7.05 of the Term Loan Agreement and the proceeds of such sale, disposition or liquidation are applied in accordance with the provisions of the Term Loan Agreement, to the extent applicable, then such Guarantor shall, upon becoming an Excluded Subsidiary or satisfying the Exemption Condition or upon the consummation of such sale or other disposition, as applicable, be released from its obligations under this Guaranty, and the Administrative Agent shall, upon the request and at the sole expense of the Borrower, provide the Borrower with written confirmation of such release and shall take such further actions as reasonably requested by the Borrower to evidence such release; </w:t>
      </w:r>
      <w:r>
        <w:rPr>
          <w:rFonts w:ascii="Arial" w:cs="Arial" w:eastAsia="Arial" w:hAnsi="Arial"/>
          <w:sz w:val="18"/>
          <w:szCs w:val="18"/>
          <w:u w:val="single" w:color="auto"/>
          <w:color w:val="auto"/>
        </w:rPr>
        <w:t>provided</w:t>
      </w:r>
      <w:r>
        <w:rPr>
          <w:rFonts w:ascii="Arial" w:cs="Arial" w:eastAsia="Arial" w:hAnsi="Arial"/>
          <w:sz w:val="18"/>
          <w:szCs w:val="18"/>
          <w:color w:val="auto"/>
        </w:rPr>
        <w:t>, that the Borrower shall have delivered to the Administrative Agent, at least five Business Days (or such shorter period as is acceptable to the Administrative Agent) prior to the date of the proposed release, a written request for release reasonably satisfactory to the Administrative Agent showing that such Guarantor becoming an Excluded Subsidiary or satisfying the Exemption Condition or such sale or disposition, as applicable, is as a result of a transaction permitted under the Term Loan Agreement.</w:t>
      </w:r>
    </w:p>
    <w:p>
      <w:pPr>
        <w:spacing w:after="0" w:line="148" w:lineRule="exact"/>
        <w:rPr>
          <w:sz w:val="20"/>
          <w:szCs w:val="20"/>
          <w:color w:val="auto"/>
        </w:rPr>
      </w:pPr>
    </w:p>
    <w:p>
      <w:pPr>
        <w:jc w:val="both"/>
        <w:ind w:firstLine="599"/>
        <w:spacing w:after="0" w:line="287" w:lineRule="auto"/>
        <w:tabs>
          <w:tab w:leader="none" w:pos="999" w:val="left"/>
        </w:tabs>
        <w:numPr>
          <w:ilvl w:val="0"/>
          <w:numId w:val="686"/>
        </w:numPr>
        <w:rPr>
          <w:rFonts w:ascii="Arial" w:cs="Arial" w:eastAsia="Arial" w:hAnsi="Arial"/>
          <w:sz w:val="19"/>
          <w:szCs w:val="19"/>
          <w:color w:val="auto"/>
        </w:rPr>
      </w:pPr>
      <w:r>
        <w:rPr>
          <w:rFonts w:ascii="Arial" w:cs="Arial" w:eastAsia="Arial" w:hAnsi="Arial"/>
          <w:sz w:val="19"/>
          <w:szCs w:val="19"/>
          <w:color w:val="auto"/>
        </w:rPr>
        <w:t>The Administrative Agent shall have no liability whatsoever to any Creditor Party as a result of any release of any Guarantor by it in accordance with (or which the Administrative Agent in the absence of gross negligence or willful misconduct as determined by a court of competent jurisdiction by a final nonappealable judgment believes to be in accordance with) this Section 8.</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794" w:right="239" w:bottom="1440" w:gutter="0" w:footer="0" w:header="0"/>
        </w:sectPr>
      </w:pPr>
    </w:p>
    <w:bookmarkStart w:id="578" w:name="page579"/>
    <w:bookmarkEnd w:id="578"/>
    <w:p>
      <w:pPr>
        <w:jc w:val="both"/>
        <w:ind w:firstLine="599"/>
        <w:spacing w:after="0" w:line="258" w:lineRule="auto"/>
        <w:tabs>
          <w:tab w:leader="none" w:pos="1349" w:val="left"/>
        </w:tabs>
        <w:numPr>
          <w:ilvl w:val="0"/>
          <w:numId w:val="68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Stay of Acceleration. </w:t>
      </w:r>
      <w:r>
        <w:rPr>
          <w:rFonts w:ascii="Arial" w:cs="Arial" w:eastAsia="Arial" w:hAnsi="Arial"/>
          <w:sz w:val="20"/>
          <w:szCs w:val="20"/>
          <w:color w:val="auto"/>
        </w:rPr>
        <w:t>In the event that acceleration of the time for payment of any of the Guaranteed Obligations is stayed,</w:t>
      </w:r>
      <w:r>
        <w:rPr>
          <w:rFonts w:ascii="Arial" w:cs="Arial" w:eastAsia="Arial" w:hAnsi="Arial"/>
          <w:sz w:val="20"/>
          <w:szCs w:val="20"/>
          <w:b w:val="1"/>
          <w:bCs w:val="1"/>
          <w:color w:val="auto"/>
        </w:rPr>
        <w:t xml:space="preserve"> </w:t>
      </w:r>
      <w:r>
        <w:rPr>
          <w:rFonts w:ascii="Arial" w:cs="Arial" w:eastAsia="Arial" w:hAnsi="Arial"/>
          <w:sz w:val="20"/>
          <w:szCs w:val="20"/>
          <w:color w:val="auto"/>
        </w:rPr>
        <w:t>in connection with any case commenced by or against the Borrower or any other Loan Party under any Debtor Relief Laws, or otherwise, all such amounts shall nonetheless be payable by the Guarantors who are not subject to such automatic stay immediately upon demand by the Administrative Agent.</w:t>
      </w:r>
    </w:p>
    <w:p>
      <w:pPr>
        <w:spacing w:after="0" w:line="197" w:lineRule="exact"/>
        <w:rPr>
          <w:rFonts w:ascii="Arial" w:cs="Arial" w:eastAsia="Arial" w:hAnsi="Arial"/>
          <w:sz w:val="20"/>
          <w:szCs w:val="20"/>
          <w:b w:val="1"/>
          <w:bCs w:val="1"/>
          <w:color w:val="auto"/>
        </w:rPr>
      </w:pPr>
    </w:p>
    <w:p>
      <w:pPr>
        <w:ind w:left="1440" w:hanging="841"/>
        <w:spacing w:after="0"/>
        <w:tabs>
          <w:tab w:leader="none" w:pos="1440" w:val="left"/>
        </w:tabs>
        <w:numPr>
          <w:ilvl w:val="0"/>
          <w:numId w:val="687"/>
        </w:numPr>
        <w:rPr>
          <w:rFonts w:ascii="Arial" w:cs="Arial" w:eastAsia="Arial" w:hAnsi="Arial"/>
          <w:sz w:val="20"/>
          <w:szCs w:val="20"/>
          <w:b w:val="1"/>
          <w:bCs w:val="1"/>
          <w:color w:val="auto"/>
        </w:rPr>
      </w:pPr>
      <w:r>
        <w:rPr>
          <w:rFonts w:ascii="Arial" w:cs="Arial" w:eastAsia="Arial" w:hAnsi="Arial"/>
          <w:sz w:val="20"/>
          <w:szCs w:val="20"/>
          <w:b w:val="1"/>
          <w:bCs w:val="1"/>
          <w:color w:val="auto"/>
        </w:rPr>
        <w:t>[Reserved]</w:t>
      </w:r>
    </w:p>
    <w:p>
      <w:pPr>
        <w:spacing w:after="0" w:line="244" w:lineRule="exact"/>
        <w:rPr>
          <w:rFonts w:ascii="Arial" w:cs="Arial" w:eastAsia="Arial" w:hAnsi="Arial"/>
          <w:sz w:val="20"/>
          <w:szCs w:val="20"/>
          <w:b w:val="1"/>
          <w:bCs w:val="1"/>
          <w:color w:val="auto"/>
        </w:rPr>
      </w:pPr>
    </w:p>
    <w:p>
      <w:pPr>
        <w:jc w:val="both"/>
        <w:ind w:firstLine="599"/>
        <w:spacing w:after="0" w:line="266" w:lineRule="auto"/>
        <w:tabs>
          <w:tab w:leader="none" w:pos="1438" w:val="left"/>
        </w:tabs>
        <w:numPr>
          <w:ilvl w:val="0"/>
          <w:numId w:val="68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Modifications; Miscellaneous. </w:t>
      </w:r>
      <w:r>
        <w:rPr>
          <w:rFonts w:ascii="Arial" w:cs="Arial" w:eastAsia="Arial" w:hAnsi="Arial"/>
          <w:sz w:val="19"/>
          <w:szCs w:val="19"/>
          <w:color w:val="auto"/>
        </w:rPr>
        <w:t>Neither this Guaranty nor any provision hereof may be changed, waived, discharged or</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terminated except in a writing signed by each Guarantor directly affected thereby (it being understood that the addition or release of any Guarantor hereunder shall not constitute a change, waiver, discharge or termination affecting any Guarantor other than the Guarantor so added or released) and the Administrative Agent (with the consent of the Required Lenders or all of the Lenders, to the extent required by Section 10.01 of the Term Loan Agreement). No failure by any Creditor Party to exercise, and no delay in exercising, any right, remedy or power hereunder shall operate as a waiver thereof; nor shall any single or partial exercise of any right, remedy or power hereunder preclude any other or further exercise thereof or the exercise of any other right, power or remedy. The remedies herein provided are cumulative and not exclusive of any remedies provided by law or in equity. The unenforceability or invalidity of any provision of this Guaranty shall not affect the enforceability or validity of any other provision herein.</w:t>
      </w:r>
    </w:p>
    <w:p>
      <w:pPr>
        <w:spacing w:after="0" w:line="193" w:lineRule="exact"/>
        <w:rPr>
          <w:rFonts w:ascii="Arial" w:cs="Arial" w:eastAsia="Arial" w:hAnsi="Arial"/>
          <w:sz w:val="19"/>
          <w:szCs w:val="19"/>
          <w:b w:val="1"/>
          <w:bCs w:val="1"/>
          <w:color w:val="auto"/>
        </w:rPr>
      </w:pPr>
    </w:p>
    <w:p>
      <w:pPr>
        <w:jc w:val="both"/>
        <w:ind w:firstLine="599"/>
        <w:spacing w:after="0" w:line="307" w:lineRule="auto"/>
        <w:tabs>
          <w:tab w:leader="none" w:pos="1449" w:val="left"/>
        </w:tabs>
        <w:numPr>
          <w:ilvl w:val="0"/>
          <w:numId w:val="68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Condition of Loan Parties. </w:t>
      </w:r>
      <w:r>
        <w:rPr>
          <w:rFonts w:ascii="Arial" w:cs="Arial" w:eastAsia="Arial" w:hAnsi="Arial"/>
          <w:sz w:val="17"/>
          <w:szCs w:val="17"/>
          <w:color w:val="auto"/>
        </w:rPr>
        <w:t>Each Guarantor acknowledges and agrees that it has the sole responsibility for, and has</w:t>
      </w:r>
      <w:r>
        <w:rPr>
          <w:rFonts w:ascii="Arial" w:cs="Arial" w:eastAsia="Arial" w:hAnsi="Arial"/>
          <w:sz w:val="17"/>
          <w:szCs w:val="17"/>
          <w:b w:val="1"/>
          <w:bCs w:val="1"/>
          <w:color w:val="auto"/>
        </w:rPr>
        <w:t xml:space="preserve"> </w:t>
      </w:r>
      <w:r>
        <w:rPr>
          <w:rFonts w:ascii="Arial" w:cs="Arial" w:eastAsia="Arial" w:hAnsi="Arial"/>
          <w:sz w:val="17"/>
          <w:szCs w:val="17"/>
          <w:color w:val="auto"/>
        </w:rPr>
        <w:t>adequate means of, obtaining from the Loan Parties and any other guarantor of the Guaranteed Obligations such information concerning the financial condition, business and operations of the Loan Parties and any such other guarantors as such Guarantor requires, and that no Creditor Party has any duty, and no Guarantor is relying on any Creditor Party at any time, to disclose to such Guarantor any information relating to the business, operations or financial condition of any Loan Party or any other guarantor of the Guaranteed Obligations (such Guarantor waiving any duty on the part of the Creditor Parties to disclose such information and any defense relating to the failure to provide the same).</w:t>
      </w:r>
    </w:p>
    <w:p>
      <w:pPr>
        <w:spacing w:after="0" w:line="160" w:lineRule="exact"/>
        <w:rPr>
          <w:rFonts w:ascii="Arial" w:cs="Arial" w:eastAsia="Arial" w:hAnsi="Arial"/>
          <w:sz w:val="17"/>
          <w:szCs w:val="17"/>
          <w:b w:val="1"/>
          <w:bCs w:val="1"/>
          <w:color w:val="auto"/>
        </w:rPr>
      </w:pPr>
    </w:p>
    <w:p>
      <w:pPr>
        <w:jc w:val="both"/>
        <w:ind w:firstLine="599"/>
        <w:spacing w:after="0" w:line="279" w:lineRule="auto"/>
        <w:tabs>
          <w:tab w:leader="none" w:pos="1449" w:val="left"/>
        </w:tabs>
        <w:numPr>
          <w:ilvl w:val="0"/>
          <w:numId w:val="6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Setoff. </w:t>
      </w:r>
      <w:r>
        <w:rPr>
          <w:rFonts w:ascii="Arial" w:cs="Arial" w:eastAsia="Arial" w:hAnsi="Arial"/>
          <w:sz w:val="18"/>
          <w:szCs w:val="18"/>
          <w:color w:val="auto"/>
        </w:rPr>
        <w:t>In addition to any rights now or hereafter granted under applicable law (including, without limitation, Section 151 of</w:t>
      </w:r>
      <w:r>
        <w:rPr>
          <w:rFonts w:ascii="Arial" w:cs="Arial" w:eastAsia="Arial" w:hAnsi="Arial"/>
          <w:sz w:val="18"/>
          <w:szCs w:val="18"/>
          <w:b w:val="1"/>
          <w:bCs w:val="1"/>
          <w:color w:val="auto"/>
        </w:rPr>
        <w:t xml:space="preserve"> </w:t>
      </w:r>
      <w:r>
        <w:rPr>
          <w:rFonts w:ascii="Arial" w:cs="Arial" w:eastAsia="Arial" w:hAnsi="Arial"/>
          <w:sz w:val="18"/>
          <w:szCs w:val="18"/>
          <w:color w:val="auto"/>
        </w:rPr>
        <w:t>the New York Debtor and Creditor Law) and not by way of limitation of any such rights, upon the occurrence and during the continuance of an Event of Default, each Lender and each of their respective Affiliates is hereby authorized, at any time or from time to time, to set off and to appropriate and apply any and all deposits (general or special) and any other indebtedness at any time held or owing by such Lender or any of their respective Affiliates to or for the credit or the account of any Guarantor, against and on account of the obligations and liabilities of such Guarantor to such Lender under this Guaranty, irrespective of whether or not such Lender shall have made any demand hereunder and although said obligations, liabilities, deposits or claims, or any of them, shall be contingent or unmatured or are owed to a branch or office or Affiliate of such Lender different from the branch or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Section 2.19 of the Term Loan Agreement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or their respective Affiliates may have. Each Lender (by its acceptance of the benefits hereof) acknowledges and agrees to promptly notify the Borrower and the Administrative Agent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789" w:right="239" w:bottom="1440" w:gutter="0" w:footer="0" w:header="0"/>
        </w:sectPr>
      </w:pPr>
    </w:p>
    <w:bookmarkStart w:id="579" w:name="page580"/>
    <w:bookmarkEnd w:id="579"/>
    <w:p>
      <w:pPr>
        <w:spacing w:after="0"/>
        <w:rPr>
          <w:sz w:val="20"/>
          <w:szCs w:val="20"/>
          <w:color w:val="auto"/>
        </w:rPr>
      </w:pPr>
      <w:r>
        <w:rPr>
          <w:rFonts w:ascii="Arial" w:cs="Arial" w:eastAsia="Arial" w:hAnsi="Arial"/>
          <w:sz w:val="18"/>
          <w:szCs w:val="18"/>
          <w:color w:val="auto"/>
        </w:rPr>
        <w:t xml:space="preserve">after any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that the failure to give such notice shall not affect the validity of such set-off and application.</w:t>
      </w:r>
    </w:p>
    <w:p>
      <w:pPr>
        <w:spacing w:after="0" w:line="262" w:lineRule="exact"/>
        <w:rPr>
          <w:sz w:val="20"/>
          <w:szCs w:val="20"/>
          <w:color w:val="auto"/>
        </w:rPr>
      </w:pPr>
    </w:p>
    <w:p>
      <w:pPr>
        <w:jc w:val="both"/>
        <w:ind w:firstLine="599"/>
        <w:spacing w:after="0" w:line="276" w:lineRule="auto"/>
        <w:tabs>
          <w:tab w:leader="none" w:pos="1449" w:val="left"/>
        </w:tabs>
        <w:numPr>
          <w:ilvl w:val="0"/>
          <w:numId w:val="6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Each Guarantor represents and warrants that (a) it is duly organized and in good</w:t>
      </w:r>
      <w:r>
        <w:rPr>
          <w:rFonts w:ascii="Arial" w:cs="Arial" w:eastAsia="Arial" w:hAnsi="Arial"/>
          <w:sz w:val="18"/>
          <w:szCs w:val="18"/>
          <w:b w:val="1"/>
          <w:bCs w:val="1"/>
          <w:color w:val="auto"/>
        </w:rPr>
        <w:t xml:space="preserve"> </w:t>
      </w:r>
      <w:r>
        <w:rPr>
          <w:rFonts w:ascii="Arial" w:cs="Arial" w:eastAsia="Arial" w:hAnsi="Arial"/>
          <w:sz w:val="18"/>
          <w:szCs w:val="18"/>
          <w:color w:val="auto"/>
        </w:rPr>
        <w:t>standing under the laws of the jurisdiction of its organization and has full capacity and right to make and perform this Guaranty, and all necessary authority has been obtained; (b) this Guaranty constitutes its legal, valid and binding obligation enforceable in accordance with its terms, except as enforceability may be limited by bankruptcy, insolvency, fraudulent conveyance, reorganization, moratorium or similar laws affecting the enforceability of creditors’ rights generally and by general principles of equity (regardless of whether enforcement is sought at law or in equity); (c) the making and performance of this Guaranty does not and will not violate the provisions of any applicable law, regulation or order, and does not and will not result in the breach of, or constitute a default or require any consent under, any agreement, instrument, or document to which it is a party or by which it or any of its property may be bound or affected, except as could not reasonably be expected to have a Material Adverse Effect; and (d) all consents, approvals, licenses and authorizations of, and filings and registrations with, any Governmental Authority required under applicable law and regulations for the making and performance of this Guaranty have been obtained or made and are in full force and effect. In addition, each Guarantor represents and warrants that (x) until all of the Guaranteed Obligations (other than contingent indemnification obligations that survive termination of the Loan Documents for which no claim has been made) and any amounts payable under this Guaranty have been indefeasibly paid and performed in full in immediately available funds and all Commitments are terminated, such Guarantor will comply with all covenants contained in the Term Loan Agreement applicable to it as if it were a party thereto; and (y) an executed (or conformed) copy of each of the Loan Documents has been made available to a senior officer of such Guarantor and such officer is familiar with the contents thereof.</w:t>
      </w:r>
    </w:p>
    <w:p>
      <w:pPr>
        <w:spacing w:after="0" w:line="10" w:lineRule="exact"/>
        <w:rPr>
          <w:rFonts w:ascii="Arial" w:cs="Arial" w:eastAsia="Arial" w:hAnsi="Arial"/>
          <w:sz w:val="18"/>
          <w:szCs w:val="18"/>
          <w:b w:val="1"/>
          <w:bCs w:val="1"/>
          <w:color w:val="auto"/>
        </w:rPr>
      </w:pPr>
    </w:p>
    <w:p>
      <w:pPr>
        <w:jc w:val="both"/>
        <w:ind w:firstLine="599"/>
        <w:spacing w:after="0" w:line="249" w:lineRule="auto"/>
        <w:tabs>
          <w:tab w:leader="none" w:pos="1449" w:val="left"/>
        </w:tabs>
        <w:numPr>
          <w:ilvl w:val="0"/>
          <w:numId w:val="68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Indemnification and Survival. </w:t>
      </w:r>
      <w:r>
        <w:rPr>
          <w:rFonts w:ascii="Arial" w:cs="Arial" w:eastAsia="Arial" w:hAnsi="Arial"/>
          <w:sz w:val="20"/>
          <w:szCs w:val="20"/>
          <w:color w:val="auto"/>
        </w:rPr>
        <w:t>Without limitation on any other obligations of any Guarantor or remedies of any Creditor</w:t>
      </w:r>
      <w:r>
        <w:rPr>
          <w:rFonts w:ascii="Arial" w:cs="Arial" w:eastAsia="Arial" w:hAnsi="Arial"/>
          <w:sz w:val="20"/>
          <w:szCs w:val="20"/>
          <w:b w:val="1"/>
          <w:bCs w:val="1"/>
          <w:color w:val="auto"/>
        </w:rPr>
        <w:t xml:space="preserve"> </w:t>
      </w:r>
      <w:r>
        <w:rPr>
          <w:rFonts w:ascii="Arial" w:cs="Arial" w:eastAsia="Arial" w:hAnsi="Arial"/>
          <w:sz w:val="20"/>
          <w:szCs w:val="20"/>
          <w:color w:val="auto"/>
        </w:rPr>
        <w:t>Party under this Guaranty, each Guarantor shall, jointly and severally, to the full extent permitted by law, indemnify, defend and save and hold harmless each Indemnitee if, and to the same extent that, the Borrower is required to indemnify, defend and save and hold harmless such Indemnitee under Section 10.04 of the Term Loan Agreement. The obligations of the Guarantors under this paragraph shall survive the payment in full of the Guaranteed Obligations and termination of this Guaranty.</w:t>
      </w:r>
    </w:p>
    <w:p>
      <w:pPr>
        <w:spacing w:after="0" w:line="208" w:lineRule="exact"/>
        <w:rPr>
          <w:rFonts w:ascii="Arial" w:cs="Arial" w:eastAsia="Arial" w:hAnsi="Arial"/>
          <w:sz w:val="20"/>
          <w:szCs w:val="20"/>
          <w:b w:val="1"/>
          <w:bCs w:val="1"/>
          <w:color w:val="auto"/>
        </w:rPr>
      </w:pPr>
    </w:p>
    <w:p>
      <w:pPr>
        <w:jc w:val="both"/>
        <w:ind w:firstLine="599"/>
        <w:spacing w:after="0" w:line="269" w:lineRule="auto"/>
        <w:tabs>
          <w:tab w:leader="none" w:pos="1449" w:val="left"/>
        </w:tabs>
        <w:numPr>
          <w:ilvl w:val="0"/>
          <w:numId w:val="68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Guaranty Enforceable by Administrative Agent. </w:t>
      </w:r>
      <w:r>
        <w:rPr>
          <w:rFonts w:ascii="Arial" w:cs="Arial" w:eastAsia="Arial" w:hAnsi="Arial"/>
          <w:sz w:val="19"/>
          <w:szCs w:val="19"/>
          <w:color w:val="auto"/>
        </w:rPr>
        <w:t>This Guaranty may be enforced only by the action of the Administrative</w:t>
      </w:r>
      <w:r>
        <w:rPr>
          <w:rFonts w:ascii="Arial" w:cs="Arial" w:eastAsia="Arial" w:hAnsi="Arial"/>
          <w:sz w:val="19"/>
          <w:szCs w:val="19"/>
          <w:b w:val="1"/>
          <w:bCs w:val="1"/>
          <w:color w:val="auto"/>
        </w:rPr>
        <w:t xml:space="preserve"> </w:t>
      </w:r>
      <w:r>
        <w:rPr>
          <w:rFonts w:ascii="Arial" w:cs="Arial" w:eastAsia="Arial" w:hAnsi="Arial"/>
          <w:sz w:val="19"/>
          <w:szCs w:val="19"/>
          <w:color w:val="auto"/>
        </w:rPr>
        <w:t>Agent, in each case acting upon the instructions of the Required Lenders (to the extent required under the Term Loan Agreement) and no other Creditor Party will have any right individually to seek to enforce or to enforce this Guaranty or to realize upon the security (if any) to be granted by the Loan Documents, it being understood and agreed that such rights and remedies may be exercised by the Administrative Agent, for the benefit of the Creditor Parties, upon the terms of this Guaranty and the other Loan Documents. It is understood and agreed that the agreement in this Section 16 is solely for the benefit of the Creditor Parties.</w:t>
      </w:r>
    </w:p>
    <w:p>
      <w:pPr>
        <w:spacing w:after="0" w:line="191" w:lineRule="exact"/>
        <w:rPr>
          <w:rFonts w:ascii="Arial" w:cs="Arial" w:eastAsia="Arial" w:hAnsi="Arial"/>
          <w:sz w:val="19"/>
          <w:szCs w:val="19"/>
          <w:b w:val="1"/>
          <w:bCs w:val="1"/>
          <w:color w:val="auto"/>
        </w:rPr>
      </w:pPr>
    </w:p>
    <w:p>
      <w:pPr>
        <w:ind w:left="1440" w:hanging="841"/>
        <w:spacing w:after="0"/>
        <w:tabs>
          <w:tab w:leader="none" w:pos="1440" w:val="left"/>
        </w:tabs>
        <w:numPr>
          <w:ilvl w:val="0"/>
          <w:numId w:val="688"/>
        </w:numPr>
        <w:rPr>
          <w:rFonts w:ascii="Arial" w:cs="Arial" w:eastAsia="Arial" w:hAnsi="Arial"/>
          <w:sz w:val="20"/>
          <w:szCs w:val="20"/>
          <w:b w:val="1"/>
          <w:bCs w:val="1"/>
          <w:color w:val="auto"/>
        </w:rPr>
      </w:pPr>
      <w:r>
        <w:rPr>
          <w:rFonts w:ascii="Arial" w:cs="Arial" w:eastAsia="Arial" w:hAnsi="Arial"/>
          <w:sz w:val="20"/>
          <w:szCs w:val="20"/>
          <w:b w:val="1"/>
          <w:bCs w:val="1"/>
          <w:color w:val="auto"/>
        </w:rPr>
        <w:t>[Reserved]</w:t>
      </w:r>
    </w:p>
    <w:p>
      <w:pPr>
        <w:spacing w:after="0" w:line="244" w:lineRule="exact"/>
        <w:rPr>
          <w:rFonts w:ascii="Arial" w:cs="Arial" w:eastAsia="Arial" w:hAnsi="Arial"/>
          <w:sz w:val="20"/>
          <w:szCs w:val="20"/>
          <w:b w:val="1"/>
          <w:bCs w:val="1"/>
          <w:color w:val="auto"/>
        </w:rPr>
      </w:pPr>
    </w:p>
    <w:p>
      <w:pPr>
        <w:jc w:val="both"/>
        <w:ind w:firstLine="599"/>
        <w:spacing w:after="0" w:line="269" w:lineRule="auto"/>
        <w:tabs>
          <w:tab w:leader="none" w:pos="1449" w:val="left"/>
        </w:tabs>
        <w:numPr>
          <w:ilvl w:val="0"/>
          <w:numId w:val="68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Subordination of Indebtedness Held by Guarantors. </w:t>
      </w:r>
      <w:r>
        <w:rPr>
          <w:rFonts w:ascii="Arial" w:cs="Arial" w:eastAsia="Arial" w:hAnsi="Arial"/>
          <w:sz w:val="19"/>
          <w:szCs w:val="19"/>
          <w:color w:val="auto"/>
        </w:rPr>
        <w:t>Any indebtedness of any Loan Party now or hereafter held by any</w:t>
      </w:r>
      <w:r>
        <w:rPr>
          <w:rFonts w:ascii="Arial" w:cs="Arial" w:eastAsia="Arial" w:hAnsi="Arial"/>
          <w:sz w:val="19"/>
          <w:szCs w:val="19"/>
          <w:b w:val="1"/>
          <w:bCs w:val="1"/>
          <w:color w:val="auto"/>
        </w:rPr>
        <w:t xml:space="preserve"> </w:t>
      </w:r>
      <w:r>
        <w:rPr>
          <w:rFonts w:ascii="Arial" w:cs="Arial" w:eastAsia="Arial" w:hAnsi="Arial"/>
          <w:sz w:val="19"/>
          <w:szCs w:val="19"/>
          <w:color w:val="auto"/>
        </w:rPr>
        <w:t>Guarantor is hereby subordinated to the prior payment in full in immediately available funds of all the Guaranteed Obligations, and such indebtedness of any Loan Party to any Guarantor, if the Administrative Agent, after an Event of Default has occurred and is continuing, so requests, shall be collected, enforced and received by such Guarantor as trustee for the Creditor Parties and be paid over to the Administrative Agent for the benefit of the Creditor Parties for application to the Guaranteed Obligations in accordance with the terms of the Loan Documents or, if the Loan Documents do not provide for the application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794" w:right="239" w:bottom="1440" w:gutter="0" w:footer="0" w:header="0"/>
        </w:sectPr>
      </w:pPr>
    </w:p>
    <w:bookmarkStart w:id="580" w:name="page581"/>
    <w:bookmarkEnd w:id="580"/>
    <w:p>
      <w:pPr>
        <w:jc w:val="both"/>
        <w:spacing w:after="0" w:line="278" w:lineRule="auto"/>
        <w:rPr>
          <w:sz w:val="20"/>
          <w:szCs w:val="20"/>
          <w:color w:val="auto"/>
        </w:rPr>
      </w:pPr>
      <w:r>
        <w:rPr>
          <w:rFonts w:ascii="Arial" w:cs="Arial" w:eastAsia="Arial" w:hAnsi="Arial"/>
          <w:sz w:val="18"/>
          <w:szCs w:val="18"/>
          <w:color w:val="auto"/>
        </w:rPr>
        <w:t xml:space="preserve">of such amount, to be held by the Administrative Agent as collateral security for any Guaranteed Obligations thereafter existing, but without affecting or impairing in any manner the liability of such Guarantor under the other provisions of this Guaranty. Prior to the transfer by any Guarantor of any note or negotiable instrument evidencing any indebtedness of any Loan Party to such Guarantor, such Guarantor shall mark such note or negotiable instrument with a legend that the same is subject to this subordination. Without limiting the generality of the foregoing, each Guarantor hereby agrees with the Creditor Parties that it will not exercise any right of subrogation which it may at any time otherwise have as a result of this Guaranty (whether contractual, under Section 509 of the Bankruptcy Code or otherwise) until all of the Guaranteed Obligations and any amounts payable under this Guaranty (other than contingent indemnification obligations that survive termination of the Loan Documents for which no claim has been made) have been indefeasibly paid and performed in full in immediately available funds and all Commitments are terminated; </w:t>
      </w:r>
      <w:r>
        <w:rPr>
          <w:rFonts w:ascii="Arial" w:cs="Arial" w:eastAsia="Arial" w:hAnsi="Arial"/>
          <w:sz w:val="18"/>
          <w:szCs w:val="18"/>
          <w:u w:val="single" w:color="auto"/>
          <w:color w:val="auto"/>
        </w:rPr>
        <w:t>provided</w:t>
      </w:r>
      <w:r>
        <w:rPr>
          <w:rFonts w:ascii="Arial" w:cs="Arial" w:eastAsia="Arial" w:hAnsi="Arial"/>
          <w:sz w:val="18"/>
          <w:szCs w:val="18"/>
          <w:color w:val="auto"/>
        </w:rPr>
        <w:t>, that if any amount shall be paid to any Guarantor on account of such subrogation rights prior to such time, such amount shall be held in trust for the benefit of the Creditor Parties and shall forthwith be paid to the Administrative Agent for the benefit of the Creditor Parties to be credited and applied to the Guaranteed Obligations, whether matured or unmatured, in accordance with the terms of the Loan Documents or, if the Loan Documents do not provide for the application of such amount, to be held by the Administrative Agent as collateral security for any Guaranteed Obligations thereafter existing. Upon the indefeasible payment in full in immediately available funds of all of the Guaranteed Obligations and any amounts payable under this Guaranty (other than contingent indemnification obligations that survive termination of the Loan Documents for which no claim has been made) and the termination of all Commitments, each Guarantor shall be subrogated to the rights of the Creditor Parties to receive payments or distributions applicable to the Guaranteed Obligations until all Indebtedness of the Borrower held by such Guarantor shall be paid in full.</w:t>
      </w:r>
    </w:p>
    <w:p>
      <w:pPr>
        <w:spacing w:after="0" w:line="190" w:lineRule="exact"/>
        <w:rPr>
          <w:sz w:val="20"/>
          <w:szCs w:val="20"/>
          <w:color w:val="auto"/>
        </w:rPr>
      </w:pPr>
    </w:p>
    <w:p>
      <w:pPr>
        <w:jc w:val="both"/>
        <w:ind w:firstLine="599"/>
        <w:spacing w:after="0" w:line="263" w:lineRule="auto"/>
        <w:tabs>
          <w:tab w:leader="none" w:pos="1449" w:val="left"/>
        </w:tabs>
        <w:numPr>
          <w:ilvl w:val="0"/>
          <w:numId w:val="68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Additional Guarantors. </w:t>
      </w:r>
      <w:r>
        <w:rPr>
          <w:rFonts w:ascii="Arial" w:cs="Arial" w:eastAsia="Arial" w:hAnsi="Arial"/>
          <w:sz w:val="20"/>
          <w:szCs w:val="20"/>
          <w:color w:val="auto"/>
        </w:rPr>
        <w:t>Any Subsidiary of the REIT that is required to become a party to this Guaranty after the date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hereof pursuant to the Term Loan Agreement shall become a Guarantor hereunder by executing and delivering a joinder agreement in the form attached hereto as </w:t>
      </w:r>
      <w:r>
        <w:rPr>
          <w:rFonts w:ascii="Arial" w:cs="Arial" w:eastAsia="Arial" w:hAnsi="Arial"/>
          <w:sz w:val="20"/>
          <w:szCs w:val="20"/>
          <w:u w:val="single" w:color="auto"/>
          <w:color w:val="auto"/>
        </w:rPr>
        <w:t>Annex I</w:t>
      </w:r>
      <w:r>
        <w:rPr>
          <w:rFonts w:ascii="Arial" w:cs="Arial" w:eastAsia="Arial" w:hAnsi="Arial"/>
          <w:sz w:val="20"/>
          <w:szCs w:val="20"/>
          <w:color w:val="auto"/>
        </w:rPr>
        <w:t>.</w:t>
      </w:r>
    </w:p>
    <w:p>
      <w:pPr>
        <w:spacing w:after="0" w:line="193" w:lineRule="exact"/>
        <w:rPr>
          <w:rFonts w:ascii="Arial" w:cs="Arial" w:eastAsia="Arial" w:hAnsi="Arial"/>
          <w:sz w:val="20"/>
          <w:szCs w:val="20"/>
          <w:b w:val="1"/>
          <w:bCs w:val="1"/>
          <w:color w:val="auto"/>
        </w:rPr>
      </w:pPr>
    </w:p>
    <w:p>
      <w:pPr>
        <w:jc w:val="both"/>
        <w:ind w:firstLine="599"/>
        <w:spacing w:after="0" w:line="263" w:lineRule="auto"/>
        <w:tabs>
          <w:tab w:leader="none" w:pos="1449" w:val="left"/>
        </w:tabs>
        <w:numPr>
          <w:ilvl w:val="0"/>
          <w:numId w:val="689"/>
        </w:numPr>
        <w:rPr>
          <w:rFonts w:ascii="Arial" w:cs="Arial" w:eastAsia="Arial" w:hAnsi="Arial"/>
          <w:sz w:val="19"/>
          <w:szCs w:val="19"/>
          <w:b w:val="1"/>
          <w:bCs w:val="1"/>
          <w:color w:val="auto"/>
        </w:rPr>
      </w:pPr>
      <w:r>
        <w:rPr>
          <w:rFonts w:ascii="Arial" w:cs="Arial" w:eastAsia="Arial" w:hAnsi="Arial"/>
          <w:sz w:val="19"/>
          <w:szCs w:val="19"/>
          <w:b w:val="1"/>
          <w:bCs w:val="1"/>
          <w:color w:val="auto"/>
        </w:rPr>
        <w:t>Contribution</w:t>
      </w:r>
      <w:r>
        <w:rPr>
          <w:rFonts w:ascii="Arial" w:cs="Arial" w:eastAsia="Arial" w:hAnsi="Arial"/>
          <w:sz w:val="19"/>
          <w:szCs w:val="19"/>
          <w:color w:val="auto"/>
        </w:rPr>
        <w:t>. At any time a payment in respect of the Guaranteed Obligations is made under this Guaranty, the right of</w:t>
      </w:r>
      <w:r>
        <w:rPr>
          <w:rFonts w:ascii="Arial" w:cs="Arial" w:eastAsia="Arial" w:hAnsi="Arial"/>
          <w:sz w:val="19"/>
          <w:szCs w:val="19"/>
          <w:b w:val="1"/>
          <w:bCs w:val="1"/>
          <w:color w:val="auto"/>
        </w:rPr>
        <w:t xml:space="preserve"> </w:t>
      </w:r>
      <w:r>
        <w:rPr>
          <w:rFonts w:ascii="Arial" w:cs="Arial" w:eastAsia="Arial" w:hAnsi="Arial"/>
          <w:sz w:val="19"/>
          <w:szCs w:val="19"/>
          <w:color w:val="auto"/>
        </w:rPr>
        <w:t>contribution of each Guarantor against each other Guarantor shall be determined as provided in the immediately following sentence, with the right of contribution of each Guarantor to be revised and restated as of each date on which a payment (a “</w:t>
      </w:r>
      <w:r>
        <w:rPr>
          <w:rFonts w:ascii="Arial" w:cs="Arial" w:eastAsia="Arial" w:hAnsi="Arial"/>
          <w:sz w:val="19"/>
          <w:szCs w:val="19"/>
          <w:u w:val="single" w:color="auto"/>
          <w:color w:val="auto"/>
        </w:rPr>
        <w:t>Relevant Payment</w:t>
      </w:r>
      <w:r>
        <w:rPr>
          <w:rFonts w:ascii="Arial" w:cs="Arial" w:eastAsia="Arial" w:hAnsi="Arial"/>
          <w:sz w:val="19"/>
          <w:szCs w:val="19"/>
          <w:color w:val="auto"/>
        </w:rPr>
        <w:t>”) is made on the Guaranteed Obligations under this Guaranty. At any time that a Relevant Payment is made by a Guarantor that results in the aggregate payments made by such Guarantor in respect of the Guaranteed Obligations to and including the date of the Relevant Payment exceeding such Guarantor’s Contribution Percentage (as defined below) of the aggregate payments made by all Guarantors in respect of the Guaranteed Obligations to and including the date of the Relevant Payment (such excess, the “</w:t>
      </w:r>
      <w:r>
        <w:rPr>
          <w:rFonts w:ascii="Arial" w:cs="Arial" w:eastAsia="Arial" w:hAnsi="Arial"/>
          <w:sz w:val="19"/>
          <w:szCs w:val="19"/>
          <w:u w:val="single" w:color="auto"/>
          <w:color w:val="auto"/>
        </w:rPr>
        <w:t>Aggregate Excess Amount</w:t>
      </w:r>
      <w:r>
        <w:rPr>
          <w:rFonts w:ascii="Arial" w:cs="Arial" w:eastAsia="Arial" w:hAnsi="Arial"/>
          <w:sz w:val="19"/>
          <w:szCs w:val="19"/>
          <w:color w:val="auto"/>
        </w:rPr>
        <w:t>”), each such Guarantor shall have a right of contribution against each other Guarantor who either has not made any payments or has made payments in respect of the Guaranteed Obligations to and including the date of the Relevant Payment in an aggregate amount less than such other Guarantor’s Contribution Percentage of the aggregate payments made to and including the date of the Relevant Payment by all Guarantors in respect of the Guaranteed Obligations (the aggregate amount of such deficit, the “</w:t>
      </w:r>
      <w:r>
        <w:rPr>
          <w:rFonts w:ascii="Arial" w:cs="Arial" w:eastAsia="Arial" w:hAnsi="Arial"/>
          <w:sz w:val="19"/>
          <w:szCs w:val="19"/>
          <w:u w:val="single" w:color="auto"/>
          <w:color w:val="auto"/>
        </w:rPr>
        <w:t>Aggregate Deficit Amount</w:t>
      </w:r>
      <w:r>
        <w:rPr>
          <w:rFonts w:ascii="Arial" w:cs="Arial" w:eastAsia="Arial" w:hAnsi="Arial"/>
          <w:sz w:val="19"/>
          <w:szCs w:val="19"/>
          <w:color w:val="auto"/>
        </w:rPr>
        <w:t xml:space="preserve">”) in an amount equal to (x) a fraction the numerator of which is the Aggregate Excess Amount of such Guarantor and the denominator of which is the Aggregate Excess Amount of all Guarantors multiplied by (y) the Aggregate Deficit Amount of such other Guarantor. A Guarantor’s right of contribution pursuant to the preceding sentences shall arise at the time of each computation, subject to adjustment at the time of each computation; </w:t>
      </w:r>
      <w:r>
        <w:rPr>
          <w:rFonts w:ascii="Arial" w:cs="Arial" w:eastAsia="Arial" w:hAnsi="Arial"/>
          <w:sz w:val="19"/>
          <w:szCs w:val="19"/>
          <w:u w:val="single" w:color="auto"/>
          <w:color w:val="auto"/>
        </w:rPr>
        <w:t>provided</w:t>
      </w:r>
      <w:r>
        <w:rPr>
          <w:rFonts w:ascii="Arial" w:cs="Arial" w:eastAsia="Arial" w:hAnsi="Arial"/>
          <w:sz w:val="19"/>
          <w:szCs w:val="19"/>
          <w:color w:val="auto"/>
        </w:rPr>
        <w:t>, that no Guarantor may take any action to enforce such right until all of the Guaranteed Obligations and any amounts payable under this Guaranty (other than contingent indemnification obligations that survive termination of the Loan Documents and for which no claim has been made) have been indefeasibly paid and performed in full in immediately available funds and all Commitments are terminated, it being expressly recognized and agreed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795" w:right="239" w:bottom="1440" w:gutter="0" w:footer="0" w:header="0"/>
        </w:sectPr>
      </w:pPr>
    </w:p>
    <w:bookmarkStart w:id="581" w:name="page582"/>
    <w:bookmarkEnd w:id="581"/>
    <w:p>
      <w:pPr>
        <w:jc w:val="both"/>
        <w:spacing w:after="0" w:line="279" w:lineRule="auto"/>
        <w:rPr>
          <w:sz w:val="20"/>
          <w:szCs w:val="20"/>
          <w:color w:val="auto"/>
        </w:rPr>
      </w:pPr>
      <w:r>
        <w:rPr>
          <w:rFonts w:ascii="Arial" w:cs="Arial" w:eastAsia="Arial" w:hAnsi="Arial"/>
          <w:sz w:val="18"/>
          <w:szCs w:val="18"/>
          <w:color w:val="auto"/>
        </w:rPr>
        <w:t>by all parties hereto that any Guarantor’s right of contribution arising pursuant to this Section 20 against any other Guarantor shall be expressly junior and subordinate to such other Guarantor’s obligations and liabilities in respect of the Guaranteed Obligations and any other obligations owing under this Guaranty. As used in this Section 20, (i) each Guarantor’s “</w:t>
      </w:r>
      <w:r>
        <w:rPr>
          <w:rFonts w:ascii="Arial" w:cs="Arial" w:eastAsia="Arial" w:hAnsi="Arial"/>
          <w:sz w:val="18"/>
          <w:szCs w:val="18"/>
          <w:u w:val="single" w:color="auto"/>
          <w:color w:val="auto"/>
        </w:rPr>
        <w:t>Contribution Percentage</w:t>
      </w:r>
      <w:r>
        <w:rPr>
          <w:rFonts w:ascii="Arial" w:cs="Arial" w:eastAsia="Arial" w:hAnsi="Arial"/>
          <w:sz w:val="18"/>
          <w:szCs w:val="18"/>
          <w:color w:val="auto"/>
        </w:rPr>
        <w:t>” shall mean the percentage obtained by dividing (x) the Adjusted Net Worth (as defined below) of such Guarantor by (y) the aggregate Adjusted Net Worth of all Guarantors; (ii) the “</w:t>
      </w:r>
      <w:r>
        <w:rPr>
          <w:rFonts w:ascii="Arial" w:cs="Arial" w:eastAsia="Arial" w:hAnsi="Arial"/>
          <w:sz w:val="18"/>
          <w:szCs w:val="18"/>
          <w:u w:val="single" w:color="auto"/>
          <w:color w:val="auto"/>
        </w:rPr>
        <w:t>Adjusted Net Worth</w:t>
      </w:r>
      <w:r>
        <w:rPr>
          <w:rFonts w:ascii="Arial" w:cs="Arial" w:eastAsia="Arial" w:hAnsi="Arial"/>
          <w:sz w:val="18"/>
          <w:szCs w:val="18"/>
          <w:color w:val="auto"/>
        </w:rPr>
        <w:t>” of each Guarantor shall mean the greater of (x) the Net Worth (as defined below) of such Guarantor and (y) zero; and (iii) the “</w:t>
      </w:r>
      <w:r>
        <w:rPr>
          <w:rFonts w:ascii="Arial" w:cs="Arial" w:eastAsia="Arial" w:hAnsi="Arial"/>
          <w:sz w:val="18"/>
          <w:szCs w:val="18"/>
          <w:u w:val="single" w:color="auto"/>
          <w:color w:val="auto"/>
        </w:rPr>
        <w:t>Net Worth</w:t>
      </w:r>
      <w:r>
        <w:rPr>
          <w:rFonts w:ascii="Arial" w:cs="Arial" w:eastAsia="Arial" w:hAnsi="Arial"/>
          <w:sz w:val="18"/>
          <w:szCs w:val="18"/>
          <w:color w:val="auto"/>
        </w:rPr>
        <w:t>” of each Guarantor shall mean the amount by which the fair saleable value of such Guarantor’s assets on the date of any Relevant Payment exceeds its existing debts and other liabilities (including contingent liabilities, but without giving effect to any Guaranteed Obligations arising under this Guaranty) on such date. All parties hereto recognize and agree that, except for any right of contribution arising pursuant to this Section 20, each Guarantor who makes any payment in respect of the Guaranteed Obligations shall have no right of contribution or subrogation against any other Guarantor in respect of such payment until all of the Guaranteed Obligations (other than contingent indemnification obligations that survive termination of the Loan Documents for which no claim has been made) have been indefeasibly paid and performed in full in cash and all Commitments are terminated. Each of the Guarantors recognizes and acknowledges that the rights to contribution arising hereunder shall constitute an asset in favor of the party entitled to such contribution. In this connection, each Guarantor has the right to waive its contribution right against any Guarantor to the extent that after giving effect to such waiver such Guarantor would remain solvent, in the determination of the Required Lenders.</w:t>
      </w:r>
    </w:p>
    <w:p>
      <w:pPr>
        <w:spacing w:after="0" w:line="182" w:lineRule="exact"/>
        <w:rPr>
          <w:sz w:val="20"/>
          <w:szCs w:val="20"/>
          <w:color w:val="auto"/>
        </w:rPr>
      </w:pPr>
    </w:p>
    <w:p>
      <w:pPr>
        <w:jc w:val="both"/>
        <w:ind w:firstLine="599"/>
        <w:spacing w:after="0" w:line="305" w:lineRule="auto"/>
        <w:tabs>
          <w:tab w:leader="none" w:pos="1449" w:val="left"/>
        </w:tabs>
        <w:numPr>
          <w:ilvl w:val="0"/>
          <w:numId w:val="6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Guaranty may be executed in any number of counterparts and by the different parties hereto on separate</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each of which when so executed and delivered shall be an original, but all of which shall together constitute one and the same instrument. A set of counterparts executed by all the parties hereto shall be lodged with the Borrower and the Administrative Agent.</w:t>
      </w:r>
    </w:p>
    <w:p>
      <w:pPr>
        <w:spacing w:after="0" w:line="160" w:lineRule="exact"/>
        <w:rPr>
          <w:rFonts w:ascii="Arial" w:cs="Arial" w:eastAsia="Arial" w:hAnsi="Arial"/>
          <w:sz w:val="18"/>
          <w:szCs w:val="18"/>
          <w:b w:val="1"/>
          <w:bCs w:val="1"/>
          <w:color w:val="auto"/>
        </w:rPr>
      </w:pPr>
    </w:p>
    <w:p>
      <w:pPr>
        <w:ind w:firstLine="599"/>
        <w:spacing w:after="0" w:line="279" w:lineRule="auto"/>
        <w:tabs>
          <w:tab w:leader="none" w:pos="1449" w:val="left"/>
        </w:tabs>
        <w:numPr>
          <w:ilvl w:val="0"/>
          <w:numId w:val="69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Headings Descriptive. </w:t>
      </w:r>
      <w:r>
        <w:rPr>
          <w:rFonts w:ascii="Arial" w:cs="Arial" w:eastAsia="Arial" w:hAnsi="Arial"/>
          <w:sz w:val="20"/>
          <w:szCs w:val="20"/>
          <w:color w:val="auto"/>
        </w:rPr>
        <w:t>The headings of the several Sections of this Guaranty are inserted for convenience only and shall not</w:t>
      </w:r>
      <w:r>
        <w:rPr>
          <w:rFonts w:ascii="Arial" w:cs="Arial" w:eastAsia="Arial" w:hAnsi="Arial"/>
          <w:sz w:val="20"/>
          <w:szCs w:val="20"/>
          <w:b w:val="1"/>
          <w:bCs w:val="1"/>
          <w:color w:val="auto"/>
        </w:rPr>
        <w:t xml:space="preserve"> </w:t>
      </w:r>
      <w:r>
        <w:rPr>
          <w:rFonts w:ascii="Arial" w:cs="Arial" w:eastAsia="Arial" w:hAnsi="Arial"/>
          <w:sz w:val="20"/>
          <w:szCs w:val="20"/>
          <w:color w:val="auto"/>
        </w:rPr>
        <w:t>in any way affect the meaning or construction of any provision of this Guaranty.</w:t>
      </w:r>
    </w:p>
    <w:p>
      <w:pPr>
        <w:spacing w:after="0" w:line="177" w:lineRule="exact"/>
        <w:rPr>
          <w:rFonts w:ascii="Arial" w:cs="Arial" w:eastAsia="Arial" w:hAnsi="Arial"/>
          <w:sz w:val="20"/>
          <w:szCs w:val="20"/>
          <w:b w:val="1"/>
          <w:bCs w:val="1"/>
          <w:color w:val="auto"/>
        </w:rPr>
      </w:pPr>
    </w:p>
    <w:p>
      <w:pPr>
        <w:jc w:val="both"/>
        <w:ind w:firstLine="599"/>
        <w:spacing w:after="0" w:line="279" w:lineRule="auto"/>
        <w:tabs>
          <w:tab w:leader="none" w:pos="1449" w:val="left"/>
        </w:tabs>
        <w:numPr>
          <w:ilvl w:val="0"/>
          <w:numId w:val="6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Assignment; Jurisdiction; Notices. This Guaranty shall be governed by, and construed in accordance with, the law of the State of New York applicable to contracts executed, and to be fully performed, in such State. </w:t>
      </w:r>
      <w:r>
        <w:rPr>
          <w:rFonts w:ascii="Arial" w:cs="Arial" w:eastAsia="Arial" w:hAnsi="Arial"/>
          <w:sz w:val="18"/>
          <w:szCs w:val="18"/>
          <w:color w:val="auto"/>
        </w:rPr>
        <w:t>This</w:t>
      </w:r>
      <w:r>
        <w:rPr>
          <w:rFonts w:ascii="Arial" w:cs="Arial" w:eastAsia="Arial" w:hAnsi="Arial"/>
          <w:sz w:val="18"/>
          <w:szCs w:val="18"/>
          <w:b w:val="1"/>
          <w:bCs w:val="1"/>
          <w:color w:val="auto"/>
        </w:rPr>
        <w:t xml:space="preserve"> </w:t>
      </w:r>
      <w:r>
        <w:rPr>
          <w:rFonts w:ascii="Arial" w:cs="Arial" w:eastAsia="Arial" w:hAnsi="Arial"/>
          <w:sz w:val="18"/>
          <w:szCs w:val="18"/>
          <w:color w:val="auto"/>
        </w:rPr>
        <w:t>Guaranty shall (a) bind the Guarantor and its successors and assigns, provided that no Guarantor may assign its rights or obligations under this Guaranty (and any attempted assignment without such consent shall be void), and (b) inure to the benefit of the Creditor Parties and their respective successors and assigns and the Lenders may, in accordance with Section 10.06 of the Term Loan Agreement and without affecting the obligations of any Guarantor hereunder, assign, sell or grant participations in the Guaranteed Obligations and this Guaranty, in whole or in part. Each Guarantor hereby irrevocably and unconditionally agrees that it will not commence any action, litigation or proceeding of any kind or description, whether in law or equity, whether in contract or in tort or otherwise, against the Creditor Parties or any of their affiliates in any way relating to this Guaranty, any other Loan Document, the agreement regarding fees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provided that nothing in this Guaranty shall limit the right of the Creditor Parties to commence any proceeding in the federal or state courts of any other jurisdiction to the extent such Creditor Party determines that such action is necessary or appropriate to exercise its rights or remedies under the Loan Documents. Each of the parties hereto (x) agrees that a final judgment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795" w:right="239" w:bottom="1440" w:gutter="0" w:footer="0" w:header="0"/>
        </w:sectPr>
      </w:pPr>
    </w:p>
    <w:bookmarkStart w:id="582" w:name="page583"/>
    <w:bookmarkEnd w:id="582"/>
    <w:p>
      <w:pPr>
        <w:jc w:val="both"/>
        <w:spacing w:after="0" w:line="284" w:lineRule="auto"/>
        <w:rPr>
          <w:sz w:val="20"/>
          <w:szCs w:val="20"/>
          <w:color w:val="auto"/>
        </w:rPr>
      </w:pPr>
      <w:r>
        <w:rPr>
          <w:rFonts w:ascii="Arial" w:cs="Arial" w:eastAsia="Arial" w:hAnsi="Arial"/>
          <w:sz w:val="18"/>
          <w:szCs w:val="18"/>
          <w:color w:val="auto"/>
        </w:rPr>
        <w:t>in any such action, litigation or proceeding shall be conclusive and may be enforced in other jurisdictions by suit on the judgment or in any other manner provided by law, and (y) consents to the service of process out of any of the aforementioned courts, in the manner provided in Section 10.02 of the Term Loan Agreement, to (A) in the case of the Administrative Agent, at the address provided in the Term Loan Agreement and (B) in the case of a Guarantor, at its address set forth opposite its signature page below. All notices and other communications to any Guarantor under this Guaranty shall be in writing and delivered in the manner set forth in Section 10.02 of the Term Loan Agreement. All notices and other communications shall be in writing and addressed to such party at (i) in the case of any Creditor Party, as provided in the Term Loan Agreement, and (ii) in the case of any Guarantor, at its address set forth opposite its signature below.</w:t>
      </w:r>
    </w:p>
    <w:p>
      <w:pPr>
        <w:spacing w:after="0" w:line="178" w:lineRule="exact"/>
        <w:rPr>
          <w:sz w:val="20"/>
          <w:szCs w:val="20"/>
          <w:color w:val="auto"/>
        </w:rPr>
      </w:pPr>
    </w:p>
    <w:p>
      <w:pPr>
        <w:jc w:val="both"/>
        <w:ind w:firstLine="599"/>
        <w:spacing w:after="0" w:line="253" w:lineRule="auto"/>
        <w:tabs>
          <w:tab w:leader="none" w:pos="1449" w:val="left"/>
        </w:tabs>
        <w:numPr>
          <w:ilvl w:val="0"/>
          <w:numId w:val="69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WAIVER OF JURY TRIAL; FINAL AGREEMENT. </w:t>
      </w:r>
      <w:r>
        <w:rPr>
          <w:rFonts w:ascii="Arial" w:cs="Arial" w:eastAsia="Arial" w:hAnsi="Arial"/>
          <w:sz w:val="20"/>
          <w:szCs w:val="20"/>
          <w:color w:val="auto"/>
        </w:rPr>
        <w:t>TO THE EXTENT ALLOWED BY APPLICABLE LAW, EACH</w:t>
      </w:r>
      <w:r>
        <w:rPr>
          <w:rFonts w:ascii="Arial" w:cs="Arial" w:eastAsia="Arial" w:hAnsi="Arial"/>
          <w:sz w:val="20"/>
          <w:szCs w:val="20"/>
          <w:b w:val="1"/>
          <w:bCs w:val="1"/>
          <w:color w:val="auto"/>
        </w:rPr>
        <w:t xml:space="preserve"> </w:t>
      </w:r>
      <w:r>
        <w:rPr>
          <w:rFonts w:ascii="Arial" w:cs="Arial" w:eastAsia="Arial" w:hAnsi="Arial"/>
          <w:sz w:val="20"/>
          <w:szCs w:val="20"/>
          <w:color w:val="auto"/>
        </w:rPr>
        <w:t>GUARANTOR AND THE ADMINISTRATIVE AGENT EACH IRREVOCABLY WAIVES TRIAL BY JURY WITH RESPECT TO ANY ACTION, CLAIM, SUIT OR PROCEEDING ON, ARISING OUT OF OR RELATING TO THIS GUARANTY OR THE GUARANTEED OBLIGATIONS.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Guaranty]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795" w:right="239" w:bottom="1440" w:gutter="0" w:footer="0" w:header="0"/>
        </w:sectPr>
      </w:pPr>
    </w:p>
    <w:bookmarkStart w:id="583" w:name="page584"/>
    <w:bookmarkEnd w:id="583"/>
    <w:p>
      <w:pPr>
        <w:jc w:val="right"/>
        <w:spacing w:after="0"/>
        <w:rPr>
          <w:sz w:val="20"/>
          <w:szCs w:val="20"/>
          <w:color w:val="auto"/>
        </w:rPr>
      </w:pPr>
      <w:r>
        <w:rPr>
          <w:rFonts w:ascii="Arial" w:cs="Arial" w:eastAsia="Arial" w:hAnsi="Arial"/>
          <w:sz w:val="20"/>
          <w:szCs w:val="20"/>
          <w:color w:val="auto"/>
        </w:rPr>
        <w:t>IN WITNESS WHEREOF, each Guarantor has caused this Guaranty to be executed and delivered as of the date first above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line="339"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3540" w:type="dxa"/>
            <w:vAlign w:val="bottom"/>
            <w:gridSpan w:val="4"/>
          </w:tcPr>
          <w:p>
            <w:pPr>
              <w:spacing w:after="0"/>
              <w:rPr>
                <w:sz w:val="20"/>
                <w:szCs w:val="20"/>
                <w:color w:val="auto"/>
              </w:rPr>
            </w:pPr>
            <w:r>
              <w:rPr>
                <w:rFonts w:ascii="Arial" w:cs="Arial" w:eastAsia="Arial" w:hAnsi="Arial"/>
                <w:sz w:val="20"/>
                <w:szCs w:val="20"/>
                <w:color w:val="auto"/>
              </w:rPr>
              <w:t>11455 El Camino Real</w:t>
            </w:r>
          </w:p>
        </w:tc>
        <w:tc>
          <w:tcPr>
            <w:tcW w:w="6320" w:type="dxa"/>
            <w:vAlign w:val="bottom"/>
          </w:tcPr>
          <w:p>
            <w:pPr>
              <w:ind w:left="1620"/>
              <w:spacing w:after="0"/>
              <w:rPr>
                <w:sz w:val="20"/>
                <w:szCs w:val="20"/>
                <w:color w:val="auto"/>
              </w:rPr>
            </w:pPr>
            <w:r>
              <w:rPr>
                <w:rFonts w:ascii="Arial" w:cs="Arial" w:eastAsia="Arial" w:hAnsi="Arial"/>
                <w:sz w:val="20"/>
                <w:szCs w:val="20"/>
                <w:color w:val="auto"/>
              </w:rPr>
              <w:t>AMERICAN ASSETS TRUST, INC.</w:t>
            </w:r>
          </w:p>
        </w:tc>
        <w:tc>
          <w:tcPr>
            <w:tcW w:w="0" w:type="dxa"/>
            <w:vAlign w:val="bottom"/>
          </w:tcPr>
          <w:p>
            <w:pPr>
              <w:spacing w:after="0"/>
              <w:rPr>
                <w:sz w:val="1"/>
                <w:szCs w:val="1"/>
                <w:color w:val="auto"/>
              </w:rPr>
            </w:pPr>
          </w:p>
        </w:tc>
      </w:tr>
      <w:tr>
        <w:trPr>
          <w:trHeight w:val="225"/>
        </w:trPr>
        <w:tc>
          <w:tcPr>
            <w:tcW w:w="3540" w:type="dxa"/>
            <w:vAlign w:val="bottom"/>
            <w:gridSpan w:val="4"/>
          </w:tcPr>
          <w:p>
            <w:pPr>
              <w:spacing w:after="0" w:line="225" w:lineRule="exact"/>
              <w:rPr>
                <w:sz w:val="20"/>
                <w:szCs w:val="20"/>
                <w:color w:val="auto"/>
              </w:rPr>
            </w:pPr>
            <w:r>
              <w:rPr>
                <w:rFonts w:ascii="Arial" w:cs="Arial" w:eastAsia="Arial" w:hAnsi="Arial"/>
                <w:sz w:val="20"/>
                <w:szCs w:val="20"/>
                <w:color w:val="auto"/>
              </w:rPr>
              <w:t>Suite 200</w:t>
            </w:r>
          </w:p>
        </w:tc>
        <w:tc>
          <w:tcPr>
            <w:tcW w:w="6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40" w:type="dxa"/>
            <w:vAlign w:val="bottom"/>
            <w:gridSpan w:val="4"/>
          </w:tcPr>
          <w:p>
            <w:pPr>
              <w:spacing w:after="0" w:line="225" w:lineRule="exact"/>
              <w:rPr>
                <w:sz w:val="20"/>
                <w:szCs w:val="20"/>
                <w:color w:val="auto"/>
              </w:rPr>
            </w:pPr>
            <w:r>
              <w:rPr>
                <w:rFonts w:ascii="Arial" w:cs="Arial" w:eastAsia="Arial" w:hAnsi="Arial"/>
                <w:sz w:val="20"/>
                <w:szCs w:val="20"/>
                <w:color w:val="auto"/>
              </w:rPr>
              <w:t>San Diego, CA 92130</w:t>
            </w:r>
          </w:p>
        </w:tc>
        <w:tc>
          <w:tcPr>
            <w:tcW w:w="6320" w:type="dxa"/>
            <w:vAlign w:val="bottom"/>
            <w:vMerge w:val="restart"/>
          </w:tcPr>
          <w:p>
            <w:pPr>
              <w:ind w:left="1620"/>
              <w:spacing w:after="0"/>
              <w:rPr>
                <w:sz w:val="20"/>
                <w:szCs w:val="20"/>
                <w:color w:val="auto"/>
              </w:rPr>
            </w:pPr>
            <w:r>
              <w:rPr>
                <w:rFonts w:ascii="Arial" w:cs="Arial" w:eastAsia="Arial" w:hAnsi="Arial"/>
                <w:sz w:val="20"/>
                <w:szCs w:val="20"/>
                <w:color w:val="auto"/>
              </w:rPr>
              <w:t>By:_______________________________</w:t>
            </w:r>
          </w:p>
        </w:tc>
        <w:tc>
          <w:tcPr>
            <w:tcW w:w="0" w:type="dxa"/>
            <w:vAlign w:val="bottom"/>
          </w:tcPr>
          <w:p>
            <w:pPr>
              <w:spacing w:after="0"/>
              <w:rPr>
                <w:sz w:val="1"/>
                <w:szCs w:val="1"/>
                <w:color w:val="auto"/>
              </w:rPr>
            </w:pPr>
          </w:p>
        </w:tc>
      </w:tr>
      <w:tr>
        <w:trPr>
          <w:trHeight w:val="194"/>
        </w:trPr>
        <w:tc>
          <w:tcPr>
            <w:tcW w:w="3540" w:type="dxa"/>
            <w:vAlign w:val="bottom"/>
            <w:gridSpan w:val="4"/>
          </w:tcPr>
          <w:p>
            <w:pPr>
              <w:spacing w:after="0" w:line="194" w:lineRule="exact"/>
              <w:rPr>
                <w:sz w:val="20"/>
                <w:szCs w:val="20"/>
                <w:color w:val="auto"/>
              </w:rPr>
            </w:pPr>
            <w:r>
              <w:rPr>
                <w:rFonts w:ascii="Arial" w:cs="Arial" w:eastAsia="Arial" w:hAnsi="Arial"/>
                <w:sz w:val="20"/>
                <w:szCs w:val="20"/>
                <w:color w:val="auto"/>
              </w:rPr>
              <w:t>Fax No.: (858) 350-2620</w:t>
            </w:r>
          </w:p>
        </w:tc>
        <w:tc>
          <w:tcPr>
            <w:tcW w:w="6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540" w:type="dxa"/>
            <w:vAlign w:val="bottom"/>
            <w:gridSpan w:val="4"/>
          </w:tcPr>
          <w:p>
            <w:pPr>
              <w:spacing w:after="0" w:line="225" w:lineRule="exact"/>
              <w:rPr>
                <w:sz w:val="20"/>
                <w:szCs w:val="20"/>
                <w:color w:val="auto"/>
              </w:rPr>
            </w:pPr>
            <w:r>
              <w:rPr>
                <w:rFonts w:ascii="Arial" w:cs="Arial" w:eastAsia="Arial" w:hAnsi="Arial"/>
                <w:sz w:val="20"/>
                <w:szCs w:val="20"/>
                <w:color w:val="auto"/>
              </w:rPr>
              <w:t>Tel. No.: (858) 350-2600</w:t>
            </w:r>
          </w:p>
        </w:tc>
        <w:tc>
          <w:tcPr>
            <w:tcW w:w="6320" w:type="dxa"/>
            <w:vAlign w:val="bottom"/>
          </w:tcPr>
          <w:p>
            <w:pPr>
              <w:ind w:left="1920"/>
              <w:spacing w:after="0" w:line="225" w:lineRule="exact"/>
              <w:rPr>
                <w:sz w:val="20"/>
                <w:szCs w:val="20"/>
                <w:color w:val="auto"/>
              </w:rPr>
            </w:pPr>
            <w:r>
              <w:rPr>
                <w:rFonts w:ascii="Arial" w:cs="Arial" w:eastAsia="Arial" w:hAnsi="Arial"/>
                <w:sz w:val="20"/>
                <w:szCs w:val="20"/>
                <w:color w:val="auto"/>
              </w:rPr>
              <w:t>Name: Ernest Rady</w:t>
            </w:r>
          </w:p>
        </w:tc>
        <w:tc>
          <w:tcPr>
            <w:tcW w:w="0" w:type="dxa"/>
            <w:vAlign w:val="bottom"/>
          </w:tcPr>
          <w:p>
            <w:pPr>
              <w:spacing w:after="0"/>
              <w:rPr>
                <w:sz w:val="1"/>
                <w:szCs w:val="1"/>
                <w:color w:val="auto"/>
              </w:rPr>
            </w:pPr>
          </w:p>
        </w:tc>
      </w:tr>
      <w:tr>
        <w:trPr>
          <w:trHeight w:val="237"/>
        </w:trPr>
        <w:tc>
          <w:tcPr>
            <w:tcW w:w="3540" w:type="dxa"/>
            <w:vAlign w:val="bottom"/>
            <w:gridSpan w:val="4"/>
          </w:tcPr>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rbarton@americanassets.com</w:t>
            </w:r>
          </w:p>
        </w:tc>
        <w:tc>
          <w:tcPr>
            <w:tcW w:w="6320" w:type="dxa"/>
            <w:vAlign w:val="bottom"/>
          </w:tcPr>
          <w:p>
            <w:pPr>
              <w:ind w:left="1920"/>
              <w:spacing w:after="0"/>
              <w:rPr>
                <w:sz w:val="20"/>
                <w:szCs w:val="20"/>
                <w:color w:val="auto"/>
              </w:rPr>
            </w:pPr>
            <w:r>
              <w:rPr>
                <w:rFonts w:ascii="Arial" w:cs="Arial" w:eastAsia="Arial" w:hAnsi="Arial"/>
                <w:sz w:val="20"/>
                <w:szCs w:val="20"/>
                <w:color w:val="auto"/>
                <w:w w:val="91"/>
              </w:rPr>
              <w:t>Title: Chairman, President and Chief Executive Officer</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gridSpan w:val="4"/>
          </w:tcPr>
          <w:p>
            <w:pPr>
              <w:spacing w:after="0" w:line="223" w:lineRule="exact"/>
              <w:rPr>
                <w:sz w:val="20"/>
                <w:szCs w:val="20"/>
                <w:color w:val="auto"/>
              </w:rPr>
            </w:pPr>
            <w:r>
              <w:rPr>
                <w:rFonts w:ascii="Arial" w:cs="Arial" w:eastAsia="Arial" w:hAnsi="Arial"/>
                <w:sz w:val="20"/>
                <w:szCs w:val="20"/>
                <w:color w:val="auto"/>
              </w:rPr>
              <w:t>Attention: Robert F. Barton,</w:t>
            </w:r>
          </w:p>
        </w:tc>
        <w:tc>
          <w:tcPr>
            <w:tcW w:w="6320" w:type="dxa"/>
            <w:vAlign w:val="bottom"/>
            <w:vMerge w:val="restart"/>
          </w:tcPr>
          <w:p>
            <w:pPr>
              <w:ind w:left="1620"/>
              <w:spacing w:after="0"/>
              <w:rPr>
                <w:sz w:val="20"/>
                <w:szCs w:val="20"/>
                <w:color w:val="auto"/>
              </w:rPr>
            </w:pPr>
            <w:r>
              <w:rPr>
                <w:rFonts w:ascii="Arial" w:cs="Arial" w:eastAsia="Arial" w:hAnsi="Arial"/>
                <w:sz w:val="20"/>
                <w:szCs w:val="20"/>
                <w:color w:val="auto"/>
              </w:rPr>
              <w:t>By:_______________________________</w:t>
            </w:r>
          </w:p>
        </w:tc>
        <w:tc>
          <w:tcPr>
            <w:tcW w:w="0" w:type="dxa"/>
            <w:vAlign w:val="bottom"/>
          </w:tcPr>
          <w:p>
            <w:pPr>
              <w:spacing w:after="0"/>
              <w:rPr>
                <w:sz w:val="1"/>
                <w:szCs w:val="1"/>
                <w:color w:val="auto"/>
              </w:rPr>
            </w:pPr>
          </w:p>
        </w:tc>
      </w:tr>
      <w:tr>
        <w:trPr>
          <w:trHeight w:val="150"/>
        </w:trPr>
        <w:tc>
          <w:tcPr>
            <w:tcW w:w="580" w:type="dxa"/>
            <w:vAlign w:val="bottom"/>
          </w:tcPr>
          <w:p>
            <w:pPr>
              <w:spacing w:after="0"/>
              <w:rPr>
                <w:sz w:val="13"/>
                <w:szCs w:val="13"/>
                <w:color w:val="auto"/>
              </w:rPr>
            </w:pPr>
          </w:p>
        </w:tc>
        <w:tc>
          <w:tcPr>
            <w:tcW w:w="2960" w:type="dxa"/>
            <w:vAlign w:val="bottom"/>
            <w:gridSpan w:val="3"/>
            <w:vMerge w:val="restart"/>
          </w:tcPr>
          <w:p>
            <w:pPr>
              <w:ind w:left="320"/>
              <w:spacing w:after="0"/>
              <w:rPr>
                <w:sz w:val="20"/>
                <w:szCs w:val="20"/>
                <w:color w:val="auto"/>
              </w:rPr>
            </w:pPr>
            <w:r>
              <w:rPr>
                <w:rFonts w:ascii="Arial" w:cs="Arial" w:eastAsia="Arial" w:hAnsi="Arial"/>
                <w:sz w:val="20"/>
                <w:szCs w:val="20"/>
                <w:color w:val="auto"/>
              </w:rPr>
              <w:t>Chief Financial Officer</w:t>
            </w:r>
          </w:p>
        </w:tc>
        <w:tc>
          <w:tcPr>
            <w:tcW w:w="6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580" w:type="dxa"/>
            <w:vAlign w:val="bottom"/>
          </w:tcPr>
          <w:p>
            <w:pPr>
              <w:spacing w:after="0"/>
              <w:rPr>
                <w:sz w:val="9"/>
                <w:szCs w:val="9"/>
                <w:color w:val="auto"/>
              </w:rPr>
            </w:pPr>
          </w:p>
        </w:tc>
        <w:tc>
          <w:tcPr>
            <w:tcW w:w="2960" w:type="dxa"/>
            <w:vAlign w:val="bottom"/>
            <w:gridSpan w:val="3"/>
            <w:vMerge w:val="continue"/>
          </w:tcPr>
          <w:p>
            <w:pPr>
              <w:spacing w:after="0"/>
              <w:rPr>
                <w:sz w:val="9"/>
                <w:szCs w:val="9"/>
                <w:color w:val="auto"/>
              </w:rPr>
            </w:pPr>
          </w:p>
        </w:tc>
        <w:tc>
          <w:tcPr>
            <w:tcW w:w="6320" w:type="dxa"/>
            <w:vAlign w:val="bottom"/>
            <w:vMerge w:val="restart"/>
          </w:tcPr>
          <w:p>
            <w:pPr>
              <w:ind w:left="1920"/>
              <w:spacing w:after="0" w:line="225" w:lineRule="exact"/>
              <w:rPr>
                <w:sz w:val="20"/>
                <w:szCs w:val="20"/>
                <w:color w:val="auto"/>
              </w:rPr>
            </w:pPr>
            <w:r>
              <w:rPr>
                <w:rFonts w:ascii="Arial" w:cs="Arial" w:eastAsia="Arial" w:hAnsi="Arial"/>
                <w:sz w:val="20"/>
                <w:szCs w:val="20"/>
                <w:color w:val="auto"/>
              </w:rPr>
              <w:t>Name: Robert F. Barton</w:t>
            </w:r>
          </w:p>
        </w:tc>
        <w:tc>
          <w:tcPr>
            <w:tcW w:w="0" w:type="dxa"/>
            <w:vAlign w:val="bottom"/>
          </w:tcPr>
          <w:p>
            <w:pPr>
              <w:spacing w:after="0"/>
              <w:rPr>
                <w:sz w:val="1"/>
                <w:szCs w:val="1"/>
                <w:color w:val="auto"/>
              </w:rPr>
            </w:pPr>
          </w:p>
        </w:tc>
      </w:tr>
      <w:tr>
        <w:trPr>
          <w:trHeight w:val="121"/>
        </w:trPr>
        <w:tc>
          <w:tcPr>
            <w:tcW w:w="5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3540" w:type="dxa"/>
            <w:vAlign w:val="bottom"/>
            <w:gridSpan w:val="4"/>
          </w:tcPr>
          <w:p>
            <w:pPr>
              <w:spacing w:after="0"/>
              <w:rPr>
                <w:sz w:val="20"/>
                <w:szCs w:val="20"/>
                <w:color w:val="auto"/>
              </w:rPr>
            </w:pPr>
            <w:r>
              <w:rPr>
                <w:rFonts w:ascii="Arial" w:cs="Arial" w:eastAsia="Arial" w:hAnsi="Arial"/>
                <w:sz w:val="20"/>
                <w:szCs w:val="20"/>
                <w:color w:val="auto"/>
              </w:rPr>
              <w:t>with a copy to:</w:t>
            </w:r>
          </w:p>
        </w:tc>
        <w:tc>
          <w:tcPr>
            <w:tcW w:w="6320" w:type="dxa"/>
            <w:vAlign w:val="bottom"/>
          </w:tcPr>
          <w:p>
            <w:pPr>
              <w:ind w:left="1920"/>
              <w:spacing w:after="0"/>
              <w:rPr>
                <w:sz w:val="20"/>
                <w:szCs w:val="20"/>
                <w:color w:val="auto"/>
              </w:rPr>
            </w:pPr>
            <w:r>
              <w:rPr>
                <w:rFonts w:ascii="Arial" w:cs="Arial" w:eastAsia="Arial" w:hAnsi="Arial"/>
                <w:sz w:val="20"/>
                <w:szCs w:val="20"/>
                <w:color w:val="auto"/>
              </w:rPr>
              <w:t>Title: Chief Financial Officer and</w:t>
            </w:r>
          </w:p>
        </w:tc>
        <w:tc>
          <w:tcPr>
            <w:tcW w:w="0" w:type="dxa"/>
            <w:vAlign w:val="bottom"/>
          </w:tcPr>
          <w:p>
            <w:pPr>
              <w:spacing w:after="0"/>
              <w:rPr>
                <w:sz w:val="1"/>
                <w:szCs w:val="1"/>
                <w:color w:val="auto"/>
              </w:rPr>
            </w:pPr>
          </w:p>
        </w:tc>
      </w:tr>
      <w:tr>
        <w:trPr>
          <w:trHeight w:val="254"/>
        </w:trPr>
        <w:tc>
          <w:tcPr>
            <w:tcW w:w="3540" w:type="dxa"/>
            <w:vAlign w:val="bottom"/>
            <w:gridSpan w:val="4"/>
            <w:vMerge w:val="restart"/>
          </w:tcPr>
          <w:p>
            <w:pPr>
              <w:spacing w:after="0"/>
              <w:rPr>
                <w:sz w:val="20"/>
                <w:szCs w:val="20"/>
                <w:color w:val="auto"/>
              </w:rPr>
            </w:pPr>
            <w:r>
              <w:rPr>
                <w:rFonts w:ascii="Arial" w:cs="Arial" w:eastAsia="Arial" w:hAnsi="Arial"/>
                <w:sz w:val="20"/>
                <w:szCs w:val="20"/>
                <w:color w:val="auto"/>
              </w:rPr>
              <w:t>11455 El Camino Real</w:t>
            </w:r>
          </w:p>
        </w:tc>
        <w:tc>
          <w:tcPr>
            <w:tcW w:w="6320" w:type="dxa"/>
            <w:vAlign w:val="bottom"/>
          </w:tcPr>
          <w:p>
            <w:pPr>
              <w:ind w:left="2520"/>
              <w:spacing w:after="0"/>
              <w:rPr>
                <w:sz w:val="20"/>
                <w:szCs w:val="20"/>
                <w:color w:val="auto"/>
              </w:rPr>
            </w:pPr>
            <w:r>
              <w:rPr>
                <w:rFonts w:ascii="Arial" w:cs="Arial" w:eastAsia="Arial" w:hAnsi="Arial"/>
                <w:sz w:val="20"/>
                <w:szCs w:val="20"/>
                <w:color w:val="auto"/>
              </w:rPr>
              <w:t>Executive Vice President</w:t>
            </w:r>
          </w:p>
        </w:tc>
        <w:tc>
          <w:tcPr>
            <w:tcW w:w="0" w:type="dxa"/>
            <w:vAlign w:val="bottom"/>
          </w:tcPr>
          <w:p>
            <w:pPr>
              <w:spacing w:after="0"/>
              <w:rPr>
                <w:sz w:val="1"/>
                <w:szCs w:val="1"/>
                <w:color w:val="auto"/>
              </w:rPr>
            </w:pPr>
          </w:p>
        </w:tc>
      </w:tr>
      <w:tr>
        <w:trPr>
          <w:trHeight w:val="205"/>
        </w:trPr>
        <w:tc>
          <w:tcPr>
            <w:tcW w:w="3540" w:type="dxa"/>
            <w:vAlign w:val="bottom"/>
            <w:gridSpan w:val="4"/>
            <w:vMerge w:val="continue"/>
          </w:tcPr>
          <w:p>
            <w:pPr>
              <w:spacing w:after="0"/>
              <w:rPr>
                <w:sz w:val="17"/>
                <w:szCs w:val="17"/>
                <w:color w:val="auto"/>
              </w:rPr>
            </w:pPr>
          </w:p>
        </w:tc>
        <w:tc>
          <w:tcPr>
            <w:tcW w:w="6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40" w:type="dxa"/>
            <w:vAlign w:val="bottom"/>
            <w:gridSpan w:val="4"/>
          </w:tcPr>
          <w:p>
            <w:pPr>
              <w:spacing w:after="0" w:line="225" w:lineRule="exact"/>
              <w:rPr>
                <w:sz w:val="20"/>
                <w:szCs w:val="20"/>
                <w:color w:val="auto"/>
              </w:rPr>
            </w:pPr>
            <w:r>
              <w:rPr>
                <w:rFonts w:ascii="Arial" w:cs="Arial" w:eastAsia="Arial" w:hAnsi="Arial"/>
                <w:sz w:val="20"/>
                <w:szCs w:val="20"/>
                <w:color w:val="auto"/>
              </w:rPr>
              <w:t>Suite 200</w:t>
            </w:r>
          </w:p>
        </w:tc>
        <w:tc>
          <w:tcPr>
            <w:tcW w:w="6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40" w:type="dxa"/>
            <w:vAlign w:val="bottom"/>
            <w:gridSpan w:val="4"/>
          </w:tcPr>
          <w:p>
            <w:pPr>
              <w:spacing w:after="0" w:line="225" w:lineRule="exact"/>
              <w:rPr>
                <w:sz w:val="20"/>
                <w:szCs w:val="20"/>
                <w:color w:val="auto"/>
              </w:rPr>
            </w:pPr>
            <w:r>
              <w:rPr>
                <w:rFonts w:ascii="Arial" w:cs="Arial" w:eastAsia="Arial" w:hAnsi="Arial"/>
                <w:sz w:val="20"/>
                <w:szCs w:val="20"/>
                <w:color w:val="auto"/>
              </w:rPr>
              <w:t>San Diego, CA 92130</w:t>
            </w:r>
          </w:p>
        </w:tc>
        <w:tc>
          <w:tcPr>
            <w:tcW w:w="6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40" w:type="dxa"/>
            <w:vAlign w:val="bottom"/>
            <w:gridSpan w:val="4"/>
          </w:tcPr>
          <w:p>
            <w:pPr>
              <w:spacing w:after="0" w:line="225" w:lineRule="exact"/>
              <w:rPr>
                <w:sz w:val="20"/>
                <w:szCs w:val="20"/>
                <w:color w:val="auto"/>
              </w:rPr>
            </w:pPr>
            <w:r>
              <w:rPr>
                <w:rFonts w:ascii="Arial" w:cs="Arial" w:eastAsia="Arial" w:hAnsi="Arial"/>
                <w:sz w:val="20"/>
                <w:szCs w:val="20"/>
                <w:color w:val="auto"/>
              </w:rPr>
              <w:t>Fax No.: (858) 350-2620</w:t>
            </w:r>
          </w:p>
        </w:tc>
        <w:tc>
          <w:tcPr>
            <w:tcW w:w="6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40" w:type="dxa"/>
            <w:vAlign w:val="bottom"/>
            <w:gridSpan w:val="4"/>
          </w:tcPr>
          <w:p>
            <w:pPr>
              <w:spacing w:after="0" w:line="225" w:lineRule="exact"/>
              <w:rPr>
                <w:sz w:val="20"/>
                <w:szCs w:val="20"/>
                <w:color w:val="auto"/>
              </w:rPr>
            </w:pPr>
            <w:r>
              <w:rPr>
                <w:rFonts w:ascii="Arial" w:cs="Arial" w:eastAsia="Arial" w:hAnsi="Arial"/>
                <w:sz w:val="20"/>
                <w:szCs w:val="20"/>
                <w:color w:val="auto"/>
              </w:rPr>
              <w:t>Tel. No.: (858) 350-2600</w:t>
            </w:r>
          </w:p>
        </w:tc>
        <w:tc>
          <w:tcPr>
            <w:tcW w:w="6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40" w:type="dxa"/>
            <w:vAlign w:val="bottom"/>
            <w:gridSpan w:val="4"/>
          </w:tcPr>
          <w:p>
            <w:pPr>
              <w:spacing w:after="0" w:line="207"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awyll@americanassets.com</w:t>
            </w:r>
          </w:p>
        </w:tc>
        <w:tc>
          <w:tcPr>
            <w:tcW w:w="6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gridSpan w:val="4"/>
          </w:tcPr>
          <w:p>
            <w:pPr>
              <w:spacing w:after="0" w:line="223" w:lineRule="exact"/>
              <w:rPr>
                <w:sz w:val="20"/>
                <w:szCs w:val="20"/>
                <w:color w:val="auto"/>
              </w:rPr>
            </w:pPr>
            <w:r>
              <w:rPr>
                <w:rFonts w:ascii="Arial" w:cs="Arial" w:eastAsia="Arial" w:hAnsi="Arial"/>
                <w:sz w:val="20"/>
                <w:szCs w:val="20"/>
                <w:color w:val="auto"/>
              </w:rPr>
              <w:t>Attention: Adam Wyll,</w:t>
            </w:r>
          </w:p>
        </w:tc>
        <w:tc>
          <w:tcPr>
            <w:tcW w:w="6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80" w:type="dxa"/>
            <w:vAlign w:val="bottom"/>
          </w:tcPr>
          <w:p>
            <w:pPr>
              <w:spacing w:after="0"/>
              <w:rPr>
                <w:sz w:val="22"/>
                <w:szCs w:val="22"/>
                <w:color w:val="auto"/>
              </w:rPr>
            </w:pPr>
          </w:p>
        </w:tc>
        <w:tc>
          <w:tcPr>
            <w:tcW w:w="2960" w:type="dxa"/>
            <w:vAlign w:val="bottom"/>
            <w:gridSpan w:val="3"/>
          </w:tcPr>
          <w:p>
            <w:pPr>
              <w:ind w:left="260"/>
              <w:spacing w:after="0"/>
              <w:rPr>
                <w:sz w:val="20"/>
                <w:szCs w:val="20"/>
                <w:color w:val="auto"/>
              </w:rPr>
            </w:pPr>
            <w:r>
              <w:rPr>
                <w:rFonts w:ascii="Arial" w:cs="Arial" w:eastAsia="Arial" w:hAnsi="Arial"/>
                <w:sz w:val="20"/>
                <w:szCs w:val="20"/>
                <w:color w:val="auto"/>
              </w:rPr>
              <w:t>SVP, General Counsel</w:t>
            </w:r>
          </w:p>
        </w:tc>
        <w:tc>
          <w:tcPr>
            <w:tcW w:w="6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7"/>
        </w:trPr>
        <w:tc>
          <w:tcPr>
            <w:tcW w:w="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320" w:type="dxa"/>
            <w:vAlign w:val="bottom"/>
          </w:tcPr>
          <w:p>
            <w:pPr>
              <w:ind w:left="620"/>
              <w:spacing w:after="0"/>
              <w:rPr>
                <w:sz w:val="20"/>
                <w:szCs w:val="20"/>
                <w:color w:val="auto"/>
              </w:rPr>
            </w:pPr>
            <w:r>
              <w:rPr>
                <w:rFonts w:ascii="Arial" w:cs="Arial" w:eastAsia="Arial" w:hAnsi="Arial"/>
                <w:sz w:val="20"/>
                <w:szCs w:val="20"/>
                <w:color w:val="auto"/>
              </w:rPr>
              <w:t>[Signature Page to Guaranty]</w:t>
            </w:r>
          </w:p>
        </w:tc>
        <w:tc>
          <w:tcPr>
            <w:tcW w:w="0" w:type="dxa"/>
            <w:vAlign w:val="bottom"/>
          </w:tcPr>
          <w:p>
            <w:pPr>
              <w:spacing w:after="0"/>
              <w:rPr>
                <w:sz w:val="1"/>
                <w:szCs w:val="1"/>
                <w:color w:val="auto"/>
              </w:rPr>
            </w:pPr>
          </w:p>
        </w:tc>
      </w:tr>
    </w:tbl>
    <w:p>
      <w:pPr>
        <w:sectPr>
          <w:pgSz w:w="11900" w:h="16838" w:orient="portrait"/>
          <w:cols w:equalWidth="0" w:num="1">
            <w:col w:w="11420"/>
          </w:cols>
          <w:pgMar w:left="240" w:top="895" w:right="239" w:bottom="1440" w:gutter="0" w:footer="0" w:header="0"/>
        </w:sectPr>
      </w:pPr>
    </w:p>
    <w:bookmarkStart w:id="584" w:name="page585"/>
    <w:bookmarkEnd w:id="584"/>
    <w:p>
      <w:pPr>
        <w:spacing w:after="0"/>
        <w:rPr>
          <w:sz w:val="20"/>
          <w:szCs w:val="20"/>
          <w:color w:val="auto"/>
        </w:rPr>
      </w:pPr>
      <w:r>
        <w:rPr>
          <w:rFonts w:ascii="Arial" w:cs="Arial" w:eastAsia="Arial" w:hAnsi="Arial"/>
          <w:sz w:val="20"/>
          <w:szCs w:val="20"/>
          <w:color w:val="auto"/>
        </w:rPr>
        <w:t>Accepted and Agreed to:</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U.S. BANK NATIONAL ASSOCIATION,</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as Administrative Agent</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3101340"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101340" cy="7620"/>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3339"/>
        <w:spacing w:after="0"/>
        <w:rPr>
          <w:sz w:val="20"/>
          <w:szCs w:val="20"/>
          <w:color w:val="auto"/>
        </w:rPr>
      </w:pPr>
      <w:r>
        <w:rPr>
          <w:rFonts w:ascii="Arial" w:cs="Arial" w:eastAsia="Arial" w:hAnsi="Arial"/>
          <w:sz w:val="20"/>
          <w:szCs w:val="20"/>
          <w:color w:val="auto"/>
        </w:rPr>
        <w:t>[Signature Page to Guaranty]</w:t>
      </w:r>
    </w:p>
    <w:p>
      <w:pPr>
        <w:sectPr>
          <w:pgSz w:w="11900" w:h="16838" w:orient="portrait"/>
          <w:cols w:equalWidth="0" w:num="1">
            <w:col w:w="10219"/>
          </w:cols>
          <w:pgMar w:left="240" w:top="794" w:right="1440" w:bottom="1440" w:gutter="0" w:footer="0" w:header="0"/>
        </w:sectPr>
      </w:pPr>
    </w:p>
    <w:bookmarkStart w:id="585" w:name="page586"/>
    <w:bookmarkEnd w:id="585"/>
    <w:p>
      <w:pPr>
        <w:jc w:val="center"/>
        <w:spacing w:after="0"/>
        <w:rPr>
          <w:sz w:val="20"/>
          <w:szCs w:val="20"/>
          <w:color w:val="auto"/>
        </w:rPr>
      </w:pPr>
      <w:r>
        <w:rPr>
          <w:rFonts w:ascii="Arial" w:cs="Arial" w:eastAsia="Arial" w:hAnsi="Arial"/>
          <w:sz w:val="20"/>
          <w:szCs w:val="20"/>
          <w:color w:val="auto"/>
        </w:rPr>
        <w:t>Annex I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Guaranty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Form of Joinder to Guaranty</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JOINDER NO. ___, dated as of _________, 20__ (this “</w:t>
      </w:r>
      <w:r>
        <w:rPr>
          <w:rFonts w:ascii="Arial" w:cs="Arial" w:eastAsia="Arial" w:hAnsi="Arial"/>
          <w:sz w:val="18"/>
          <w:szCs w:val="18"/>
          <w:u w:val="single" w:color="auto"/>
          <w:color w:val="auto"/>
        </w:rPr>
        <w:t>Joinder</w:t>
      </w:r>
      <w:r>
        <w:rPr>
          <w:rFonts w:ascii="Arial" w:cs="Arial" w:eastAsia="Arial" w:hAnsi="Arial"/>
          <w:sz w:val="18"/>
          <w:szCs w:val="18"/>
          <w:color w:val="auto"/>
        </w:rPr>
        <w:t>”), to the Guaranty dated as of March 1, 2016 (as amended, modified,</w:t>
      </w:r>
    </w:p>
    <w:p>
      <w:pPr>
        <w:spacing w:after="0" w:line="4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restated and/or supplemented from time to time, the “</w:t>
      </w:r>
      <w:r>
        <w:rPr>
          <w:rFonts w:ascii="Arial" w:cs="Arial" w:eastAsia="Arial" w:hAnsi="Arial"/>
          <w:sz w:val="18"/>
          <w:szCs w:val="18"/>
          <w:u w:val="single" w:color="auto"/>
          <w:color w:val="auto"/>
        </w:rPr>
        <w:t>Guaranty</w:t>
      </w:r>
      <w:r>
        <w:rPr>
          <w:rFonts w:ascii="Arial" w:cs="Arial" w:eastAsia="Arial" w:hAnsi="Arial"/>
          <w:sz w:val="18"/>
          <w:szCs w:val="18"/>
          <w:color w:val="auto"/>
        </w:rPr>
        <w:t>”), made by and among American Assets Trust, Inc., a Maryland corporation (the “</w:t>
      </w:r>
      <w:r>
        <w:rPr>
          <w:rFonts w:ascii="Arial" w:cs="Arial" w:eastAsia="Arial" w:hAnsi="Arial"/>
          <w:sz w:val="18"/>
          <w:szCs w:val="18"/>
          <w:u w:val="single" w:color="auto"/>
          <w:color w:val="auto"/>
        </w:rPr>
        <w:t>REIT</w:t>
      </w:r>
      <w:r>
        <w:rPr>
          <w:rFonts w:ascii="Arial" w:cs="Arial" w:eastAsia="Arial" w:hAnsi="Arial"/>
          <w:sz w:val="18"/>
          <w:szCs w:val="18"/>
          <w:color w:val="auto"/>
        </w:rPr>
        <w:t>”), and the Subsidiaries of the REIT party thereto in favor U.S. BANK NATIONAL ASSOCIATION, as Administrative Agent (in such capacity, together with any successor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benefit of the Creditor Parties.</w:t>
      </w:r>
    </w:p>
    <w:p>
      <w:pPr>
        <w:spacing w:after="0" w:line="138" w:lineRule="exact"/>
        <w:rPr>
          <w:sz w:val="20"/>
          <w:szCs w:val="20"/>
          <w:color w:val="auto"/>
        </w:rPr>
      </w:pPr>
    </w:p>
    <w:p>
      <w:pPr>
        <w:jc w:val="both"/>
        <w:ind w:firstLine="599"/>
        <w:spacing w:after="0" w:line="260" w:lineRule="auto"/>
        <w:tabs>
          <w:tab w:leader="none" w:pos="1393" w:val="left"/>
        </w:tabs>
        <w:numPr>
          <w:ilvl w:val="0"/>
          <w:numId w:val="692"/>
        </w:numPr>
        <w:rPr>
          <w:rFonts w:ascii="Arial" w:cs="Arial" w:eastAsia="Arial" w:hAnsi="Arial"/>
          <w:sz w:val="20"/>
          <w:szCs w:val="20"/>
          <w:color w:val="auto"/>
        </w:rPr>
      </w:pPr>
      <w:r>
        <w:rPr>
          <w:rFonts w:ascii="Arial" w:cs="Arial" w:eastAsia="Arial" w:hAnsi="Arial"/>
          <w:sz w:val="20"/>
          <w:szCs w:val="20"/>
          <w:color w:val="auto"/>
        </w:rPr>
        <w:t>Reference is made to (a) the Term Loan Agreement dated as of March 1, 2016 (as amended, modified, restated and/or supplemented from time to time, the “</w:t>
      </w:r>
      <w:r>
        <w:rPr>
          <w:rFonts w:ascii="Arial" w:cs="Arial" w:eastAsia="Arial" w:hAnsi="Arial"/>
          <w:sz w:val="20"/>
          <w:szCs w:val="20"/>
          <w:u w:val="single" w:color="auto"/>
          <w:color w:val="auto"/>
        </w:rPr>
        <w:t>Term Loan Agreement</w:t>
      </w:r>
      <w:r>
        <w:rPr>
          <w:rFonts w:ascii="Arial" w:cs="Arial" w:eastAsia="Arial" w:hAnsi="Arial"/>
          <w:sz w:val="20"/>
          <w:szCs w:val="20"/>
          <w:color w:val="auto"/>
        </w:rPr>
        <w:t>”) among the REIT, American Assets Trust, L.P., a Maryland limited partnership (the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party thereto and the Administrative Agent and (b) the Guaranty.</w:t>
      </w:r>
    </w:p>
    <w:p>
      <w:pPr>
        <w:spacing w:after="0" w:line="201" w:lineRule="exact"/>
        <w:rPr>
          <w:rFonts w:ascii="Arial" w:cs="Arial" w:eastAsia="Arial" w:hAnsi="Arial"/>
          <w:sz w:val="20"/>
          <w:szCs w:val="20"/>
          <w:color w:val="auto"/>
        </w:rPr>
      </w:pPr>
    </w:p>
    <w:p>
      <w:pPr>
        <w:ind w:left="1380" w:hanging="781"/>
        <w:spacing w:after="0"/>
        <w:tabs>
          <w:tab w:leader="none" w:pos="1380" w:val="left"/>
        </w:tabs>
        <w:numPr>
          <w:ilvl w:val="0"/>
          <w:numId w:val="692"/>
        </w:numPr>
        <w:rPr>
          <w:rFonts w:ascii="Arial" w:cs="Arial" w:eastAsia="Arial" w:hAnsi="Arial"/>
          <w:sz w:val="19"/>
          <w:szCs w:val="19"/>
          <w:color w:val="auto"/>
        </w:rPr>
      </w:pPr>
      <w:r>
        <w:rPr>
          <w:rFonts w:ascii="Arial" w:cs="Arial" w:eastAsia="Arial" w:hAnsi="Arial"/>
          <w:sz w:val="19"/>
          <w:szCs w:val="19"/>
          <w:color w:val="auto"/>
        </w:rPr>
        <w:t>Capitalized terms used herein and not otherwise defined herein shall have the meanings assigned to such terms in the</w:t>
      </w:r>
    </w:p>
    <w:p>
      <w:pPr>
        <w:spacing w:after="0" w:line="3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Guaranty.</w:t>
      </w:r>
    </w:p>
    <w:p>
      <w:pPr>
        <w:spacing w:after="0" w:line="228" w:lineRule="exact"/>
        <w:rPr>
          <w:rFonts w:ascii="Arial" w:cs="Arial" w:eastAsia="Arial" w:hAnsi="Arial"/>
          <w:sz w:val="19"/>
          <w:szCs w:val="19"/>
          <w:color w:val="auto"/>
        </w:rPr>
      </w:pPr>
    </w:p>
    <w:p>
      <w:pPr>
        <w:ind w:left="1380" w:hanging="781"/>
        <w:spacing w:after="0"/>
        <w:tabs>
          <w:tab w:leader="none" w:pos="1380" w:val="left"/>
        </w:tabs>
        <w:numPr>
          <w:ilvl w:val="0"/>
          <w:numId w:val="692"/>
        </w:numPr>
        <w:rPr>
          <w:rFonts w:ascii="Arial" w:cs="Arial" w:eastAsia="Arial" w:hAnsi="Arial"/>
          <w:sz w:val="20"/>
          <w:szCs w:val="20"/>
          <w:color w:val="auto"/>
        </w:rPr>
      </w:pPr>
      <w:r>
        <w:rPr>
          <w:rFonts w:ascii="Arial" w:cs="Arial" w:eastAsia="Arial" w:hAnsi="Arial"/>
          <w:sz w:val="20"/>
          <w:szCs w:val="20"/>
          <w:color w:val="auto"/>
        </w:rPr>
        <w:t>[NAME OF ENTITY] has [formed][acquired] ___________, ___________ [type of entity](the “</w:t>
      </w:r>
      <w:r>
        <w:rPr>
          <w:rFonts w:ascii="Arial" w:cs="Arial" w:eastAsia="Arial" w:hAnsi="Arial"/>
          <w:sz w:val="20"/>
          <w:szCs w:val="20"/>
          <w:u w:val="single" w:color="auto"/>
          <w:color w:val="auto"/>
        </w:rPr>
        <w:t>New Guarantor</w:t>
      </w:r>
      <w:r>
        <w:rPr>
          <w:rFonts w:ascii="Arial" w:cs="Arial" w:eastAsia="Arial" w:hAnsi="Arial"/>
          <w:sz w:val="20"/>
          <w:szCs w:val="20"/>
          <w:color w:val="auto"/>
        </w:rPr>
        <w:t>”).</w:t>
      </w:r>
    </w:p>
    <w:p>
      <w:pPr>
        <w:spacing w:after="0" w:line="244" w:lineRule="exact"/>
        <w:rPr>
          <w:rFonts w:ascii="Arial" w:cs="Arial" w:eastAsia="Arial" w:hAnsi="Arial"/>
          <w:sz w:val="20"/>
          <w:szCs w:val="20"/>
          <w:color w:val="auto"/>
        </w:rPr>
      </w:pPr>
    </w:p>
    <w:p>
      <w:pPr>
        <w:jc w:val="both"/>
        <w:ind w:firstLine="599"/>
        <w:spacing w:after="0" w:line="260" w:lineRule="auto"/>
        <w:tabs>
          <w:tab w:leader="none" w:pos="1393" w:val="left"/>
        </w:tabs>
        <w:numPr>
          <w:ilvl w:val="0"/>
          <w:numId w:val="692"/>
        </w:numPr>
        <w:rPr>
          <w:rFonts w:ascii="Arial" w:cs="Arial" w:eastAsia="Arial" w:hAnsi="Arial"/>
          <w:sz w:val="20"/>
          <w:szCs w:val="20"/>
          <w:color w:val="auto"/>
        </w:rPr>
      </w:pPr>
      <w:r>
        <w:rPr>
          <w:rFonts w:ascii="Arial" w:cs="Arial" w:eastAsia="Arial" w:hAnsi="Arial"/>
          <w:sz w:val="20"/>
          <w:szCs w:val="20"/>
          <w:color w:val="auto"/>
        </w:rPr>
        <w:t>Pursuant to the terms and provisions of the Term Loan Agreement, the New Guarantor is required to become a party to the Guaranty and guaranty the Obligations of the Borrower. The New Guarantor is executing this Joinder in accordance with the requirements of the Term Loan Agreement and Section 19 of the Guaranty to become a party to the Guaranty.</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Accordingly, the New Guarantor hereby agrees as follows:</w:t>
      </w:r>
    </w:p>
    <w:p>
      <w:pPr>
        <w:spacing w:after="0" w:line="207"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20"/>
          <w:szCs w:val="20"/>
          <w:color w:val="auto"/>
        </w:rPr>
        <w:t>Section 1. The New Guarantor is hereby added as a party to the Guaranty and hereby agrees to be bound as a “Guarantor” by all of the terms, covenants and provisions set forth in the Guaranty to the same extent it would have been bound if it had been a signatory to the Guaranty on the date of the Guaranty. In furtherance of the foregoing, the New Guarantor hereby absolutely and unconditionally guarantees, as a guaranty of payment and performance and not as a guaranty of collection, prompt payment when due, whether at stated maturity, by required prepayment, upon acceleration, demand or otherwise, and at all times thereafter, of all Guaranteed Obligations. The New Guarantor hereby makes each of the representations and warranties applicable to a “Guarantor” contained in the Guaranty.</w:t>
      </w:r>
    </w:p>
    <w:p>
      <w:pPr>
        <w:spacing w:after="0" w:line="215"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20"/>
          <w:szCs w:val="20"/>
          <w:color w:val="auto"/>
        </w:rPr>
        <w:t>Section 2. The New Guarantor hereby represents and warrants to the Administrative Agent and the other Creditor Parties that this Joinder has been duly authorized, executed and delivered by it and constitutes its legal, valid and binding obligation, enforceable against it in accordance with its terms, except as enforceability may be limited by bankruptcy, insolvency, fraudulent conveyance, reorganization, moratorium or similar laws affecting the enforceability of creditors’ rights generally and by general principles of equity (regardless of whether enforcement is sought at law or in equity).</w:t>
      </w:r>
    </w:p>
    <w:p>
      <w:pPr>
        <w:spacing w:after="0" w:line="212" w:lineRule="exact"/>
        <w:rPr>
          <w:sz w:val="20"/>
          <w:szCs w:val="20"/>
          <w:color w:val="auto"/>
        </w:rPr>
      </w:pPr>
    </w:p>
    <w:p>
      <w:pPr>
        <w:jc w:val="both"/>
        <w:ind w:firstLine="599"/>
        <w:spacing w:after="0" w:line="260" w:lineRule="auto"/>
        <w:rPr>
          <w:sz w:val="20"/>
          <w:szCs w:val="20"/>
          <w:color w:val="auto"/>
        </w:rPr>
      </w:pPr>
      <w:r>
        <w:rPr>
          <w:rFonts w:ascii="Arial" w:cs="Arial" w:eastAsia="Arial" w:hAnsi="Arial"/>
          <w:sz w:val="20"/>
          <w:szCs w:val="20"/>
          <w:color w:val="auto"/>
        </w:rPr>
        <w:t>Section 3. The New Guarantor hereby represents and warrants to the Administrative Agent and the other Creditor Parties that its U.S. taxpayer identification number (or, if such New Guarantor is a Non-U.S. Loan Party that does not have a U.S. taxpayer identification number, its unique identification number</w:t>
      </w:r>
    </w:p>
    <w:p>
      <w:pPr>
        <w:sectPr>
          <w:pgSz w:w="11900" w:h="16838" w:orient="portrait"/>
          <w:cols w:equalWidth="0" w:num="1">
            <w:col w:w="11420"/>
          </w:cols>
          <w:pgMar w:left="240" w:top="795" w:right="239" w:bottom="1440" w:gutter="0" w:footer="0" w:header="0"/>
        </w:sectPr>
      </w:pPr>
    </w:p>
    <w:bookmarkStart w:id="586" w:name="page587"/>
    <w:bookmarkEnd w:id="586"/>
    <w:p>
      <w:pPr>
        <w:spacing w:after="0"/>
        <w:rPr>
          <w:sz w:val="20"/>
          <w:szCs w:val="20"/>
          <w:color w:val="auto"/>
        </w:rPr>
      </w:pPr>
      <w:r>
        <w:rPr>
          <w:rFonts w:ascii="Arial" w:cs="Arial" w:eastAsia="Arial" w:hAnsi="Arial"/>
          <w:sz w:val="20"/>
          <w:szCs w:val="20"/>
          <w:color w:val="auto"/>
        </w:rPr>
        <w:t>issued to it by the jurisdiction of its incorporation or organization), is set forth under its signature to this Joinder.</w:t>
      </w:r>
    </w:p>
    <w:p>
      <w:pPr>
        <w:spacing w:after="0" w:line="245" w:lineRule="exact"/>
        <w:rPr>
          <w:sz w:val="20"/>
          <w:szCs w:val="20"/>
          <w:color w:val="auto"/>
        </w:rPr>
      </w:pPr>
    </w:p>
    <w:p>
      <w:pPr>
        <w:ind w:firstLine="599"/>
        <w:spacing w:after="0" w:line="272" w:lineRule="auto"/>
        <w:rPr>
          <w:sz w:val="20"/>
          <w:szCs w:val="20"/>
          <w:color w:val="auto"/>
        </w:rPr>
      </w:pPr>
      <w:r>
        <w:rPr>
          <w:rFonts w:ascii="Arial" w:cs="Arial" w:eastAsia="Arial" w:hAnsi="Arial"/>
          <w:sz w:val="20"/>
          <w:szCs w:val="20"/>
          <w:color w:val="auto"/>
        </w:rPr>
        <w:t>Section 4. This Joinder may be executed in counterparts (and by different parties hereto on different counterparts), each of which shall constitute an original, but all of which when taken together shall constitute a single contract.</w:t>
      </w:r>
    </w:p>
    <w:p>
      <w:pPr>
        <w:spacing w:after="0" w:line="191" w:lineRule="exact"/>
        <w:rPr>
          <w:sz w:val="20"/>
          <w:szCs w:val="20"/>
          <w:color w:val="auto"/>
        </w:rPr>
      </w:pPr>
    </w:p>
    <w:p>
      <w:pPr>
        <w:ind w:left="600"/>
        <w:spacing w:after="0"/>
        <w:tabs>
          <w:tab w:leader="none" w:pos="2580" w:val="left"/>
        </w:tabs>
        <w:rPr>
          <w:sz w:val="20"/>
          <w:szCs w:val="20"/>
          <w:color w:val="auto"/>
        </w:rPr>
      </w:pPr>
      <w:r>
        <w:rPr>
          <w:rFonts w:ascii="Arial" w:cs="Arial" w:eastAsia="Arial" w:hAnsi="Arial"/>
          <w:sz w:val="20"/>
          <w:szCs w:val="20"/>
          <w:color w:val="auto"/>
        </w:rPr>
        <w:t>Section 5.</w:t>
      </w:r>
      <w:r>
        <w:rPr>
          <w:sz w:val="20"/>
          <w:szCs w:val="20"/>
          <w:color w:val="auto"/>
        </w:rPr>
        <w:tab/>
      </w:r>
      <w:r>
        <w:rPr>
          <w:rFonts w:ascii="Arial" w:cs="Arial" w:eastAsia="Arial" w:hAnsi="Arial"/>
          <w:sz w:val="18"/>
          <w:szCs w:val="18"/>
          <w:color w:val="auto"/>
        </w:rPr>
        <w:t>Except as expressly supplemented hereby, the Guaranty shall remain in full force and effect.</w:t>
      </w:r>
    </w:p>
    <w:p>
      <w:pPr>
        <w:spacing w:after="0" w:line="245" w:lineRule="exact"/>
        <w:rPr>
          <w:sz w:val="20"/>
          <w:szCs w:val="20"/>
          <w:color w:val="auto"/>
        </w:rPr>
      </w:pPr>
    </w:p>
    <w:p>
      <w:pPr>
        <w:ind w:firstLine="599"/>
        <w:spacing w:after="0" w:line="272" w:lineRule="auto"/>
        <w:rPr>
          <w:sz w:val="20"/>
          <w:szCs w:val="20"/>
          <w:color w:val="auto"/>
        </w:rPr>
      </w:pPr>
      <w:r>
        <w:rPr>
          <w:rFonts w:ascii="Arial" w:cs="Arial" w:eastAsia="Arial" w:hAnsi="Arial"/>
          <w:sz w:val="20"/>
          <w:szCs w:val="20"/>
          <w:color w:val="auto"/>
        </w:rPr>
        <w:t>Section 6. THIS JOINDER SHALL BE GOVERNED BY, AND CONSTRUED IN ACCORDANCE WITH, THE LAW OF THE STATE OF NEW YORK APPLICABLE TO CONTRACTS EXECUTED, AND TO BE FULLY PERFORMED, IN SUCH STATE.</w:t>
      </w:r>
    </w:p>
    <w:p>
      <w:pPr>
        <w:spacing w:after="0" w:line="191" w:lineRule="exact"/>
        <w:rPr>
          <w:sz w:val="20"/>
          <w:szCs w:val="20"/>
          <w:color w:val="auto"/>
        </w:rPr>
      </w:pPr>
    </w:p>
    <w:p>
      <w:pPr>
        <w:ind w:firstLine="599"/>
        <w:spacing w:after="0" w:line="272" w:lineRule="auto"/>
        <w:rPr>
          <w:sz w:val="20"/>
          <w:szCs w:val="20"/>
          <w:color w:val="auto"/>
        </w:rPr>
      </w:pPr>
      <w:r>
        <w:rPr>
          <w:rFonts w:ascii="Arial" w:cs="Arial" w:eastAsia="Arial" w:hAnsi="Arial"/>
          <w:sz w:val="20"/>
          <w:szCs w:val="20"/>
          <w:color w:val="auto"/>
        </w:rPr>
        <w:t>Section 7. All communications and notices to be provided to the New Guarantor hereunder or under the Guaranty shall be given to the New Guarantor at the address set forth under its signature.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794" w:right="239" w:bottom="1440" w:gutter="0" w:footer="0" w:header="0"/>
        </w:sectPr>
      </w:pPr>
    </w:p>
    <w:bookmarkStart w:id="587" w:name="page588"/>
    <w:bookmarkEnd w:id="587"/>
    <w:p>
      <w:pPr>
        <w:ind w:firstLine="599"/>
        <w:spacing w:after="0" w:line="272" w:lineRule="auto"/>
        <w:rPr>
          <w:sz w:val="20"/>
          <w:szCs w:val="20"/>
          <w:color w:val="auto"/>
        </w:rPr>
      </w:pPr>
      <w:r>
        <w:rPr>
          <w:rFonts w:ascii="Arial" w:cs="Arial" w:eastAsia="Arial" w:hAnsi="Arial"/>
          <w:sz w:val="20"/>
          <w:szCs w:val="20"/>
          <w:color w:val="auto"/>
        </w:rPr>
        <w:t>IN WITNESS WHEREOF, the New Guarantor and the Administrative Agent have duly executed this Joinder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620"/>
        <w:spacing w:after="0"/>
        <w:rPr>
          <w:sz w:val="20"/>
          <w:szCs w:val="20"/>
          <w:color w:val="auto"/>
        </w:rPr>
      </w:pPr>
      <w:r>
        <w:rPr>
          <w:rFonts w:ascii="Arial" w:cs="Arial" w:eastAsia="Arial" w:hAnsi="Arial"/>
          <w:sz w:val="20"/>
          <w:szCs w:val="20"/>
          <w:color w:val="auto"/>
        </w:rPr>
        <w:t>[NEW GUARANTOR]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2522220</wp:posOffset>
            </wp:positionH>
            <wp:positionV relativeFrom="paragraph">
              <wp:posOffset>24765</wp:posOffset>
            </wp:positionV>
            <wp:extent cx="2347595"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347595" cy="7620"/>
                    </a:xfrm>
                    <a:prstGeom prst="rect">
                      <a:avLst/>
                    </a:prstGeom>
                    <a:noFill/>
                  </pic:spPr>
                </pic:pic>
              </a:graphicData>
            </a:graphic>
          </wp:anchor>
        </w:drawing>
      </w:r>
    </w:p>
    <w:p>
      <w:pPr>
        <w:spacing w:after="0" w:line="37"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Name:</w:t>
      </w:r>
    </w:p>
    <w:p>
      <w:pPr>
        <w:spacing w:after="0" w:line="45"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Title:</w:t>
      </w:r>
    </w:p>
    <w:p>
      <w:pPr>
        <w:spacing w:after="0" w:line="320" w:lineRule="exact"/>
        <w:rPr>
          <w:sz w:val="20"/>
          <w:szCs w:val="20"/>
          <w:color w:val="auto"/>
        </w:rPr>
      </w:pPr>
    </w:p>
    <w:p>
      <w:pPr>
        <w:ind w:left="3620"/>
        <w:spacing w:after="0"/>
        <w:tabs>
          <w:tab w:leader="none" w:pos="5340" w:val="left"/>
        </w:tabs>
        <w:rPr>
          <w:sz w:val="20"/>
          <w:szCs w:val="20"/>
          <w:color w:val="auto"/>
        </w:rPr>
      </w:pPr>
      <w:r>
        <w:rPr>
          <w:rFonts w:ascii="Arial" w:cs="Arial" w:eastAsia="Arial" w:hAnsi="Arial"/>
          <w:sz w:val="20"/>
          <w:szCs w:val="20"/>
          <w:color w:val="auto"/>
        </w:rPr>
        <w:t>U.S.Taxpayer</w:t>
      </w:r>
      <w:r>
        <w:rPr>
          <w:sz w:val="20"/>
          <w:szCs w:val="20"/>
          <w:color w:val="auto"/>
        </w:rPr>
        <w:tab/>
      </w:r>
      <w:r>
        <w:rPr>
          <w:rFonts w:ascii="Arial" w:cs="Arial" w:eastAsia="Arial" w:hAnsi="Arial"/>
          <w:sz w:val="20"/>
          <w:szCs w:val="20"/>
          <w:color w:val="auto"/>
        </w:rPr>
        <w:t>Identification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2299970</wp:posOffset>
            </wp:positionH>
            <wp:positionV relativeFrom="paragraph">
              <wp:posOffset>-13970</wp:posOffset>
            </wp:positionV>
            <wp:extent cx="1783715"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783715" cy="7620"/>
                    </a:xfrm>
                    <a:prstGeom prst="rect">
                      <a:avLst/>
                    </a:prstGeom>
                    <a:noFill/>
                  </pic:spPr>
                </pic:pic>
              </a:graphicData>
            </a:graphic>
          </wp:anchor>
        </w:drawing>
      </w:r>
    </w:p>
    <w:p>
      <w:pPr>
        <w:ind w:left="3620"/>
        <w:spacing w:after="0"/>
        <w:tabs>
          <w:tab w:leader="none" w:pos="6460" w:val="left"/>
        </w:tabs>
        <w:rPr>
          <w:sz w:val="20"/>
          <w:szCs w:val="20"/>
          <w:color w:val="auto"/>
        </w:rPr>
      </w:pPr>
      <w:r>
        <w:rPr>
          <w:rFonts w:ascii="Arial" w:cs="Arial" w:eastAsia="Arial" w:hAnsi="Arial"/>
          <w:sz w:val="20"/>
          <w:szCs w:val="20"/>
          <w:u w:val="single" w:color="auto"/>
          <w:color w:val="auto"/>
        </w:rPr>
        <w:t>Number</w:t>
      </w:r>
      <w:r>
        <w:rPr>
          <w:rFonts w:ascii="Arial" w:cs="Arial" w:eastAsia="Arial" w:hAnsi="Arial"/>
          <w:sz w:val="20"/>
          <w:szCs w:val="20"/>
          <w:color w:val="auto"/>
        </w:rPr>
        <w:t>:</w:t>
      </w:r>
      <w:r>
        <w:rPr>
          <w:sz w:val="20"/>
          <w:szCs w:val="20"/>
          <w:color w:val="auto"/>
        </w:rPr>
        <w:tab/>
      </w:r>
      <w:r>
        <w:rPr>
          <w:rFonts w:ascii="Arial" w:cs="Arial" w:eastAsia="Arial" w:hAnsi="Arial"/>
          <w:sz w:val="17"/>
          <w:szCs w:val="17"/>
          <w:color w:val="auto"/>
        </w:rPr>
        <w:t>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620"/>
        <w:spacing w:after="0"/>
        <w:rPr>
          <w:sz w:val="20"/>
          <w:szCs w:val="20"/>
          <w:color w:val="auto"/>
        </w:rPr>
      </w:pPr>
      <w:r>
        <w:rPr>
          <w:rFonts w:ascii="Arial" w:cs="Arial" w:eastAsia="Arial" w:hAnsi="Arial"/>
          <w:sz w:val="20"/>
          <w:szCs w:val="20"/>
          <w:u w:val="single" w:color="auto"/>
          <w:color w:val="auto"/>
        </w:rPr>
        <w:t>Address of New Guarantor</w:t>
      </w:r>
      <w:r>
        <w:rPr>
          <w:rFonts w:ascii="Arial" w:cs="Arial" w:eastAsia="Arial" w:hAnsi="Arial"/>
          <w:sz w:val="20"/>
          <w:szCs w:val="20"/>
          <w:color w:val="auto"/>
        </w:rPr>
        <w:t>:</w:t>
      </w:r>
    </w:p>
    <w:p>
      <w:pPr>
        <w:spacing w:after="0" w:line="200" w:lineRule="exact"/>
        <w:rPr>
          <w:sz w:val="20"/>
          <w:szCs w:val="20"/>
          <w:color w:val="auto"/>
        </w:rPr>
      </w:pPr>
    </w:p>
    <w:p>
      <w:pPr>
        <w:spacing w:after="0" w:line="319" w:lineRule="exact"/>
        <w:rPr>
          <w:sz w:val="20"/>
          <w:szCs w:val="20"/>
          <w:color w:val="auto"/>
        </w:rPr>
      </w:pPr>
    </w:p>
    <w:p>
      <w:pPr>
        <w:ind w:left="4360" w:hanging="738"/>
        <w:spacing w:after="0"/>
        <w:tabs>
          <w:tab w:leader="none" w:pos="4360" w:val="left"/>
        </w:tabs>
        <w:numPr>
          <w:ilvl w:val="0"/>
          <w:numId w:val="693"/>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20"/>
          <w:szCs w:val="20"/>
          <w:color w:val="auto"/>
        </w:rPr>
        <w:t>Accepted and Agreed to:</w:t>
      </w: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20"/>
          <w:szCs w:val="20"/>
          <w:color w:val="auto"/>
        </w:rPr>
        <w:t>US NATIONAL BANK ASSOCIATION</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24765</wp:posOffset>
            </wp:positionV>
            <wp:extent cx="2743835"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743835" cy="762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580"/>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44" w:lineRule="exact"/>
        <w:rPr>
          <w:sz w:val="20"/>
          <w:szCs w:val="20"/>
          <w:color w:val="auto"/>
        </w:rPr>
      </w:pPr>
    </w:p>
    <w:p>
      <w:pPr>
        <w:ind w:left="5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Joinder to Guaranty]</w:t>
      </w:r>
    </w:p>
    <w:p>
      <w:pPr>
        <w:sectPr>
          <w:pgSz w:w="11900" w:h="16838" w:orient="portrait"/>
          <w:cols w:equalWidth="0" w:num="1">
            <w:col w:w="11420"/>
          </w:cols>
          <w:pgMar w:left="240" w:top="795" w:right="239" w:bottom="1440" w:gutter="0" w:footer="0" w:header="0"/>
        </w:sectPr>
      </w:pPr>
    </w:p>
    <w:bookmarkStart w:id="588" w:name="page589"/>
    <w:bookmarkEnd w:id="5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358775</wp:posOffset>
            </wp:positionV>
            <wp:extent cx="1586230" cy="8248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clrChange>
                        <a:clrFrom>
                          <a:srgbClr val="FFFFFF"/>
                        </a:clrFrom>
                        <a:clrTo>
                          <a:srgbClr val="FFFFFF">
                            <a:alpha val="0"/>
                          </a:srgbClr>
                        </a:clrTo>
                      </a:clrChange>
                      <a:extLst>
                        <a:ext uri="{28A0092B-C50C-407E-A947-70E740481C1C}"/>
                      </a:extLst>
                    </a:blip>
                    <a:srcRect/>
                    <a:stretch>
                      <a:fillRect/>
                    </a:stretch>
                  </pic:blipFill>
                  <pic:spPr bwMode="auto">
                    <a:xfrm>
                      <a:off x="0" y="0"/>
                      <a:ext cx="1586230" cy="824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308" w:lineRule="auto"/>
        <w:rPr>
          <w:sz w:val="20"/>
          <w:szCs w:val="20"/>
          <w:color w:val="auto"/>
        </w:rPr>
      </w:pPr>
      <w:r>
        <w:rPr>
          <w:rFonts w:ascii="Arial" w:cs="Arial" w:eastAsia="Arial" w:hAnsi="Arial"/>
          <w:sz w:val="22"/>
          <w:szCs w:val="22"/>
          <w:b w:val="1"/>
          <w:bCs w:val="1"/>
          <w:color w:val="auto"/>
        </w:rPr>
        <w:t>American Assets Trust, Inc. Increases Revolving Line of Credit to $350 Million and Improves Credit Spreads in Its Second Amended and Restated Credit Agreement and in its $150 Million Term Loan Agreement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Release - January 9, 2018</w:t>
      </w:r>
    </w:p>
    <w:p>
      <w:pPr>
        <w:spacing w:after="0" w:line="172"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SAN DIEGO -American Assets Trust, Inc. (NYSE:AAT) (the “Company”) announced today that it has amended and restated its existing credit agreement and amended its existing term loan agreement.</w:t>
      </w:r>
    </w:p>
    <w:p>
      <w:pPr>
        <w:spacing w:after="0" w:line="11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credit agreement was amended and restated to, among other things, (1) increase the revolving line of credit from $250 million to $350 million, (2) extend the maturity date of the restated $350 million revolving line of credit to January 9, 2022 (with two, six-month extension options) and (3) decrease the applicable leverage-based and ratings-based pricing spreads. The $100 million term loan included within the credit agreement matures on January 9, 2019, with no further extension options. The revolving line of credit and $100 million term loan are both unsecured.</w:t>
      </w:r>
    </w:p>
    <w:p>
      <w:pPr>
        <w:spacing w:after="0" w:line="112" w:lineRule="exact"/>
        <w:rPr>
          <w:sz w:val="20"/>
          <w:szCs w:val="20"/>
          <w:color w:val="auto"/>
        </w:rPr>
      </w:pPr>
    </w:p>
    <w:p>
      <w:pPr>
        <w:jc w:val="both"/>
        <w:ind w:right="260"/>
        <w:spacing w:after="0" w:line="261" w:lineRule="auto"/>
        <w:rPr>
          <w:sz w:val="20"/>
          <w:szCs w:val="20"/>
          <w:color w:val="auto"/>
        </w:rPr>
      </w:pPr>
      <w:r>
        <w:rPr>
          <w:rFonts w:ascii="Arial" w:cs="Arial" w:eastAsia="Arial" w:hAnsi="Arial"/>
          <w:sz w:val="18"/>
          <w:szCs w:val="18"/>
          <w:color w:val="auto"/>
        </w:rPr>
        <w:t>Furthermore, the $150 million term loan agreement was amended to, among other things, (1) decrease the applicable leverage-based and ratings-based pricing spreads effective as of March 1, 2018 and (2) include an accordion feature to allow the Company to increase the term loan from its current $150 million to up to $300 million, subject to certain conditions. The $150 million term loan is unsecured.</w:t>
      </w:r>
    </w:p>
    <w:p>
      <w:pPr>
        <w:spacing w:after="0" w:line="124" w:lineRule="exact"/>
        <w:rPr>
          <w:sz w:val="20"/>
          <w:szCs w:val="20"/>
          <w:color w:val="auto"/>
        </w:rPr>
      </w:pPr>
    </w:p>
    <w:p>
      <w:pPr>
        <w:jc w:val="both"/>
        <w:ind w:right="200"/>
        <w:spacing w:after="0" w:line="309" w:lineRule="auto"/>
        <w:rPr>
          <w:sz w:val="20"/>
          <w:szCs w:val="20"/>
          <w:color w:val="auto"/>
        </w:rPr>
      </w:pPr>
      <w:r>
        <w:rPr>
          <w:rFonts w:ascii="Arial" w:cs="Arial" w:eastAsia="Arial" w:hAnsi="Arial"/>
          <w:sz w:val="16"/>
          <w:szCs w:val="16"/>
          <w:color w:val="auto"/>
        </w:rPr>
        <w:t>Robert F. Barton, the Company’s Chief Financial Officer, stated “we are pleased to have reduced the spreads on our $350 million revolving line of credit and on our $150 million term loan and we believe, combined with the cash on our balance sheet, that the recast credit agreement and amended term loan agreement will continue to provide sufficient liquidity for growth in the coming years as we further transition our balance sheet to unsecured debt.”</w:t>
      </w:r>
    </w:p>
    <w:p>
      <w:pPr>
        <w:spacing w:after="0" w:line="89" w:lineRule="exact"/>
        <w:rPr>
          <w:sz w:val="20"/>
          <w:szCs w:val="20"/>
          <w:color w:val="auto"/>
        </w:rPr>
      </w:pPr>
    </w:p>
    <w:p>
      <w:pPr>
        <w:jc w:val="both"/>
        <w:ind w:right="180"/>
        <w:spacing w:after="0" w:line="276" w:lineRule="auto"/>
        <w:rPr>
          <w:sz w:val="20"/>
          <w:szCs w:val="20"/>
          <w:color w:val="auto"/>
        </w:rPr>
      </w:pPr>
      <w:r>
        <w:rPr>
          <w:rFonts w:ascii="Arial" w:cs="Arial" w:eastAsia="Arial" w:hAnsi="Arial"/>
          <w:sz w:val="18"/>
          <w:szCs w:val="18"/>
          <w:color w:val="auto"/>
        </w:rPr>
        <w:t>Additional information regarding the Second Amended and Restated Credit Agreement and Third Amendment to Term Loan Agreement can be found in the Company’s Form 8-K filed on January 9, 2018 with the Securities and Exchange Commission.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American Assets Trust, Inc.</w:t>
      </w:r>
    </w:p>
    <w:p>
      <w:pPr>
        <w:spacing w:after="0" w:line="17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American Assets Trust, Inc. is a full service, vertically integrated and self-administered real estate investment trust, or REIT, headquartered in San Diego, California. The Company has over 50 years of acquiring, improving, developing and managing premier retail, office and residential properties throughout the United States in some of the nation’s most dynamic, high-barrier-to-entry markets primarily in Southern California, Northern California, Oregon, Washington and Hawaii. The Company's retail portfolio comprises approximately 3.2 million rentable square feet, and its office portfolio comprises approximately 2.7 million square feet. In addition, the Company owns one mixed-use property (including approximately 97,000 rentable square feet of retail space and a 369-room all-suite hotel) and over 2,112 multifamily units. In 2011, the Company was formed to succeed to the real estate business of American Assets, Inc., a privately held corporation founded in 1967 and, as such, has significant experience, long-standing relationships and extensive knowledge of its core markets, submarkets and asset classes. For additional information, please visit www.americanassetstrust.com.</w:t>
      </w:r>
    </w:p>
    <w:p>
      <w:pPr>
        <w:sectPr>
          <w:pgSz w:w="11900" w:h="16838" w:orient="portrait"/>
          <w:cols w:equalWidth="0" w:num="1">
            <w:col w:w="11380"/>
          </w:cols>
          <w:pgMar w:left="240" w:top="1440" w:right="279" w:bottom="1440" w:gutter="0" w:footer="0" w:header="0"/>
        </w:sectPr>
      </w:pPr>
    </w:p>
    <w:bookmarkStart w:id="589" w:name="page590"/>
    <w:bookmarkEnd w:id="589"/>
    <w:p>
      <w:pPr>
        <w:spacing w:after="0"/>
        <w:rPr>
          <w:sz w:val="20"/>
          <w:szCs w:val="20"/>
          <w:color w:val="auto"/>
        </w:rPr>
      </w:pPr>
      <w:r>
        <w:rPr>
          <w:rFonts w:ascii="Arial" w:cs="Arial" w:eastAsia="Arial" w:hAnsi="Arial"/>
          <w:sz w:val="18"/>
          <w:szCs w:val="18"/>
          <w:b w:val="1"/>
          <w:bCs w:val="1"/>
          <w:color w:val="auto"/>
        </w:rPr>
        <w:t>Forward Looking Statements</w:t>
      </w:r>
    </w:p>
    <w:p>
      <w:pPr>
        <w:spacing w:after="0" w:line="17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press release may contain forward-looking statements within the meaning of the federal securities laws, which are based on current expectations, forecasts and assumptions that involve risks and uncertainties that could cause actual outcomes and results to differ materially.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While forward-looking statements reflect the Company's good faith beliefs, assumptions and expectations, they are not guarantees of future performance. For a further discussion of these and other factors that could cause the Company's future results to differ materially from any forward-looking statements, see the section entitled "Risk Factors" in the Company's annual report on Form 10-K filed on February 17, 2017 and other risks described in documents subsequently filed by the Company from time to time with the Securities and Exchange Commission. The Company disclaims any obligation to publicly update or revise any forward-looking statement to reflect changes in underlying assumptions or factors, of new information, data or methods, future events or other changes.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 American Assets Trust, Inc.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American Assets Trust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Robert F. Barton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858-350-2607</w:t>
      </w:r>
    </w:p>
    <w:sectPr>
      <w:pgSz w:w="11900" w:h="16838" w:orient="portrait"/>
      <w:cols w:equalWidth="0" w:num="1">
        <w:col w:w="11380"/>
      </w:cols>
      <w:pgMar w:left="240" w:top="54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C77402"/>
    <w:multiLevelType w:val="hybridMultilevel"/>
    <w:lvl w:ilvl="0">
      <w:lvlJc w:val="left"/>
      <w:lvlText w:val="o"/>
      <w:numFmt w:val="bullet"/>
      <w:start w:val="1"/>
    </w:lvl>
  </w:abstractNum>
  <w:abstractNum w:abstractNumId="1">
    <w:nsid w:val="2BB5B1C6"/>
    <w:multiLevelType w:val="hybridMultilevel"/>
    <w:lvl w:ilvl="0">
      <w:lvlJc w:val="left"/>
      <w:lvlText w:val="(%1)"/>
      <w:numFmt w:val="lowerLetter"/>
      <w:start w:val="1"/>
    </w:lvl>
  </w:abstractNum>
  <w:abstractNum w:abstractNumId="2">
    <w:nsid w:val="66BE6B9"/>
    <w:multiLevelType w:val="hybridMultilevel"/>
    <w:lvl w:ilvl="0">
      <w:lvlJc w:val="left"/>
      <w:lvlText w:val="(%1)"/>
      <w:numFmt w:val="lowerLetter"/>
      <w:start w:val="3"/>
    </w:lvl>
  </w:abstractNum>
  <w:abstractNum w:abstractNumId="3">
    <w:nsid w:val="62234363"/>
    <w:multiLevelType w:val="hybridMultilevel"/>
    <w:lvl w:ilvl="0">
      <w:lvlJc w:val="left"/>
      <w:lvlText w:val="(%1)"/>
      <w:numFmt w:val="lowerLetter"/>
      <w:start w:val="1"/>
    </w:lvl>
  </w:abstractNum>
  <w:abstractNum w:abstractNumId="4">
    <w:nsid w:val="66D385C9"/>
    <w:multiLevelType w:val="hybridMultilevel"/>
    <w:lvl w:ilvl="0">
      <w:lvlJc w:val="left"/>
      <w:lvlText w:val="(%1)"/>
      <w:numFmt w:val="lowerLetter"/>
      <w:start w:val="2"/>
    </w:lvl>
  </w:abstractNum>
  <w:abstractNum w:abstractNumId="5">
    <w:nsid w:val="596F6D8A"/>
    <w:multiLevelType w:val="hybridMultilevel"/>
    <w:lvl w:ilvl="0">
      <w:lvlJc w:val="left"/>
      <w:lvlText w:val="(%1)"/>
      <w:numFmt w:val="lowerRoman"/>
      <w:start w:val="2"/>
    </w:lvl>
  </w:abstractNum>
  <w:abstractNum w:abstractNumId="6">
    <w:nsid w:val="5749361F"/>
    <w:multiLevelType w:val="hybridMultilevel"/>
    <w:lvl w:ilvl="0">
      <w:lvlJc w:val="left"/>
      <w:lvlText w:val="(%1)"/>
      <w:numFmt w:val="lowerRoman"/>
      <w:start w:val="3"/>
    </w:lvl>
  </w:abstractNum>
  <w:abstractNum w:abstractNumId="7">
    <w:nsid w:val="73BC6770"/>
    <w:multiLevelType w:val="hybridMultilevel"/>
    <w:lvl w:ilvl="0">
      <w:lvlJc w:val="left"/>
      <w:lvlText w:val="(%1)"/>
      <w:numFmt w:val="lowerLetter"/>
      <w:start w:val="2"/>
    </w:lvl>
  </w:abstractNum>
  <w:abstractNum w:abstractNumId="8">
    <w:nsid w:val="280E6897"/>
    <w:multiLevelType w:val="hybridMultilevel"/>
    <w:lvl w:ilvl="0">
      <w:lvlJc w:val="left"/>
      <w:lvlText w:val="(%1)"/>
      <w:numFmt w:val="lowerLetter"/>
      <w:start w:val="3"/>
    </w:lvl>
  </w:abstractNum>
  <w:abstractNum w:abstractNumId="9">
    <w:nsid w:val="605138DE"/>
    <w:multiLevelType w:val="hybridMultilevel"/>
    <w:lvl w:ilvl="0">
      <w:lvlJc w:val="left"/>
      <w:lvlText w:val="(%1)"/>
      <w:numFmt w:val="lowerLetter"/>
      <w:start w:val="1"/>
    </w:lvl>
  </w:abstractNum>
  <w:abstractNum w:abstractNumId="10">
    <w:nsid w:val="2622AD0C"/>
    <w:multiLevelType w:val="hybridMultilevel"/>
    <w:lvl w:ilvl="0">
      <w:lvlJc w:val="left"/>
      <w:lvlText w:val="(%1)"/>
      <w:numFmt w:val="lowerLetter"/>
      <w:start w:val="2"/>
    </w:lvl>
  </w:abstractNum>
  <w:abstractNum w:abstractNumId="11">
    <w:nsid w:val="67997556"/>
    <w:multiLevelType w:val="hybridMultilevel"/>
    <w:lvl w:ilvl="0">
      <w:lvlJc w:val="left"/>
      <w:lvlText w:val="(%1)"/>
      <w:numFmt w:val="lowerRoman"/>
      <w:start w:val="1"/>
    </w:lvl>
  </w:abstractNum>
  <w:abstractNum w:abstractNumId="12">
    <w:nsid w:val="18333C89"/>
    <w:multiLevelType w:val="hybridMultilevel"/>
    <w:lvl w:ilvl="0">
      <w:lvlJc w:val="left"/>
      <w:lvlText w:val="(%1)"/>
      <w:numFmt w:val="lowerLetter"/>
      <w:start w:val="1"/>
    </w:lvl>
  </w:abstractNum>
  <w:abstractNum w:abstractNumId="13">
    <w:nsid w:val="4BA9831A"/>
    <w:multiLevelType w:val="hybridMultilevel"/>
    <w:lvl w:ilvl="0">
      <w:lvlJc w:val="left"/>
      <w:lvlText w:val="(%1)"/>
      <w:numFmt w:val="lowerLetter"/>
      <w:start w:val="3"/>
    </w:lvl>
  </w:abstractNum>
  <w:abstractNum w:abstractNumId="14">
    <w:nsid w:val="6D71A2B"/>
    <w:multiLevelType w:val="hybridMultilevel"/>
    <w:lvl w:ilvl="0">
      <w:lvlJc w:val="left"/>
      <w:lvlText w:val="(%1)"/>
      <w:numFmt w:val="lowerLetter"/>
      <w:start w:val="1"/>
    </w:lvl>
  </w:abstractNum>
  <w:abstractNum w:abstractNumId="15">
    <w:nsid w:val="CFC7321"/>
    <w:multiLevelType w:val="hybridMultilevel"/>
    <w:lvl w:ilvl="0">
      <w:lvlJc w:val="left"/>
      <w:lvlText w:val="(%1)"/>
      <w:numFmt w:val="lowerLetter"/>
      <w:start w:val="1"/>
    </w:lvl>
  </w:abstractNum>
  <w:abstractNum w:abstractNumId="16">
    <w:nsid w:val="1421971B"/>
    <w:multiLevelType w:val="hybridMultilevel"/>
    <w:lvl w:ilvl="0">
      <w:lvlJc w:val="left"/>
      <w:lvlText w:val="(%1)"/>
      <w:numFmt w:val="lowerLetter"/>
      <w:start w:val="2"/>
    </w:lvl>
  </w:abstractNum>
  <w:abstractNum w:abstractNumId="17">
    <w:nsid w:val="1F404301"/>
    <w:multiLevelType w:val="hybridMultilevel"/>
    <w:lvl w:ilvl="0">
      <w:lvlJc w:val="left"/>
      <w:lvlText w:val="(%1)"/>
      <w:numFmt w:val="lowerLetter"/>
      <w:start w:val="1"/>
    </w:lvl>
  </w:abstractNum>
  <w:abstractNum w:abstractNumId="18">
    <w:nsid w:val="116E0907"/>
    <w:multiLevelType w:val="hybridMultilevel"/>
    <w:lvl w:ilvl="0">
      <w:lvlJc w:val="left"/>
      <w:lvlText w:val="(%1)"/>
      <w:numFmt w:val="lowerLetter"/>
      <w:start w:val="2"/>
    </w:lvl>
  </w:abstractNum>
  <w:abstractNum w:abstractNumId="19">
    <w:nsid w:val="4B683D0D"/>
    <w:multiLevelType w:val="hybridMultilevel"/>
    <w:lvl w:ilvl="0">
      <w:lvlJc w:val="left"/>
      <w:lvlText w:val="(%1)"/>
      <w:numFmt w:val="lowerLetter"/>
      <w:start w:val="1"/>
    </w:lvl>
  </w:abstractNum>
  <w:abstractNum w:abstractNumId="20">
    <w:nsid w:val="76E41D8"/>
    <w:multiLevelType w:val="hybridMultilevel"/>
    <w:lvl w:ilvl="0">
      <w:lvlJc w:val="left"/>
      <w:lvlText w:val="(%1)"/>
      <w:numFmt w:val="lowerLetter"/>
      <w:start w:val="2"/>
    </w:lvl>
  </w:abstractNum>
  <w:abstractNum w:abstractNumId="21">
    <w:nsid w:val="71DCE0FD"/>
    <w:multiLevelType w:val="hybridMultilevel"/>
    <w:lvl w:ilvl="0">
      <w:lvlJc w:val="left"/>
      <w:lvlText w:val="(%1)"/>
      <w:numFmt w:val="lowerRoman"/>
      <w:start w:val="1"/>
    </w:lvl>
  </w:abstractNum>
  <w:abstractNum w:abstractNumId="22">
    <w:nsid w:val="7906328B"/>
    <w:multiLevelType w:val="hybridMultilevel"/>
    <w:lvl w:ilvl="0">
      <w:lvlJc w:val="left"/>
      <w:lvlText w:val="%1"/>
      <w:numFmt w:val="lowerLetter"/>
      <w:start w:val="1"/>
    </w:lvl>
    <w:lvl w:ilvl="1">
      <w:lvlJc w:val="left"/>
      <w:lvlText w:val="(%2)"/>
      <w:numFmt w:val="lowerLetter"/>
      <w:start w:val="1"/>
    </w:lvl>
  </w:abstractNum>
  <w:abstractNum w:abstractNumId="23">
    <w:nsid w:val="72BBC16"/>
    <w:multiLevelType w:val="hybridMultilevel"/>
    <w:lvl w:ilvl="0">
      <w:lvlJc w:val="left"/>
      <w:lvlText w:val="(%1)"/>
      <w:numFmt w:val="lowerLetter"/>
      <w:start w:val="2"/>
    </w:lvl>
    <w:lvl w:ilvl="1">
      <w:lvlJc w:val="left"/>
      <w:lvlText w:val="(%2)"/>
      <w:numFmt w:val="lowerLetter"/>
      <w:start w:val="3"/>
    </w:lvl>
  </w:abstractNum>
  <w:abstractNum w:abstractNumId="24">
    <w:nsid w:val="766D98C2"/>
    <w:multiLevelType w:val="hybridMultilevel"/>
    <w:lvl w:ilvl="0">
      <w:lvlJc w:val="left"/>
      <w:lvlText w:val="(%1)"/>
      <w:numFmt w:val="lowerLetter"/>
      <w:start w:val="1"/>
    </w:lvl>
  </w:abstractNum>
  <w:abstractNum w:abstractNumId="25">
    <w:nsid w:val="3C09D4A1"/>
    <w:multiLevelType w:val="hybridMultilevel"/>
    <w:lvl w:ilvl="0">
      <w:lvlJc w:val="left"/>
      <w:lvlText w:val="%1"/>
      <w:numFmt w:val="lowerLetter"/>
      <w:start w:val="1"/>
    </w:lvl>
    <w:lvl w:ilvl="1">
      <w:lvlJc w:val="left"/>
      <w:lvlText w:val="(%2)"/>
      <w:numFmt w:val="lowerLetter"/>
      <w:start w:val="4"/>
    </w:lvl>
  </w:abstractNum>
  <w:abstractNum w:abstractNumId="26">
    <w:nsid w:val="20E45CA4"/>
    <w:multiLevelType w:val="hybridMultilevel"/>
    <w:lvl w:ilvl="0">
      <w:lvlJc w:val="left"/>
      <w:lvlText w:val="(%1)"/>
      <w:numFmt w:val="lowerLetter"/>
      <w:start w:val="5"/>
    </w:lvl>
    <w:lvl w:ilvl="1">
      <w:lvlJc w:val="left"/>
      <w:lvlText w:val="(%2)"/>
      <w:numFmt w:val="lowerLetter"/>
      <w:start w:val="7"/>
    </w:lvl>
  </w:abstractNum>
  <w:abstractNum w:abstractNumId="27">
    <w:nsid w:val="4B232EE3"/>
    <w:multiLevelType w:val="hybridMultilevel"/>
    <w:lvl w:ilvl="0">
      <w:lvlJc w:val="left"/>
      <w:lvlText w:val="(%1)"/>
      <w:numFmt w:val="lowerLetter"/>
      <w:start w:val="2"/>
    </w:lvl>
  </w:abstractNum>
  <w:abstractNum w:abstractNumId="28">
    <w:nsid w:val="159C74CF"/>
    <w:multiLevelType w:val="hybridMultilevel"/>
    <w:lvl w:ilvl="0">
      <w:lvlJc w:val="left"/>
      <w:lvlText w:val="(%1)"/>
      <w:numFmt w:val="lowerLetter"/>
      <w:start w:val="1"/>
    </w:lvl>
  </w:abstractNum>
  <w:abstractNum w:abstractNumId="29">
    <w:nsid w:val="4AD3AFD2"/>
    <w:multiLevelType w:val="hybridMultilevel"/>
    <w:lvl w:ilvl="0">
      <w:lvlJc w:val="left"/>
      <w:lvlText w:val="(%1)"/>
      <w:numFmt w:val="lowerLetter"/>
      <w:start w:val="1"/>
    </w:lvl>
  </w:abstractNum>
  <w:abstractNum w:abstractNumId="30">
    <w:nsid w:val="3CF93092"/>
    <w:multiLevelType w:val="hybridMultilevel"/>
    <w:lvl w:ilvl="0">
      <w:lvlJc w:val="left"/>
      <w:lvlText w:val="(%1)"/>
      <w:numFmt w:val="lowerLetter"/>
      <w:start w:val="3"/>
    </w:lvl>
  </w:abstractNum>
  <w:abstractNum w:abstractNumId="31">
    <w:nsid w:val="6863E8D2"/>
    <w:multiLevelType w:val="hybridMultilevel"/>
    <w:lvl w:ilvl="0">
      <w:lvlJc w:val="left"/>
      <w:lvlText w:val="(%1)"/>
      <w:numFmt w:val="lowerLetter"/>
      <w:start w:val="2"/>
    </w:lvl>
  </w:abstractNum>
  <w:abstractNum w:abstractNumId="32">
    <w:nsid w:val="76896198"/>
    <w:multiLevelType w:val="hybridMultilevel"/>
    <w:lvl w:ilvl="0">
      <w:lvlJc w:val="left"/>
      <w:lvlText w:val="(%1)"/>
      <w:numFmt w:val="lowerLetter"/>
      <w:start w:val="1"/>
    </w:lvl>
  </w:abstractNum>
  <w:abstractNum w:abstractNumId="33">
    <w:nsid w:val="4365174B"/>
    <w:multiLevelType w:val="hybridMultilevel"/>
    <w:lvl w:ilvl="0">
      <w:lvlJc w:val="left"/>
      <w:lvlText w:val="%1"/>
      <w:numFmt w:val="lowerLetter"/>
      <w:start w:val="1"/>
    </w:lvl>
    <w:lvl w:ilvl="1">
      <w:lvlJc w:val="left"/>
      <w:lvlText w:val="(%2)"/>
      <w:numFmt w:val="lowerLetter"/>
      <w:start w:val="2"/>
    </w:lvl>
  </w:abstractNum>
  <w:abstractNum w:abstractNumId="34">
    <w:nsid w:val="4A872C35"/>
    <w:multiLevelType w:val="hybridMultilevel"/>
    <w:lvl w:ilvl="0">
      <w:lvlJc w:val="left"/>
      <w:lvlText w:val="(%1)"/>
      <w:numFmt w:val="lowerLetter"/>
      <w:start w:val="35"/>
    </w:lvl>
    <w:lvl w:ilvl="1">
      <w:lvlJc w:val="left"/>
      <w:lvlText w:val="(%2)"/>
      <w:numFmt w:val="lowerLetter"/>
      <w:start w:val="3"/>
    </w:lvl>
  </w:abstractNum>
  <w:abstractNum w:abstractNumId="35">
    <w:nsid w:val="5D5CE761"/>
    <w:multiLevelType w:val="hybridMultilevel"/>
    <w:lvl w:ilvl="0">
      <w:lvlJc w:val="left"/>
      <w:lvlText w:val="(%1)"/>
      <w:numFmt w:val="lowerLetter"/>
      <w:start w:val="4"/>
    </w:lvl>
  </w:abstractNum>
  <w:abstractNum w:abstractNumId="36">
    <w:nsid w:val="1CD484D5"/>
    <w:multiLevelType w:val="hybridMultilevel"/>
    <w:lvl w:ilvl="0">
      <w:lvlJc w:val="left"/>
      <w:lvlText w:val="(%1)"/>
      <w:numFmt w:val="lowerRoman"/>
      <w:start w:val="2"/>
    </w:lvl>
  </w:abstractNum>
  <w:abstractNum w:abstractNumId="37">
    <w:nsid w:val="21D06255"/>
    <w:multiLevelType w:val="hybridMultilevel"/>
    <w:lvl w:ilvl="0">
      <w:lvlJc w:val="left"/>
      <w:lvlText w:val="(%1)"/>
      <w:numFmt w:val="upperLetter"/>
      <w:start w:val="1"/>
    </w:lvl>
  </w:abstractNum>
  <w:abstractNum w:abstractNumId="38">
    <w:nsid w:val="51194ED1"/>
    <w:multiLevelType w:val="hybridMultilevel"/>
    <w:lvl w:ilvl="0">
      <w:lvlJc w:val="left"/>
      <w:lvlText w:val="%1"/>
      <w:numFmt w:val="lowerLetter"/>
      <w:start w:val="1"/>
    </w:lvl>
    <w:lvl w:ilvl="1">
      <w:lvlJc w:val="left"/>
      <w:lvlText w:val="(%2)"/>
      <w:numFmt w:val="lowerRoman"/>
      <w:start w:val="4"/>
    </w:lvl>
  </w:abstractNum>
  <w:abstractNum w:abstractNumId="39">
    <w:nsid w:val="44E2ED6C"/>
    <w:multiLevelType w:val="hybridMultilevel"/>
    <w:lvl w:ilvl="0">
      <w:lvlJc w:val="left"/>
      <w:lvlText w:val="(%1)"/>
      <w:numFmt w:val="lowerLetter"/>
      <w:start w:val="2"/>
    </w:lvl>
    <w:lvl w:ilvl="1">
      <w:lvlJc w:val="left"/>
      <w:lvlText w:val="(%2)"/>
      <w:numFmt w:val="lowerRoman"/>
      <w:start w:val="2"/>
    </w:lvl>
  </w:abstractNum>
  <w:abstractNum w:abstractNumId="40">
    <w:nsid w:val="2219B33"/>
    <w:multiLevelType w:val="hybridMultilevel"/>
    <w:lvl w:ilvl="0">
      <w:lvlJc w:val="left"/>
      <w:lvlText w:val="%1"/>
      <w:numFmt w:val="lowerLetter"/>
      <w:start w:val="1"/>
    </w:lvl>
    <w:lvl w:ilvl="1">
      <w:lvlJc w:val="left"/>
      <w:lvlText w:val="(%2)"/>
      <w:numFmt w:val="lowerRoman"/>
      <w:start w:val="3"/>
    </w:lvl>
  </w:abstractNum>
  <w:abstractNum w:abstractNumId="41">
    <w:nsid w:val="773BFBDD"/>
    <w:multiLevelType w:val="hybridMultilevel"/>
    <w:lvl w:ilvl="0">
      <w:lvlJc w:val="left"/>
      <w:lvlText w:val="(%1)"/>
      <w:numFmt w:val="lowerLetter"/>
      <w:start w:val="3"/>
    </w:lvl>
    <w:lvl w:ilvl="1">
      <w:lvlJc w:val="left"/>
      <w:lvlText w:val="%2"/>
      <w:numFmt w:val="lowerRoman"/>
      <w:start w:val="1"/>
    </w:lvl>
  </w:abstractNum>
  <w:abstractNum w:abstractNumId="42">
    <w:nsid w:val="2C7C62C2"/>
    <w:multiLevelType w:val="hybridMultilevel"/>
    <w:lvl w:ilvl="0">
      <w:lvlJc w:val="left"/>
      <w:lvlText w:val="(%1)"/>
      <w:numFmt w:val="lowerRoman"/>
      <w:start w:val="2"/>
    </w:lvl>
  </w:abstractNum>
  <w:abstractNum w:abstractNumId="43">
    <w:nsid w:val="1A54D7BC"/>
    <w:multiLevelType w:val="hybridMultilevel"/>
    <w:lvl w:ilvl="0">
      <w:lvlJc w:val="left"/>
      <w:lvlText w:val="%1"/>
      <w:numFmt w:val="lowerLetter"/>
      <w:start w:val="1"/>
    </w:lvl>
    <w:lvl w:ilvl="1">
      <w:lvlJc w:val="left"/>
      <w:lvlText w:val="(%2)"/>
      <w:numFmt w:val="lowerRoman"/>
      <w:start w:val="6"/>
    </w:lvl>
    <w:lvl w:ilvl="2">
      <w:lvlJc w:val="left"/>
      <w:lvlText w:val="%3"/>
      <w:numFmt w:val="lowerRoman"/>
      <w:start w:val="1"/>
    </w:lvl>
  </w:abstractNum>
  <w:abstractNum w:abstractNumId="44">
    <w:nsid w:val="42E57EF7"/>
    <w:multiLevelType w:val="hybridMultilevel"/>
    <w:lvl w:ilvl="0">
      <w:lvlJc w:val="left"/>
      <w:lvlText w:val="(%1)"/>
      <w:numFmt w:val="lowerLetter"/>
      <w:start w:val="4"/>
    </w:lvl>
    <w:lvl w:ilvl="1">
      <w:lvlJc w:val="left"/>
      <w:lvlText w:val="(%2)"/>
      <w:numFmt w:val="lowerRoman"/>
      <w:start w:val="2"/>
    </w:lvl>
    <w:lvl w:ilvl="2">
      <w:lvlJc w:val="left"/>
      <w:lvlText w:val="(%3)"/>
      <w:numFmt w:val="lowerRoman"/>
      <w:start w:val="1"/>
    </w:lvl>
  </w:abstractNum>
  <w:abstractNum w:abstractNumId="45">
    <w:nsid w:val="33537CED"/>
    <w:multiLevelType w:val="hybridMultilevel"/>
    <w:lvl w:ilvl="0">
      <w:lvlJc w:val="left"/>
      <w:lvlText w:val="(%1)"/>
      <w:numFmt w:val="lowerRoman"/>
      <w:start w:val="3"/>
    </w:lvl>
  </w:abstractNum>
  <w:abstractNum w:abstractNumId="46">
    <w:nsid w:val="27514ADE"/>
    <w:multiLevelType w:val="hybridMultilevel"/>
    <w:lvl w:ilvl="0">
      <w:lvlJc w:val="left"/>
      <w:lvlText w:val="(%1)"/>
      <w:numFmt w:val="lowerLetter"/>
      <w:start w:val="6"/>
    </w:lvl>
  </w:abstractNum>
  <w:abstractNum w:abstractNumId="47">
    <w:nsid w:val="57071613"/>
    <w:multiLevelType w:val="hybridMultilevel"/>
    <w:lvl w:ilvl="0">
      <w:lvlJc w:val="left"/>
      <w:lvlText w:val="(%1)"/>
      <w:numFmt w:val="lowerLetter"/>
      <w:start w:val="7"/>
    </w:lvl>
  </w:abstractNum>
  <w:abstractNum w:abstractNumId="48">
    <w:nsid w:val="5293BFEF"/>
    <w:multiLevelType w:val="hybridMultilevel"/>
    <w:lvl w:ilvl="0">
      <w:lvlJc w:val="left"/>
      <w:lvlText w:val="(%1)"/>
      <w:numFmt w:val="lowerLetter"/>
      <w:start w:val="9"/>
    </w:lvl>
    <w:lvl w:ilvl="1">
      <w:lvlJc w:val="left"/>
      <w:lvlText w:val="(%2)"/>
      <w:numFmt w:val="lowerRoman"/>
      <w:start w:val="1"/>
    </w:lvl>
  </w:abstractNum>
  <w:abstractNum w:abstractNumId="49">
    <w:nsid w:val="38BF53E5"/>
    <w:multiLevelType w:val="hybridMultilevel"/>
    <w:lvl w:ilvl="0">
      <w:lvlJc w:val="left"/>
      <w:lvlText w:val="%1"/>
      <w:numFmt w:val="decimal"/>
      <w:start w:val="1"/>
    </w:lvl>
    <w:lvl w:ilvl="1">
      <w:lvlJc w:val="left"/>
      <w:lvlText w:val="(%2)"/>
      <w:numFmt w:val="lowerRoman"/>
      <w:start w:val="4"/>
    </w:lvl>
  </w:abstractNum>
  <w:abstractNum w:abstractNumId="50">
    <w:nsid w:val="226F5320"/>
    <w:multiLevelType w:val="hybridMultilevel"/>
    <w:lvl w:ilvl="0">
      <w:lvlJc w:val="left"/>
      <w:lvlText w:val="(%1)"/>
      <w:numFmt w:val="decimal"/>
      <w:start w:val="2"/>
    </w:lvl>
    <w:lvl w:ilvl="1">
      <w:lvlJc w:val="left"/>
      <w:lvlText w:val="%2"/>
      <w:numFmt w:val="lowerRoman"/>
      <w:start w:val="1"/>
    </w:lvl>
  </w:abstractNum>
  <w:abstractNum w:abstractNumId="51">
    <w:nsid w:val="5A0201C7"/>
    <w:multiLevelType w:val="hybridMultilevel"/>
    <w:lvl w:ilvl="0">
      <w:lvlJc w:val="left"/>
      <w:lvlText w:val="%1"/>
      <w:numFmt w:val="lowerLetter"/>
      <w:start w:val="1"/>
    </w:lvl>
    <w:lvl w:ilvl="1">
      <w:lvlJc w:val="left"/>
      <w:lvlText w:val="(%2)"/>
      <w:numFmt w:val="lowerLetter"/>
      <w:start w:val="1"/>
    </w:lvl>
  </w:abstractNum>
  <w:abstractNum w:abstractNumId="52">
    <w:nsid w:val="2A9C34E2"/>
    <w:multiLevelType w:val="hybridMultilevel"/>
    <w:lvl w:ilvl="0">
      <w:lvlJc w:val="left"/>
      <w:lvlText w:val="(%1)"/>
      <w:numFmt w:val="lowerLetter"/>
      <w:start w:val="25"/>
    </w:lvl>
    <w:lvl w:ilvl="1">
      <w:lvlJc w:val="left"/>
      <w:lvlText w:val="(%2)"/>
      <w:numFmt w:val="lowerLetter"/>
      <w:start w:val="2"/>
    </w:lvl>
  </w:abstractNum>
  <w:abstractNum w:abstractNumId="53">
    <w:nsid w:val="1B7585AB"/>
    <w:multiLevelType w:val="hybridMultilevel"/>
    <w:lvl w:ilvl="0">
      <w:lvlJc w:val="left"/>
      <w:lvlText w:val="(%1)"/>
      <w:numFmt w:val="lowerLetter"/>
      <w:start w:val="3"/>
    </w:lvl>
    <w:lvl w:ilvl="1">
      <w:lvlJc w:val="left"/>
      <w:lvlText w:val="(%2)"/>
      <w:numFmt w:val="lowerRoman"/>
      <w:start w:val="2"/>
    </w:lvl>
  </w:abstractNum>
  <w:abstractNum w:abstractNumId="54">
    <w:nsid w:val="612DBDDD"/>
    <w:multiLevelType w:val="hybridMultilevel"/>
    <w:lvl w:ilvl="0">
      <w:lvlJc w:val="left"/>
      <w:lvlText w:val="(%1)"/>
      <w:numFmt w:val="upperLetter"/>
      <w:start w:val="2"/>
    </w:lvl>
    <w:lvl w:ilvl="1">
      <w:lvlJc w:val="left"/>
      <w:lvlText w:val="(%2)"/>
      <w:numFmt w:val="lowerLetter"/>
      <w:start w:val="4"/>
    </w:lvl>
    <w:lvl w:ilvl="2">
      <w:lvlJc w:val="left"/>
      <w:lvlText w:val="(%3)"/>
      <w:numFmt w:val="lowerLetter"/>
      <w:start w:val="35"/>
    </w:lvl>
  </w:abstractNum>
  <w:abstractNum w:abstractNumId="55">
    <w:nsid w:val="2109CDA4"/>
    <w:multiLevelType w:val="hybridMultilevel"/>
    <w:lvl w:ilvl="0">
      <w:lvlJc w:val="left"/>
      <w:lvlText w:val="(%1)"/>
      <w:numFmt w:val="lowerLetter"/>
      <w:start w:val="1"/>
    </w:lvl>
  </w:abstractNum>
  <w:abstractNum w:abstractNumId="56">
    <w:nsid w:val="577F5A4D"/>
    <w:multiLevelType w:val="hybridMultilevel"/>
    <w:lvl w:ilvl="0">
      <w:lvlJc w:val="left"/>
      <w:lvlText w:val="%1"/>
      <w:numFmt w:val="lowerLetter"/>
      <w:start w:val="1"/>
    </w:lvl>
    <w:lvl w:ilvl="1">
      <w:lvlJc w:val="left"/>
      <w:lvlText w:val="(%2)"/>
      <w:numFmt w:val="lowerLetter"/>
      <w:start w:val="35"/>
    </w:lvl>
  </w:abstractNum>
  <w:abstractNum w:abstractNumId="57">
    <w:nsid w:val="2121A81"/>
    <w:multiLevelType w:val="hybridMultilevel"/>
    <w:lvl w:ilvl="0">
      <w:lvlJc w:val="left"/>
      <w:lvlText w:val="(%1)"/>
      <w:numFmt w:val="lowerLetter"/>
      <w:start w:val="2"/>
    </w:lvl>
    <w:lvl w:ilvl="1">
      <w:lvlJc w:val="left"/>
      <w:lvlText w:val="(%2)"/>
      <w:numFmt w:val="lowerLetter"/>
      <w:start w:val="35"/>
    </w:lvl>
  </w:abstractNum>
  <w:abstractNum w:abstractNumId="58">
    <w:nsid w:val="6C2CFC88"/>
    <w:multiLevelType w:val="hybridMultilevel"/>
    <w:lvl w:ilvl="0">
      <w:lvlJc w:val="left"/>
      <w:lvlText w:val="(%1)"/>
      <w:numFmt w:val="lowerLetter"/>
      <w:start w:val="1"/>
    </w:lvl>
  </w:abstractNum>
  <w:abstractNum w:abstractNumId="59">
    <w:nsid w:val="6D1BCF1C"/>
    <w:multiLevelType w:val="hybridMultilevel"/>
    <w:lvl w:ilvl="0">
      <w:lvlJc w:val="left"/>
      <w:lvlText w:val="(%1)"/>
      <w:numFmt w:val="lowerLetter"/>
      <w:start w:val="2"/>
    </w:lvl>
  </w:abstractNum>
  <w:abstractNum w:abstractNumId="60">
    <w:nsid w:val="4CE5CA53"/>
    <w:multiLevelType w:val="hybridMultilevel"/>
    <w:lvl w:ilvl="0">
      <w:lvlJc w:val="left"/>
      <w:lvlText w:val="(%1)"/>
      <w:numFmt w:val="lowerLetter"/>
      <w:start w:val="1"/>
    </w:lvl>
  </w:abstractNum>
  <w:abstractNum w:abstractNumId="61">
    <w:nsid w:val="29262D1A"/>
    <w:multiLevelType w:val="hybridMultilevel"/>
    <w:lvl w:ilvl="0">
      <w:lvlJc w:val="left"/>
      <w:lvlText w:val="(%1)"/>
      <w:numFmt w:val="lowerLetter"/>
      <w:start w:val="1"/>
    </w:lvl>
  </w:abstractNum>
  <w:abstractNum w:abstractNumId="62">
    <w:nsid w:val="557FB7EE"/>
    <w:multiLevelType w:val="hybridMultilevel"/>
    <w:lvl w:ilvl="0">
      <w:lvlJc w:val="left"/>
      <w:lvlText w:val="(%1)"/>
      <w:numFmt w:val="lowerLetter"/>
      <w:start w:val="2"/>
    </w:lvl>
    <w:lvl w:ilvl="1">
      <w:lvlJc w:val="left"/>
      <w:lvlText w:val="(%2)"/>
      <w:numFmt w:val="lowerLetter"/>
      <w:start w:val="35"/>
    </w:lvl>
  </w:abstractNum>
  <w:abstractNum w:abstractNumId="63">
    <w:nsid w:val="436F2BEB"/>
    <w:multiLevelType w:val="hybridMultilevel"/>
    <w:lvl w:ilvl="0">
      <w:lvlJc w:val="left"/>
      <w:lvlText w:val="(%1)"/>
      <w:numFmt w:val="lowerLetter"/>
      <w:start w:val="1"/>
    </w:lvl>
    <w:lvl w:ilvl="1">
      <w:lvlJc w:val="left"/>
      <w:lvlText w:val="(%2)"/>
      <w:numFmt w:val="lowerLetter"/>
      <w:start w:val="35"/>
    </w:lvl>
  </w:abstractNum>
  <w:abstractNum w:abstractNumId="64">
    <w:nsid w:val="6C8B4466"/>
    <w:multiLevelType w:val="hybridMultilevel"/>
    <w:lvl w:ilvl="0">
      <w:lvlJc w:val="left"/>
      <w:lvlText w:val="(%1)"/>
      <w:numFmt w:val="lowerLetter"/>
      <w:start w:val="1"/>
    </w:lvl>
  </w:abstractNum>
  <w:abstractNum w:abstractNumId="65">
    <w:nsid w:val="2006E424"/>
    <w:multiLevelType w:val="hybridMultilevel"/>
    <w:lvl w:ilvl="0">
      <w:lvlJc w:val="left"/>
      <w:lvlText w:val="(%1)"/>
      <w:numFmt w:val="lowerLetter"/>
      <w:start w:val="1"/>
    </w:lvl>
  </w:abstractNum>
  <w:abstractNum w:abstractNumId="66">
    <w:nsid w:val="20CC134C"/>
    <w:multiLevelType w:val="hybridMultilevel"/>
    <w:lvl w:ilvl="0">
      <w:lvlJc w:val="left"/>
      <w:lvlText w:val="(%1)"/>
      <w:numFmt w:val="lowerLetter"/>
      <w:start w:val="2"/>
    </w:lvl>
  </w:abstractNum>
  <w:abstractNum w:abstractNumId="67">
    <w:nsid w:val="95FC93B"/>
    <w:multiLevelType w:val="hybridMultilevel"/>
    <w:lvl w:ilvl="0">
      <w:lvlJc w:val="left"/>
      <w:lvlText w:val="(%1)"/>
      <w:numFmt w:val="lowerLetter"/>
      <w:start w:val="1"/>
    </w:lvl>
    <w:lvl w:ilvl="1">
      <w:lvlJc w:val="left"/>
      <w:lvlText w:val="(%2)"/>
      <w:numFmt w:val="lowerLetter"/>
      <w:start w:val="35"/>
    </w:lvl>
  </w:abstractNum>
  <w:abstractNum w:abstractNumId="68">
    <w:nsid w:val="41D74679"/>
    <w:multiLevelType w:val="hybridMultilevel"/>
    <w:lvl w:ilvl="0">
      <w:lvlJc w:val="left"/>
      <w:lvlText w:val="(%1)"/>
      <w:numFmt w:val="lowerLetter"/>
      <w:start w:val="3"/>
    </w:lvl>
  </w:abstractNum>
  <w:abstractNum w:abstractNumId="69">
    <w:nsid w:val="71E5621E"/>
    <w:multiLevelType w:val="hybridMultilevel"/>
    <w:lvl w:ilvl="0">
      <w:lvlJc w:val="left"/>
      <w:lvlText w:val="(%1)"/>
      <w:numFmt w:val="lowerRoman"/>
      <w:start w:val="1"/>
    </w:lvl>
  </w:abstractNum>
  <w:abstractNum w:abstractNumId="70">
    <w:nsid w:val="4E42B6A8"/>
    <w:multiLevelType w:val="hybridMultilevel"/>
    <w:lvl w:ilvl="0">
      <w:lvlJc w:val="left"/>
      <w:lvlText w:val="(%1)"/>
      <w:numFmt w:val="lowerLetter"/>
      <w:start w:val="1"/>
    </w:lvl>
  </w:abstractNum>
  <w:abstractNum w:abstractNumId="71">
    <w:nsid w:val="43F8E1AC"/>
    <w:multiLevelType w:val="hybridMultilevel"/>
    <w:lvl w:ilvl="0">
      <w:lvlJc w:val="left"/>
      <w:lvlText w:val="(%1)"/>
      <w:numFmt w:val="lowerRoman"/>
      <w:start w:val="1"/>
    </w:lvl>
  </w:abstractNum>
  <w:abstractNum w:abstractNumId="72">
    <w:nsid w:val="69215DFB"/>
    <w:multiLevelType w:val="hybridMultilevel"/>
    <w:lvl w:ilvl="0">
      <w:lvlJc w:val="left"/>
      <w:lvlText w:val="%1"/>
      <w:numFmt w:val="lowerLetter"/>
      <w:start w:val="1"/>
    </w:lvl>
    <w:lvl w:ilvl="1">
      <w:lvlJc w:val="left"/>
      <w:lvlText w:val="(%2)"/>
      <w:numFmt w:val="lowerRoman"/>
      <w:start w:val="2"/>
    </w:lvl>
  </w:abstractNum>
  <w:abstractNum w:abstractNumId="73">
    <w:nsid w:val="7ABF196A"/>
    <w:multiLevelType w:val="hybridMultilevel"/>
    <w:lvl w:ilvl="0">
      <w:lvlJc w:val="left"/>
      <w:lvlText w:val="(%1)"/>
      <w:numFmt w:val="lowerLetter"/>
      <w:start w:val="3"/>
    </w:lvl>
    <w:lvl w:ilvl="1">
      <w:lvlJc w:val="left"/>
      <w:lvlText w:val="%2"/>
      <w:numFmt w:val="lowerRoman"/>
      <w:start w:val="1"/>
    </w:lvl>
  </w:abstractNum>
  <w:abstractNum w:abstractNumId="74">
    <w:nsid w:val="5E4DB968"/>
    <w:multiLevelType w:val="hybridMultilevel"/>
    <w:lvl w:ilvl="0">
      <w:lvlJc w:val="left"/>
      <w:lvlText w:val="(%1)"/>
      <w:numFmt w:val="lowerLetter"/>
      <w:start w:val="4"/>
    </w:lvl>
  </w:abstractNum>
  <w:abstractNum w:abstractNumId="75">
    <w:nsid w:val="2C06DCF3"/>
    <w:multiLevelType w:val="hybridMultilevel"/>
    <w:lvl w:ilvl="0">
      <w:lvlJc w:val="left"/>
      <w:lvlText w:val="%1"/>
      <w:numFmt w:val="lowerLetter"/>
      <w:start w:val="1"/>
    </w:lvl>
    <w:lvl w:ilvl="1">
      <w:lvlJc w:val="left"/>
      <w:lvlText w:val="(%2)"/>
      <w:numFmt w:val="lowerLetter"/>
      <w:start w:val="1"/>
    </w:lvl>
  </w:abstractNum>
  <w:abstractNum w:abstractNumId="76">
    <w:nsid w:val="2E129658"/>
    <w:multiLevelType w:val="hybridMultilevel"/>
    <w:lvl w:ilvl="0">
      <w:lvlJc w:val="left"/>
      <w:lvlText w:val="(%1)"/>
      <w:numFmt w:val="lowerLetter"/>
      <w:start w:val="9"/>
    </w:lvl>
    <w:lvl w:ilvl="1">
      <w:lvlJc w:val="left"/>
      <w:lvlText w:val="%2"/>
      <w:numFmt w:val="lowerLetter"/>
      <w:start w:val="1"/>
    </w:lvl>
  </w:abstractNum>
  <w:abstractNum w:abstractNumId="77">
    <w:nsid w:val="59F0446"/>
    <w:multiLevelType w:val="hybridMultilevel"/>
    <w:lvl w:ilvl="0">
      <w:lvlJc w:val="left"/>
      <w:lvlText w:val="(%1)"/>
      <w:numFmt w:val="lowerLetter"/>
      <w:start w:val="2"/>
    </w:lvl>
  </w:abstractNum>
  <w:abstractNum w:abstractNumId="78">
    <w:nsid w:val="30DF306"/>
    <w:multiLevelType w:val="hybridMultilevel"/>
    <w:lvl w:ilvl="0">
      <w:lvlJc w:val="left"/>
      <w:lvlText w:val="%1"/>
      <w:numFmt w:val="lowerLetter"/>
      <w:start w:val="1"/>
    </w:lvl>
    <w:lvl w:ilvl="1">
      <w:lvlJc w:val="left"/>
      <w:lvlText w:val="(%2)"/>
      <w:numFmt w:val="lowerLetter"/>
      <w:start w:val="5"/>
    </w:lvl>
  </w:abstractNum>
  <w:abstractNum w:abstractNumId="79">
    <w:nsid w:val="A65647"/>
    <w:multiLevelType w:val="hybridMultilevel"/>
    <w:lvl w:ilvl="0">
      <w:lvlJc w:val="left"/>
      <w:lvlText w:val="(%1)"/>
      <w:numFmt w:val="lowerLetter"/>
      <w:start w:val="4"/>
    </w:lvl>
    <w:lvl w:ilvl="1">
      <w:lvlJc w:val="left"/>
      <w:lvlText w:val="(%2)"/>
      <w:numFmt w:val="lowerLetter"/>
      <w:start w:val="6"/>
    </w:lvl>
  </w:abstractNum>
  <w:abstractNum w:abstractNumId="80">
    <w:nsid w:val="3E5E582B"/>
    <w:multiLevelType w:val="hybridMultilevel"/>
    <w:lvl w:ilvl="0">
      <w:lvlJc w:val="left"/>
      <w:lvlText w:val="(%1)"/>
      <w:numFmt w:val="lowerLetter"/>
      <w:start w:val="1"/>
    </w:lvl>
  </w:abstractNum>
  <w:abstractNum w:abstractNumId="81">
    <w:nsid w:val="257D4626"/>
    <w:multiLevelType w:val="hybridMultilevel"/>
    <w:lvl w:ilvl="0">
      <w:lvlJc w:val="left"/>
      <w:lvlText w:val="%1"/>
      <w:numFmt w:val="lowerLetter"/>
      <w:start w:val="1"/>
    </w:lvl>
    <w:lvl w:ilvl="1">
      <w:lvlJc w:val="left"/>
      <w:lvlText w:val="(%2)"/>
      <w:numFmt w:val="lowerLetter"/>
      <w:start w:val="2"/>
    </w:lvl>
  </w:abstractNum>
  <w:abstractNum w:abstractNumId="82">
    <w:nsid w:val="5AA8580E"/>
    <w:multiLevelType w:val="hybridMultilevel"/>
    <w:lvl w:ilvl="0">
      <w:lvlJc w:val="left"/>
      <w:lvlText w:val="(%1)"/>
      <w:numFmt w:val="lowerLetter"/>
      <w:start w:val="24"/>
    </w:lvl>
    <w:lvl w:ilvl="1">
      <w:lvlJc w:val="left"/>
      <w:lvlText w:val="%2"/>
      <w:numFmt w:val="lowerLetter"/>
      <w:start w:val="1"/>
    </w:lvl>
  </w:abstractNum>
  <w:abstractNum w:abstractNumId="83">
    <w:nsid w:val="68FA8D0D"/>
    <w:multiLevelType w:val="hybridMultilevel"/>
    <w:lvl w:ilvl="0">
      <w:lvlJc w:val="left"/>
      <w:lvlText w:val="(%1)"/>
      <w:numFmt w:val="lowerLetter"/>
      <w:start w:val="1"/>
    </w:lvl>
  </w:abstractNum>
  <w:abstractNum w:abstractNumId="84">
    <w:nsid w:val="40F2CBD2"/>
    <w:multiLevelType w:val="hybridMultilevel"/>
    <w:lvl w:ilvl="0">
      <w:lvlJc w:val="left"/>
      <w:lvlText w:val="(%1)"/>
      <w:numFmt w:val="lowerRoman"/>
      <w:start w:val="1"/>
    </w:lvl>
  </w:abstractNum>
  <w:abstractNum w:abstractNumId="85">
    <w:nsid w:val="3BD615EB"/>
    <w:multiLevelType w:val="hybridMultilevel"/>
    <w:lvl w:ilvl="0">
      <w:lvlJc w:val="left"/>
      <w:lvlText w:val="(%1)"/>
      <w:numFmt w:val="upperLetter"/>
      <w:start w:val="1"/>
    </w:lvl>
  </w:abstractNum>
  <w:abstractNum w:abstractNumId="86">
    <w:nsid w:val="A045AB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87">
    <w:nsid w:val="1872261F"/>
    <w:multiLevelType w:val="hybridMultilevel"/>
    <w:lvl w:ilvl="0">
      <w:lvlJc w:val="left"/>
      <w:lvlText w:val="%1"/>
      <w:numFmt w:val="lowerLetter"/>
      <w:start w:val="1"/>
    </w:lvl>
    <w:lvl w:ilvl="1">
      <w:lvlJc w:val="left"/>
      <w:lvlText w:val="(%2)"/>
      <w:numFmt w:val="lowerLetter"/>
      <w:start w:val="25"/>
    </w:lvl>
    <w:lvl w:ilvl="2">
      <w:lvlJc w:val="left"/>
      <w:lvlText w:val="(%3)"/>
      <w:numFmt w:val="lowerRoman"/>
      <w:start w:val="4"/>
    </w:lvl>
    <w:lvl w:ilvl="3">
      <w:lvlJc w:val="left"/>
      <w:lvlText w:val="%4"/>
      <w:numFmt w:val="upperLetter"/>
      <w:start w:val="1"/>
    </w:lvl>
  </w:abstractNum>
  <w:abstractNum w:abstractNumId="88">
    <w:nsid w:val="3DE8306C"/>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89">
    <w:nsid w:val="7631573A"/>
    <w:multiLevelType w:val="hybridMultilevel"/>
    <w:lvl w:ilvl="0">
      <w:lvlJc w:val="left"/>
      <w:lvlText w:val="(%1)"/>
      <w:numFmt w:val="lowerLetter"/>
      <w:start w:val="1"/>
    </w:lvl>
    <w:lvl w:ilvl="1">
      <w:lvlJc w:val="left"/>
      <w:lvlText w:val="(%2)"/>
      <w:numFmt w:val="lowerLetter"/>
      <w:start w:val="35"/>
    </w:lvl>
  </w:abstractNum>
  <w:abstractNum w:abstractNumId="90">
    <w:nsid w:val="58DF53B"/>
    <w:multiLevelType w:val="hybridMultilevel"/>
    <w:lvl w:ilvl="0">
      <w:lvlJc w:val="left"/>
      <w:lvlText w:val="%1"/>
      <w:numFmt w:val="lowerLetter"/>
      <w:start w:val="1"/>
    </w:lvl>
    <w:lvl w:ilvl="1">
      <w:lvlJc w:val="left"/>
      <w:lvlText w:val="(%2)"/>
      <w:numFmt w:val="lowerLetter"/>
      <w:start w:val="35"/>
    </w:lvl>
  </w:abstractNum>
  <w:abstractNum w:abstractNumId="91">
    <w:nsid w:val="ACDFAC0"/>
    <w:multiLevelType w:val="hybridMultilevel"/>
    <w:lvl w:ilvl="0">
      <w:lvlJc w:val="left"/>
      <w:lvlText w:val="(%1)"/>
      <w:numFmt w:val="lowerLetter"/>
      <w:start w:val="4"/>
    </w:lvl>
    <w:lvl w:ilvl="1">
      <w:lvlJc w:val="left"/>
      <w:lvlText w:val="(%2)"/>
      <w:numFmt w:val="lowerLetter"/>
      <w:start w:val="9"/>
    </w:lvl>
  </w:abstractNum>
  <w:abstractNum w:abstractNumId="92">
    <w:nsid w:val="1F578454"/>
    <w:multiLevelType w:val="hybridMultilevel"/>
    <w:lvl w:ilvl="0">
      <w:lvlJc w:val="left"/>
      <w:lvlText w:val="(%1)"/>
      <w:numFmt w:val="lowerRoman"/>
      <w:start w:val="2"/>
    </w:lvl>
  </w:abstractNum>
  <w:abstractNum w:abstractNumId="93">
    <w:nsid w:val="5B0DAD2A"/>
    <w:multiLevelType w:val="hybridMultilevel"/>
    <w:lvl w:ilvl="0">
      <w:lvlJc w:val="left"/>
      <w:lvlText w:val="(%1)"/>
      <w:numFmt w:val="upperLetter"/>
      <w:start w:val="1"/>
    </w:lvl>
  </w:abstractNum>
  <w:abstractNum w:abstractNumId="94">
    <w:nsid w:val="4E3D26AB"/>
    <w:multiLevelType w:val="hybridMultilevel"/>
    <w:lvl w:ilvl="0">
      <w:lvlJc w:val="left"/>
      <w:lvlText w:val="(%1)"/>
      <w:numFmt w:val="upperLetter"/>
      <w:start w:val="2"/>
    </w:lvl>
    <w:lvl w:ilvl="1">
      <w:lvlJc w:val="left"/>
      <w:lvlText w:val="(%2)"/>
      <w:numFmt w:val="upperLetter"/>
      <w:start w:val="9"/>
    </w:lvl>
  </w:abstractNum>
  <w:abstractNum w:abstractNumId="95">
    <w:nsid w:val="BE2C8BA"/>
    <w:multiLevelType w:val="hybridMultilevel"/>
    <w:lvl w:ilvl="0">
      <w:lvlJc w:val="left"/>
      <w:lvlText w:val="(%1)"/>
      <w:numFmt w:val="upperLetter"/>
      <w:start w:val="35"/>
    </w:lvl>
  </w:abstractNum>
  <w:abstractNum w:abstractNumId="96">
    <w:nsid w:val="7B14914E"/>
    <w:multiLevelType w:val="hybridMultilevel"/>
    <w:lvl w:ilvl="0">
      <w:lvlJc w:val="left"/>
      <w:lvlText w:val="(%1)"/>
      <w:numFmt w:val="upperLetter"/>
      <w:start w:val="61"/>
    </w:lvl>
  </w:abstractNum>
  <w:abstractNum w:abstractNumId="97">
    <w:nsid w:val="6F0939F8"/>
    <w:multiLevelType w:val="hybridMultilevel"/>
    <w:lvl w:ilvl="0">
      <w:lvlJc w:val="left"/>
      <w:lvlText w:val="(%1)"/>
      <w:numFmt w:val="upperLetter"/>
      <w:start w:val="3"/>
    </w:lvl>
  </w:abstractNum>
  <w:abstractNum w:abstractNumId="98">
    <w:nsid w:val="154291F6"/>
    <w:multiLevelType w:val="hybridMultilevel"/>
    <w:lvl w:ilvl="0">
      <w:lvlJc w:val="left"/>
      <w:lvlText w:val="(%1)"/>
      <w:numFmt w:val="upperLetter"/>
      <w:start w:val="4"/>
    </w:lvl>
  </w:abstractNum>
  <w:abstractNum w:abstractNumId="99">
    <w:nsid w:val="3CEBD7C7"/>
    <w:multiLevelType w:val="hybridMultilevel"/>
    <w:lvl w:ilvl="0">
      <w:lvlJc w:val="left"/>
      <w:lvlText w:val="%1"/>
      <w:numFmt w:val="lowerLetter"/>
      <w:start w:val="1"/>
    </w:lvl>
    <w:lvl w:ilvl="1">
      <w:lvlJc w:val="left"/>
      <w:lvlText w:val="(%2)"/>
      <w:numFmt w:val="lowerRoman"/>
      <w:start w:val="3"/>
    </w:lvl>
  </w:abstractNum>
  <w:abstractNum w:abstractNumId="100">
    <w:nsid w:val="60EE9C16"/>
    <w:multiLevelType w:val="hybridMultilevel"/>
    <w:lvl w:ilvl="0">
      <w:lvlJc w:val="left"/>
      <w:lvlText w:val="(%1)"/>
      <w:numFmt w:val="lowerLetter"/>
      <w:start w:val="6"/>
    </w:lvl>
    <w:lvl w:ilvl="1">
      <w:lvlJc w:val="left"/>
      <w:lvlText w:val="%2"/>
      <w:numFmt w:val="lowerRoman"/>
      <w:start w:val="1"/>
    </w:lvl>
  </w:abstractNum>
  <w:abstractNum w:abstractNumId="101">
    <w:nsid w:val="6385489E"/>
    <w:multiLevelType w:val="hybridMultilevel"/>
    <w:lvl w:ilvl="0">
      <w:lvlJc w:val="left"/>
      <w:lvlText w:val="(%1)"/>
      <w:numFmt w:val="lowerRoman"/>
      <w:start w:val="10"/>
    </w:lvl>
  </w:abstractNum>
  <w:abstractNum w:abstractNumId="102">
    <w:nsid w:val="E4B973"/>
    <w:multiLevelType w:val="hybridMultilevel"/>
    <w:lvl w:ilvl="0">
      <w:lvlJc w:val="left"/>
      <w:lvlText w:val="(%1)"/>
      <w:numFmt w:val="lowerLetter"/>
      <w:start w:val="1"/>
    </w:lvl>
    <w:lvl w:ilvl="1">
      <w:lvlJc w:val="left"/>
      <w:lvlText w:val="(%2)"/>
      <w:numFmt w:val="lowerRoman"/>
      <w:start w:val="1"/>
    </w:lvl>
  </w:abstractNum>
  <w:abstractNum w:abstractNumId="103">
    <w:nsid w:val="4A0FFA11"/>
    <w:multiLevelType w:val="hybridMultilevel"/>
    <w:lvl w:ilvl="0">
      <w:lvlJc w:val="left"/>
      <w:lvlText w:val="(%1)"/>
      <w:numFmt w:val="lowerLetter"/>
      <w:start w:val="2"/>
    </w:lvl>
  </w:abstractNum>
  <w:abstractNum w:abstractNumId="104">
    <w:nsid w:val="5E446208"/>
    <w:multiLevelType w:val="hybridMultilevel"/>
    <w:lvl w:ilvl="0">
      <w:lvlJc w:val="left"/>
      <w:lvlText w:val="(%1)"/>
      <w:numFmt w:val="lowerLetter"/>
      <w:start w:val="3"/>
    </w:lvl>
  </w:abstractNum>
  <w:abstractNum w:abstractNumId="105">
    <w:nsid w:val="5F3272DB"/>
    <w:multiLevelType w:val="hybridMultilevel"/>
    <w:lvl w:ilvl="0">
      <w:lvlJc w:val="left"/>
      <w:lvlText w:val="(%1)"/>
      <w:numFmt w:val="lowerLetter"/>
      <w:start w:val="1"/>
    </w:lvl>
  </w:abstractNum>
  <w:abstractNum w:abstractNumId="106">
    <w:nsid w:val="7616D704"/>
    <w:multiLevelType w:val="hybridMultilevel"/>
    <w:lvl w:ilvl="0">
      <w:lvlJc w:val="left"/>
      <w:lvlText w:val="(%1)"/>
      <w:numFmt w:val="lowerLetter"/>
      <w:start w:val="1"/>
    </w:lvl>
  </w:abstractNum>
  <w:abstractNum w:abstractNumId="107">
    <w:nsid w:val="C56F860"/>
    <w:multiLevelType w:val="hybridMultilevel"/>
    <w:lvl w:ilvl="0">
      <w:lvlJc w:val="left"/>
      <w:lvlText w:val="(%1)"/>
      <w:numFmt w:val="lowerRoman"/>
      <w:start w:val="1"/>
    </w:lvl>
  </w:abstractNum>
  <w:abstractNum w:abstractNumId="108">
    <w:nsid w:val="64D17722"/>
    <w:multiLevelType w:val="hybridMultilevel"/>
    <w:lvl w:ilvl="0">
      <w:lvlJc w:val="left"/>
      <w:lvlText w:val="(%1)"/>
      <w:numFmt w:val="lowerRoman"/>
      <w:start w:val="3"/>
    </w:lvl>
  </w:abstractNum>
  <w:abstractNum w:abstractNumId="109">
    <w:nsid w:val="7924CA0A"/>
    <w:multiLevelType w:val="hybridMultilevel"/>
    <w:lvl w:ilvl="0">
      <w:lvlJc w:val="left"/>
      <w:lvlText w:val="%1"/>
      <w:numFmt w:val="lowerLetter"/>
      <w:start w:val="1"/>
    </w:lvl>
    <w:lvl w:ilvl="1">
      <w:lvlJc w:val="left"/>
      <w:lvlText w:val="(%2)"/>
      <w:numFmt w:val="lowerLetter"/>
      <w:start w:val="2"/>
    </w:lvl>
  </w:abstractNum>
  <w:abstractNum w:abstractNumId="110">
    <w:nsid w:val="CFD4EA7"/>
    <w:multiLevelType w:val="hybridMultilevel"/>
    <w:lvl w:ilvl="0">
      <w:lvlJc w:val="left"/>
      <w:lvlText w:val="(%1)"/>
      <w:numFmt w:val="lowerLetter"/>
      <w:start w:val="24"/>
    </w:lvl>
    <w:lvl w:ilvl="1">
      <w:lvlJc w:val="left"/>
      <w:lvlText w:val="%2"/>
      <w:numFmt w:val="lowerLetter"/>
      <w:start w:val="1"/>
    </w:lvl>
  </w:abstractNum>
  <w:abstractNum w:abstractNumId="111">
    <w:nsid w:val="232FCF4D"/>
    <w:multiLevelType w:val="hybridMultilevel"/>
    <w:lvl w:ilvl="0">
      <w:lvlJc w:val="left"/>
      <w:lvlText w:val="(%1)"/>
      <w:numFmt w:val="lowerLetter"/>
      <w:start w:val="1"/>
    </w:lvl>
    <w:lvl w:ilvl="1">
      <w:lvlJc w:val="left"/>
      <w:lvlText w:val="(%2)"/>
      <w:numFmt w:val="lowerRoman"/>
      <w:start w:val="1"/>
    </w:lvl>
  </w:abstractNum>
  <w:abstractNum w:abstractNumId="112">
    <w:nsid w:val="1EA21031"/>
    <w:multiLevelType w:val="hybridMultilevel"/>
    <w:lvl w:ilvl="0">
      <w:lvlJc w:val="left"/>
      <w:lvlText w:val="%1"/>
      <w:numFmt w:val="lowerLetter"/>
      <w:start w:val="1"/>
    </w:lvl>
    <w:lvl w:ilvl="1">
      <w:lvlJc w:val="left"/>
      <w:lvlText w:val="(%2)"/>
      <w:numFmt w:val="lowerRoman"/>
      <w:start w:val="9"/>
    </w:lvl>
  </w:abstractNum>
  <w:abstractNum w:abstractNumId="113">
    <w:nsid w:val="67A5A6B5"/>
    <w:multiLevelType w:val="hybridMultilevel"/>
    <w:lvl w:ilvl="0">
      <w:lvlJc w:val="left"/>
      <w:lvlText w:val="(%1)"/>
      <w:numFmt w:val="lowerLetter"/>
      <w:start w:val="2"/>
    </w:lvl>
    <w:lvl w:ilvl="1">
      <w:lvlJc w:val="left"/>
      <w:lvlText w:val="%2"/>
      <w:numFmt w:val="lowerRoman"/>
      <w:start w:val="1"/>
    </w:lvl>
  </w:abstractNum>
  <w:abstractNum w:abstractNumId="114">
    <w:nsid w:val="C2A5C5B"/>
    <w:multiLevelType w:val="hybridMultilevel"/>
    <w:lvl w:ilvl="0">
      <w:lvlJc w:val="left"/>
      <w:lvlText w:val="(%1)"/>
      <w:numFmt w:val="lowerLetter"/>
      <w:start w:val="1"/>
    </w:lvl>
  </w:abstractNum>
  <w:abstractNum w:abstractNumId="115">
    <w:nsid w:val="5F94DC03"/>
    <w:multiLevelType w:val="hybridMultilevel"/>
    <w:lvl w:ilvl="0">
      <w:lvlJc w:val="left"/>
      <w:lvlText w:val="(%1)"/>
      <w:numFmt w:val="lowerLetter"/>
      <w:start w:val="1"/>
    </w:lvl>
  </w:abstractNum>
  <w:abstractNum w:abstractNumId="116">
    <w:nsid w:val="237BBCA0"/>
    <w:multiLevelType w:val="hybridMultilevel"/>
    <w:lvl w:ilvl="0">
      <w:lvlJc w:val="left"/>
      <w:lvlText w:val="(%1)"/>
      <w:numFmt w:val="lowerLetter"/>
      <w:start w:val="4"/>
    </w:lvl>
  </w:abstractNum>
  <w:abstractNum w:abstractNumId="117">
    <w:nsid w:val="162EB70D"/>
    <w:multiLevelType w:val="hybridMultilevel"/>
    <w:lvl w:ilvl="0">
      <w:lvlJc w:val="left"/>
      <w:lvlText w:val="(%1)"/>
      <w:numFmt w:val="lowerLetter"/>
      <w:start w:val="1"/>
    </w:lvl>
  </w:abstractNum>
  <w:abstractNum w:abstractNumId="118">
    <w:nsid w:val="78070222"/>
    <w:multiLevelType w:val="hybridMultilevel"/>
    <w:lvl w:ilvl="0">
      <w:lvlJc w:val="left"/>
      <w:lvlText w:val="(%1)"/>
      <w:numFmt w:val="lowerLetter"/>
      <w:start w:val="3"/>
    </w:lvl>
  </w:abstractNum>
  <w:abstractNum w:abstractNumId="119">
    <w:nsid w:val="6163ED0D"/>
    <w:multiLevelType w:val="hybridMultilevel"/>
    <w:lvl w:ilvl="0">
      <w:lvlJc w:val="left"/>
      <w:lvlText w:val="(%1)"/>
      <w:numFmt w:val="lowerLetter"/>
      <w:start w:val="1"/>
    </w:lvl>
  </w:abstractNum>
  <w:abstractNum w:abstractNumId="120">
    <w:nsid w:val="C600E47"/>
    <w:multiLevelType w:val="hybridMultilevel"/>
    <w:lvl w:ilvl="0">
      <w:lvlJc w:val="left"/>
      <w:lvlText w:val="(%1)"/>
      <w:numFmt w:val="lowerLetter"/>
      <w:start w:val="2"/>
    </w:lvl>
  </w:abstractNum>
  <w:abstractNum w:abstractNumId="121">
    <w:nsid w:val="7D94F75D"/>
    <w:multiLevelType w:val="hybridMultilevel"/>
    <w:lvl w:ilvl="0">
      <w:lvlJc w:val="left"/>
      <w:lvlText w:val="(%1)"/>
      <w:numFmt w:val="lowerLetter"/>
      <w:start w:val="1"/>
    </w:lvl>
  </w:abstractNum>
  <w:abstractNum w:abstractNumId="122">
    <w:nsid w:val="6C31E7CD"/>
    <w:multiLevelType w:val="hybridMultilevel"/>
    <w:lvl w:ilvl="0">
      <w:lvlJc w:val="left"/>
      <w:lvlText w:val="(%1)"/>
      <w:numFmt w:val="lowerLetter"/>
      <w:start w:val="2"/>
    </w:lvl>
  </w:abstractNum>
  <w:abstractNum w:abstractNumId="123">
    <w:nsid w:val="2BB7929B"/>
    <w:multiLevelType w:val="hybridMultilevel"/>
    <w:lvl w:ilvl="0">
      <w:lvlJc w:val="left"/>
      <w:lvlText w:val="(%1)"/>
      <w:numFmt w:val="lowerLetter"/>
      <w:start w:val="1"/>
    </w:lvl>
  </w:abstractNum>
  <w:abstractNum w:abstractNumId="124">
    <w:nsid w:val="58A2A487"/>
    <w:multiLevelType w:val="hybridMultilevel"/>
    <w:lvl w:ilvl="0">
      <w:lvlJc w:val="left"/>
      <w:lvlText w:val="(%1)"/>
      <w:numFmt w:val="lowerLetter"/>
      <w:start w:val="2"/>
    </w:lvl>
  </w:abstractNum>
  <w:abstractNum w:abstractNumId="125">
    <w:nsid w:val="3A6F0E78"/>
    <w:multiLevelType w:val="hybridMultilevel"/>
    <w:lvl w:ilvl="0">
      <w:lvlJc w:val="left"/>
      <w:lvlText w:val="(%1)"/>
      <w:numFmt w:val="lowerLetter"/>
      <w:start w:val="1"/>
    </w:lvl>
  </w:abstractNum>
  <w:abstractNum w:abstractNumId="126">
    <w:nsid w:val="379A5B56"/>
    <w:multiLevelType w:val="hybridMultilevel"/>
    <w:lvl w:ilvl="0">
      <w:lvlJc w:val="left"/>
      <w:lvlText w:val="(%1)"/>
      <w:numFmt w:val="lowerLetter"/>
      <w:start w:val="4"/>
    </w:lvl>
  </w:abstractNum>
  <w:abstractNum w:abstractNumId="127">
    <w:nsid w:val="53B735D5"/>
    <w:multiLevelType w:val="hybridMultilevel"/>
    <w:lvl w:ilvl="0">
      <w:lvlJc w:val="left"/>
      <w:lvlText w:val="(%1)"/>
      <w:numFmt w:val="lowerLetter"/>
      <w:start w:val="1"/>
    </w:lvl>
  </w:abstractNum>
  <w:abstractNum w:abstractNumId="128">
    <w:nsid w:val="29784870"/>
    <w:multiLevelType w:val="hybridMultilevel"/>
    <w:lvl w:ilvl="0">
      <w:lvlJc w:val="left"/>
      <w:lvlText w:val="(%1)"/>
      <w:numFmt w:val="lowerRoman"/>
      <w:start w:val="10"/>
    </w:lvl>
  </w:abstractNum>
  <w:abstractNum w:abstractNumId="129">
    <w:nsid w:val="4CDCED4C"/>
    <w:multiLevelType w:val="hybridMultilevel"/>
    <w:lvl w:ilvl="0">
      <w:lvlJc w:val="left"/>
      <w:lvlText w:val="(%1)"/>
      <w:numFmt w:val="lowerLetter"/>
      <w:start w:val="1"/>
    </w:lvl>
  </w:abstractNum>
  <w:abstractNum w:abstractNumId="130">
    <w:nsid w:val="10A30D9C"/>
    <w:multiLevelType w:val="hybridMultilevel"/>
    <w:lvl w:ilvl="0">
      <w:lvlJc w:val="left"/>
      <w:lvlText w:val="(%1)"/>
      <w:numFmt w:val="lowerLetter"/>
      <w:start w:val="3"/>
    </w:lvl>
  </w:abstractNum>
  <w:abstractNum w:abstractNumId="131">
    <w:nsid w:val="A66E486"/>
    <w:multiLevelType w:val="hybridMultilevel"/>
    <w:lvl w:ilvl="0">
      <w:lvlJc w:val="left"/>
      <w:lvlText w:val="(%1)"/>
      <w:numFmt w:val="lowerLetter"/>
      <w:start w:val="11"/>
    </w:lvl>
  </w:abstractNum>
  <w:abstractNum w:abstractNumId="132">
    <w:nsid w:val="306235EA"/>
    <w:multiLevelType w:val="hybridMultilevel"/>
    <w:lvl w:ilvl="0">
      <w:lvlJc w:val="left"/>
      <w:lvlText w:val="%1"/>
      <w:numFmt w:val="upperLetter"/>
      <w:start w:val="1"/>
    </w:lvl>
    <w:lvl w:ilvl="1">
      <w:lvlJc w:val="left"/>
      <w:lvlText w:val="(%2)"/>
      <w:numFmt w:val="lowerLetter"/>
      <w:start w:val="1"/>
    </w:lvl>
  </w:abstractNum>
  <w:abstractNum w:abstractNumId="133">
    <w:nsid w:val="1187C70F"/>
    <w:multiLevelType w:val="hybridMultilevel"/>
    <w:lvl w:ilvl="0">
      <w:lvlJc w:val="left"/>
      <w:lvlText w:val="(%1)"/>
      <w:numFmt w:val="upperLetter"/>
      <w:start w:val="2"/>
    </w:lvl>
    <w:lvl w:ilvl="1">
      <w:lvlJc w:val="left"/>
      <w:lvlText w:val="%2"/>
      <w:numFmt w:val="lowerLetter"/>
      <w:start w:val="1"/>
    </w:lvl>
  </w:abstractNum>
  <w:abstractNum w:abstractNumId="134">
    <w:nsid w:val="5476DE98"/>
    <w:multiLevelType w:val="hybridMultilevel"/>
    <w:lvl w:ilvl="0">
      <w:lvlJc w:val="left"/>
      <w:lvlText w:val="(%1)"/>
      <w:numFmt w:val="upperLetter"/>
      <w:start w:val="1"/>
    </w:lvl>
    <w:lvl w:ilvl="1">
      <w:lvlJc w:val="left"/>
      <w:lvlText w:val="(%2)"/>
      <w:numFmt w:val="lowerLetter"/>
      <w:start w:val="3"/>
    </w:lvl>
  </w:abstractNum>
  <w:abstractNum w:abstractNumId="135">
    <w:nsid w:val="EA697F2"/>
    <w:multiLevelType w:val="hybridMultilevel"/>
    <w:lvl w:ilvl="0">
      <w:lvlJc w:val="left"/>
      <w:lvlText w:val="(%1)"/>
      <w:numFmt w:val="lowerLetter"/>
      <w:start w:val="1"/>
    </w:lvl>
  </w:abstractNum>
  <w:abstractNum w:abstractNumId="136">
    <w:nsid w:val="70BA39EB"/>
    <w:multiLevelType w:val="hybridMultilevel"/>
    <w:lvl w:ilvl="0">
      <w:lvlJc w:val="left"/>
      <w:lvlText w:val="(%1)"/>
      <w:numFmt w:val="lowerLetter"/>
      <w:start w:val="1"/>
    </w:lvl>
  </w:abstractNum>
  <w:abstractNum w:abstractNumId="137">
    <w:nsid w:val="4A8DB59C"/>
    <w:multiLevelType w:val="hybridMultilevel"/>
    <w:lvl w:ilvl="0">
      <w:lvlJc w:val="left"/>
      <w:lvlText w:val="(%1)"/>
      <w:numFmt w:val="lowerLetter"/>
      <w:start w:val="4"/>
    </w:lvl>
  </w:abstractNum>
  <w:abstractNum w:abstractNumId="138">
    <w:nsid w:val="1AFD9053"/>
    <w:multiLevelType w:val="hybridMultilevel"/>
    <w:lvl w:ilvl="0">
      <w:lvlJc w:val="left"/>
      <w:lvlText w:val="(%1)"/>
      <w:numFmt w:val="lowerLetter"/>
      <w:start w:val="1"/>
    </w:lvl>
  </w:abstractNum>
  <w:abstractNum w:abstractNumId="139">
    <w:nsid w:val="558BB10D"/>
    <w:multiLevelType w:val="hybridMultilevel"/>
    <w:lvl w:ilvl="0">
      <w:lvlJc w:val="left"/>
      <w:lvlText w:val="(%1)"/>
      <w:numFmt w:val="lowerLetter"/>
      <w:start w:val="1"/>
    </w:lvl>
  </w:abstractNum>
  <w:abstractNum w:abstractNumId="140">
    <w:nsid w:val="43B27FA7"/>
    <w:multiLevelType w:val="hybridMultilevel"/>
    <w:lvl w:ilvl="0">
      <w:lvlJc w:val="left"/>
      <w:lvlText w:val="(%1)"/>
      <w:numFmt w:val="lowerLetter"/>
      <w:start w:val="6"/>
    </w:lvl>
  </w:abstractNum>
  <w:abstractNum w:abstractNumId="141">
    <w:nsid w:val="27FADEFA"/>
    <w:multiLevelType w:val="hybridMultilevel"/>
    <w:lvl w:ilvl="0">
      <w:lvlJc w:val="left"/>
      <w:lvlText w:val="(%1)"/>
      <w:numFmt w:val="lowerLetter"/>
      <w:start w:val="11"/>
    </w:lvl>
  </w:abstractNum>
  <w:abstractNum w:abstractNumId="142">
    <w:nsid w:val="78BB805A"/>
    <w:multiLevelType w:val="hybridMultilevel"/>
    <w:lvl w:ilvl="0">
      <w:lvlJc w:val="left"/>
      <w:lvlText w:val="(%1)"/>
      <w:numFmt w:val="lowerLetter"/>
      <w:start w:val="1"/>
    </w:lvl>
  </w:abstractNum>
  <w:abstractNum w:abstractNumId="143">
    <w:nsid w:val="62548FD8"/>
    <w:multiLevelType w:val="hybridMultilevel"/>
    <w:lvl w:ilvl="0">
      <w:lvlJc w:val="left"/>
      <w:lvlText w:val="%1"/>
      <w:numFmt w:val="lowerLetter"/>
      <w:start w:val="1"/>
    </w:lvl>
    <w:lvl w:ilvl="1">
      <w:lvlJc w:val="left"/>
      <w:lvlText w:val="(%2)"/>
      <w:numFmt w:val="lowerLetter"/>
      <w:start w:val="1"/>
    </w:lvl>
  </w:abstractNum>
  <w:abstractNum w:abstractNumId="144">
    <w:nsid w:val="FA085B0"/>
    <w:multiLevelType w:val="hybridMultilevel"/>
    <w:lvl w:ilvl="0">
      <w:lvlJc w:val="left"/>
      <w:lvlText w:val="(%1)"/>
      <w:numFmt w:val="lowerLetter"/>
      <w:start w:val="22"/>
    </w:lvl>
    <w:lvl w:ilvl="1">
      <w:lvlJc w:val="left"/>
      <w:lvlText w:val="%2"/>
      <w:numFmt w:val="lowerLetter"/>
      <w:start w:val="1"/>
    </w:lvl>
  </w:abstractNum>
  <w:abstractNum w:abstractNumId="145">
    <w:nsid w:val="4E5DCB5"/>
    <w:multiLevelType w:val="hybridMultilevel"/>
    <w:lvl w:ilvl="0">
      <w:lvlJc w:val="left"/>
      <w:lvlText w:val="%1"/>
      <w:numFmt w:val="decimal"/>
      <w:start w:val="1"/>
    </w:lvl>
    <w:lvl w:ilvl="1">
      <w:lvlJc w:val="left"/>
      <w:lvlText w:val="(%2)"/>
      <w:numFmt w:val="lowerLetter"/>
      <w:start w:val="1"/>
    </w:lvl>
  </w:abstractNum>
  <w:abstractNum w:abstractNumId="146">
    <w:nsid w:val="41E96BDB"/>
    <w:multiLevelType w:val="hybridMultilevel"/>
    <w:lvl w:ilvl="0">
      <w:lvlJc w:val="left"/>
      <w:lvlText w:val="(%1)"/>
      <w:numFmt w:val="decimal"/>
      <w:start w:val="10"/>
    </w:lvl>
    <w:lvl w:ilvl="1">
      <w:lvlJc w:val="left"/>
      <w:lvlText w:val="(%2)"/>
      <w:numFmt w:val="lowerLetter"/>
      <w:start w:val="3"/>
    </w:lvl>
  </w:abstractNum>
  <w:abstractNum w:abstractNumId="147">
    <w:nsid w:val="331C4250"/>
    <w:multiLevelType w:val="hybridMultilevel"/>
    <w:lvl w:ilvl="0">
      <w:lvlJc w:val="left"/>
      <w:lvlText w:val="(%1)"/>
      <w:numFmt w:val="lowerLetter"/>
      <w:start w:val="4"/>
    </w:lvl>
  </w:abstractNum>
  <w:abstractNum w:abstractNumId="148">
    <w:nsid w:val="1B1493C2"/>
    <w:multiLevelType w:val="hybridMultilevel"/>
    <w:lvl w:ilvl="0">
      <w:lvlJc w:val="left"/>
      <w:lvlText w:val="(%1)"/>
      <w:numFmt w:val="lowerLetter"/>
      <w:start w:val="1"/>
    </w:lvl>
  </w:abstractNum>
  <w:abstractNum w:abstractNumId="149">
    <w:nsid w:val="39F06DFD"/>
    <w:multiLevelType w:val="hybridMultilevel"/>
    <w:lvl w:ilvl="0">
      <w:lvlJc w:val="left"/>
      <w:lvlText w:val="(%1)"/>
      <w:numFmt w:val="lowerRoman"/>
      <w:start w:val="1"/>
    </w:lvl>
  </w:abstractNum>
  <w:abstractNum w:abstractNumId="150">
    <w:nsid w:val="14802F5D"/>
    <w:multiLevelType w:val="hybridMultilevel"/>
    <w:lvl w:ilvl="0">
      <w:lvlJc w:val="left"/>
      <w:lvlText w:val="%1"/>
      <w:numFmt w:val="lowerLetter"/>
      <w:start w:val="1"/>
    </w:lvl>
    <w:lvl w:ilvl="1">
      <w:lvlJc w:val="left"/>
      <w:lvlText w:val="(%2)"/>
      <w:numFmt w:val="lowerRoman"/>
      <w:start w:val="1"/>
    </w:lvl>
  </w:abstractNum>
  <w:abstractNum w:abstractNumId="151">
    <w:nsid w:val="2774A209"/>
    <w:multiLevelType w:val="hybridMultilevel"/>
    <w:lvl w:ilvl="0">
      <w:lvlJc w:val="left"/>
      <w:lvlText w:val="(%1)"/>
      <w:numFmt w:val="lowerLetter"/>
      <w:start w:val="2"/>
    </w:lvl>
    <w:lvl w:ilvl="1">
      <w:lvlJc w:val="left"/>
      <w:lvlText w:val="(%2)"/>
      <w:numFmt w:val="lowerRoman"/>
      <w:start w:val="1"/>
    </w:lvl>
  </w:abstractNum>
  <w:abstractNum w:abstractNumId="152">
    <w:nsid w:val="3785655A"/>
    <w:multiLevelType w:val="hybridMultilevel"/>
    <w:lvl w:ilvl="0">
      <w:lvlJc w:val="left"/>
      <w:lvlText w:val="%1"/>
      <w:numFmt w:val="lowerLetter"/>
      <w:start w:val="1"/>
    </w:lvl>
    <w:lvl w:ilvl="1">
      <w:lvlJc w:val="left"/>
      <w:lvlText w:val="(%2)"/>
      <w:numFmt w:val="lowerRoman"/>
      <w:start w:val="2"/>
    </w:lvl>
  </w:abstractNum>
  <w:abstractNum w:abstractNumId="153">
    <w:nsid w:val="B2172A"/>
    <w:multiLevelType w:val="hybridMultilevel"/>
    <w:lvl w:ilvl="0">
      <w:lvlJc w:val="left"/>
      <w:lvlText w:val="(%1)"/>
      <w:numFmt w:val="lowerLetter"/>
      <w:start w:val="3"/>
    </w:lvl>
    <w:lvl w:ilvl="1">
      <w:lvlJc w:val="left"/>
      <w:lvlText w:val="%2"/>
      <w:numFmt w:val="lowerRoman"/>
      <w:start w:val="1"/>
    </w:lvl>
  </w:abstractNum>
  <w:abstractNum w:abstractNumId="154">
    <w:nsid w:val="532C34A5"/>
    <w:multiLevelType w:val="hybridMultilevel"/>
    <w:lvl w:ilvl="0">
      <w:lvlJc w:val="left"/>
      <w:lvlText w:val="(%1)"/>
      <w:numFmt w:val="lowerLetter"/>
      <w:start w:val="1"/>
    </w:lvl>
  </w:abstractNum>
  <w:abstractNum w:abstractNumId="155">
    <w:nsid w:val="102809E2"/>
    <w:multiLevelType w:val="hybridMultilevel"/>
    <w:lvl w:ilvl="0">
      <w:lvlJc w:val="left"/>
      <w:lvlText w:val="(%1)"/>
      <w:numFmt w:val="lowerLetter"/>
      <w:start w:val="8"/>
    </w:lvl>
  </w:abstractNum>
  <w:abstractNum w:abstractNumId="156">
    <w:nsid w:val="3B2125A3"/>
    <w:multiLevelType w:val="hybridMultilevel"/>
    <w:lvl w:ilvl="0">
      <w:lvlJc w:val="left"/>
      <w:lvlText w:val="(%1)"/>
      <w:numFmt w:val="lowerRoman"/>
      <w:start w:val="1"/>
    </w:lvl>
  </w:abstractNum>
  <w:abstractNum w:abstractNumId="157">
    <w:nsid w:val="AC68FFB"/>
    <w:multiLevelType w:val="hybridMultilevel"/>
    <w:lvl w:ilvl="0">
      <w:lvlJc w:val="left"/>
      <w:lvlText w:val="(%1)"/>
      <w:numFmt w:val="lowerLetter"/>
      <w:start w:val="1"/>
    </w:lvl>
    <w:lvl w:ilvl="1">
      <w:lvlJc w:val="left"/>
      <w:lvlText w:val="(%2)"/>
      <w:numFmt w:val="lowerRoman"/>
      <w:start w:val="1"/>
    </w:lvl>
  </w:abstractNum>
  <w:abstractNum w:abstractNumId="158">
    <w:nsid w:val="63DF3FB7"/>
    <w:multiLevelType w:val="hybridMultilevel"/>
    <w:lvl w:ilvl="0">
      <w:lvlJc w:val="left"/>
      <w:lvlText w:val="(%1)"/>
      <w:numFmt w:val="lowerLetter"/>
      <w:start w:val="2"/>
    </w:lvl>
  </w:abstractNum>
  <w:abstractNum w:abstractNumId="159">
    <w:nsid w:val="64996E13"/>
    <w:multiLevelType w:val="hybridMultilevel"/>
    <w:lvl w:ilvl="0">
      <w:lvlJc w:val="left"/>
      <w:lvlText w:val="(%1)"/>
      <w:numFmt w:val="lowerLetter"/>
      <w:start w:val="3"/>
    </w:lvl>
  </w:abstractNum>
  <w:abstractNum w:abstractNumId="160">
    <w:nsid w:val="57A37D47"/>
    <w:multiLevelType w:val="hybridMultilevel"/>
    <w:lvl w:ilvl="0">
      <w:lvlJc w:val="left"/>
      <w:lvlText w:val="%1"/>
      <w:numFmt w:val="lowerLetter"/>
      <w:start w:val="1"/>
    </w:lvl>
    <w:lvl w:ilvl="1">
      <w:lvlJc w:val="left"/>
      <w:lvlText w:val="(%2)"/>
      <w:numFmt w:val="lowerLetter"/>
      <w:start w:val="1"/>
    </w:lvl>
  </w:abstractNum>
  <w:abstractNum w:abstractNumId="161">
    <w:nsid w:val="74824D54"/>
    <w:multiLevelType w:val="hybridMultilevel"/>
    <w:lvl w:ilvl="0">
      <w:lvlJc w:val="left"/>
      <w:lvlText w:val="(%1)"/>
      <w:numFmt w:val="lowerLetter"/>
      <w:start w:val="61"/>
    </w:lvl>
    <w:lvl w:ilvl="1">
      <w:lvlJc w:val="left"/>
      <w:lvlText w:val="%2"/>
      <w:numFmt w:val="lowerLetter"/>
      <w:start w:val="1"/>
    </w:lvl>
  </w:abstractNum>
  <w:abstractNum w:abstractNumId="162">
    <w:nsid w:val="6F00529A"/>
    <w:multiLevelType w:val="hybridMultilevel"/>
    <w:lvl w:ilvl="0">
      <w:lvlJc w:val="left"/>
      <w:lvlText w:val="%1"/>
      <w:numFmt w:val="lowerLetter"/>
      <w:start w:val="1"/>
    </w:lvl>
    <w:lvl w:ilvl="1">
      <w:lvlJc w:val="left"/>
      <w:lvlText w:val="(%2)"/>
      <w:numFmt w:val="lowerLetter"/>
      <w:start w:val="2"/>
    </w:lvl>
  </w:abstractNum>
  <w:abstractNum w:abstractNumId="163">
    <w:nsid w:val="805B331"/>
    <w:multiLevelType w:val="hybridMultilevel"/>
    <w:lvl w:ilvl="0">
      <w:lvlJc w:val="left"/>
      <w:lvlText w:val="(%1)"/>
      <w:numFmt w:val="lowerLetter"/>
      <w:start w:val="24"/>
    </w:lvl>
    <w:lvl w:ilvl="1">
      <w:lvlJc w:val="left"/>
      <w:lvlText w:val="%2"/>
      <w:numFmt w:val="lowerLetter"/>
      <w:start w:val="1"/>
    </w:lvl>
  </w:abstractNum>
  <w:abstractNum w:abstractNumId="164">
    <w:nsid w:val="60A1463"/>
    <w:multiLevelType w:val="hybridMultilevel"/>
    <w:lvl w:ilvl="0">
      <w:lvlJc w:val="left"/>
      <w:lvlText w:val="(%1)"/>
      <w:numFmt w:val="lowerLetter"/>
      <w:start w:val="3"/>
    </w:lvl>
  </w:abstractNum>
  <w:abstractNum w:abstractNumId="165">
    <w:nsid w:val="43773132"/>
    <w:multiLevelType w:val="hybridMultilevel"/>
    <w:lvl w:ilvl="0">
      <w:lvlJc w:val="left"/>
      <w:lvlText w:val="(%1)"/>
      <w:numFmt w:val="lowerLetter"/>
      <w:start w:val="2"/>
    </w:lvl>
    <w:lvl w:ilvl="1">
      <w:lvlJc w:val="left"/>
      <w:lvlText w:val="(%2)"/>
      <w:numFmt w:val="lowerLetter"/>
      <w:start w:val="1"/>
    </w:lvl>
    <w:lvl w:ilvl="2">
      <w:lvlJc w:val="left"/>
      <w:lvlText w:val="(%3)"/>
      <w:numFmt w:val="upperLetter"/>
    </w:lvl>
    <w:lvl w:ilvl="3">
      <w:lvlJc w:val="left"/>
      <w:lvlText w:val="(%4)"/>
      <w:numFmt w:val="lowerLetter"/>
      <w:start w:val="9"/>
    </w:lvl>
  </w:abstractNum>
  <w:abstractNum w:abstractNumId="166">
    <w:nsid w:val="16AC4B2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lowerLetter"/>
      <w:start w:val="35"/>
    </w:lvl>
  </w:abstractNum>
  <w:abstractNum w:abstractNumId="167">
    <w:nsid w:val="76C44E4E"/>
    <w:multiLevelType w:val="hybridMultilevel"/>
    <w:lvl w:ilvl="0">
      <w:lvlJc w:val="left"/>
      <w:lvlText w:val="%1"/>
      <w:numFmt w:val="upperLetter"/>
      <w:start w:val="1"/>
    </w:lvl>
    <w:lvl w:ilvl="1">
      <w:lvlJc w:val="left"/>
      <w:lvlText w:val="(%2)"/>
      <w:numFmt w:val="lowerRoman"/>
      <w:start w:val="3"/>
    </w:lvl>
  </w:abstractNum>
  <w:abstractNum w:abstractNumId="168">
    <w:nsid w:val="E04E6CE"/>
    <w:multiLevelType w:val="hybridMultilevel"/>
    <w:lvl w:ilvl="0">
      <w:lvlJc w:val="left"/>
      <w:lvlText w:val="(%1)"/>
      <w:numFmt w:val="upperLetter"/>
      <w:start w:val="1"/>
    </w:lvl>
    <w:lvl w:ilvl="1">
      <w:lvlJc w:val="left"/>
      <w:lvlText w:val="(%2)"/>
      <w:numFmt w:val="lowerRoman"/>
      <w:start w:val="4"/>
    </w:lvl>
  </w:abstractNum>
  <w:abstractNum w:abstractNumId="169">
    <w:nsid w:val="31A9DB76"/>
    <w:multiLevelType w:val="hybridMultilevel"/>
    <w:lvl w:ilvl="0">
      <w:lvlJc w:val="left"/>
      <w:lvlText w:val="(%1)"/>
      <w:numFmt w:val="lowerLetter"/>
      <w:start w:val="3"/>
    </w:lvl>
  </w:abstractNum>
  <w:abstractNum w:abstractNumId="170">
    <w:nsid w:val="4C4FFF5B"/>
    <w:multiLevelType w:val="hybridMultilevel"/>
    <w:lvl w:ilvl="0">
      <w:lvlJc w:val="left"/>
      <w:lvlText w:val="(%1)"/>
      <w:numFmt w:val="lowerLetter"/>
      <w:start w:val="5"/>
    </w:lvl>
  </w:abstractNum>
  <w:abstractNum w:abstractNumId="171">
    <w:nsid w:val="51B76675"/>
    <w:multiLevelType w:val="hybridMultilevel"/>
    <w:lvl w:ilvl="0">
      <w:lvlJc w:val="left"/>
      <w:lvlText w:val="(%1)"/>
      <w:numFmt w:val="lowerLetter"/>
      <w:start w:val="1"/>
    </w:lvl>
  </w:abstractNum>
  <w:abstractNum w:abstractNumId="172">
    <w:nsid w:val="59A4BA71"/>
    <w:multiLevelType w:val="hybridMultilevel"/>
    <w:lvl w:ilvl="0">
      <w:lvlJc w:val="left"/>
      <w:lvlText w:val="(%1)"/>
      <w:numFmt w:val="lowerLetter"/>
      <w:start w:val="1"/>
    </w:lvl>
  </w:abstractNum>
  <w:abstractNum w:abstractNumId="173">
    <w:nsid w:val="450B7FB6"/>
    <w:multiLevelType w:val="hybridMultilevel"/>
    <w:lvl w:ilvl="0">
      <w:lvlJc w:val="left"/>
      <w:lvlText w:val="(%1)"/>
      <w:numFmt w:val="lowerLetter"/>
      <w:start w:val="3"/>
    </w:lvl>
  </w:abstractNum>
  <w:abstractNum w:abstractNumId="174">
    <w:nsid w:val="340BF64D"/>
    <w:multiLevelType w:val="hybridMultilevel"/>
    <w:lvl w:ilvl="0">
      <w:lvlJc w:val="left"/>
      <w:lvlText w:val="(%1)"/>
      <w:numFmt w:val="lowerLetter"/>
      <w:start w:val="1"/>
    </w:lvl>
  </w:abstractNum>
  <w:abstractNum w:abstractNumId="175">
    <w:nsid w:val="69454021"/>
    <w:multiLevelType w:val="hybridMultilevel"/>
    <w:lvl w:ilvl="0">
      <w:lvlJc w:val="left"/>
      <w:lvlText w:val="(%1)"/>
      <w:numFmt w:val="lowerLetter"/>
      <w:start w:val="3"/>
    </w:lvl>
  </w:abstractNum>
  <w:abstractNum w:abstractNumId="176">
    <w:nsid w:val="49F15C6B"/>
    <w:multiLevelType w:val="hybridMultilevel"/>
    <w:lvl w:ilvl="0">
      <w:lvlJc w:val="left"/>
      <w:lvlText w:val="(%1)"/>
      <w:numFmt w:val="lowerLetter"/>
      <w:start w:val="1"/>
    </w:lvl>
    <w:lvl w:ilvl="1">
      <w:lvlJc w:val="left"/>
      <w:lvlText w:val="(%2)"/>
      <w:numFmt w:val="lowerRoman"/>
      <w:start w:val="1"/>
    </w:lvl>
  </w:abstractNum>
  <w:abstractNum w:abstractNumId="177">
    <w:nsid w:val="75F56228"/>
    <w:multiLevelType w:val="hybridMultilevel"/>
    <w:lvl w:ilvl="0">
      <w:lvlJc w:val="left"/>
      <w:lvlText w:val="(%1)"/>
      <w:numFmt w:val="lowerRoman"/>
      <w:start w:val="3"/>
    </w:lvl>
  </w:abstractNum>
  <w:abstractNum w:abstractNumId="178">
    <w:nsid w:val="1C618271"/>
    <w:multiLevelType w:val="hybridMultilevel"/>
    <w:lvl w:ilvl="0">
      <w:lvlJc w:val="left"/>
      <w:lvlText w:val="(%1)"/>
      <w:numFmt w:val="lowerLetter"/>
      <w:start w:val="1"/>
    </w:lvl>
  </w:abstractNum>
  <w:abstractNum w:abstractNumId="179">
    <w:nsid w:val="6505F02E"/>
    <w:multiLevelType w:val="hybridMultilevel"/>
    <w:lvl w:ilvl="0">
      <w:lvlJc w:val="left"/>
      <w:lvlText w:val="(%1)"/>
      <w:numFmt w:val="lowerLetter"/>
      <w:start w:val="1"/>
    </w:lvl>
  </w:abstractNum>
  <w:abstractNum w:abstractNumId="180">
    <w:nsid w:val="2FE5D025"/>
    <w:multiLevelType w:val="hybridMultilevel"/>
    <w:lvl w:ilvl="0">
      <w:lvlJc w:val="left"/>
      <w:lvlText w:val="(%1)"/>
      <w:numFmt w:val="lowerLetter"/>
      <w:start w:val="2"/>
    </w:lvl>
  </w:abstractNum>
  <w:abstractNum w:abstractNumId="181">
    <w:nsid w:val="30E1B1CF"/>
    <w:multiLevelType w:val="hybridMultilevel"/>
    <w:lvl w:ilvl="0">
      <w:lvlJc w:val="left"/>
      <w:lvlText w:val="%1."/>
      <w:numFmt w:val="decimal"/>
      <w:start w:val="1"/>
    </w:lvl>
  </w:abstractNum>
  <w:abstractNum w:abstractNumId="182">
    <w:nsid w:val="C7A9237"/>
    <w:multiLevelType w:val="hybridMultilevel"/>
    <w:lvl w:ilvl="0">
      <w:lvlJc w:val="left"/>
      <w:lvlText w:val="%1."/>
      <w:numFmt w:val="decimal"/>
      <w:start w:val="11"/>
    </w:lvl>
  </w:abstractNum>
  <w:abstractNum w:abstractNumId="183">
    <w:nsid w:val="676B3580"/>
    <w:multiLevelType w:val="hybridMultilevel"/>
    <w:lvl w:ilvl="0">
      <w:lvlJc w:val="left"/>
      <w:lvlText w:val="%1."/>
      <w:numFmt w:val="decimal"/>
      <w:start w:val="1"/>
    </w:lvl>
  </w:abstractNum>
  <w:abstractNum w:abstractNumId="184">
    <w:nsid w:val="3193C8F9"/>
    <w:multiLevelType w:val="hybridMultilevel"/>
    <w:lvl w:ilvl="0">
      <w:lvlJc w:val="left"/>
      <w:lvlText w:val="%1."/>
      <w:numFmt w:val="decimal"/>
      <w:start w:val="1"/>
    </w:lvl>
  </w:abstractNum>
  <w:abstractNum w:abstractNumId="185">
    <w:nsid w:val="5FA6C6DC"/>
    <w:multiLevelType w:val="hybridMultilevel"/>
    <w:lvl w:ilvl="0">
      <w:lvlJc w:val="left"/>
      <w:lvlText w:val="%1."/>
      <w:numFmt w:val="decimal"/>
      <w:start w:val="1"/>
    </w:lvl>
  </w:abstractNum>
  <w:abstractNum w:abstractNumId="186">
    <w:nsid w:val="77933F62"/>
    <w:multiLevelType w:val="hybridMultilevel"/>
    <w:lvl w:ilvl="0">
      <w:lvlJc w:val="left"/>
      <w:lvlText w:val="%1."/>
      <w:numFmt w:val="decimal"/>
      <w:start w:val="1"/>
    </w:lvl>
  </w:abstractNum>
  <w:abstractNum w:abstractNumId="187">
    <w:nsid w:val="6CB4EE9C"/>
    <w:multiLevelType w:val="hybridMultilevel"/>
    <w:lvl w:ilvl="0">
      <w:lvlJc w:val="left"/>
      <w:lvlText w:val="(%1)"/>
      <w:numFmt w:val="lowerLetter"/>
      <w:start w:val="1"/>
    </w:lvl>
  </w:abstractNum>
  <w:abstractNum w:abstractNumId="188">
    <w:nsid w:val="6A6D56D7"/>
    <w:multiLevelType w:val="hybridMultilevel"/>
    <w:lvl w:ilvl="0">
      <w:lvlJc w:val="left"/>
      <w:lvlText w:val="(%1)"/>
      <w:numFmt w:val="lowerLetter"/>
      <w:start w:val="2"/>
    </w:lvl>
  </w:abstractNum>
  <w:abstractNum w:abstractNumId="189">
    <w:nsid w:val="5B727F19"/>
    <w:multiLevelType w:val="hybridMultilevel"/>
    <w:lvl w:ilvl="0">
      <w:lvlJc w:val="left"/>
      <w:lvlText w:val="%1."/>
      <w:numFmt w:val="decimal"/>
    </w:lvl>
    <w:lvl w:ilvl="1">
      <w:lvlJc w:val="left"/>
      <w:lvlText w:val="o"/>
      <w:numFmt w:val="bullet"/>
      <w:start w:val="1"/>
    </w:lvl>
  </w:abstractNum>
  <w:abstractNum w:abstractNumId="190">
    <w:nsid w:val="514E5CB0"/>
    <w:multiLevelType w:val="hybridMultilevel"/>
    <w:lvl w:ilvl="0">
      <w:lvlJc w:val="left"/>
      <w:lvlText w:val="%1."/>
      <w:numFmt w:val="decimal"/>
      <w:start w:val="4"/>
    </w:lvl>
  </w:abstractNum>
  <w:abstractNum w:abstractNumId="191">
    <w:nsid w:val="4210D41E"/>
    <w:multiLevelType w:val="hybridMultilevel"/>
    <w:lvl w:ilvl="0">
      <w:lvlJc w:val="left"/>
      <w:lvlText w:val="1"/>
      <w:numFmt w:val="bullet"/>
      <w:start w:val="1"/>
    </w:lvl>
  </w:abstractNum>
  <w:abstractNum w:abstractNumId="192">
    <w:nsid w:val="4FF4CC6D"/>
    <w:multiLevelType w:val="hybridMultilevel"/>
    <w:lvl w:ilvl="0">
      <w:lvlJc w:val="left"/>
      <w:lvlText w:val="2"/>
      <w:numFmt w:val="bullet"/>
      <w:start w:val="1"/>
    </w:lvl>
  </w:abstractNum>
  <w:abstractNum w:abstractNumId="193">
    <w:nsid w:val="404EAF4A"/>
    <w:multiLevelType w:val="hybridMultilevel"/>
    <w:lvl w:ilvl="0">
      <w:lvlJc w:val="left"/>
      <w:lvlText w:val="%1."/>
      <w:numFmt w:val="decimal"/>
      <w:start w:val="1"/>
    </w:lvl>
  </w:abstractNum>
  <w:abstractNum w:abstractNumId="194">
    <w:nsid w:val="4A16874F"/>
    <w:multiLevelType w:val="hybridMultilevel"/>
    <w:lvl w:ilvl="0">
      <w:lvlJc w:val="left"/>
      <w:lvlText w:val="%1."/>
      <w:numFmt w:val="decimal"/>
      <w:start w:val="1"/>
    </w:lvl>
  </w:abstractNum>
  <w:abstractNum w:abstractNumId="195">
    <w:nsid w:val="55FEE0D1"/>
    <w:multiLevelType w:val="hybridMultilevel"/>
    <w:lvl w:ilvl="0">
      <w:lvlJc w:val="left"/>
      <w:lvlText w:val="%1."/>
      <w:numFmt w:val="decimal"/>
      <w:start w:val="1"/>
    </w:lvl>
  </w:abstractNum>
  <w:abstractNum w:abstractNumId="196">
    <w:nsid w:val="3C5E07C"/>
    <w:multiLevelType w:val="hybridMultilevel"/>
    <w:lvl w:ilvl="0">
      <w:lvlJc w:val="left"/>
      <w:lvlText w:val="%1."/>
      <w:numFmt w:val="decimal"/>
      <w:start w:val="4"/>
    </w:lvl>
  </w:abstractNum>
  <w:abstractNum w:abstractNumId="197">
    <w:nsid w:val="60C2D273"/>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198">
    <w:nsid w:val="4CC32F1F"/>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199">
    <w:nsid w:val="11CAC74A"/>
    <w:multiLevelType w:val="hybridMultilevel"/>
    <w:lvl w:ilvl="0">
      <w:lvlJc w:val="left"/>
      <w:lvlText w:val="%1."/>
      <w:numFmt w:val="decimal"/>
      <w:start w:val="1"/>
    </w:lvl>
  </w:abstractNum>
  <w:abstractNum w:abstractNumId="200">
    <w:nsid w:val="126CADE9"/>
    <w:multiLevelType w:val="hybridMultilevel"/>
    <w:lvl w:ilvl="0">
      <w:lvlJc w:val="left"/>
      <w:lvlText w:val="1"/>
      <w:numFmt w:val="bullet"/>
      <w:start w:val="1"/>
    </w:lvl>
  </w:abstractNum>
  <w:abstractNum w:abstractNumId="201">
    <w:nsid w:val="19132E7B"/>
    <w:multiLevelType w:val="hybridMultilevel"/>
    <w:lvl w:ilvl="0">
      <w:lvlJc w:val="left"/>
      <w:lvlText w:val="%1."/>
      <w:numFmt w:val="decimal"/>
      <w:start w:val="3"/>
    </w:lvl>
  </w:abstractNum>
  <w:abstractNum w:abstractNumId="202">
    <w:nsid w:val="63822DC0"/>
    <w:multiLevelType w:val="hybridMultilevel"/>
    <w:lvl w:ilvl="0">
      <w:lvlJc w:val="left"/>
      <w:lvlText w:val="%1."/>
      <w:numFmt w:val="decimal"/>
      <w:start w:val="4"/>
    </w:lvl>
  </w:abstractNum>
  <w:abstractNum w:abstractNumId="203">
    <w:nsid w:val="6C11685A"/>
    <w:multiLevelType w:val="hybridMultilevel"/>
    <w:lvl w:ilvl="0">
      <w:lvlJc w:val="left"/>
      <w:lvlText w:val="%1."/>
      <w:numFmt w:val="decimal"/>
      <w:start w:val="6"/>
    </w:lvl>
  </w:abstractNum>
  <w:abstractNum w:abstractNumId="204">
    <w:nsid w:val="5E1EAE31"/>
    <w:multiLevelType w:val="hybridMultilevel"/>
    <w:lvl w:ilvl="0">
      <w:lvlJc w:val="left"/>
      <w:lvlText w:val="%1."/>
      <w:numFmt w:val="decimal"/>
      <w:start w:val="7"/>
    </w:lvl>
  </w:abstractNum>
  <w:abstractNum w:abstractNumId="205">
    <w:nsid w:val="178E240D"/>
    <w:multiLevelType w:val="hybridMultilevel"/>
    <w:lvl w:ilvl="0">
      <w:lvlJc w:val="left"/>
      <w:lvlText w:val="%1."/>
      <w:numFmt w:val="decimal"/>
      <w:start w:val="8"/>
    </w:lvl>
  </w:abstractNum>
  <w:abstractNum w:abstractNumId="206">
    <w:nsid w:val="5556A87B"/>
    <w:multiLevelType w:val="hybridMultilevel"/>
    <w:lvl w:ilvl="0">
      <w:lvlJc w:val="left"/>
      <w:lvlText w:val="%1."/>
      <w:numFmt w:val="decimal"/>
      <w:start w:val="9"/>
    </w:lvl>
  </w:abstractNum>
  <w:abstractNum w:abstractNumId="207">
    <w:nsid w:val="28100A9C"/>
    <w:multiLevelType w:val="hybridMultilevel"/>
    <w:lvl w:ilvl="0">
      <w:lvlJc w:val="left"/>
      <w:lvlText w:val="%1."/>
      <w:numFmt w:val="decimal"/>
      <w:start w:val="10"/>
    </w:lvl>
  </w:abstractNum>
  <w:abstractNum w:abstractNumId="208">
    <w:nsid w:val="D838636"/>
    <w:multiLevelType w:val="hybridMultilevel"/>
    <w:lvl w:ilvl="0">
      <w:lvlJc w:val="left"/>
      <w:lvlText w:val="%1."/>
      <w:numFmt w:val="decimal"/>
      <w:start w:val="11"/>
    </w:lvl>
  </w:abstractNum>
  <w:abstractNum w:abstractNumId="209">
    <w:nsid w:val="71B82AED"/>
    <w:multiLevelType w:val="hybridMultilevel"/>
    <w:lvl w:ilvl="0">
      <w:lvlJc w:val="left"/>
      <w:lvlText w:val="%1."/>
      <w:numFmt w:val="decimal"/>
      <w:start w:val="16"/>
    </w:lvl>
  </w:abstractNum>
  <w:abstractNum w:abstractNumId="210">
    <w:nsid w:val="D15FACA"/>
    <w:multiLevelType w:val="hybridMultilevel"/>
    <w:lvl w:ilvl="0">
      <w:lvlJc w:val="left"/>
      <w:lvlText w:val="2"/>
      <w:numFmt w:val="bullet"/>
      <w:start w:val="1"/>
    </w:lvl>
  </w:abstractNum>
  <w:abstractNum w:abstractNumId="211">
    <w:nsid w:val="3D69565B"/>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abstractNum>
  <w:abstractNum w:abstractNumId="212">
    <w:nsid w:val="2299DCBC"/>
    <w:multiLevelType w:val="hybridMultilevel"/>
    <w:lvl w:ilvl="0">
      <w:lvlJc w:val="left"/>
      <w:lvlText w:val="1"/>
      <w:numFmt w:val="bullet"/>
      <w:start w:val="1"/>
    </w:lvl>
  </w:abstractNum>
  <w:abstractNum w:abstractNumId="213">
    <w:nsid w:val="19908D02"/>
    <w:multiLevelType w:val="hybridMultilevel"/>
    <w:lvl w:ilvl="0">
      <w:lvlJc w:val="left"/>
      <w:lvlText w:val="%1"/>
      <w:numFmt w:val="upperLetter"/>
      <w:start w:val="1"/>
    </w:lvl>
    <w:lvl w:ilvl="1">
      <w:lvlJc w:val="left"/>
      <w:lvlText w:val="%2."/>
      <w:numFmt w:val="decimal"/>
      <w:start w:val="2"/>
    </w:lvl>
  </w:abstractNum>
  <w:abstractNum w:abstractNumId="214">
    <w:nsid w:val="24D48BDB"/>
    <w:multiLevelType w:val="hybridMultilevel"/>
    <w:lvl w:ilvl="0">
      <w:lvlJc w:val="left"/>
      <w:lvlText w:val="%1."/>
      <w:numFmt w:val="upperLetter"/>
      <w:start w:val="3"/>
    </w:lvl>
    <w:lvl w:ilvl="1">
      <w:lvlJc w:val="left"/>
      <w:lvlText w:val="%2"/>
      <w:numFmt w:val="decimal"/>
      <w:start w:val="1"/>
    </w:lvl>
  </w:abstractNum>
  <w:abstractNum w:abstractNumId="215">
    <w:nsid w:val="542DA5B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16">
    <w:nsid w:val="793753DE"/>
    <w:multiLevelType w:val="hybridMultilevel"/>
    <w:lvl w:ilvl="0">
      <w:lvlJc w:val="left"/>
      <w:lvlText w:val="7"/>
      <w:numFmt w:val="bullet"/>
      <w:start w:val="1"/>
    </w:lvl>
  </w:abstractNum>
  <w:abstractNum w:abstractNumId="217">
    <w:nsid w:val="1C67CB3D"/>
    <w:multiLevelType w:val="hybridMultilevel"/>
    <w:lvl w:ilvl="0">
      <w:lvlJc w:val="left"/>
      <w:lvlText w:val="%1."/>
      <w:numFmt w:val="decimal"/>
      <w:start w:val="2"/>
    </w:lvl>
  </w:abstractNum>
  <w:abstractNum w:abstractNumId="218">
    <w:nsid w:val="40E29452"/>
    <w:multiLevelType w:val="hybridMultilevel"/>
    <w:lvl w:ilvl="0">
      <w:lvlJc w:val="left"/>
      <w:lvlText w:val="%1"/>
      <w:numFmt w:val="upperLetter"/>
      <w:start w:val="1"/>
    </w:lvl>
    <w:lvl w:ilvl="1">
      <w:lvlJc w:val="left"/>
      <w:lvlText w:val="%2."/>
      <w:numFmt w:val="upperLetter"/>
      <w:start w:val="2"/>
    </w:lvl>
    <w:lvl w:ilvl="2">
      <w:lvlJc w:val="left"/>
      <w:lvlText w:val="%3."/>
      <w:numFmt w:val="decimal"/>
      <w:start w:val="1"/>
    </w:lvl>
  </w:abstractNum>
  <w:abstractNum w:abstractNumId="219">
    <w:nsid w:val="63A4AAB6"/>
    <w:multiLevelType w:val="hybridMultilevel"/>
    <w:lvl w:ilvl="0">
      <w:lvlJc w:val="left"/>
      <w:lvlText w:val="%1."/>
      <w:numFmt w:val="upperLetter"/>
      <w:start w:val="22"/>
    </w:lvl>
    <w:lvl w:ilvl="1">
      <w:lvlJc w:val="left"/>
      <w:lvlText w:val="%2."/>
      <w:numFmt w:val="upperLetter"/>
      <w:start w:val="1"/>
    </w:lvl>
    <w:lvl w:ilvl="2">
      <w:lvlJc w:val="left"/>
      <w:lvlText w:val="%3"/>
      <w:numFmt w:val="decimal"/>
      <w:start w:val="1"/>
    </w:lvl>
  </w:abstractNum>
  <w:abstractNum w:abstractNumId="220">
    <w:nsid w:val="77DA4A57"/>
    <w:multiLevelType w:val="hybridMultilevel"/>
    <w:lvl w:ilvl="0">
      <w:lvlJc w:val="left"/>
      <w:lvlText w:val="%1."/>
      <w:numFmt w:val="upperLetter"/>
      <w:start w:val="1"/>
    </w:lvl>
    <w:lvl w:ilvl="1">
      <w:lvlJc w:val="left"/>
      <w:lvlText w:val="%2."/>
      <w:numFmt w:val="decimal"/>
      <w:start w:val="1"/>
    </w:lvl>
  </w:abstractNum>
  <w:abstractNum w:abstractNumId="221">
    <w:nsid w:val="1230F102"/>
    <w:multiLevelType w:val="hybridMultilevel"/>
    <w:lvl w:ilvl="0">
      <w:lvlJc w:val="left"/>
      <w:lvlText w:val="8"/>
      <w:numFmt w:val="bullet"/>
      <w:start w:val="1"/>
    </w:lvl>
  </w:abstractNum>
  <w:abstractNum w:abstractNumId="222">
    <w:nsid w:val="25B57ED4"/>
    <w:multiLevelType w:val="hybridMultilevel"/>
    <w:lvl w:ilvl="0">
      <w:lvlJc w:val="left"/>
      <w:lvlText w:val="9"/>
      <w:numFmt w:val="bullet"/>
      <w:start w:val="1"/>
    </w:lvl>
  </w:abstractNum>
  <w:abstractNum w:abstractNumId="223">
    <w:nsid w:val="47CF16C4"/>
    <w:multiLevelType w:val="hybridMultilevel"/>
    <w:lvl w:ilvl="0">
      <w:lvlJc w:val="left"/>
      <w:lvlText w:val="%1"/>
      <w:numFmt w:val="decimal"/>
      <w:start w:val="10"/>
    </w:lvl>
  </w:abstractNum>
  <w:abstractNum w:abstractNumId="224">
    <w:nsid w:val="527FA04C"/>
    <w:multiLevelType w:val="hybridMultilevel"/>
    <w:lvl w:ilvl="0">
      <w:lvlJc w:val="left"/>
      <w:lvlText w:val="%1."/>
      <w:numFmt w:val="upperLetter"/>
      <w:start w:val="4"/>
    </w:lvl>
  </w:abstractNum>
  <w:abstractNum w:abstractNumId="225">
    <w:nsid w:val="6FCC0624"/>
    <w:multiLevelType w:val="hybridMultilevel"/>
    <w:lvl w:ilvl="0">
      <w:lvlJc w:val="left"/>
      <w:lvlText w:val="(%1)"/>
      <w:numFmt w:val="lowerRoman"/>
      <w:start w:val="2"/>
    </w:lvl>
  </w:abstractNum>
  <w:abstractNum w:abstractNumId="226">
    <w:nsid w:val="1DCDF795"/>
    <w:multiLevelType w:val="hybridMultilevel"/>
    <w:lvl w:ilvl="0">
      <w:lvlJc w:val="left"/>
      <w:lvlText w:val="1"/>
      <w:numFmt w:val="bullet"/>
      <w:start w:val="1"/>
    </w:lvl>
  </w:abstractNum>
  <w:abstractNum w:abstractNumId="227">
    <w:nsid w:val="564580C8"/>
    <w:multiLevelType w:val="hybridMultilevel"/>
    <w:lvl w:ilvl="0">
      <w:lvlJc w:val="left"/>
      <w:lvlText w:val="2"/>
      <w:numFmt w:val="bullet"/>
      <w:start w:val="1"/>
    </w:lvl>
  </w:abstractNum>
  <w:abstractNum w:abstractNumId="228">
    <w:nsid w:val="508ED897"/>
    <w:multiLevelType w:val="hybridMultilevel"/>
    <w:lvl w:ilvl="0">
      <w:lvlJc w:val="left"/>
      <w:lvlText w:val="3"/>
      <w:numFmt w:val="bullet"/>
      <w:start w:val="1"/>
    </w:lvl>
  </w:abstractNum>
  <w:abstractNum w:abstractNumId="229">
    <w:nsid w:val="6A9126B5"/>
    <w:multiLevelType w:val="hybridMultilevel"/>
    <w:lvl w:ilvl="0">
      <w:lvlJc w:val="left"/>
      <w:lvlText w:val="4"/>
      <w:numFmt w:val="bullet"/>
      <w:start w:val="1"/>
    </w:lvl>
  </w:abstractNum>
  <w:abstractNum w:abstractNumId="230">
    <w:nsid w:val="68104812"/>
    <w:multiLevelType w:val="hybridMultilevel"/>
    <w:lvl w:ilvl="0">
      <w:lvlJc w:val="left"/>
      <w:lvlText w:val="%1."/>
      <w:numFmt w:val="decimal"/>
      <w:start w:val="1"/>
    </w:lvl>
  </w:abstractNum>
  <w:abstractNum w:abstractNumId="231">
    <w:nsid w:val="62FB8680"/>
    <w:multiLevelType w:val="hybridMultilevel"/>
    <w:lvl w:ilvl="0">
      <w:lvlJc w:val="left"/>
      <w:lvlText w:val="%1."/>
      <w:numFmt w:val="decimal"/>
      <w:start w:val="2"/>
    </w:lvl>
  </w:abstractNum>
  <w:abstractNum w:abstractNumId="232">
    <w:nsid w:val="3A45530"/>
    <w:multiLevelType w:val="hybridMultilevel"/>
    <w:lvl w:ilvl="0">
      <w:lvlJc w:val="left"/>
      <w:lvlText w:val="%1."/>
      <w:numFmt w:val="decimal"/>
      <w:start w:val="3"/>
    </w:lvl>
  </w:abstractNum>
  <w:abstractNum w:abstractNumId="233">
    <w:nsid w:val="4B9275D2"/>
    <w:multiLevelType w:val="hybridMultilevel"/>
    <w:lvl w:ilvl="0">
      <w:lvlJc w:val="left"/>
      <w:lvlText w:val="5"/>
      <w:numFmt w:val="bullet"/>
      <w:start w:val="1"/>
    </w:lvl>
  </w:abstractNum>
  <w:abstractNum w:abstractNumId="234">
    <w:nsid w:val="4F0CEEDB"/>
    <w:multiLevelType w:val="hybridMultilevel"/>
    <w:lvl w:ilvl="0">
      <w:lvlJc w:val="left"/>
      <w:lvlText w:val="6"/>
      <w:numFmt w:val="bullet"/>
      <w:start w:val="1"/>
    </w:lvl>
  </w:abstractNum>
  <w:abstractNum w:abstractNumId="235">
    <w:nsid w:val="61C30361"/>
    <w:multiLevelType w:val="hybridMultilevel"/>
    <w:lvl w:ilvl="0">
      <w:lvlJc w:val="left"/>
      <w:lvlText w:val="7"/>
      <w:numFmt w:val="bullet"/>
      <w:start w:val="1"/>
    </w:lvl>
  </w:abstractNum>
  <w:abstractNum w:abstractNumId="236">
    <w:nsid w:val="632099E0"/>
    <w:multiLevelType w:val="hybridMultilevel"/>
    <w:lvl w:ilvl="0">
      <w:lvlJc w:val="left"/>
      <w:lvlText w:val="8"/>
      <w:numFmt w:val="bullet"/>
      <w:start w:val="1"/>
    </w:lvl>
  </w:abstractNum>
  <w:abstractNum w:abstractNumId="237">
    <w:nsid w:val="24639756"/>
    <w:multiLevelType w:val="hybridMultilevel"/>
    <w:lvl w:ilvl="0">
      <w:lvlJc w:val="left"/>
      <w:lvlText w:val="%1"/>
      <w:numFmt w:val="decimal"/>
      <w:start w:val="11"/>
    </w:lvl>
  </w:abstractNum>
  <w:abstractNum w:abstractNumId="238">
    <w:nsid w:val="9D30DFD"/>
    <w:multiLevelType w:val="hybridMultilevel"/>
    <w:lvl w:ilvl="0">
      <w:lvlJc w:val="left"/>
      <w:lvlText w:val="%1"/>
      <w:numFmt w:val="decimal"/>
      <w:start w:val="14"/>
    </w:lvl>
  </w:abstractNum>
  <w:abstractNum w:abstractNumId="239">
    <w:nsid w:val="70A42016"/>
    <w:multiLevelType w:val="hybridMultilevel"/>
    <w:lvl w:ilvl="0">
      <w:lvlJc w:val="left"/>
      <w:lvlText w:val="(%1)"/>
      <w:numFmt w:val="lowerRoman"/>
      <w:start w:val="4"/>
    </w:lvl>
  </w:abstractNum>
  <w:abstractNum w:abstractNumId="240">
    <w:nsid w:val="161BC243"/>
    <w:multiLevelType w:val="hybridMultilevel"/>
    <w:lvl w:ilvl="0">
      <w:lvlJc w:val="left"/>
      <w:lvlText w:val="%1."/>
      <w:numFmt w:val="decimal"/>
      <w:start w:val="2"/>
    </w:lvl>
  </w:abstractNum>
  <w:abstractNum w:abstractNumId="241">
    <w:nsid w:val="16E908C8"/>
    <w:multiLevelType w:val="hybridMultilevel"/>
    <w:lvl w:ilvl="0">
      <w:lvlJc w:val="left"/>
      <w:lvlText w:val="%1."/>
      <w:numFmt w:val="decimal"/>
      <w:start w:val="1"/>
    </w:lvl>
  </w:abstractNum>
  <w:abstractNum w:abstractNumId="242">
    <w:nsid w:val="2E0D7671"/>
    <w:multiLevelType w:val="hybridMultilevel"/>
    <w:lvl w:ilvl="0">
      <w:lvlJc w:val="left"/>
      <w:lvlText w:val="%1"/>
      <w:numFmt w:val="lowerLetter"/>
      <w:start w:val="1"/>
    </w:lvl>
    <w:lvl w:ilvl="1">
      <w:lvlJc w:val="left"/>
      <w:lvlText w:val="%2."/>
      <w:numFmt w:val="decimal"/>
      <w:start w:val="2"/>
    </w:lvl>
  </w:abstractNum>
  <w:abstractNum w:abstractNumId="243">
    <w:nsid w:val="38B59EFF"/>
    <w:multiLevelType w:val="hybridMultilevel"/>
    <w:lvl w:ilvl="0">
      <w:lvlJc w:val="left"/>
      <w:lvlText w:val="(%1)"/>
      <w:numFmt w:val="lowerLetter"/>
      <w:start w:val="2"/>
    </w:lvl>
    <w:lvl w:ilvl="1">
      <w:lvlJc w:val="left"/>
      <w:lvlText w:val="%2."/>
      <w:numFmt w:val="decimal"/>
      <w:start w:val="4"/>
    </w:lvl>
  </w:abstractNum>
  <w:abstractNum w:abstractNumId="244">
    <w:nsid w:val="307995CA"/>
    <w:multiLevelType w:val="hybridMultilevel"/>
    <w:lvl w:ilvl="0">
      <w:lvlJc w:val="left"/>
      <w:lvlText w:val="%1."/>
      <w:numFmt w:val="decimal"/>
      <w:start w:val="7"/>
    </w:lvl>
  </w:abstractNum>
  <w:abstractNum w:abstractNumId="245">
    <w:nsid w:val="52E2024D"/>
    <w:multiLevelType w:val="hybridMultilevel"/>
    <w:lvl w:ilvl="0">
      <w:lvlJc w:val="left"/>
      <w:lvlText w:val="(%1)"/>
      <w:numFmt w:val="lowerLetter"/>
      <w:start w:val="2"/>
    </w:lvl>
  </w:abstractNum>
  <w:abstractNum w:abstractNumId="246">
    <w:nsid w:val="CE344B5"/>
    <w:multiLevelType w:val="hybridMultilevel"/>
    <w:lvl w:ilvl="0">
      <w:lvlJc w:val="left"/>
      <w:lvlText w:val="%1."/>
      <w:numFmt w:val="decimal"/>
      <w:start w:val="8"/>
    </w:lvl>
  </w:abstractNum>
  <w:abstractNum w:abstractNumId="247">
    <w:nsid w:val="29B0E9A8"/>
    <w:multiLevelType w:val="hybridMultilevel"/>
    <w:lvl w:ilvl="0">
      <w:lvlJc w:val="left"/>
      <w:lvlText w:val="(%1)"/>
      <w:numFmt w:val="lowerLetter"/>
      <w:start w:val="2"/>
    </w:lvl>
  </w:abstractNum>
  <w:abstractNum w:abstractNumId="248">
    <w:nsid w:val="6F49CD8A"/>
    <w:multiLevelType w:val="hybridMultilevel"/>
    <w:lvl w:ilvl="0">
      <w:lvlJc w:val="left"/>
      <w:lvlText w:val="%1."/>
      <w:numFmt w:val="decimal"/>
      <w:start w:val="9"/>
    </w:lvl>
  </w:abstractNum>
  <w:abstractNum w:abstractNumId="249">
    <w:nsid w:val="4DC5D907"/>
    <w:multiLevelType w:val="hybridMultilevel"/>
    <w:lvl w:ilvl="0">
      <w:lvlJc w:val="left"/>
      <w:lvlText w:val="%1."/>
      <w:numFmt w:val="decimal"/>
      <w:start w:val="14"/>
    </w:lvl>
  </w:abstractNum>
  <w:abstractNum w:abstractNumId="250">
    <w:nsid w:val="D55945E"/>
    <w:multiLevelType w:val="hybridMultilevel"/>
    <w:lvl w:ilvl="0">
      <w:lvlJc w:val="left"/>
      <w:lvlText w:val="%1."/>
      <w:numFmt w:val="decimal"/>
      <w:start w:val="16"/>
    </w:lvl>
  </w:abstractNum>
  <w:abstractNum w:abstractNumId="251">
    <w:nsid w:val="672417E1"/>
    <w:multiLevelType w:val="hybridMultilevel"/>
    <w:lvl w:ilvl="0">
      <w:lvlJc w:val="left"/>
      <w:lvlText w:val="%1."/>
      <w:numFmt w:val="decimal"/>
      <w:start w:val="20"/>
    </w:lvl>
  </w:abstractNum>
  <w:abstractNum w:abstractNumId="252">
    <w:nsid w:val="5FF6CA09"/>
    <w:multiLevelType w:val="hybridMultilevel"/>
    <w:lvl w:ilvl="0">
      <w:lvlJc w:val="left"/>
      <w:lvlText w:val="%1"/>
      <w:numFmt w:val="lowerLetter"/>
      <w:start w:val="1"/>
    </w:lvl>
    <w:lvl w:ilvl="1">
      <w:lvlJc w:val="left"/>
      <w:lvlText w:val="%2."/>
      <w:numFmt w:val="decimal"/>
      <w:start w:val="22"/>
    </w:lvl>
  </w:abstractNum>
  <w:abstractNum w:abstractNumId="253">
    <w:nsid w:val="330B1333"/>
    <w:multiLevelType w:val="hybridMultilevel"/>
    <w:lvl w:ilvl="0">
      <w:lvlJc w:val="left"/>
      <w:lvlText w:val="(%1)"/>
      <w:numFmt w:val="lowerLetter"/>
      <w:start w:val="1"/>
    </w:lvl>
    <w:lvl w:ilvl="1">
      <w:lvlJc w:val="left"/>
      <w:lvlText w:val="%2."/>
      <w:numFmt w:val="decimal"/>
      <w:start w:val="24"/>
    </w:lvl>
  </w:abstractNum>
  <w:abstractNum w:abstractNumId="254">
    <w:nsid w:val="2EF32EA6"/>
    <w:multiLevelType w:val="hybridMultilevel"/>
    <w:lvl w:ilvl="0">
      <w:lvlJc w:val="left"/>
      <w:lvlText w:val="%1."/>
      <w:numFmt w:val="upperLetter"/>
      <w:start w:val="1"/>
    </w:lvl>
  </w:abstractNum>
  <w:abstractNum w:abstractNumId="255">
    <w:nsid w:val="32766A55"/>
    <w:multiLevelType w:val="hybridMultilevel"/>
    <w:lvl w:ilvl="0">
      <w:lvlJc w:val="left"/>
      <w:lvlText w:val="["/>
      <w:numFmt w:val="bullet"/>
      <w:start w:val="1"/>
    </w:lvl>
  </w:abstractNum>
  <w:abstractNum w:abstractNumId="256">
    <w:nsid w:val="22D71957"/>
    <w:multiLevelType w:val="hybridMultilevel"/>
    <w:lvl w:ilvl="0">
      <w:lvlJc w:val="left"/>
      <w:lvlText w:val="%1."/>
      <w:numFmt w:val="decimal"/>
      <w:start w:val="1"/>
    </w:lvl>
  </w:abstractNum>
  <w:abstractNum w:abstractNumId="257">
    <w:nsid w:val="4CC1263B"/>
    <w:multiLevelType w:val="hybridMultilevel"/>
    <w:lvl w:ilvl="0">
      <w:lvlJc w:val="left"/>
      <w:lvlText w:val="(%1)"/>
      <w:numFmt w:val="lowerRoman"/>
      <w:start w:val="2"/>
    </w:lvl>
  </w:abstractNum>
  <w:abstractNum w:abstractNumId="258">
    <w:nsid w:val="8BBEB1D"/>
    <w:multiLevelType w:val="hybridMultilevel"/>
    <w:lvl w:ilvl="0">
      <w:lvlJc w:val="left"/>
      <w:lvlText w:val="(%1)"/>
      <w:numFmt w:val="lowerRoman"/>
      <w:start w:val="2"/>
    </w:lvl>
  </w:abstractNum>
  <w:abstractNum w:abstractNumId="259">
    <w:nsid w:val="7365F1EE"/>
    <w:multiLevelType w:val="hybridMultilevel"/>
    <w:lvl w:ilvl="0">
      <w:lvlJc w:val="left"/>
      <w:lvlText w:val="(%1)"/>
      <w:numFmt w:val="lowerLetter"/>
      <w:start w:val="1"/>
    </w:lvl>
  </w:abstractNum>
  <w:abstractNum w:abstractNumId="260">
    <w:nsid w:val="37524CF0"/>
    <w:multiLevelType w:val="hybridMultilevel"/>
    <w:lvl w:ilvl="0">
      <w:lvlJc w:val="left"/>
      <w:lvlText w:val="(%1)"/>
      <w:numFmt w:val="lowerLetter"/>
      <w:start w:val="1"/>
    </w:lvl>
  </w:abstractNum>
  <w:abstractNum w:abstractNumId="261">
    <w:nsid w:val="70CC332F"/>
    <w:multiLevelType w:val="hybridMultilevel"/>
    <w:lvl w:ilvl="0">
      <w:lvlJc w:val="left"/>
      <w:lvlText w:val="(%1)"/>
      <w:numFmt w:val="lowerLetter"/>
      <w:start w:val="1"/>
    </w:lvl>
    <w:lvl w:ilvl="1">
      <w:lvlJc w:val="left"/>
      <w:lvlText w:val="(%2)"/>
      <w:numFmt w:val="lowerRoman"/>
      <w:start w:val="1"/>
    </w:lvl>
  </w:abstractNum>
  <w:abstractNum w:abstractNumId="262">
    <w:nsid w:val="5661786E"/>
    <w:multiLevelType w:val="hybridMultilevel"/>
    <w:lvl w:ilvl="0">
      <w:lvlJc w:val="left"/>
      <w:lvlText w:val="%1"/>
      <w:numFmt w:val="lowerLetter"/>
      <w:start w:val="1"/>
    </w:lvl>
    <w:lvl w:ilvl="1">
      <w:lvlJc w:val="left"/>
      <w:lvlText w:val="(%2)"/>
      <w:numFmt w:val="lowerRoman"/>
      <w:start w:val="7"/>
    </w:lvl>
  </w:abstractNum>
  <w:abstractNum w:abstractNumId="263">
    <w:nsid w:val="3AF6A220"/>
    <w:multiLevelType w:val="hybridMultilevel"/>
    <w:lvl w:ilvl="0">
      <w:lvlJc w:val="left"/>
      <w:lvlText w:val="(%1)"/>
      <w:numFmt w:val="lowerLetter"/>
      <w:start w:val="2"/>
    </w:lvl>
    <w:lvl w:ilvl="1">
      <w:lvlJc w:val="left"/>
      <w:lvlText w:val="%2"/>
      <w:numFmt w:val="lowerRoman"/>
      <w:start w:val="1"/>
    </w:lvl>
  </w:abstractNum>
  <w:abstractNum w:abstractNumId="264">
    <w:nsid w:val="3C5EA902"/>
    <w:multiLevelType w:val="hybridMultilevel"/>
    <w:lvl w:ilvl="0">
      <w:lvlJc w:val="left"/>
      <w:lvlText w:val="(%1)"/>
      <w:numFmt w:val="lowerLetter"/>
      <w:start w:val="61"/>
    </w:lvl>
    <w:lvl w:ilvl="1">
      <w:lvlJc w:val="left"/>
      <w:lvlText w:val="(%2)"/>
      <w:numFmt w:val="lowerLetter"/>
      <w:start w:val="1"/>
    </w:lvl>
  </w:abstractNum>
  <w:abstractNum w:abstractNumId="265">
    <w:nsid w:val="256E6749"/>
    <w:multiLevelType w:val="hybridMultilevel"/>
    <w:lvl w:ilvl="0">
      <w:lvlJc w:val="left"/>
      <w:lvlText w:val="%1"/>
      <w:numFmt w:val="lowerLetter"/>
      <w:start w:val="1"/>
    </w:lvl>
    <w:lvl w:ilvl="1">
      <w:lvlJc w:val="left"/>
      <w:lvlText w:val="(%2)"/>
      <w:numFmt w:val="lowerLetter"/>
      <w:start w:val="1"/>
    </w:lvl>
  </w:abstractNum>
  <w:abstractNum w:abstractNumId="266">
    <w:nsid w:val="1CB9A581"/>
    <w:multiLevelType w:val="hybridMultilevel"/>
    <w:lvl w:ilvl="0">
      <w:lvlJc w:val="left"/>
      <w:lvlText w:val="(%1)"/>
      <w:numFmt w:val="lowerLetter"/>
      <w:start w:val="9"/>
    </w:lvl>
    <w:lvl w:ilvl="1">
      <w:lvlJc w:val="left"/>
      <w:lvlText w:val="%2"/>
      <w:numFmt w:val="lowerLetter"/>
      <w:start w:val="1"/>
    </w:lvl>
  </w:abstractNum>
  <w:abstractNum w:abstractNumId="267">
    <w:nsid w:val="1F7F42E2"/>
    <w:multiLevelType w:val="hybridMultilevel"/>
    <w:lvl w:ilvl="0">
      <w:lvlJc w:val="left"/>
      <w:lvlText w:val="(%1)"/>
      <w:numFmt w:val="lowerLetter"/>
      <w:start w:val="2"/>
    </w:lvl>
  </w:abstractNum>
  <w:abstractNum w:abstractNumId="268">
    <w:nsid w:val="49D1FEA0"/>
    <w:multiLevelType w:val="hybridMultilevel"/>
    <w:lvl w:ilvl="0">
      <w:lvlJc w:val="left"/>
      <w:lvlText w:val="(%1)"/>
      <w:numFmt w:val="lowerLetter"/>
      <w:start w:val="1"/>
    </w:lvl>
  </w:abstractNum>
  <w:abstractNum w:abstractNumId="269">
    <w:nsid w:val="268CB37F"/>
    <w:multiLevelType w:val="hybridMultilevel"/>
    <w:lvl w:ilvl="0">
      <w:lvlJc w:val="left"/>
      <w:lvlText w:val="(%1)"/>
      <w:numFmt w:val="lowerLetter"/>
      <w:start w:val="1"/>
    </w:lvl>
  </w:abstractNum>
  <w:abstractNum w:abstractNumId="270">
    <w:nsid w:val="102362F8"/>
    <w:multiLevelType w:val="hybridMultilevel"/>
    <w:lvl w:ilvl="0">
      <w:lvlJc w:val="left"/>
      <w:lvlText w:val="(%1)"/>
      <w:numFmt w:val="lowerRoman"/>
      <w:start w:val="4"/>
    </w:lvl>
  </w:abstractNum>
  <w:abstractNum w:abstractNumId="271">
    <w:nsid w:val="5FEDC0E3"/>
    <w:multiLevelType w:val="hybridMultilevel"/>
    <w:lvl w:ilvl="0">
      <w:lvlJc w:val="left"/>
      <w:lvlText w:val="(%1)"/>
      <w:numFmt w:val="decimal"/>
      <w:start w:val="2"/>
    </w:lvl>
  </w:abstractNum>
  <w:abstractNum w:abstractNumId="272">
    <w:nsid w:val="3D75BC47"/>
    <w:multiLevelType w:val="hybridMultilevel"/>
    <w:lvl w:ilvl="0">
      <w:lvlJc w:val="left"/>
      <w:lvlText w:val="(%1)"/>
      <w:numFmt w:val="decimal"/>
      <w:start w:val="2"/>
    </w:lvl>
  </w:abstractNum>
  <w:abstractNum w:abstractNumId="273">
    <w:nsid w:val="3E30D969"/>
    <w:multiLevelType w:val="hybridMultilevel"/>
    <w:lvl w:ilvl="0">
      <w:lvlJc w:val="left"/>
      <w:lvlText w:val="(%1)"/>
      <w:numFmt w:val="lowerLetter"/>
      <w:start w:val="2"/>
    </w:lvl>
  </w:abstractNum>
  <w:abstractNum w:abstractNumId="274">
    <w:nsid w:val="18A35FE3"/>
    <w:multiLevelType w:val="hybridMultilevel"/>
    <w:lvl w:ilvl="0">
      <w:lvlJc w:val="left"/>
      <w:lvlText w:val="(%1)"/>
      <w:numFmt w:val="lowerLetter"/>
      <w:start w:val="1"/>
    </w:lvl>
  </w:abstractNum>
  <w:abstractNum w:abstractNumId="275">
    <w:nsid w:val="6DEF5211"/>
    <w:multiLevelType w:val="hybridMultilevel"/>
    <w:lvl w:ilvl="0">
      <w:lvlJc w:val="left"/>
      <w:lvlText w:val="(%1)"/>
      <w:numFmt w:val="lowerLetter"/>
      <w:start w:val="1"/>
    </w:lvl>
  </w:abstractNum>
  <w:abstractNum w:abstractNumId="276">
    <w:nsid w:val="1112DBB6"/>
    <w:multiLevelType w:val="hybridMultilevel"/>
    <w:lvl w:ilvl="0">
      <w:lvlJc w:val="left"/>
      <w:lvlText w:val="(%1)"/>
      <w:numFmt w:val="lowerRoman"/>
      <w:start w:val="1"/>
    </w:lvl>
  </w:abstractNum>
  <w:abstractNum w:abstractNumId="277">
    <w:nsid w:val="2586A498"/>
    <w:multiLevelType w:val="hybridMultilevel"/>
    <w:lvl w:ilvl="0">
      <w:lvlJc w:val="left"/>
      <w:lvlText w:val="(%1)"/>
      <w:numFmt w:val="upperLetter"/>
      <w:start w:val="2"/>
    </w:lvl>
  </w:abstractNum>
  <w:abstractNum w:abstractNumId="278">
    <w:nsid w:val="17A03BB9"/>
    <w:multiLevelType w:val="hybridMultilevel"/>
    <w:lvl w:ilvl="0">
      <w:lvlJc w:val="left"/>
      <w:lvlText w:val="(%1)"/>
      <w:numFmt w:val="lowerLetter"/>
      <w:start w:val="1"/>
    </w:lvl>
  </w:abstractNum>
  <w:abstractNum w:abstractNumId="279">
    <w:nsid w:val="5CA941"/>
    <w:multiLevelType w:val="hybridMultilevel"/>
    <w:lvl w:ilvl="0">
      <w:lvlJc w:val="left"/>
      <w:lvlText w:val="(%1)"/>
      <w:numFmt w:val="lowerRoman"/>
      <w:start w:val="1"/>
    </w:lvl>
  </w:abstractNum>
  <w:abstractNum w:abstractNumId="280">
    <w:nsid w:val="734C7D9F"/>
    <w:multiLevelType w:val="hybridMultilevel"/>
    <w:lvl w:ilvl="0">
      <w:lvlJc w:val="left"/>
      <w:lvlText w:val="%1"/>
      <w:numFmt w:val="lowerLetter"/>
      <w:start w:val="1"/>
    </w:lvl>
    <w:lvl w:ilvl="1">
      <w:lvlJc w:val="left"/>
      <w:lvlText w:val="(%2)"/>
      <w:numFmt w:val="lowerLetter"/>
      <w:start w:val="1"/>
    </w:lvl>
  </w:abstractNum>
  <w:abstractNum w:abstractNumId="281">
    <w:nsid w:val="24F5D018"/>
    <w:multiLevelType w:val="hybridMultilevel"/>
    <w:lvl w:ilvl="0">
      <w:lvlJc w:val="left"/>
      <w:lvlText w:val="(%1)"/>
      <w:numFmt w:val="lowerLetter"/>
      <w:start w:val="2"/>
    </w:lvl>
    <w:lvl w:ilvl="1">
      <w:lvlJc w:val="left"/>
      <w:lvlText w:val="(%2)"/>
      <w:numFmt w:val="lowerLetter"/>
      <w:start w:val="3"/>
    </w:lvl>
  </w:abstractNum>
  <w:abstractNum w:abstractNumId="282">
    <w:nsid w:val="6780C122"/>
    <w:multiLevelType w:val="hybridMultilevel"/>
    <w:lvl w:ilvl="0">
      <w:lvlJc w:val="left"/>
      <w:lvlText w:val="(%1)"/>
      <w:numFmt w:val="lowerLetter"/>
      <w:start w:val="1"/>
    </w:lvl>
  </w:abstractNum>
  <w:abstractNum w:abstractNumId="283">
    <w:nsid w:val="534347A8"/>
    <w:multiLevelType w:val="hybridMultilevel"/>
    <w:lvl w:ilvl="0">
      <w:lvlJc w:val="left"/>
      <w:lvlText w:val="(%1)"/>
      <w:numFmt w:val="lowerLetter"/>
      <w:start w:val="2"/>
    </w:lvl>
  </w:abstractNum>
  <w:abstractNum w:abstractNumId="284">
    <w:nsid w:val="5800E34B"/>
    <w:multiLevelType w:val="hybridMultilevel"/>
    <w:lvl w:ilvl="0">
      <w:lvlJc w:val="left"/>
      <w:lvlText w:val="%1"/>
      <w:numFmt w:val="lowerLetter"/>
      <w:start w:val="1"/>
    </w:lvl>
    <w:lvl w:ilvl="1">
      <w:lvlJc w:val="left"/>
      <w:lvlText w:val="(%2)"/>
      <w:numFmt w:val="lowerLetter"/>
      <w:start w:val="4"/>
    </w:lvl>
  </w:abstractNum>
  <w:abstractNum w:abstractNumId="285">
    <w:nsid w:val="1673EFC8"/>
    <w:multiLevelType w:val="hybridMultilevel"/>
    <w:lvl w:ilvl="0">
      <w:lvlJc w:val="left"/>
      <w:lvlText w:val="(%1)"/>
      <w:numFmt w:val="lowerLetter"/>
      <w:start w:val="5"/>
    </w:lvl>
    <w:lvl w:ilvl="1">
      <w:lvlJc w:val="left"/>
      <w:lvlText w:val="(%2)"/>
      <w:numFmt w:val="lowerLetter"/>
      <w:start w:val="7"/>
    </w:lvl>
  </w:abstractNum>
  <w:abstractNum w:abstractNumId="286">
    <w:nsid w:val="5B9B1FD"/>
    <w:multiLevelType w:val="hybridMultilevel"/>
    <w:lvl w:ilvl="0">
      <w:lvlJc w:val="left"/>
      <w:lvlText w:val="(%1)"/>
      <w:numFmt w:val="lowerLetter"/>
      <w:start w:val="25"/>
    </w:lvl>
  </w:abstractNum>
  <w:abstractNum w:abstractNumId="287">
    <w:nsid w:val="7AD7FCA2"/>
    <w:multiLevelType w:val="hybridMultilevel"/>
    <w:lvl w:ilvl="0">
      <w:lvlJc w:val="left"/>
      <w:lvlText w:val="(%1)"/>
      <w:numFmt w:val="lowerLetter"/>
      <w:start w:val="1"/>
    </w:lvl>
  </w:abstractNum>
  <w:abstractNum w:abstractNumId="288">
    <w:nsid w:val="63351604"/>
    <w:multiLevelType w:val="hybridMultilevel"/>
    <w:lvl w:ilvl="0">
      <w:lvlJc w:val="left"/>
      <w:lvlText w:val="(%1)"/>
      <w:numFmt w:val="lowerLetter"/>
      <w:start w:val="2"/>
    </w:lvl>
  </w:abstractNum>
  <w:abstractNum w:abstractNumId="289">
    <w:nsid w:val="E759D1A"/>
    <w:multiLevelType w:val="hybridMultilevel"/>
    <w:lvl w:ilvl="0">
      <w:lvlJc w:val="left"/>
      <w:lvlText w:val="(%1)"/>
      <w:numFmt w:val="lowerLetter"/>
      <w:start w:val="1"/>
    </w:lvl>
  </w:abstractNum>
  <w:abstractNum w:abstractNumId="290">
    <w:nsid w:val="6E3DEE90"/>
    <w:multiLevelType w:val="hybridMultilevel"/>
    <w:lvl w:ilvl="0">
      <w:lvlJc w:val="left"/>
      <w:lvlText w:val="(%1)"/>
      <w:numFmt w:val="lowerLetter"/>
      <w:start w:val="1"/>
    </w:lvl>
  </w:abstractNum>
  <w:abstractNum w:abstractNumId="291">
    <w:nsid w:val="1A8762F4"/>
    <w:multiLevelType w:val="hybridMultilevel"/>
    <w:lvl w:ilvl="0">
      <w:lvlJc w:val="left"/>
      <w:lvlText w:val="(%1)"/>
      <w:numFmt w:val="lowerLetter"/>
      <w:start w:val="2"/>
    </w:lvl>
  </w:abstractNum>
  <w:abstractNum w:abstractNumId="292">
    <w:nsid w:val="7F41D049"/>
    <w:multiLevelType w:val="hybridMultilevel"/>
    <w:lvl w:ilvl="0">
      <w:lvlJc w:val="left"/>
      <w:lvlText w:val="(%1)"/>
      <w:numFmt w:val="lowerLetter"/>
      <w:start w:val="1"/>
    </w:lvl>
  </w:abstractNum>
  <w:abstractNum w:abstractNumId="293">
    <w:nsid w:val="449F66FE"/>
    <w:multiLevelType w:val="hybridMultilevel"/>
    <w:lvl w:ilvl="0">
      <w:lvlJc w:val="left"/>
      <w:lvlText w:val="(%1)"/>
      <w:numFmt w:val="lowerLetter"/>
      <w:start w:val="1"/>
    </w:lvl>
    <w:lvl w:ilvl="1">
      <w:lvlJc w:val="left"/>
      <w:lvlText w:val="(%2)"/>
      <w:numFmt w:val="lowerLetter"/>
      <w:start w:val="35"/>
    </w:lvl>
  </w:abstractNum>
  <w:abstractNum w:abstractNumId="294">
    <w:nsid w:val="557E0515"/>
    <w:multiLevelType w:val="hybridMultilevel"/>
    <w:lvl w:ilvl="0">
      <w:lvlJc w:val="left"/>
      <w:lvlText w:val="(%1)"/>
      <w:numFmt w:val="lowerLetter"/>
      <w:start w:val="1"/>
    </w:lvl>
  </w:abstractNum>
  <w:abstractNum w:abstractNumId="295">
    <w:nsid w:val="3BA0794B"/>
    <w:multiLevelType w:val="hybridMultilevel"/>
    <w:lvl w:ilvl="0">
      <w:lvlJc w:val="left"/>
      <w:lvlText w:val="(%1)"/>
      <w:numFmt w:val="lowerRoman"/>
      <w:start w:val="2"/>
    </w:lvl>
  </w:abstractNum>
  <w:abstractNum w:abstractNumId="296">
    <w:nsid w:val="6A0DCE48"/>
    <w:multiLevelType w:val="hybridMultilevel"/>
    <w:lvl w:ilvl="0">
      <w:lvlJc w:val="left"/>
      <w:lvlText w:val="(%1)"/>
      <w:numFmt w:val="lowerLetter"/>
      <w:start w:val="1"/>
    </w:lvl>
  </w:abstractNum>
  <w:abstractNum w:abstractNumId="297">
    <w:nsid w:val="7237AA96"/>
    <w:multiLevelType w:val="hybridMultilevel"/>
    <w:lvl w:ilvl="0">
      <w:lvlJc w:val="left"/>
      <w:lvlText w:val="(%1)"/>
      <w:numFmt w:val="lowerLetter"/>
      <w:start w:val="6"/>
    </w:lvl>
  </w:abstractNum>
  <w:abstractNum w:abstractNumId="298">
    <w:nsid w:val="5B1FBC2D"/>
    <w:multiLevelType w:val="hybridMultilevel"/>
    <w:lvl w:ilvl="0">
      <w:lvlJc w:val="left"/>
      <w:lvlText w:val="(%1)"/>
      <w:numFmt w:val="lowerLetter"/>
      <w:start w:val="1"/>
    </w:lvl>
  </w:abstractNum>
  <w:abstractNum w:abstractNumId="299">
    <w:nsid w:val="33DFCCE8"/>
    <w:multiLevelType w:val="hybridMultilevel"/>
    <w:lvl w:ilvl="0">
      <w:lvlJc w:val="left"/>
      <w:lvlText w:val="(%1)"/>
      <w:numFmt w:val="lowerRoman"/>
      <w:start w:val="2"/>
    </w:lvl>
  </w:abstractNum>
  <w:abstractNum w:abstractNumId="300">
    <w:nsid w:val="18C45E15"/>
    <w:multiLevelType w:val="hybridMultilevel"/>
    <w:lvl w:ilvl="0">
      <w:lvlJc w:val="left"/>
      <w:lvlText w:val="(%1)"/>
      <w:numFmt w:val="lowerLetter"/>
      <w:start w:val="2"/>
    </w:lvl>
  </w:abstractNum>
  <w:abstractNum w:abstractNumId="301">
    <w:nsid w:val="6B431F25"/>
    <w:multiLevelType w:val="hybridMultilevel"/>
    <w:lvl w:ilvl="0">
      <w:lvlJc w:val="left"/>
      <w:lvlText w:val="(%1)"/>
      <w:numFmt w:val="lowerRoman"/>
      <w:start w:val="2"/>
    </w:lvl>
    <w:lvl w:ilvl="1">
      <w:lvlJc w:val="left"/>
      <w:lvlText w:val="(%2)"/>
      <w:numFmt w:val="lowerRoman"/>
      <w:start w:val="1"/>
    </w:lvl>
  </w:abstractNum>
  <w:abstractNum w:abstractNumId="302">
    <w:nsid w:val="13CD8DCB"/>
    <w:multiLevelType w:val="hybridMultilevel"/>
    <w:lvl w:ilvl="0">
      <w:lvlJc w:val="left"/>
      <w:lvlText w:val="(%1)"/>
      <w:numFmt w:val="lowerLetter"/>
      <w:start w:val="1"/>
    </w:lvl>
  </w:abstractNum>
  <w:abstractNum w:abstractNumId="303">
    <w:nsid w:val="563A1A5C"/>
    <w:multiLevelType w:val="hybridMultilevel"/>
    <w:lvl w:ilvl="0">
      <w:lvlJc w:val="left"/>
      <w:lvlText w:val="%1"/>
      <w:numFmt w:val="lowerLetter"/>
      <w:start w:val="1"/>
    </w:lvl>
    <w:lvl w:ilvl="1">
      <w:lvlJc w:val="left"/>
      <w:lvlText w:val="(%2)"/>
      <w:numFmt w:val="lowerLetter"/>
      <w:start w:val="2"/>
    </w:lvl>
  </w:abstractNum>
  <w:abstractNum w:abstractNumId="304">
    <w:nsid w:val="2973F88F"/>
    <w:multiLevelType w:val="hybridMultilevel"/>
    <w:lvl w:ilvl="0">
      <w:lvlJc w:val="left"/>
      <w:lvlText w:val="(%1)"/>
      <w:numFmt w:val="lowerLetter"/>
      <w:start w:val="2"/>
    </w:lvl>
    <w:lvl w:ilvl="1">
      <w:lvlJc w:val="left"/>
      <w:lvlText w:val="%2"/>
      <w:numFmt w:val="lowerLetter"/>
      <w:start w:val="1"/>
    </w:lvl>
  </w:abstractNum>
  <w:abstractNum w:abstractNumId="305">
    <w:nsid w:val="2C70EDAE"/>
    <w:multiLevelType w:val="hybridMultilevel"/>
    <w:lvl w:ilvl="0">
      <w:lvlJc w:val="left"/>
      <w:lvlText w:val="(%1)"/>
      <w:numFmt w:val="lowerLetter"/>
      <w:start w:val="4"/>
    </w:lvl>
  </w:abstractNum>
  <w:abstractNum w:abstractNumId="306">
    <w:nsid w:val="44296C6D"/>
    <w:multiLevelType w:val="hybridMultilevel"/>
    <w:lvl w:ilvl="0">
      <w:lvlJc w:val="left"/>
      <w:lvlText w:val="(%1)"/>
      <w:numFmt w:val="lowerLetter"/>
      <w:start w:val="1"/>
    </w:lvl>
    <w:lvl w:ilvl="1">
      <w:lvlJc w:val="left"/>
      <w:lvlText w:val="(%2)"/>
      <w:numFmt w:val="lowerRoman"/>
      <w:start w:val="1"/>
    </w:lvl>
  </w:abstractNum>
  <w:abstractNum w:abstractNumId="307">
    <w:nsid w:val="3A86D445"/>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308">
    <w:nsid w:val="51F79246"/>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309">
    <w:nsid w:val="5BC9A827"/>
    <w:multiLevelType w:val="hybridMultilevel"/>
    <w:lvl w:ilvl="0">
      <w:lvlJc w:val="left"/>
      <w:lvlText w:val="(%1)"/>
      <w:numFmt w:val="lowerLetter"/>
      <w:start w:val="1"/>
    </w:lvl>
    <w:lvl w:ilvl="1">
      <w:lvlJc w:val="left"/>
      <w:lvlText w:val="(%2)"/>
      <w:numFmt w:val="lowerLetter"/>
      <w:start w:val="35"/>
    </w:lvl>
  </w:abstractNum>
  <w:abstractNum w:abstractNumId="310">
    <w:nsid w:val="3AE37D86"/>
    <w:multiLevelType w:val="hybridMultilevel"/>
    <w:lvl w:ilvl="0">
      <w:lvlJc w:val="left"/>
      <w:lvlText w:val="(%1)"/>
      <w:numFmt w:val="lowerLetter"/>
      <w:start w:val="2"/>
    </w:lvl>
    <w:lvl w:ilvl="1">
      <w:lvlJc w:val="left"/>
      <w:lvlText w:val="(%2)"/>
      <w:numFmt w:val="lowerLetter"/>
      <w:start w:val="35"/>
    </w:lvl>
  </w:abstractNum>
  <w:abstractNum w:abstractNumId="311">
    <w:nsid w:val="45440FE5"/>
    <w:multiLevelType w:val="hybridMultilevel"/>
    <w:lvl w:ilvl="0">
      <w:lvlJc w:val="left"/>
      <w:lvlText w:val="(%1)"/>
      <w:numFmt w:val="lowerLetter"/>
      <w:start w:val="5"/>
    </w:lvl>
    <w:lvl w:ilvl="1">
      <w:lvlJc w:val="left"/>
      <w:lvlText w:val="(%2)"/>
      <w:numFmt w:val="lowerRoman"/>
      <w:start w:val="1"/>
    </w:lvl>
  </w:abstractNum>
  <w:abstractNum w:abstractNumId="312">
    <w:nsid w:val="BF783F"/>
    <w:multiLevelType w:val="hybridMultilevel"/>
    <w:lvl w:ilvl="0">
      <w:lvlJc w:val="left"/>
      <w:lvlText w:val="(%1)"/>
      <w:numFmt w:val="upperLetter"/>
      <w:start w:val="1"/>
    </w:lvl>
    <w:lvl w:ilvl="1">
      <w:lvlJc w:val="left"/>
      <w:lvlText w:val="(%2)"/>
      <w:numFmt w:val="upperLetter"/>
      <w:start w:val="9"/>
    </w:lvl>
  </w:abstractNum>
  <w:abstractNum w:abstractNumId="313">
    <w:nsid w:val="22643EA9"/>
    <w:multiLevelType w:val="hybridMultilevel"/>
    <w:lvl w:ilvl="0">
      <w:lvlJc w:val="left"/>
      <w:lvlText w:val="(%1)"/>
      <w:numFmt w:val="upperLetter"/>
      <w:start w:val="35"/>
    </w:lvl>
  </w:abstractNum>
  <w:abstractNum w:abstractNumId="314">
    <w:nsid w:val="1887578D"/>
    <w:multiLevelType w:val="hybridMultilevel"/>
    <w:lvl w:ilvl="0">
      <w:lvlJc w:val="left"/>
      <w:lvlText w:val="(%1)"/>
      <w:numFmt w:val="upperLetter"/>
      <w:start w:val="61"/>
    </w:lvl>
  </w:abstractNum>
  <w:abstractNum w:abstractNumId="315">
    <w:nsid w:val="58C05B8A"/>
    <w:multiLevelType w:val="hybridMultilevel"/>
    <w:lvl w:ilvl="0">
      <w:lvlJc w:val="left"/>
      <w:lvlText w:val="%1"/>
      <w:numFmt w:val="lowerRoman"/>
      <w:start w:val="1"/>
    </w:lvl>
    <w:lvl w:ilvl="1">
      <w:lvlJc w:val="left"/>
      <w:lvlText w:val="(%2)"/>
      <w:numFmt w:val="upperLetter"/>
      <w:start w:val="3"/>
    </w:lvl>
  </w:abstractNum>
  <w:abstractNum w:abstractNumId="316">
    <w:nsid w:val="38D82E71"/>
    <w:multiLevelType w:val="hybridMultilevel"/>
    <w:lvl w:ilvl="0">
      <w:lvlJc w:val="left"/>
      <w:lvlText w:val="(%1)"/>
      <w:numFmt w:val="lowerRoman"/>
      <w:start w:val="1"/>
    </w:lvl>
    <w:lvl w:ilvl="1">
      <w:lvlJc w:val="left"/>
      <w:lvlText w:val="%2"/>
      <w:numFmt w:val="upperLetter"/>
      <w:start w:val="1"/>
    </w:lvl>
  </w:abstractNum>
  <w:abstractNum w:abstractNumId="317">
    <w:nsid w:val="1E41098A"/>
    <w:multiLevelType w:val="hybridMultilevel"/>
    <w:lvl w:ilvl="0">
      <w:lvlJc w:val="left"/>
      <w:lvlText w:val="(%1)"/>
      <w:numFmt w:val="lowerRoman"/>
      <w:start w:val="3"/>
    </w:lvl>
  </w:abstractNum>
  <w:abstractNum w:abstractNumId="318">
    <w:nsid w:val="5398582C"/>
    <w:multiLevelType w:val="hybridMultilevel"/>
    <w:lvl w:ilvl="0">
      <w:lvlJc w:val="left"/>
      <w:lvlText w:val="(%1)"/>
      <w:numFmt w:val="lowerLetter"/>
      <w:start w:val="6"/>
    </w:lvl>
  </w:abstractNum>
  <w:abstractNum w:abstractNumId="319">
    <w:nsid w:val="1C0D4475"/>
    <w:multiLevelType w:val="hybridMultilevel"/>
    <w:lvl w:ilvl="0">
      <w:lvlJc w:val="left"/>
      <w:lvlText w:val="(%1)"/>
      <w:numFmt w:val="lowerLetter"/>
      <w:start w:val="1"/>
    </w:lvl>
  </w:abstractNum>
  <w:abstractNum w:abstractNumId="320">
    <w:nsid w:val="2CB6A6A4"/>
    <w:multiLevelType w:val="hybridMultilevel"/>
    <w:lvl w:ilvl="0">
      <w:lvlJc w:val="left"/>
      <w:lvlText w:val="(%1)"/>
      <w:numFmt w:val="lowerLetter"/>
      <w:start w:val="1"/>
    </w:lvl>
  </w:abstractNum>
  <w:abstractNum w:abstractNumId="321">
    <w:nsid w:val="41D646BC"/>
    <w:multiLevelType w:val="hybridMultilevel"/>
    <w:lvl w:ilvl="0">
      <w:lvlJc w:val="left"/>
      <w:lvlText w:val="(%1)"/>
      <w:numFmt w:val="lowerRoman"/>
      <w:start w:val="1"/>
    </w:lvl>
  </w:abstractNum>
  <w:abstractNum w:abstractNumId="322">
    <w:nsid w:val="3694A76A"/>
    <w:multiLevelType w:val="hybridMultilevel"/>
    <w:lvl w:ilvl="0">
      <w:lvlJc w:val="left"/>
      <w:lvlText w:val="(%1)"/>
      <w:numFmt w:val="lowerLetter"/>
      <w:start w:val="2"/>
    </w:lvl>
  </w:abstractNum>
  <w:abstractNum w:abstractNumId="323">
    <w:nsid w:val="2BF876EE"/>
    <w:multiLevelType w:val="hybridMultilevel"/>
    <w:lvl w:ilvl="0">
      <w:lvlJc w:val="left"/>
      <w:lvlText w:val="(%1)"/>
      <w:numFmt w:val="lowerLetter"/>
      <w:start w:val="3"/>
    </w:lvl>
  </w:abstractNum>
  <w:abstractNum w:abstractNumId="324">
    <w:nsid w:val="675ADBA"/>
    <w:multiLevelType w:val="hybridMultilevel"/>
    <w:lvl w:ilvl="0">
      <w:lvlJc w:val="left"/>
      <w:lvlText w:val="(%1)"/>
      <w:numFmt w:val="lowerLetter"/>
      <w:start w:val="1"/>
    </w:lvl>
  </w:abstractNum>
  <w:abstractNum w:abstractNumId="325">
    <w:nsid w:val="C12AC7F"/>
    <w:multiLevelType w:val="hybridMultilevel"/>
    <w:lvl w:ilvl="0">
      <w:lvlJc w:val="left"/>
      <w:lvlText w:val="(%1)"/>
      <w:numFmt w:val="lowerLetter"/>
      <w:start w:val="3"/>
    </w:lvl>
  </w:abstractNum>
  <w:abstractNum w:abstractNumId="326">
    <w:nsid w:val="6798F039"/>
    <w:multiLevelType w:val="hybridMultilevel"/>
    <w:lvl w:ilvl="0">
      <w:lvlJc w:val="left"/>
      <w:lvlText w:val="(%1)"/>
      <w:numFmt w:val="lowerLetter"/>
      <w:start w:val="1"/>
    </w:lvl>
  </w:abstractNum>
  <w:abstractNum w:abstractNumId="327">
    <w:nsid w:val="70837C02"/>
    <w:multiLevelType w:val="hybridMultilevel"/>
    <w:lvl w:ilvl="0">
      <w:lvlJc w:val="left"/>
      <w:lvlText w:val="(%1)"/>
      <w:numFmt w:val="lowerLetter"/>
      <w:start w:val="1"/>
    </w:lvl>
  </w:abstractNum>
  <w:abstractNum w:abstractNumId="328">
    <w:nsid w:val="7E4A5715"/>
    <w:multiLevelType w:val="hybridMultilevel"/>
    <w:lvl w:ilvl="0">
      <w:lvlJc w:val="left"/>
      <w:lvlText w:val="(%1)"/>
      <w:numFmt w:val="lowerRoman"/>
      <w:start w:val="1"/>
    </w:lvl>
  </w:abstractNum>
  <w:abstractNum w:abstractNumId="329">
    <w:nsid w:val="42B8AC67"/>
    <w:multiLevelType w:val="hybridMultilevel"/>
    <w:lvl w:ilvl="0">
      <w:lvlJc w:val="left"/>
      <w:lvlText w:val="%1"/>
      <w:numFmt w:val="upperLetter"/>
      <w:start w:val="1"/>
    </w:lvl>
    <w:lvl w:ilvl="1">
      <w:lvlJc w:val="left"/>
      <w:lvlText w:val="(%2)"/>
      <w:numFmt w:val="lowerRoman"/>
      <w:start w:val="3"/>
    </w:lvl>
  </w:abstractNum>
  <w:abstractNum w:abstractNumId="330">
    <w:nsid w:val="246348EA"/>
    <w:multiLevelType w:val="hybridMultilevel"/>
    <w:lvl w:ilvl="0">
      <w:lvlJc w:val="left"/>
      <w:lvlText w:val="(%1)"/>
      <w:numFmt w:val="upperLetter"/>
      <w:start w:val="2"/>
    </w:lvl>
    <w:lvl w:ilvl="1">
      <w:lvlJc w:val="left"/>
      <w:lvlText w:val="(%2)"/>
      <w:numFmt w:val="lowerRoman"/>
      <w:start w:val="9"/>
    </w:lvl>
  </w:abstractNum>
  <w:abstractNum w:abstractNumId="331">
    <w:nsid w:val="170EB52B"/>
    <w:multiLevelType w:val="hybridMultilevel"/>
    <w:lvl w:ilvl="0">
      <w:lvlJc w:val="left"/>
      <w:lvlText w:val="%1"/>
      <w:numFmt w:val="lowerLetter"/>
      <w:start w:val="1"/>
    </w:lvl>
    <w:lvl w:ilvl="1">
      <w:lvlJc w:val="left"/>
      <w:lvlText w:val="(%2)"/>
      <w:numFmt w:val="lowerRoman"/>
      <w:start w:val="11"/>
    </w:lvl>
  </w:abstractNum>
  <w:abstractNum w:abstractNumId="332">
    <w:nsid w:val="2DFBCB8C"/>
    <w:multiLevelType w:val="hybridMultilevel"/>
    <w:lvl w:ilvl="0">
      <w:lvlJc w:val="left"/>
      <w:lvlText w:val="(%1)"/>
      <w:numFmt w:val="lowerLetter"/>
      <w:start w:val="2"/>
    </w:lvl>
    <w:lvl w:ilvl="1">
      <w:lvlJc w:val="left"/>
      <w:lvlText w:val="%2"/>
      <w:numFmt w:val="lowerRoman"/>
      <w:start w:val="1"/>
    </w:lvl>
  </w:abstractNum>
  <w:abstractNum w:abstractNumId="333">
    <w:nsid w:val="3830D6B6"/>
    <w:multiLevelType w:val="hybridMultilevel"/>
    <w:lvl w:ilvl="0">
      <w:lvlJc w:val="left"/>
      <w:lvlText w:val="(%1)"/>
      <w:numFmt w:val="lowerLetter"/>
      <w:start w:val="1"/>
    </w:lvl>
  </w:abstractNum>
  <w:abstractNum w:abstractNumId="334">
    <w:nsid w:val="6D48CF87"/>
    <w:multiLevelType w:val="hybridMultilevel"/>
    <w:lvl w:ilvl="0">
      <w:lvlJc w:val="left"/>
      <w:lvlText w:val="(%1)"/>
      <w:numFmt w:val="lowerLetter"/>
      <w:start w:val="61"/>
    </w:lvl>
    <w:lvl w:ilvl="1">
      <w:lvlJc w:val="left"/>
      <w:lvlText w:val="(%2)"/>
      <w:numFmt w:val="lowerLetter"/>
      <w:start w:val="2"/>
    </w:lvl>
  </w:abstractNum>
  <w:abstractNum w:abstractNumId="335">
    <w:nsid w:val="576FC41B"/>
    <w:multiLevelType w:val="hybridMultilevel"/>
    <w:lvl w:ilvl="0">
      <w:lvlJc w:val="left"/>
      <w:lvlText w:val="(%1)"/>
      <w:numFmt w:val="lowerLetter"/>
      <w:start w:val="1"/>
    </w:lvl>
  </w:abstractNum>
  <w:abstractNum w:abstractNumId="336">
    <w:nsid w:val="64A1C464"/>
    <w:multiLevelType w:val="hybridMultilevel"/>
    <w:lvl w:ilvl="0">
      <w:lvlJc w:val="left"/>
      <w:lvlText w:val="%1"/>
      <w:numFmt w:val="lowerLetter"/>
      <w:start w:val="1"/>
    </w:lvl>
    <w:lvl w:ilvl="1">
      <w:lvlJc w:val="left"/>
      <w:lvlText w:val="(%2)"/>
      <w:numFmt w:val="lowerLetter"/>
      <w:start w:val="1"/>
    </w:lvl>
  </w:abstractNum>
  <w:abstractNum w:abstractNumId="337">
    <w:nsid w:val="31723BF5"/>
    <w:multiLevelType w:val="hybridMultilevel"/>
    <w:lvl w:ilvl="0">
      <w:lvlJc w:val="left"/>
      <w:lvlText w:val="(%1)"/>
      <w:numFmt w:val="lowerLetter"/>
      <w:start w:val="2"/>
    </w:lvl>
    <w:lvl w:ilvl="1">
      <w:lvlJc w:val="left"/>
      <w:lvlText w:val="%2"/>
      <w:numFmt w:val="lowerLetter"/>
      <w:start w:val="1"/>
    </w:lvl>
  </w:abstractNum>
  <w:abstractNum w:abstractNumId="338">
    <w:nsid w:val="11F69861"/>
    <w:multiLevelType w:val="hybridMultilevel"/>
    <w:lvl w:ilvl="0">
      <w:lvlJc w:val="left"/>
      <w:lvlText w:val="(%1)"/>
      <w:numFmt w:val="lowerLetter"/>
      <w:start w:val="4"/>
    </w:lvl>
  </w:abstractNum>
  <w:abstractNum w:abstractNumId="339">
    <w:nsid w:val="369956AB"/>
    <w:multiLevelType w:val="hybridMultilevel"/>
    <w:lvl w:ilvl="0">
      <w:lvlJc w:val="left"/>
      <w:lvlText w:val="(%1)"/>
      <w:numFmt w:val="lowerLetter"/>
      <w:start w:val="1"/>
    </w:lvl>
  </w:abstractNum>
  <w:abstractNum w:abstractNumId="340">
    <w:nsid w:val="D3BE41C"/>
    <w:multiLevelType w:val="hybridMultilevel"/>
    <w:lvl w:ilvl="0">
      <w:lvlJc w:val="left"/>
      <w:lvlText w:val="(%1)"/>
      <w:numFmt w:val="lowerLetter"/>
      <w:start w:val="3"/>
    </w:lvl>
  </w:abstractNum>
  <w:abstractNum w:abstractNumId="341">
    <w:nsid w:val="4CDA15E7"/>
    <w:multiLevelType w:val="hybridMultilevel"/>
    <w:lvl w:ilvl="0">
      <w:lvlJc w:val="left"/>
      <w:lvlText w:val="(%1)"/>
      <w:numFmt w:val="lowerLetter"/>
      <w:start w:val="1"/>
    </w:lvl>
  </w:abstractNum>
  <w:abstractNum w:abstractNumId="342">
    <w:nsid w:val="7BDD6690"/>
    <w:multiLevelType w:val="hybridMultilevel"/>
    <w:lvl w:ilvl="0">
      <w:lvlJc w:val="left"/>
      <w:lvlText w:val="(%1)"/>
      <w:numFmt w:val="lowerLetter"/>
      <w:start w:val="1"/>
    </w:lvl>
  </w:abstractNum>
  <w:abstractNum w:abstractNumId="343">
    <w:nsid w:val="DFB5C5B"/>
    <w:multiLevelType w:val="hybridMultilevel"/>
    <w:lvl w:ilvl="0">
      <w:lvlJc w:val="left"/>
      <w:lvlText w:val="(%1)"/>
      <w:numFmt w:val="lowerLetter"/>
      <w:start w:val="1"/>
    </w:lvl>
  </w:abstractNum>
  <w:abstractNum w:abstractNumId="344">
    <w:nsid w:val="6F3E5490"/>
    <w:multiLevelType w:val="hybridMultilevel"/>
    <w:lvl w:ilvl="0">
      <w:lvlJc w:val="left"/>
      <w:lvlText w:val="(%1)"/>
      <w:numFmt w:val="lowerLetter"/>
      <w:start w:val="3"/>
    </w:lvl>
  </w:abstractNum>
  <w:abstractNum w:abstractNumId="345">
    <w:nsid w:val="1464BE1E"/>
    <w:multiLevelType w:val="hybridMultilevel"/>
    <w:lvl w:ilvl="0">
      <w:lvlJc w:val="left"/>
      <w:lvlText w:val="(%1)"/>
      <w:numFmt w:val="lowerLetter"/>
      <w:start w:val="1"/>
    </w:lvl>
  </w:abstractNum>
  <w:abstractNum w:abstractNumId="346">
    <w:nsid w:val="66BBB7E5"/>
    <w:multiLevelType w:val="hybridMultilevel"/>
    <w:lvl w:ilvl="0">
      <w:lvlJc w:val="left"/>
      <w:lvlText w:val="(%1)"/>
      <w:numFmt w:val="lowerLetter"/>
      <w:start w:val="5"/>
    </w:lvl>
  </w:abstractNum>
  <w:abstractNum w:abstractNumId="347">
    <w:nsid w:val="28168302"/>
    <w:multiLevelType w:val="hybridMultilevel"/>
    <w:lvl w:ilvl="0">
      <w:lvlJc w:val="left"/>
      <w:lvlText w:val="(%1)"/>
      <w:numFmt w:val="lowerLetter"/>
      <w:start w:val="1"/>
    </w:lvl>
  </w:abstractNum>
  <w:abstractNum w:abstractNumId="348">
    <w:nsid w:val="32A5C7A8"/>
    <w:multiLevelType w:val="hybridMultilevel"/>
    <w:lvl w:ilvl="0">
      <w:lvlJc w:val="left"/>
      <w:lvlText w:val="(%1)"/>
      <w:numFmt w:val="decimal"/>
      <w:start w:val="1"/>
    </w:lvl>
  </w:abstractNum>
  <w:abstractNum w:abstractNumId="349">
    <w:nsid w:val="3A541011"/>
    <w:multiLevelType w:val="hybridMultilevel"/>
    <w:lvl w:ilvl="0">
      <w:lvlJc w:val="left"/>
      <w:lvlText w:val="(%1)"/>
      <w:numFmt w:val="lowerLetter"/>
      <w:start w:val="1"/>
    </w:lvl>
  </w:abstractNum>
  <w:abstractNum w:abstractNumId="350">
    <w:nsid w:val="4423C777"/>
    <w:multiLevelType w:val="hybridMultilevel"/>
    <w:lvl w:ilvl="0">
      <w:lvlJc w:val="left"/>
      <w:lvlText w:val="(%1)"/>
      <w:numFmt w:val="lowerLetter"/>
      <w:start w:val="3"/>
    </w:lvl>
  </w:abstractNum>
  <w:abstractNum w:abstractNumId="351">
    <w:nsid w:val="5F5C6E4D"/>
    <w:multiLevelType w:val="hybridMultilevel"/>
    <w:lvl w:ilvl="0">
      <w:lvlJc w:val="left"/>
      <w:lvlText w:val="(%1)"/>
      <w:numFmt w:val="lowerRoman"/>
      <w:start w:val="4"/>
    </w:lvl>
    <w:lvl w:ilvl="1">
      <w:lvlJc w:val="left"/>
      <w:lvlText w:val="(%2)"/>
      <w:numFmt w:val="lowerLetter"/>
      <w:start w:val="11"/>
    </w:lvl>
  </w:abstractNum>
  <w:abstractNum w:abstractNumId="352">
    <w:nsid w:val="7C2A56CD"/>
    <w:multiLevelType w:val="hybridMultilevel"/>
    <w:lvl w:ilvl="0">
      <w:lvlJc w:val="left"/>
      <w:lvlText w:val="(%1)"/>
      <w:numFmt w:val="lowerLetter"/>
      <w:start w:val="1"/>
    </w:lvl>
  </w:abstractNum>
  <w:abstractNum w:abstractNumId="353">
    <w:nsid w:val="7AB86EE1"/>
    <w:multiLevelType w:val="hybridMultilevel"/>
    <w:lvl w:ilvl="0">
      <w:lvlJc w:val="left"/>
      <w:lvlText w:val="(%1)"/>
      <w:numFmt w:val="lowerLetter"/>
      <w:start w:val="5"/>
    </w:lvl>
  </w:abstractNum>
  <w:abstractNum w:abstractNumId="354">
    <w:nsid w:val="B54E53B"/>
    <w:multiLevelType w:val="hybridMultilevel"/>
    <w:lvl w:ilvl="0">
      <w:lvlJc w:val="left"/>
      <w:lvlText w:val="%1"/>
      <w:numFmt w:val="lowerLetter"/>
      <w:start w:val="1"/>
    </w:lvl>
    <w:lvl w:ilvl="1">
      <w:lvlJc w:val="left"/>
      <w:lvlText w:val="(%2)"/>
      <w:numFmt w:val="lowerLetter"/>
      <w:start w:val="1"/>
    </w:lvl>
  </w:abstractNum>
  <w:abstractNum w:abstractNumId="355">
    <w:nsid w:val="2A00487"/>
    <w:multiLevelType w:val="hybridMultilevel"/>
    <w:lvl w:ilvl="0">
      <w:lvlJc w:val="left"/>
      <w:lvlText w:val="(%1)"/>
      <w:numFmt w:val="lowerLetter"/>
      <w:start w:val="24"/>
    </w:lvl>
    <w:lvl w:ilvl="1">
      <w:lvlJc w:val="left"/>
      <w:lvlText w:val="(%2)"/>
      <w:numFmt w:val="lowerLetter"/>
      <w:start w:val="3"/>
    </w:lvl>
  </w:abstractNum>
  <w:abstractNum w:abstractNumId="356">
    <w:nsid w:val="6CB1B60"/>
    <w:multiLevelType w:val="hybridMultilevel"/>
    <w:lvl w:ilvl="0">
      <w:lvlJc w:val="left"/>
      <w:lvlText w:val="(%1)"/>
      <w:numFmt w:val="lowerLetter"/>
      <w:start w:val="5"/>
    </w:lvl>
  </w:abstractNum>
  <w:abstractNum w:abstractNumId="357">
    <w:nsid w:val="72EDD574"/>
    <w:multiLevelType w:val="hybridMultilevel"/>
    <w:lvl w:ilvl="0">
      <w:lvlJc w:val="left"/>
      <w:lvlText w:val="(%1)"/>
      <w:numFmt w:val="lowerLetter"/>
      <w:start w:val="1"/>
    </w:lvl>
  </w:abstractNum>
  <w:abstractNum w:abstractNumId="358">
    <w:nsid w:val="7323808A"/>
    <w:multiLevelType w:val="hybridMultilevel"/>
    <w:lvl w:ilvl="0">
      <w:lvlJc w:val="left"/>
      <w:lvlText w:val="(%1)"/>
      <w:numFmt w:val="lowerLetter"/>
      <w:start w:val="1"/>
    </w:lvl>
  </w:abstractNum>
  <w:abstractNum w:abstractNumId="359">
    <w:nsid w:val="5157276"/>
    <w:multiLevelType w:val="hybridMultilevel"/>
    <w:lvl w:ilvl="0">
      <w:lvlJc w:val="left"/>
      <w:lvlText w:val="(%1)"/>
      <w:numFmt w:val="lowerLetter"/>
      <w:start w:val="4"/>
    </w:lvl>
  </w:abstractNum>
  <w:abstractNum w:abstractNumId="360">
    <w:nsid w:val="35A681DB"/>
    <w:multiLevelType w:val="hybridMultilevel"/>
    <w:lvl w:ilvl="0">
      <w:lvlJc w:val="left"/>
      <w:lvlText w:val="(%1)"/>
      <w:numFmt w:val="lowerLetter"/>
      <w:start w:val="1"/>
    </w:lvl>
  </w:abstractNum>
  <w:abstractNum w:abstractNumId="361">
    <w:nsid w:val="1786C974"/>
    <w:multiLevelType w:val="hybridMultilevel"/>
    <w:lvl w:ilvl="0">
      <w:lvlJc w:val="left"/>
      <w:lvlText w:val="(%1)"/>
      <w:numFmt w:val="lowerLetter"/>
      <w:start w:val="1"/>
    </w:lvl>
  </w:abstractNum>
  <w:abstractNum w:abstractNumId="362">
    <w:nsid w:val="1C2427A1"/>
    <w:multiLevelType w:val="hybridMultilevel"/>
    <w:lvl w:ilvl="0">
      <w:lvlJc w:val="left"/>
      <w:lvlText w:val="(%1)"/>
      <w:numFmt w:val="lowerLetter"/>
      <w:start w:val="1"/>
    </w:lvl>
  </w:abstractNum>
  <w:abstractNum w:abstractNumId="363">
    <w:nsid w:val="63A24D68"/>
    <w:multiLevelType w:val="hybridMultilevel"/>
    <w:lvl w:ilvl="0">
      <w:lvlJc w:val="left"/>
      <w:lvlText w:val="(%1)"/>
      <w:numFmt w:val="lowerLetter"/>
      <w:start w:val="4"/>
    </w:lvl>
  </w:abstractNum>
  <w:abstractNum w:abstractNumId="364">
    <w:nsid w:val="4FB7A02A"/>
    <w:multiLevelType w:val="hybridMultilevel"/>
    <w:lvl w:ilvl="0">
      <w:lvlJc w:val="left"/>
      <w:lvlText w:val="(%1)"/>
      <w:numFmt w:val="lowerLetter"/>
      <w:start w:val="9"/>
    </w:lvl>
  </w:abstractNum>
  <w:abstractNum w:abstractNumId="365">
    <w:nsid w:val="96CF728"/>
    <w:multiLevelType w:val="hybridMultilevel"/>
    <w:lvl w:ilvl="0">
      <w:lvlJc w:val="left"/>
      <w:lvlText w:val="(%1)"/>
      <w:numFmt w:val="lowerLetter"/>
      <w:start w:val="1"/>
    </w:lvl>
  </w:abstractNum>
  <w:abstractNum w:abstractNumId="366">
    <w:nsid w:val="3B121183"/>
    <w:multiLevelType w:val="hybridMultilevel"/>
    <w:lvl w:ilvl="0">
      <w:lvlJc w:val="left"/>
      <w:lvlText w:val="(%1)"/>
      <w:numFmt w:val="lowerLetter"/>
      <w:start w:val="1"/>
    </w:lvl>
  </w:abstractNum>
  <w:abstractNum w:abstractNumId="367">
    <w:nsid w:val="3459648F"/>
    <w:multiLevelType w:val="hybridMultilevel"/>
    <w:lvl w:ilvl="0">
      <w:lvlJc w:val="left"/>
      <w:lvlText w:val="(%1)"/>
      <w:numFmt w:val="lowerLetter"/>
      <w:start w:val="1"/>
    </w:lvl>
  </w:abstractNum>
  <w:abstractNum w:abstractNumId="368">
    <w:nsid w:val="3ADF331D"/>
    <w:multiLevelType w:val="hybridMultilevel"/>
    <w:lvl w:ilvl="0">
      <w:lvlJc w:val="left"/>
      <w:lvlText w:val="(%1)"/>
      <w:numFmt w:val="lowerLetter"/>
      <w:start w:val="3"/>
    </w:lvl>
  </w:abstractNum>
  <w:abstractNum w:abstractNumId="369">
    <w:nsid w:val="4D08A9E4"/>
    <w:multiLevelType w:val="hybridMultilevel"/>
    <w:lvl w:ilvl="0">
      <w:lvlJc w:val="left"/>
      <w:lvlText w:val="(%1)"/>
      <w:numFmt w:val="lowerLetter"/>
      <w:start w:val="1"/>
    </w:lvl>
  </w:abstractNum>
  <w:abstractNum w:abstractNumId="370">
    <w:nsid w:val="6AF2BB3A"/>
    <w:multiLevelType w:val="hybridMultilevel"/>
    <w:lvl w:ilvl="0">
      <w:lvlJc w:val="left"/>
      <w:lvlText w:val="%1"/>
      <w:numFmt w:val="lowerLetter"/>
      <w:start w:val="1"/>
    </w:lvl>
    <w:lvl w:ilvl="1">
      <w:lvlJc w:val="left"/>
      <w:lvlText w:val="(%2)"/>
      <w:numFmt w:val="lowerRoman"/>
      <w:start w:val="1"/>
    </w:lvl>
  </w:abstractNum>
  <w:abstractNum w:abstractNumId="371">
    <w:nsid w:val="481B1739"/>
    <w:multiLevelType w:val="hybridMultilevel"/>
    <w:lvl w:ilvl="0">
      <w:lvlJc w:val="left"/>
      <w:lvlText w:val="(%1)"/>
      <w:numFmt w:val="lowerLetter"/>
      <w:start w:val="2"/>
    </w:lvl>
    <w:lvl w:ilvl="1">
      <w:lvlJc w:val="left"/>
      <w:lvlText w:val="(%2)"/>
      <w:numFmt w:val="lowerRoman"/>
      <w:start w:val="1"/>
    </w:lvl>
  </w:abstractNum>
  <w:abstractNum w:abstractNumId="372">
    <w:nsid w:val="19E2BFCC"/>
    <w:multiLevelType w:val="hybridMultilevel"/>
    <w:lvl w:ilvl="0">
      <w:lvlJc w:val="left"/>
      <w:lvlText w:val="%1"/>
      <w:numFmt w:val="lowerLetter"/>
      <w:start w:val="1"/>
    </w:lvl>
    <w:lvl w:ilvl="1">
      <w:lvlJc w:val="left"/>
      <w:lvlText w:val="(%2)"/>
      <w:numFmt w:val="lowerRoman"/>
      <w:start w:val="3"/>
    </w:lvl>
  </w:abstractNum>
  <w:abstractNum w:abstractNumId="373">
    <w:nsid w:val="66D021CA"/>
    <w:multiLevelType w:val="hybridMultilevel"/>
    <w:lvl w:ilvl="0">
      <w:lvlJc w:val="left"/>
      <w:lvlText w:val="(%1)"/>
      <w:numFmt w:val="lowerLetter"/>
      <w:start w:val="3"/>
    </w:lvl>
    <w:lvl w:ilvl="1">
      <w:lvlJc w:val="left"/>
      <w:lvlText w:val="%2"/>
      <w:numFmt w:val="lowerRoman"/>
      <w:start w:val="1"/>
    </w:lvl>
  </w:abstractNum>
  <w:abstractNum w:abstractNumId="374">
    <w:nsid w:val="56167394"/>
    <w:multiLevelType w:val="hybridMultilevel"/>
    <w:lvl w:ilvl="0">
      <w:lvlJc w:val="left"/>
      <w:lvlText w:val="(%1)"/>
      <w:numFmt w:val="lowerLetter"/>
      <w:start w:val="1"/>
    </w:lvl>
  </w:abstractNum>
  <w:abstractNum w:abstractNumId="375">
    <w:nsid w:val="921145C"/>
    <w:multiLevelType w:val="hybridMultilevel"/>
    <w:lvl w:ilvl="0">
      <w:lvlJc w:val="left"/>
      <w:lvlText w:val="(%1)"/>
      <w:numFmt w:val="lowerLetter"/>
      <w:start w:val="4"/>
    </w:lvl>
  </w:abstractNum>
  <w:abstractNum w:abstractNumId="376">
    <w:nsid w:val="7B34DFE8"/>
    <w:multiLevelType w:val="hybridMultilevel"/>
    <w:lvl w:ilvl="0">
      <w:lvlJc w:val="left"/>
      <w:lvlText w:val="(%1)"/>
      <w:numFmt w:val="lowerLetter"/>
      <w:start w:val="1"/>
    </w:lvl>
    <w:lvl w:ilvl="1">
      <w:lvlJc w:val="left"/>
      <w:lvlText w:val="%2."/>
      <w:numFmt w:val="lowerRoman"/>
      <w:start w:val="1"/>
    </w:lvl>
  </w:abstractNum>
  <w:abstractNum w:abstractNumId="377">
    <w:nsid w:val="3CD22B79"/>
    <w:multiLevelType w:val="hybridMultilevel"/>
    <w:lvl w:ilvl="0">
      <w:lvlJc w:val="left"/>
      <w:lvlText w:val="(%1)"/>
      <w:numFmt w:val="lowerLetter"/>
      <w:start w:val="2"/>
    </w:lvl>
  </w:abstractNum>
  <w:abstractNum w:abstractNumId="378">
    <w:nsid w:val="3137975E"/>
    <w:multiLevelType w:val="hybridMultilevel"/>
    <w:lvl w:ilvl="0">
      <w:lvlJc w:val="left"/>
      <w:lvlText w:val="(%1)"/>
      <w:numFmt w:val="lowerLetter"/>
      <w:start w:val="3"/>
    </w:lvl>
  </w:abstractNum>
  <w:abstractNum w:abstractNumId="379">
    <w:nsid w:val="2DDAA791"/>
    <w:multiLevelType w:val="hybridMultilevel"/>
    <w:lvl w:ilvl="0">
      <w:lvlJc w:val="left"/>
      <w:lvlText w:val="%1"/>
      <w:numFmt w:val="lowerLetter"/>
      <w:start w:val="1"/>
    </w:lvl>
    <w:lvl w:ilvl="1">
      <w:lvlJc w:val="left"/>
      <w:lvlText w:val="(%2)"/>
      <w:numFmt w:val="lowerLetter"/>
      <w:start w:val="5"/>
    </w:lvl>
  </w:abstractNum>
  <w:abstractNum w:abstractNumId="380">
    <w:nsid w:val="77263B8A"/>
    <w:multiLevelType w:val="hybridMultilevel"/>
    <w:lvl w:ilvl="0">
      <w:lvlJc w:val="left"/>
      <w:lvlText w:val="(%1)"/>
      <w:numFmt w:val="lowerLetter"/>
      <w:start w:val="9"/>
    </w:lvl>
    <w:lvl w:ilvl="1">
      <w:lvlJc w:val="left"/>
      <w:lvlText w:val="%2"/>
      <w:numFmt w:val="lowerLetter"/>
      <w:start w:val="1"/>
    </w:lvl>
  </w:abstractNum>
  <w:abstractNum w:abstractNumId="381">
    <w:nsid w:val="755B5ED6"/>
    <w:multiLevelType w:val="hybridMultilevel"/>
    <w:lvl w:ilvl="0">
      <w:lvlJc w:val="left"/>
      <w:lvlText w:val="(%1)"/>
      <w:numFmt w:val="lowerLetter"/>
      <w:start w:val="1"/>
    </w:lvl>
  </w:abstractNum>
  <w:abstractNum w:abstractNumId="382">
    <w:nsid w:val="D3715DE"/>
    <w:multiLevelType w:val="hybridMultilevel"/>
    <w:lvl w:ilvl="0">
      <w:lvlJc w:val="left"/>
      <w:lvlText w:val="(%1)"/>
      <w:numFmt w:val="lowerLetter"/>
      <w:start w:val="35"/>
    </w:lvl>
    <w:lvl w:ilvl="1">
      <w:lvlJc w:val="left"/>
      <w:lvlText w:val="(%2)"/>
      <w:numFmt w:val="lowerLetter"/>
      <w:start w:val="2"/>
    </w:lvl>
  </w:abstractNum>
  <w:abstractNum w:abstractNumId="383">
    <w:nsid w:val="73509257"/>
    <w:multiLevelType w:val="hybridMultilevel"/>
    <w:lvl w:ilvl="0">
      <w:lvlJc w:val="left"/>
      <w:lvlText w:val="(%1)"/>
      <w:numFmt w:val="upperLetter"/>
      <w:start w:val="1"/>
    </w:lvl>
    <w:lvl w:ilvl="1">
      <w:lvlJc w:val="left"/>
      <w:lvlText w:val="(%2)"/>
      <w:numFmt w:val="lowerLetter"/>
      <w:start w:val="3"/>
    </w:lvl>
  </w:abstractNum>
  <w:abstractNum w:abstractNumId="384">
    <w:nsid w:val="7013CDB7"/>
    <w:multiLevelType w:val="hybridMultilevel"/>
    <w:lvl w:ilvl="0">
      <w:lvlJc w:val="left"/>
      <w:lvlText w:val="(%1)"/>
      <w:numFmt w:val="lowerLetter"/>
      <w:start w:val="5"/>
    </w:lvl>
  </w:abstractNum>
  <w:abstractNum w:abstractNumId="385">
    <w:nsid w:val="188BFB19"/>
    <w:multiLevelType w:val="hybridMultilevel"/>
    <w:lvl w:ilvl="0">
      <w:lvlJc w:val="left"/>
      <w:lvlText w:val="(%1)"/>
      <w:numFmt w:val="lowerLetter"/>
      <w:start w:val="1"/>
    </w:lvl>
  </w:abstractNum>
  <w:abstractNum w:abstractNumId="386">
    <w:nsid w:val="75F096DF"/>
    <w:multiLevelType w:val="hybridMultilevel"/>
    <w:lvl w:ilvl="0">
      <w:lvlJc w:val="left"/>
      <w:lvlText w:val="(%1)"/>
      <w:numFmt w:val="lowerRoman"/>
      <w:start w:val="1"/>
    </w:lvl>
  </w:abstractNum>
  <w:abstractNum w:abstractNumId="387">
    <w:nsid w:val="76DEE918"/>
    <w:multiLevelType w:val="hybridMultilevel"/>
    <w:lvl w:ilvl="0">
      <w:lvlJc w:val="left"/>
      <w:lvlText w:val="(%1)"/>
      <w:numFmt w:val="upperLetter"/>
      <w:start w:val="1"/>
    </w:lvl>
  </w:abstractNum>
  <w:abstractNum w:abstractNumId="388">
    <w:nsid w:val="B79D08D"/>
    <w:multiLevelType w:val="hybridMultilevel"/>
    <w:lvl w:ilvl="0">
      <w:lvlJc w:val="left"/>
      <w:lvlText w:val="(%1)"/>
      <w:numFmt w:val="lowerRoman"/>
      <w:start w:val="2"/>
    </w:lvl>
  </w:abstractNum>
  <w:abstractNum w:abstractNumId="389">
    <w:nsid w:val="69141769"/>
    <w:multiLevelType w:val="hybridMultilevel"/>
    <w:lvl w:ilvl="0">
      <w:lvlJc w:val="left"/>
      <w:lvlText w:val="(%1)"/>
      <w:numFmt w:val="upperLetter"/>
      <w:start w:val="1"/>
    </w:lvl>
  </w:abstractNum>
  <w:abstractNum w:abstractNumId="390">
    <w:nsid w:val="7BF45B8E"/>
    <w:multiLevelType w:val="hybridMultilevel"/>
    <w:lvl w:ilvl="0">
      <w:lvlJc w:val="left"/>
      <w:lvlText w:val="(%1)"/>
      <w:numFmt w:val="lowerRoman"/>
      <w:start w:val="4"/>
    </w:lvl>
  </w:abstractNum>
  <w:abstractNum w:abstractNumId="391">
    <w:nsid w:val="41205269"/>
    <w:multiLevelType w:val="hybridMultilevel"/>
    <w:lvl w:ilvl="0">
      <w:lvlJc w:val="left"/>
      <w:lvlText w:val="%1"/>
      <w:numFmt w:val="upperLetter"/>
      <w:start w:val="1"/>
    </w:lvl>
    <w:lvl w:ilvl="1">
      <w:lvlJc w:val="left"/>
      <w:lvlText w:val="(%2)"/>
      <w:numFmt w:val="lowerRoman"/>
      <w:start w:val="5"/>
    </w:lvl>
  </w:abstractNum>
  <w:abstractNum w:abstractNumId="392">
    <w:nsid w:val="9AE0DD"/>
    <w:multiLevelType w:val="hybridMultilevel"/>
    <w:lvl w:ilvl="0">
      <w:lvlJc w:val="left"/>
      <w:lvlText w:val="(%1)"/>
      <w:numFmt w:val="upperLetter"/>
      <w:start w:val="2"/>
    </w:lvl>
    <w:lvl w:ilvl="1">
      <w:lvlJc w:val="left"/>
      <w:lvlText w:val="(%2)"/>
      <w:numFmt w:val="lowerRoman"/>
      <w:start w:val="6"/>
    </w:lvl>
  </w:abstractNum>
  <w:abstractNum w:abstractNumId="393">
    <w:nsid w:val="1818832F"/>
    <w:multiLevelType w:val="hybridMultilevel"/>
    <w:lvl w:ilvl="0">
      <w:lvlJc w:val="left"/>
      <w:lvlText w:val="(%1)"/>
      <w:numFmt w:val="lowerLetter"/>
      <w:start w:val="3"/>
    </w:lvl>
  </w:abstractNum>
  <w:abstractNum w:abstractNumId="394">
    <w:nsid w:val="24C29FD1"/>
    <w:multiLevelType w:val="hybridMultilevel"/>
    <w:lvl w:ilvl="0">
      <w:lvlJc w:val="left"/>
      <w:lvlText w:val="(%1)"/>
      <w:numFmt w:val="lowerLetter"/>
      <w:start w:val="4"/>
    </w:lvl>
  </w:abstractNum>
  <w:abstractNum w:abstractNumId="395">
    <w:nsid w:val="50528108"/>
    <w:multiLevelType w:val="hybridMultilevel"/>
    <w:lvl w:ilvl="0">
      <w:lvlJc w:val="left"/>
      <w:lvlText w:val="(%1)"/>
      <w:numFmt w:val="lowerLetter"/>
      <w:start w:val="5"/>
    </w:lvl>
  </w:abstractNum>
  <w:abstractNum w:abstractNumId="396">
    <w:nsid w:val="21857A57"/>
    <w:multiLevelType w:val="hybridMultilevel"/>
    <w:lvl w:ilvl="0">
      <w:lvlJc w:val="left"/>
      <w:lvlText w:val="(%1)"/>
      <w:numFmt w:val="lowerLetter"/>
      <w:start w:val="1"/>
    </w:lvl>
  </w:abstractNum>
  <w:abstractNum w:abstractNumId="397">
    <w:nsid w:val="5FD4B154"/>
    <w:multiLevelType w:val="hybridMultilevel"/>
    <w:lvl w:ilvl="0">
      <w:lvlJc w:val="left"/>
      <w:lvlText w:val="(%1)"/>
      <w:numFmt w:val="lowerLetter"/>
      <w:start w:val="3"/>
    </w:lvl>
  </w:abstractNum>
  <w:abstractNum w:abstractNumId="398">
    <w:nsid w:val="4ABE597"/>
    <w:multiLevelType w:val="hybridMultilevel"/>
    <w:lvl w:ilvl="0">
      <w:lvlJc w:val="left"/>
      <w:lvlText w:val="(%1)"/>
      <w:numFmt w:val="lowerLetter"/>
      <w:start w:val="1"/>
    </w:lvl>
  </w:abstractNum>
  <w:abstractNum w:abstractNumId="399">
    <w:nsid w:val="5C64AD75"/>
    <w:multiLevelType w:val="hybridMultilevel"/>
    <w:lvl w:ilvl="0">
      <w:lvlJc w:val="left"/>
      <w:lvlText w:val="(%1)"/>
      <w:numFmt w:val="lowerLetter"/>
      <w:start w:val="3"/>
    </w:lvl>
  </w:abstractNum>
  <w:abstractNum w:abstractNumId="400">
    <w:nsid w:val="2CDD5B39"/>
    <w:multiLevelType w:val="hybridMultilevel"/>
    <w:lvl w:ilvl="0">
      <w:lvlJc w:val="left"/>
      <w:lvlText w:val="(%1)"/>
      <w:numFmt w:val="upperLetter"/>
      <w:start w:val="2"/>
    </w:lvl>
  </w:abstractNum>
  <w:abstractNum w:abstractNumId="401">
    <w:nsid w:val="6F9EA0D1"/>
    <w:multiLevelType w:val="hybridMultilevel"/>
    <w:lvl w:ilvl="0">
      <w:lvlJc w:val="left"/>
      <w:lvlText w:val="."/>
      <w:numFmt w:val="bullet"/>
      <w:start w:val="1"/>
    </w:lvl>
  </w:abstractNum>
  <w:abstractNum w:abstractNumId="402">
    <w:nsid w:val="247FC4AE"/>
    <w:multiLevelType w:val="hybridMultilevel"/>
    <w:lvl w:ilvl="0">
      <w:lvlJc w:val="left"/>
      <w:lvlText w:val="(%1)"/>
      <w:numFmt w:val="lowerRoman"/>
      <w:start w:val="1"/>
    </w:lvl>
  </w:abstractNum>
  <w:abstractNum w:abstractNumId="403">
    <w:nsid w:val="46C01B05"/>
    <w:multiLevelType w:val="hybridMultilevel"/>
    <w:lvl w:ilvl="0">
      <w:lvlJc w:val="left"/>
      <w:lvlText w:val="(%1)"/>
      <w:numFmt w:val="lowerLetter"/>
      <w:start w:val="1"/>
    </w:lvl>
  </w:abstractNum>
  <w:abstractNum w:abstractNumId="404">
    <w:nsid w:val="566EC29B"/>
    <w:multiLevelType w:val="hybridMultilevel"/>
    <w:lvl w:ilvl="0">
      <w:lvlJc w:val="left"/>
      <w:lvlText w:val="(%1)"/>
      <w:numFmt w:val="lowerRoman"/>
      <w:start w:val="1"/>
    </w:lvl>
  </w:abstractNum>
  <w:abstractNum w:abstractNumId="405">
    <w:nsid w:val="7A963843"/>
    <w:multiLevelType w:val="hybridMultilevel"/>
    <w:lvl w:ilvl="0">
      <w:lvlJc w:val="left"/>
      <w:lvlText w:val="(%1)"/>
      <w:numFmt w:val="upperLetter"/>
      <w:start w:val="1"/>
    </w:lvl>
  </w:abstractNum>
  <w:abstractNum w:abstractNumId="406">
    <w:nsid w:val="4FE12F61"/>
    <w:multiLevelType w:val="hybridMultilevel"/>
    <w:lvl w:ilvl="0">
      <w:lvlJc w:val="left"/>
      <w:lvlText w:val="%1."/>
      <w:numFmt w:val="decimal"/>
      <w:start w:val="1"/>
    </w:lvl>
  </w:abstractNum>
  <w:abstractNum w:abstractNumId="407">
    <w:nsid w:val="51A3A284"/>
    <w:multiLevelType w:val="hybridMultilevel"/>
    <w:lvl w:ilvl="0">
      <w:lvlJc w:val="left"/>
      <w:lvlText w:val="%1."/>
      <w:numFmt w:val="decimal"/>
      <w:start w:val="1"/>
    </w:lvl>
    <w:lvl w:ilvl="1">
      <w:lvlJc w:val="left"/>
      <w:lvlText w:val="%2."/>
      <w:numFmt w:val="decimal"/>
      <w:start w:val="7"/>
    </w:lvl>
  </w:abstractNum>
  <w:abstractNum w:abstractNumId="408">
    <w:nsid w:val="376863BC"/>
    <w:multiLevelType w:val="hybridMultilevel"/>
    <w:lvl w:ilvl="0">
      <w:lvlJc w:val="left"/>
      <w:lvlText w:val="%1."/>
      <w:numFmt w:val="decimal"/>
      <w:start w:val="2"/>
    </w:lvl>
  </w:abstractNum>
  <w:abstractNum w:abstractNumId="409">
    <w:nsid w:val="118C6C0"/>
    <w:multiLevelType w:val="hybridMultilevel"/>
    <w:lvl w:ilvl="0">
      <w:lvlJc w:val="left"/>
      <w:lvlText w:val="%1."/>
      <w:numFmt w:val="decimal"/>
      <w:start w:val="10"/>
    </w:lvl>
  </w:abstractNum>
  <w:abstractNum w:abstractNumId="410">
    <w:nsid w:val="7F7E4A15"/>
    <w:multiLevelType w:val="hybridMultilevel"/>
    <w:lvl w:ilvl="0">
      <w:lvlJc w:val="left"/>
      <w:lvlText w:val="%1."/>
      <w:numFmt w:val="decimal"/>
      <w:start w:val="17"/>
    </w:lvl>
  </w:abstractNum>
  <w:abstractNum w:abstractNumId="411">
    <w:nsid w:val="2E8E9F47"/>
    <w:multiLevelType w:val="hybridMultilevel"/>
    <w:lvl w:ilvl="0">
      <w:lvlJc w:val="left"/>
      <w:lvlText w:val="%1."/>
      <w:numFmt w:val="decimal"/>
      <w:start w:val="11"/>
    </w:lvl>
  </w:abstractNum>
  <w:abstractNum w:abstractNumId="412">
    <w:nsid w:val="76742596"/>
    <w:multiLevelType w:val="hybridMultilevel"/>
    <w:lvl w:ilvl="0">
      <w:lvlJc w:val="left"/>
      <w:lvlText w:val="%1."/>
      <w:numFmt w:val="decimal"/>
      <w:start w:val="21"/>
    </w:lvl>
  </w:abstractNum>
  <w:abstractNum w:abstractNumId="413">
    <w:nsid w:val="CB55FF3"/>
    <w:multiLevelType w:val="hybridMultilevel"/>
    <w:lvl w:ilvl="0">
      <w:lvlJc w:val="left"/>
      <w:lvlText w:val="%1."/>
      <w:numFmt w:val="decimal"/>
      <w:start w:val="1"/>
    </w:lvl>
    <w:lvl w:ilvl="1">
      <w:lvlJc w:val="left"/>
      <w:lvlText w:val="%2."/>
      <w:numFmt w:val="decimal"/>
      <w:start w:val="4"/>
    </w:lvl>
  </w:abstractNum>
  <w:abstractNum w:abstractNumId="414">
    <w:nsid w:val="21DF319E"/>
    <w:multiLevelType w:val="hybridMultilevel"/>
    <w:lvl w:ilvl="0">
      <w:lvlJc w:val="left"/>
      <w:lvlText w:val="%1."/>
      <w:numFmt w:val="decimal"/>
      <w:start w:val="6"/>
    </w:lvl>
    <w:lvl w:ilvl="1">
      <w:lvlJc w:val="left"/>
      <w:lvlText w:val="%2."/>
      <w:numFmt w:val="decimal"/>
      <w:start w:val="10"/>
    </w:lvl>
  </w:abstractNum>
  <w:abstractNum w:abstractNumId="415">
    <w:nsid w:val="6687F34D"/>
    <w:multiLevelType w:val="hybridMultilevel"/>
    <w:lvl w:ilvl="0">
      <w:lvlJc w:val="left"/>
      <w:lvlText w:val="%1."/>
      <w:numFmt w:val="decimal"/>
      <w:start w:val="1"/>
    </w:lvl>
  </w:abstractNum>
  <w:abstractNum w:abstractNumId="416">
    <w:nsid w:val="25415B0C"/>
    <w:multiLevelType w:val="hybridMultilevel"/>
    <w:lvl w:ilvl="0">
      <w:lvlJc w:val="left"/>
      <w:lvlText w:val="%1."/>
      <w:numFmt w:val="decimal"/>
      <w:start w:val="1"/>
    </w:lvl>
  </w:abstractNum>
  <w:abstractNum w:abstractNumId="417">
    <w:nsid w:val="17CFC87D"/>
    <w:multiLevelType w:val="hybridMultilevel"/>
    <w:lvl w:ilvl="0">
      <w:lvlJc w:val="left"/>
      <w:lvlText w:val="%1."/>
      <w:numFmt w:val="decimal"/>
      <w:start w:val="1"/>
    </w:lvl>
  </w:abstractNum>
  <w:abstractNum w:abstractNumId="418">
    <w:nsid w:val="5D66DC65"/>
    <w:multiLevelType w:val="hybridMultilevel"/>
    <w:lvl w:ilvl="0">
      <w:lvlJc w:val="left"/>
      <w:lvlText w:val="(%1)"/>
      <w:numFmt w:val="lowerLetter"/>
      <w:start w:val="1"/>
    </w:lvl>
  </w:abstractNum>
  <w:abstractNum w:abstractNumId="419">
    <w:nsid w:val="30BB2B99"/>
    <w:multiLevelType w:val="hybridMultilevel"/>
    <w:lvl w:ilvl="0">
      <w:lvlJc w:val="left"/>
      <w:lvlText w:val="(%1)"/>
      <w:numFmt w:val="lowerLetter"/>
      <w:start w:val="2"/>
    </w:lvl>
  </w:abstractNum>
  <w:abstractNum w:abstractNumId="420">
    <w:nsid w:val="E3DFE6"/>
    <w:multiLevelType w:val="hybridMultilevel"/>
    <w:lvl w:ilvl="0">
      <w:lvlJc w:val="left"/>
      <w:lvlText w:val="%1."/>
      <w:numFmt w:val="decimal"/>
      <w:start w:val="1"/>
    </w:lvl>
  </w:abstractNum>
  <w:abstractNum w:abstractNumId="421">
    <w:nsid w:val="595B37F3"/>
    <w:multiLevelType w:val="hybridMultilevel"/>
    <w:lvl w:ilvl="0">
      <w:lvlJc w:val="left"/>
      <w:lvlText w:val="1"/>
      <w:numFmt w:val="bullet"/>
      <w:start w:val="1"/>
    </w:lvl>
  </w:abstractNum>
  <w:abstractNum w:abstractNumId="422">
    <w:nsid w:val="71DB7E02"/>
    <w:multiLevelType w:val="hybridMultilevel"/>
    <w:lvl w:ilvl="0">
      <w:lvlJc w:val="left"/>
      <w:lvlText w:val="%1."/>
      <w:numFmt w:val="decimal"/>
      <w:start w:val="1"/>
    </w:lvl>
  </w:abstractNum>
  <w:abstractNum w:abstractNumId="423">
    <w:nsid w:val="17EC0C4"/>
    <w:multiLevelType w:val="hybridMultilevel"/>
    <w:lvl w:ilvl="0">
      <w:lvlJc w:val="left"/>
      <w:lvlText w:val="%1."/>
      <w:numFmt w:val="decimal"/>
      <w:start w:val="1"/>
    </w:lvl>
  </w:abstractNum>
  <w:abstractNum w:abstractNumId="424">
    <w:nsid w:val="7173BB22"/>
    <w:multiLevelType w:val="hybridMultilevel"/>
    <w:lvl w:ilvl="0">
      <w:lvlJc w:val="left"/>
      <w:lvlText w:val="%1."/>
      <w:numFmt w:val="decimal"/>
      <w:start w:val="4"/>
    </w:lvl>
  </w:abstractNum>
  <w:abstractNum w:abstractNumId="425">
    <w:nsid w:val="169E1DD3"/>
    <w:multiLevelType w:val="hybridMultilevel"/>
    <w:lvl w:ilvl="0">
      <w:lvlJc w:val="left"/>
      <w:lvlText w:val=","/>
      <w:numFmt w:val="bullet"/>
      <w:start w:val="1"/>
    </w:lvl>
  </w:abstractNum>
  <w:abstractNum w:abstractNumId="426">
    <w:nsid w:val="51D141CC"/>
    <w:multiLevelType w:val="hybridMultilevel"/>
    <w:lvl w:ilvl="0">
      <w:lvlJc w:val="left"/>
      <w:lvlText w:val="%1."/>
      <w:numFmt w:val="upperLetter"/>
      <w:start w:val="9"/>
    </w:lvl>
  </w:abstractNum>
  <w:abstractNum w:abstractNumId="427">
    <w:nsid w:val="12F9357A"/>
    <w:multiLevelType w:val="hybridMultilevel"/>
    <w:lvl w:ilvl="0">
      <w:lvlJc w:val="left"/>
      <w:lvlText w:val="%1."/>
      <w:numFmt w:val="upperLetter"/>
      <w:start w:val="1"/>
    </w:lvl>
    <w:lvl w:ilvl="1">
      <w:lvlJc w:val="left"/>
      <w:lvlText w:val="%2."/>
      <w:numFmt w:val="decimal"/>
      <w:start w:val="1"/>
    </w:lvl>
  </w:abstractNum>
  <w:abstractNum w:abstractNumId="428">
    <w:nsid w:val="7672CF28"/>
    <w:multiLevelType w:val="hybridMultilevel"/>
    <w:lvl w:ilvl="0">
      <w:lvlJc w:val="left"/>
      <w:lvlText w:val="%1."/>
      <w:numFmt w:val="upperLetter"/>
      <w:start w:val="2"/>
    </w:lvl>
  </w:abstractNum>
  <w:abstractNum w:abstractNumId="429">
    <w:nsid w:val="567D2763"/>
    <w:multiLevelType w:val="hybridMultilevel"/>
    <w:lvl w:ilvl="0">
      <w:lvlJc w:val="left"/>
      <w:lvlText w:val="%1."/>
      <w:numFmt w:val="upperLetter"/>
      <w:start w:val="3"/>
    </w:lvl>
  </w:abstractNum>
  <w:abstractNum w:abstractNumId="430">
    <w:nsid w:val="6F5DE2EF"/>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431">
    <w:nsid w:val="23502A61"/>
    <w:multiLevelType w:val="hybridMultilevel"/>
    <w:lvl w:ilvl="0">
      <w:lvlJc w:val="left"/>
      <w:lvlText w:val="1"/>
      <w:numFmt w:val="bullet"/>
      <w:start w:val="1"/>
    </w:lvl>
  </w:abstractNum>
  <w:abstractNum w:abstractNumId="432">
    <w:nsid w:val="461BC834"/>
    <w:multiLevelType w:val="hybridMultilevel"/>
    <w:lvl w:ilvl="0">
      <w:lvlJc w:val="left"/>
      <w:lvlText w:val="%1."/>
      <w:numFmt w:val="upperLetter"/>
      <w:start w:val="2"/>
    </w:lvl>
    <w:lvl w:ilvl="1">
      <w:lvlJc w:val="left"/>
      <w:lvlText w:val="%2."/>
      <w:numFmt w:val="decimal"/>
      <w:start w:val="1"/>
    </w:lvl>
  </w:abstractNum>
  <w:abstractNum w:abstractNumId="433">
    <w:nsid w:val="13DDA79D"/>
    <w:multiLevelType w:val="hybridMultilevel"/>
    <w:lvl w:ilvl="0">
      <w:lvlJc w:val="left"/>
      <w:lvlText w:val="%1."/>
      <w:numFmt w:val="decimal"/>
      <w:start w:val="2"/>
    </w:lvl>
  </w:abstractNum>
  <w:abstractNum w:abstractNumId="434">
    <w:nsid w:val="6A104566"/>
    <w:multiLevelType w:val="hybridMultilevel"/>
    <w:lvl w:ilvl="0">
      <w:lvlJc w:val="left"/>
      <w:lvlText w:val="%1."/>
      <w:numFmt w:val="decimal"/>
      <w:start w:val="3"/>
    </w:lvl>
  </w:abstractNum>
  <w:abstractNum w:abstractNumId="435">
    <w:nsid w:val="1C8A8ACF"/>
    <w:multiLevelType w:val="hybridMultilevel"/>
    <w:lvl w:ilvl="0">
      <w:lvlJc w:val="left"/>
      <w:lvlText w:val="%1."/>
      <w:numFmt w:val="decimal"/>
      <w:start w:val="715"/>
    </w:lvl>
  </w:abstractNum>
  <w:abstractNum w:abstractNumId="436">
    <w:nsid w:val="E73DFE0"/>
    <w:multiLevelType w:val="hybridMultilevel"/>
    <w:lvl w:ilvl="0">
      <w:lvlJc w:val="left"/>
      <w:lvlText w:val="%1."/>
      <w:numFmt w:val="decimal"/>
      <w:start w:val="8"/>
    </w:lvl>
  </w:abstractNum>
  <w:abstractNum w:abstractNumId="437">
    <w:nsid w:val="39F174C7"/>
    <w:multiLevelType w:val="hybridMultilevel"/>
    <w:lvl w:ilvl="0">
      <w:lvlJc w:val="left"/>
      <w:lvlText w:val="$"/>
      <w:numFmt w:val="bullet"/>
      <w:start w:val="1"/>
    </w:lvl>
  </w:abstractNum>
  <w:abstractNum w:abstractNumId="438">
    <w:nsid w:val="6E2E2D53"/>
    <w:multiLevelType w:val="hybridMultilevel"/>
    <w:lvl w:ilvl="0">
      <w:lvlJc w:val="left"/>
      <w:lvlText w:val="2"/>
      <w:numFmt w:val="bullet"/>
      <w:start w:val="1"/>
    </w:lvl>
  </w:abstractNum>
  <w:abstractNum w:abstractNumId="439">
    <w:nsid w:val="45DC439D"/>
    <w:multiLevelType w:val="hybridMultilevel"/>
    <w:lvl w:ilvl="0">
      <w:lvlJc w:val="left"/>
      <w:lvlText w:val="%1."/>
      <w:numFmt w:val="upperLetter"/>
      <w:start w:val="61"/>
    </w:lvl>
  </w:abstractNum>
  <w:abstractNum w:abstractNumId="440">
    <w:nsid w:val="3B0A3B87"/>
    <w:multiLevelType w:val="hybridMultilevel"/>
    <w:lvl w:ilvl="0">
      <w:lvlJc w:val="left"/>
      <w:lvlText w:val="%1."/>
      <w:numFmt w:val="decimal"/>
      <w:start w:val="1"/>
    </w:lvl>
  </w:abstractNum>
  <w:abstractNum w:abstractNumId="441">
    <w:nsid w:val="6DAC7768"/>
    <w:multiLevelType w:val="hybridMultilevel"/>
    <w:lvl w:ilvl="0">
      <w:lvlJc w:val="left"/>
      <w:lvlText w:val="%1."/>
      <w:numFmt w:val="decimal"/>
      <w:start w:val="2"/>
    </w:lvl>
  </w:abstractNum>
  <w:abstractNum w:abstractNumId="442">
    <w:nsid w:val="746AE2E4"/>
    <w:multiLevelType w:val="hybridMultilevel"/>
    <w:lvl w:ilvl="0">
      <w:lvlJc w:val="left"/>
      <w:lvlText w:val="%1."/>
      <w:numFmt w:val="upperLetter"/>
      <w:start w:val="2"/>
    </w:lvl>
  </w:abstractNum>
  <w:abstractNum w:abstractNumId="443">
    <w:nsid w:val="317E611D"/>
    <w:multiLevelType w:val="hybridMultilevel"/>
    <w:lvl w:ilvl="0">
      <w:lvlJc w:val="left"/>
      <w:lvlText w:val="1"/>
      <w:numFmt w:val="bullet"/>
      <w:start w:val="1"/>
    </w:lvl>
  </w:abstractNum>
  <w:abstractNum w:abstractNumId="444">
    <w:nsid w:val="7A61D75B"/>
    <w:multiLevelType w:val="hybridMultilevel"/>
    <w:lvl w:ilvl="0">
      <w:lvlJc w:val="left"/>
      <w:lvlText w:val="%1"/>
      <w:numFmt w:val="upperLetter"/>
      <w:start w:val="1"/>
    </w:lvl>
    <w:lvl w:ilvl="1">
      <w:lvlJc w:val="left"/>
      <w:lvlText w:val="%2."/>
      <w:numFmt w:val="decimal"/>
      <w:start w:val="2"/>
    </w:lvl>
  </w:abstractNum>
  <w:abstractNum w:abstractNumId="445">
    <w:nsid w:val="164A1482"/>
    <w:multiLevelType w:val="hybridMultilevel"/>
    <w:lvl w:ilvl="0">
      <w:lvlJc w:val="left"/>
      <w:lvlText w:val="%1."/>
      <w:numFmt w:val="upperLetter"/>
      <w:start w:val="3"/>
    </w:lvl>
    <w:lvl w:ilvl="1">
      <w:lvlJc w:val="left"/>
      <w:lvlText w:val="%2"/>
      <w:numFmt w:val="decimal"/>
      <w:start w:val="1"/>
    </w:lvl>
  </w:abstractNum>
  <w:abstractNum w:abstractNumId="446">
    <w:nsid w:val="1806546B"/>
    <w:multiLevelType w:val="hybridMultilevel"/>
    <w:lvl w:ilvl="0">
      <w:lvlJc w:val="left"/>
      <w:lvlText w:val="%1."/>
      <w:numFmt w:val="upperLetter"/>
      <w:start w:val="1"/>
    </w:lvl>
  </w:abstractNum>
  <w:abstractNum w:abstractNumId="447">
    <w:nsid w:val="1FA33267"/>
    <w:multiLevelType w:val="hybridMultilevel"/>
    <w:lvl w:ilvl="0">
      <w:lvlJc w:val="left"/>
      <w:lvlText w:val="%1."/>
      <w:numFmt w:val="decimal"/>
      <w:start w:val="2"/>
    </w:lvl>
  </w:abstractNum>
  <w:abstractNum w:abstractNumId="448">
    <w:nsid w:val="2E19DD00"/>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0"/>
    </w:lvl>
  </w:abstractNum>
  <w:abstractNum w:abstractNumId="449">
    <w:nsid w:val="756D30D0"/>
    <w:multiLevelType w:val="hybridMultilevel"/>
    <w:lvl w:ilvl="0">
      <w:lvlJc w:val="left"/>
      <w:lvlText w:val="%1"/>
      <w:numFmt w:val="upperLetter"/>
      <w:start w:val="1"/>
    </w:lvl>
    <w:lvl w:ilvl="1">
      <w:lvlJc w:val="left"/>
      <w:lvlText w:val="%2."/>
      <w:numFmt w:val="upperLetter"/>
      <w:start w:val="2"/>
    </w:lvl>
    <w:lvl w:ilvl="2">
      <w:lvlJc w:val="left"/>
      <w:lvlText w:val="%3."/>
      <w:numFmt w:val="decimal"/>
      <w:start w:val="1"/>
    </w:lvl>
  </w:abstractNum>
  <w:abstractNum w:abstractNumId="450">
    <w:nsid w:val="505E5E01"/>
    <w:multiLevelType w:val="hybridMultilevel"/>
    <w:lvl w:ilvl="0">
      <w:lvlJc w:val="left"/>
      <w:lvlText w:val="%1."/>
      <w:numFmt w:val="upperLetter"/>
      <w:start w:val="22"/>
    </w:lvl>
    <w:lvl w:ilvl="1">
      <w:lvlJc w:val="left"/>
      <w:lvlText w:val="%2."/>
      <w:numFmt w:val="upperLetter"/>
      <w:start w:val="1"/>
    </w:lvl>
    <w:lvl w:ilvl="2">
      <w:lvlJc w:val="left"/>
      <w:lvlText w:val="%3"/>
      <w:numFmt w:val="decimal"/>
      <w:start w:val="1"/>
    </w:lvl>
  </w:abstractNum>
  <w:abstractNum w:abstractNumId="451">
    <w:nsid w:val="2EFDBCE6"/>
    <w:multiLevelType w:val="hybridMultilevel"/>
    <w:lvl w:ilvl="0">
      <w:lvlJc w:val="left"/>
      <w:lvlText w:val="%1."/>
      <w:numFmt w:val="upperLetter"/>
      <w:start w:val="1"/>
    </w:lvl>
    <w:lvl w:ilvl="1">
      <w:lvlJc w:val="left"/>
      <w:lvlText w:val="%2."/>
      <w:numFmt w:val="decimal"/>
      <w:start w:val="1"/>
    </w:lvl>
  </w:abstractNum>
  <w:abstractNum w:abstractNumId="452">
    <w:nsid w:val="4EC868C4"/>
    <w:multiLevelType w:val="hybridMultilevel"/>
    <w:lvl w:ilvl="0">
      <w:lvlJc w:val="left"/>
      <w:lvlText w:val="%1."/>
      <w:numFmt w:val="upperLetter"/>
      <w:start w:val="4"/>
    </w:lvl>
  </w:abstractNum>
  <w:abstractNum w:abstractNumId="453">
    <w:nsid w:val="4239DC03"/>
    <w:multiLevelType w:val="hybridMultilevel"/>
    <w:lvl w:ilvl="0">
      <w:lvlJc w:val="left"/>
      <w:lvlText w:val="8"/>
      <w:numFmt w:val="bullet"/>
      <w:start w:val="1"/>
    </w:lvl>
  </w:abstractNum>
  <w:abstractNum w:abstractNumId="454">
    <w:nsid w:val="307C7DAA"/>
    <w:multiLevelType w:val="hybridMultilevel"/>
    <w:lvl w:ilvl="0">
      <w:lvlJc w:val="left"/>
      <w:lvlText w:val="9"/>
      <w:numFmt w:val="bullet"/>
      <w:start w:val="1"/>
    </w:lvl>
  </w:abstractNum>
  <w:abstractNum w:abstractNumId="455">
    <w:nsid w:val="403C23E6"/>
    <w:multiLevelType w:val="hybridMultilevel"/>
    <w:lvl w:ilvl="0">
      <w:lvlJc w:val="left"/>
      <w:lvlText w:val="1"/>
      <w:numFmt w:val="bullet"/>
      <w:start w:val="1"/>
    </w:lvl>
  </w:abstractNum>
  <w:abstractNum w:abstractNumId="456">
    <w:nsid w:val="58D7F9D7"/>
    <w:multiLevelType w:val="hybridMultilevel"/>
    <w:lvl w:ilvl="0">
      <w:lvlJc w:val="left"/>
      <w:lvlText w:val="%1"/>
      <w:numFmt w:val="decimal"/>
      <w:start w:val="14"/>
    </w:lvl>
  </w:abstractNum>
  <w:abstractNum w:abstractNumId="457">
    <w:nsid w:val="24DBF76"/>
    <w:multiLevelType w:val="hybridMultilevel"/>
    <w:lvl w:ilvl="0">
      <w:lvlJc w:val="left"/>
      <w:lvlText w:val="2"/>
      <w:numFmt w:val="bullet"/>
      <w:start w:val="1"/>
    </w:lvl>
  </w:abstractNum>
  <w:abstractNum w:abstractNumId="458">
    <w:nsid w:val="53355960"/>
    <w:multiLevelType w:val="hybridMultilevel"/>
    <w:lvl w:ilvl="0">
      <w:lvlJc w:val="left"/>
      <w:lvlText w:val="%1."/>
      <w:numFmt w:val="decimal"/>
      <w:start w:val="1"/>
    </w:lvl>
  </w:abstractNum>
  <w:abstractNum w:abstractNumId="459">
    <w:nsid w:val="4F4AC8FF"/>
    <w:multiLevelType w:val="hybridMultilevel"/>
    <w:lvl w:ilvl="0">
      <w:lvlJc w:val="left"/>
      <w:lvlText w:val="%1."/>
      <w:numFmt w:val="decimal"/>
      <w:start w:val="2"/>
    </w:lvl>
  </w:abstractNum>
  <w:abstractNum w:abstractNumId="460">
    <w:nsid w:val="58CAE6D9"/>
    <w:multiLevelType w:val="hybridMultilevel"/>
    <w:lvl w:ilvl="0">
      <w:lvlJc w:val="left"/>
      <w:lvlText w:val="1"/>
      <w:numFmt w:val="bullet"/>
      <w:start w:val="1"/>
    </w:lvl>
  </w:abstractNum>
  <w:abstractNum w:abstractNumId="461">
    <w:nsid w:val="42933C4F"/>
    <w:multiLevelType w:val="hybridMultilevel"/>
    <w:lvl w:ilvl="0">
      <w:lvlJc w:val="left"/>
      <w:lvlText w:val="2"/>
      <w:numFmt w:val="bullet"/>
      <w:start w:val="1"/>
    </w:lvl>
  </w:abstractNum>
  <w:abstractNum w:abstractNumId="462">
    <w:nsid w:val="729AF360"/>
    <w:multiLevelType w:val="hybridMultilevel"/>
    <w:lvl w:ilvl="0">
      <w:lvlJc w:val="left"/>
      <w:lvlText w:val="3"/>
      <w:numFmt w:val="bullet"/>
      <w:start w:val="1"/>
    </w:lvl>
  </w:abstractNum>
  <w:abstractNum w:abstractNumId="463">
    <w:nsid w:val="1EE6AF0D"/>
    <w:multiLevelType w:val="hybridMultilevel"/>
    <w:lvl w:ilvl="0">
      <w:lvlJc w:val="left"/>
      <w:lvlText w:val="4"/>
      <w:numFmt w:val="bullet"/>
      <w:start w:val="1"/>
    </w:lvl>
  </w:abstractNum>
  <w:abstractNum w:abstractNumId="464">
    <w:nsid w:val="5670E3ED"/>
    <w:multiLevelType w:val="hybridMultilevel"/>
    <w:lvl w:ilvl="0">
      <w:lvlJc w:val="left"/>
      <w:lvlText w:val="%1."/>
      <w:numFmt w:val="decimal"/>
      <w:start w:val="4"/>
    </w:lvl>
  </w:abstractNum>
  <w:abstractNum w:abstractNumId="465">
    <w:nsid w:val="5CAB38C6"/>
    <w:multiLevelType w:val="hybridMultilevel"/>
    <w:lvl w:ilvl="0">
      <w:lvlJc w:val="left"/>
      <w:lvlText w:val="5"/>
      <w:numFmt w:val="bullet"/>
      <w:start w:val="1"/>
    </w:lvl>
  </w:abstractNum>
  <w:abstractNum w:abstractNumId="466">
    <w:nsid w:val="3B7139DD"/>
    <w:multiLevelType w:val="hybridMultilevel"/>
    <w:lvl w:ilvl="0">
      <w:lvlJc w:val="left"/>
      <w:lvlText w:val="6"/>
      <w:numFmt w:val="bullet"/>
      <w:start w:val="1"/>
    </w:lvl>
  </w:abstractNum>
  <w:abstractNum w:abstractNumId="467">
    <w:nsid w:val="64E4C3CD"/>
    <w:multiLevelType w:val="hybridMultilevel"/>
    <w:lvl w:ilvl="0">
      <w:lvlJc w:val="left"/>
      <w:lvlText w:val="7"/>
      <w:numFmt w:val="bullet"/>
      <w:start w:val="1"/>
    </w:lvl>
  </w:abstractNum>
  <w:abstractNum w:abstractNumId="468">
    <w:nsid w:val="169CAD8D"/>
    <w:multiLevelType w:val="hybridMultilevel"/>
    <w:lvl w:ilvl="0">
      <w:lvlJc w:val="left"/>
      <w:lvlText w:val="8"/>
      <w:numFmt w:val="bullet"/>
      <w:start w:val="1"/>
    </w:lvl>
  </w:abstractNum>
  <w:abstractNum w:abstractNumId="469">
    <w:nsid w:val="299F6730"/>
    <w:multiLevelType w:val="hybridMultilevel"/>
    <w:lvl w:ilvl="0">
      <w:lvlJc w:val="left"/>
      <w:lvlText w:val="9"/>
      <w:numFmt w:val="bullet"/>
      <w:start w:val="1"/>
    </w:lvl>
  </w:abstractNum>
  <w:abstractNum w:abstractNumId="470">
    <w:nsid w:val="2AC1076A"/>
    <w:multiLevelType w:val="hybridMultilevel"/>
    <w:lvl w:ilvl="0">
      <w:lvlJc w:val="left"/>
      <w:lvlText w:val="%1"/>
      <w:numFmt w:val="decimal"/>
      <w:start w:val="10"/>
    </w:lvl>
  </w:abstractNum>
  <w:abstractNum w:abstractNumId="471">
    <w:nsid w:val="51A6E915"/>
    <w:multiLevelType w:val="hybridMultilevel"/>
    <w:lvl w:ilvl="0">
      <w:lvlJc w:val="left"/>
      <w:lvlText w:val="%1"/>
      <w:numFmt w:val="decimal"/>
      <w:start w:val="11"/>
    </w:lvl>
  </w:abstractNum>
  <w:abstractNum w:abstractNumId="472">
    <w:nsid w:val="174BDE99"/>
    <w:multiLevelType w:val="hybridMultilevel"/>
    <w:lvl w:ilvl="0">
      <w:lvlJc w:val="left"/>
      <w:lvlText w:val="(%1)"/>
      <w:numFmt w:val="lowerRoman"/>
      <w:start w:val="4"/>
    </w:lvl>
  </w:abstractNum>
  <w:abstractNum w:abstractNumId="473">
    <w:nsid w:val="1F2BEA4E"/>
    <w:multiLevelType w:val="hybridMultilevel"/>
    <w:lvl w:ilvl="0">
      <w:lvlJc w:val="left"/>
      <w:lvlText w:val="%1."/>
      <w:numFmt w:val="decimal"/>
      <w:start w:val="2"/>
    </w:lvl>
  </w:abstractNum>
  <w:abstractNum w:abstractNumId="474">
    <w:nsid w:val="3254A32"/>
    <w:multiLevelType w:val="hybridMultilevel"/>
    <w:lvl w:ilvl="0">
      <w:lvlJc w:val="left"/>
      <w:lvlText w:val="%1."/>
      <w:numFmt w:val="decimal"/>
      <w:start w:val="1"/>
    </w:lvl>
  </w:abstractNum>
  <w:abstractNum w:abstractNumId="475">
    <w:nsid w:val="11ADB5F4"/>
    <w:multiLevelType w:val="hybridMultilevel"/>
    <w:lvl w:ilvl="0">
      <w:lvlJc w:val="left"/>
      <w:lvlText w:val="(%1)"/>
      <w:numFmt w:val="lowerLetter"/>
      <w:start w:val="1"/>
    </w:lvl>
  </w:abstractNum>
  <w:abstractNum w:abstractNumId="476">
    <w:nsid w:val="3575FED1"/>
    <w:multiLevelType w:val="hybridMultilevel"/>
    <w:lvl w:ilvl="0">
      <w:lvlJc w:val="left"/>
      <w:lvlText w:val="(%1)"/>
      <w:numFmt w:val="lowerLetter"/>
      <w:start w:val="5"/>
    </w:lvl>
  </w:abstractNum>
  <w:abstractNum w:abstractNumId="477">
    <w:nsid w:val="1B2B9E9D"/>
    <w:multiLevelType w:val="hybridMultilevel"/>
    <w:lvl w:ilvl="0">
      <w:lvlJc w:val="left"/>
      <w:lvlText w:val="(%1)"/>
      <w:numFmt w:val="lowerLetter"/>
      <w:start w:val="25"/>
    </w:lvl>
  </w:abstractNum>
  <w:abstractNum w:abstractNumId="478">
    <w:nsid w:val="3150E85C"/>
    <w:multiLevelType w:val="hybridMultilevel"/>
    <w:lvl w:ilvl="0">
      <w:lvlJc w:val="left"/>
      <w:lvlText w:val="(%1)"/>
      <w:numFmt w:val="lowerLetter"/>
      <w:start w:val="1"/>
    </w:lvl>
  </w:abstractNum>
  <w:abstractNum w:abstractNumId="479">
    <w:nsid w:val="638FDBD1"/>
    <w:multiLevelType w:val="hybridMultilevel"/>
    <w:lvl w:ilvl="0">
      <w:lvlJc w:val="left"/>
      <w:lvlText w:val="(%1)"/>
      <w:numFmt w:val="lowerRoman"/>
      <w:start w:val="2"/>
    </w:lvl>
  </w:abstractNum>
  <w:abstractNum w:abstractNumId="480">
    <w:nsid w:val="1098CF6E"/>
    <w:multiLevelType w:val="hybridMultilevel"/>
    <w:lvl w:ilvl="0">
      <w:lvlJc w:val="left"/>
      <w:lvlText w:val="(%1)"/>
      <w:numFmt w:val="lowerLetter"/>
      <w:start w:val="3"/>
    </w:lvl>
  </w:abstractNum>
  <w:abstractNum w:abstractNumId="481">
    <w:nsid w:val="1AF465D"/>
    <w:multiLevelType w:val="hybridMultilevel"/>
    <w:lvl w:ilvl="0">
      <w:lvlJc w:val="left"/>
      <w:lvlText w:val="(%1)"/>
      <w:numFmt w:val="lowerLetter"/>
      <w:start w:val="4"/>
    </w:lvl>
  </w:abstractNum>
  <w:abstractNum w:abstractNumId="482">
    <w:nsid w:val="128D98B7"/>
    <w:multiLevelType w:val="hybridMultilevel"/>
    <w:lvl w:ilvl="0">
      <w:lvlJc w:val="left"/>
      <w:lvlText w:val="(%1)"/>
      <w:numFmt w:val="lowerRoman"/>
      <w:start w:val="1"/>
    </w:lvl>
  </w:abstractNum>
  <w:abstractNum w:abstractNumId="483">
    <w:nsid w:val="5F613832"/>
    <w:multiLevelType w:val="hybridMultilevel"/>
    <w:lvl w:ilvl="0">
      <w:lvlJc w:val="left"/>
      <w:lvlText w:val="(%1)"/>
      <w:numFmt w:val="lowerLetter"/>
      <w:start w:val="1"/>
    </w:lvl>
  </w:abstractNum>
  <w:abstractNum w:abstractNumId="484">
    <w:nsid w:val="43E92260"/>
    <w:multiLevelType w:val="hybridMultilevel"/>
    <w:lvl w:ilvl="0">
      <w:lvlJc w:val="left"/>
      <w:lvlText w:val="(%1)"/>
      <w:numFmt w:val="lowerLetter"/>
      <w:start w:val="6"/>
    </w:lvl>
  </w:abstractNum>
  <w:abstractNum w:abstractNumId="485">
    <w:nsid w:val="430A1662"/>
    <w:multiLevelType w:val="hybridMultilevel"/>
    <w:lvl w:ilvl="0">
      <w:lvlJc w:val="left"/>
      <w:lvlText w:val="(%1)"/>
      <w:numFmt w:val="lowerLetter"/>
      <w:start w:val="1"/>
    </w:lvl>
  </w:abstractNum>
  <w:abstractNum w:abstractNumId="486">
    <w:nsid w:val="1F9D5C18"/>
    <w:multiLevelType w:val="hybridMultilevel"/>
    <w:lvl w:ilvl="0">
      <w:lvlJc w:val="left"/>
      <w:lvlText w:val="(%1)"/>
      <w:numFmt w:val="upperLetter"/>
      <w:start w:val="1"/>
    </w:lvl>
  </w:abstractNum>
  <w:abstractNum w:abstractNumId="487">
    <w:nsid w:val="1CC11C37"/>
    <w:multiLevelType w:val="hybridMultilevel"/>
    <w:lvl w:ilvl="0">
      <w:lvlJc w:val="left"/>
      <w:lvlText w:val="(%1)"/>
      <w:numFmt w:val="lowerLetter"/>
      <w:start w:val="2"/>
    </w:lvl>
    <w:lvl w:ilvl="1">
      <w:lvlJc w:val="left"/>
      <w:lvlText w:val="(%2)"/>
      <w:numFmt w:val="lowerRoman"/>
      <w:start w:val="1"/>
    </w:lvl>
  </w:abstractNum>
  <w:abstractNum w:abstractNumId="488">
    <w:nsid w:val="4557D5D8"/>
    <w:multiLevelType w:val="hybridMultilevel"/>
    <w:lvl w:ilvl="0">
      <w:lvlJc w:val="left"/>
      <w:lvlText w:val="%1"/>
      <w:numFmt w:val="lowerLetter"/>
      <w:start w:val="1"/>
    </w:lvl>
    <w:lvl w:ilvl="1">
      <w:lvlJc w:val="left"/>
      <w:lvlText w:val="(%2)"/>
      <w:numFmt w:val="lowerLetter"/>
      <w:start w:val="1"/>
    </w:lvl>
  </w:abstractNum>
  <w:abstractNum w:abstractNumId="489">
    <w:nsid w:val="72D2B579"/>
    <w:multiLevelType w:val="hybridMultilevel"/>
    <w:lvl w:ilvl="0">
      <w:lvlJc w:val="left"/>
      <w:lvlText w:val="(%1)"/>
      <w:numFmt w:val="lowerLetter"/>
      <w:start w:val="2"/>
    </w:lvl>
    <w:lvl w:ilvl="1">
      <w:lvlJc w:val="left"/>
      <w:lvlText w:val="(%2)"/>
      <w:numFmt w:val="lowerLetter"/>
      <w:start w:val="3"/>
    </w:lvl>
  </w:abstractNum>
  <w:abstractNum w:abstractNumId="490">
    <w:nsid w:val="6C0BE536"/>
    <w:multiLevelType w:val="hybridMultilevel"/>
    <w:lvl w:ilvl="0">
      <w:lvlJc w:val="left"/>
      <w:lvlText w:val="(%1)"/>
      <w:numFmt w:val="lowerLetter"/>
      <w:start w:val="1"/>
    </w:lvl>
  </w:abstractNum>
  <w:abstractNum w:abstractNumId="491">
    <w:nsid w:val="1E22BCB2"/>
    <w:multiLevelType w:val="hybridMultilevel"/>
    <w:lvl w:ilvl="0">
      <w:lvlJc w:val="left"/>
      <w:lvlText w:val="(%1)"/>
      <w:numFmt w:val="lowerLetter"/>
      <w:start w:val="3"/>
    </w:lvl>
    <w:lvl w:ilvl="1">
      <w:lvlJc w:val="left"/>
      <w:lvlText w:val="(%2)"/>
      <w:numFmt w:val="lowerLetter"/>
      <w:start w:val="4"/>
    </w:lvl>
  </w:abstractNum>
  <w:abstractNum w:abstractNumId="492">
    <w:nsid w:val="3565F1C8"/>
    <w:multiLevelType w:val="hybridMultilevel"/>
    <w:lvl w:ilvl="0">
      <w:lvlJc w:val="left"/>
      <w:lvlText w:val="(%1)"/>
      <w:numFmt w:val="lowerLetter"/>
      <w:start w:val="5"/>
    </w:lvl>
  </w:abstractNum>
  <w:abstractNum w:abstractNumId="493">
    <w:nsid w:val="5EA6D896"/>
    <w:multiLevelType w:val="hybridMultilevel"/>
    <w:lvl w:ilvl="0">
      <w:lvlJc w:val="left"/>
      <w:lvlText w:val="(%1)"/>
      <w:numFmt w:val="lowerLetter"/>
      <w:start w:val="7"/>
    </w:lvl>
  </w:abstractNum>
  <w:abstractNum w:abstractNumId="494">
    <w:nsid w:val="3D096BBF"/>
    <w:multiLevelType w:val="hybridMultilevel"/>
    <w:lvl w:ilvl="0">
      <w:lvlJc w:val="left"/>
      <w:lvlText w:val="(%1)"/>
      <w:numFmt w:val="lowerLetter"/>
      <w:start w:val="1"/>
    </w:lvl>
  </w:abstractNum>
  <w:abstractNum w:abstractNumId="495">
    <w:nsid w:val="BD6D5B5"/>
    <w:multiLevelType w:val="hybridMultilevel"/>
    <w:lvl w:ilvl="0">
      <w:lvlJc w:val="left"/>
      <w:lvlText w:val="(%1)"/>
      <w:numFmt w:val="lowerLetter"/>
      <w:start w:val="1"/>
    </w:lvl>
  </w:abstractNum>
  <w:abstractNum w:abstractNumId="496">
    <w:nsid w:val="3B52115C"/>
    <w:multiLevelType w:val="hybridMultilevel"/>
    <w:lvl w:ilvl="0">
      <w:lvlJc w:val="left"/>
      <w:lvlText w:val="(%1)"/>
      <w:numFmt w:val="lowerLetter"/>
      <w:start w:val="2"/>
    </w:lvl>
  </w:abstractNum>
  <w:abstractNum w:abstractNumId="497">
    <w:nsid w:val="787AA59C"/>
    <w:multiLevelType w:val="hybridMultilevel"/>
    <w:lvl w:ilvl="0">
      <w:lvlJc w:val="left"/>
      <w:lvlText w:val="(%1)"/>
      <w:numFmt w:val="lowerLetter"/>
      <w:start w:val="1"/>
    </w:lvl>
  </w:abstractNum>
  <w:abstractNum w:abstractNumId="498">
    <w:nsid w:val="70BB9983"/>
    <w:multiLevelType w:val="hybridMultilevel"/>
    <w:lvl w:ilvl="0">
      <w:lvlJc w:val="left"/>
      <w:lvlText w:val="(%1)"/>
      <w:numFmt w:val="lowerLetter"/>
      <w:start w:val="3"/>
    </w:lvl>
  </w:abstractNum>
  <w:abstractNum w:abstractNumId="499">
    <w:nsid w:val="51EEBEEA"/>
    <w:multiLevelType w:val="hybridMultilevel"/>
    <w:lvl w:ilvl="0">
      <w:lvlJc w:val="left"/>
      <w:lvlText w:val="%1"/>
      <w:numFmt w:val="upperLetter"/>
      <w:start w:val="1"/>
    </w:lvl>
    <w:lvl w:ilvl="1">
      <w:lvlJc w:val="left"/>
      <w:lvlText w:val="(%2)"/>
      <w:numFmt w:val="lowerLetter"/>
      <w:start w:val="1"/>
    </w:lvl>
  </w:abstractNum>
  <w:abstractNum w:abstractNumId="500">
    <w:nsid w:val="221A0CCD"/>
    <w:multiLevelType w:val="hybridMultilevel"/>
    <w:lvl w:ilvl="0">
      <w:lvlJc w:val="left"/>
      <w:lvlText w:val="(%1)"/>
      <w:numFmt w:val="upperLetter"/>
      <w:start w:val="3"/>
    </w:lvl>
    <w:lvl w:ilvl="1">
      <w:lvlJc w:val="left"/>
      <w:lvlText w:val="%2"/>
      <w:numFmt w:val="lowerLetter"/>
      <w:start w:val="1"/>
    </w:lvl>
  </w:abstractNum>
  <w:abstractNum w:abstractNumId="501">
    <w:nsid w:val="1B7CA0ED"/>
    <w:multiLevelType w:val="hybridMultilevel"/>
    <w:lvl w:ilvl="0">
      <w:lvlJc w:val="left"/>
      <w:lvlText w:val="(%1)"/>
      <w:numFmt w:val="lowerLetter"/>
      <w:start w:val="2"/>
    </w:lvl>
  </w:abstractNum>
  <w:abstractNum w:abstractNumId="502">
    <w:nsid w:val="2395A7FF"/>
    <w:multiLevelType w:val="hybridMultilevel"/>
    <w:lvl w:ilvl="0">
      <w:lvlJc w:val="left"/>
      <w:lvlText w:val="(%1)"/>
      <w:numFmt w:val="lowerLetter"/>
      <w:start w:val="1"/>
    </w:lvl>
    <w:lvl w:ilvl="1">
      <w:lvlJc w:val="left"/>
      <w:lvlText w:val="(%2)"/>
      <w:numFmt w:val="lowerLetter"/>
      <w:start w:val="35"/>
    </w:lvl>
  </w:abstractNum>
  <w:abstractNum w:abstractNumId="503">
    <w:nsid w:val="3965EB66"/>
    <w:multiLevelType w:val="hybridMultilevel"/>
    <w:lvl w:ilvl="0">
      <w:lvlJc w:val="left"/>
      <w:lvlText w:val="(%1)"/>
      <w:numFmt w:val="lowerLetter"/>
      <w:start w:val="1"/>
    </w:lvl>
  </w:abstractNum>
  <w:abstractNum w:abstractNumId="504">
    <w:nsid w:val="3AA88B3C"/>
    <w:multiLevelType w:val="hybridMultilevel"/>
    <w:lvl w:ilvl="0">
      <w:lvlJc w:val="left"/>
      <w:lvlText w:val="(%1)"/>
      <w:numFmt w:val="lowerLetter"/>
      <w:start w:val="2"/>
    </w:lvl>
  </w:abstractNum>
  <w:abstractNum w:abstractNumId="505">
    <w:nsid w:val="26BAF231"/>
    <w:multiLevelType w:val="hybridMultilevel"/>
    <w:lvl w:ilvl="0">
      <w:lvlJc w:val="left"/>
      <w:lvlText w:val="(%1)"/>
      <w:numFmt w:val="lowerRoman"/>
      <w:start w:val="2"/>
    </w:lvl>
  </w:abstractNum>
  <w:abstractNum w:abstractNumId="506">
    <w:nsid w:val="4B13A15A"/>
    <w:multiLevelType w:val="hybridMultilevel"/>
    <w:lvl w:ilvl="0">
      <w:lvlJc w:val="left"/>
      <w:lvlText w:val="(%1)"/>
      <w:numFmt w:val="lowerLetter"/>
      <w:start w:val="1"/>
    </w:lvl>
  </w:abstractNum>
  <w:abstractNum w:abstractNumId="507">
    <w:nsid w:val="701E8A0D"/>
    <w:multiLevelType w:val="hybridMultilevel"/>
    <w:lvl w:ilvl="0">
      <w:lvlJc w:val="left"/>
      <w:lvlText w:val="(%1)"/>
      <w:numFmt w:val="lowerLetter"/>
      <w:start w:val="1"/>
    </w:lvl>
  </w:abstractNum>
  <w:abstractNum w:abstractNumId="508">
    <w:nsid w:val="41E690CF"/>
    <w:multiLevelType w:val="hybridMultilevel"/>
    <w:lvl w:ilvl="0">
      <w:lvlJc w:val="left"/>
      <w:lvlText w:val="(%1)"/>
      <w:numFmt w:val="lowerLetter"/>
      <w:start w:val="1"/>
    </w:lvl>
  </w:abstractNum>
  <w:abstractNum w:abstractNumId="509">
    <w:nsid w:val="7C6489B6"/>
    <w:multiLevelType w:val="hybridMultilevel"/>
    <w:lvl w:ilvl="0">
      <w:lvlJc w:val="left"/>
      <w:lvlText w:val="(%1)"/>
      <w:numFmt w:val="lowerRoman"/>
      <w:start w:val="2"/>
    </w:lvl>
  </w:abstractNum>
  <w:abstractNum w:abstractNumId="510">
    <w:nsid w:val="53AE65DE"/>
    <w:multiLevelType w:val="hybridMultilevel"/>
    <w:lvl w:ilvl="0">
      <w:lvlJc w:val="left"/>
      <w:lvlText w:val="(%1)"/>
      <w:numFmt w:val="lowerLetter"/>
      <w:start w:val="3"/>
    </w:lvl>
  </w:abstractNum>
  <w:abstractNum w:abstractNumId="511">
    <w:nsid w:val="527F603D"/>
    <w:multiLevelType w:val="hybridMultilevel"/>
    <w:lvl w:ilvl="0">
      <w:lvlJc w:val="left"/>
      <w:lvlText w:val="(%1)"/>
      <w:numFmt w:val="lowerRoman"/>
      <w:start w:val="2"/>
    </w:lvl>
  </w:abstractNum>
  <w:abstractNum w:abstractNumId="512">
    <w:nsid w:val="7E13D013"/>
    <w:multiLevelType w:val="hybridMultilevel"/>
    <w:lvl w:ilvl="0">
      <w:lvlJc w:val="left"/>
      <w:lvlText w:val="(%1)"/>
      <w:numFmt w:val="lowerRoman"/>
      <w:start w:val="1"/>
    </w:lvl>
  </w:abstractNum>
  <w:abstractNum w:abstractNumId="513">
    <w:nsid w:val="663BFE95"/>
    <w:multiLevelType w:val="hybridMultilevel"/>
    <w:lvl w:ilvl="0">
      <w:lvlJc w:val="left"/>
      <w:lvlText w:val="%1"/>
      <w:numFmt w:val="lowerLetter"/>
      <w:start w:val="1"/>
    </w:lvl>
    <w:lvl w:ilvl="1">
      <w:lvlJc w:val="left"/>
      <w:lvlText w:val="(%2)"/>
      <w:numFmt w:val="lowerLetter"/>
      <w:start w:val="1"/>
    </w:lvl>
  </w:abstractNum>
  <w:abstractNum w:abstractNumId="514">
    <w:nsid w:val="31E0986F"/>
    <w:multiLevelType w:val="hybridMultilevel"/>
    <w:lvl w:ilvl="0">
      <w:lvlJc w:val="left"/>
      <w:lvlText w:val="(%1)"/>
      <w:numFmt w:val="lowerLetter"/>
      <w:start w:val="35"/>
    </w:lvl>
    <w:lvl w:ilvl="1">
      <w:lvlJc w:val="left"/>
      <w:lvlText w:val="%2"/>
      <w:numFmt w:val="lowerLetter"/>
      <w:start w:val="1"/>
    </w:lvl>
  </w:abstractNum>
  <w:abstractNum w:abstractNumId="515">
    <w:nsid w:val="41FCF274"/>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3"/>
    </w:lvl>
  </w:abstractNum>
  <w:abstractNum w:abstractNumId="516">
    <w:nsid w:val="294614F7"/>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4"/>
    </w:lvl>
  </w:abstractNum>
  <w:abstractNum w:abstractNumId="517">
    <w:nsid w:val="517DF487"/>
    <w:multiLevelType w:val="hybridMultilevel"/>
    <w:lvl w:ilvl="0">
      <w:lvlJc w:val="left"/>
      <w:lvlText w:val="(%1)"/>
      <w:numFmt w:val="lowerLetter"/>
      <w:start w:val="5"/>
    </w:lvl>
  </w:abstractNum>
  <w:abstractNum w:abstractNumId="518">
    <w:nsid w:val="5EBE0EAB"/>
    <w:multiLevelType w:val="hybridMultilevel"/>
    <w:lvl w:ilvl="0">
      <w:lvlJc w:val="left"/>
      <w:lvlText w:val="(%1)"/>
      <w:numFmt w:val="lowerLetter"/>
      <w:start w:val="1"/>
    </w:lvl>
    <w:lvl w:ilvl="1">
      <w:lvlJc w:val="left"/>
      <w:lvlText w:val="(%2)"/>
      <w:numFmt w:val="lowerRoman"/>
      <w:start w:val="1"/>
    </w:lvl>
  </w:abstractNum>
  <w:abstractNum w:abstractNumId="519">
    <w:nsid w:val="6E9DEAD0"/>
    <w:multiLevelType w:val="hybridMultilevel"/>
    <w:lvl w:ilvl="0">
      <w:lvlJc w:val="left"/>
      <w:lvlText w:val="(%1)"/>
      <w:numFmt w:val="upperLetter"/>
      <w:start w:val="1"/>
    </w:lvl>
  </w:abstractNum>
  <w:abstractNum w:abstractNumId="520">
    <w:nsid w:val="4450AA00"/>
    <w:multiLevelType w:val="hybridMultilevel"/>
    <w:lvl w:ilvl="0">
      <w:lvlJc w:val="left"/>
      <w:lvlText w:val="%1"/>
      <w:numFmt w:val="lowerLetter"/>
      <w:start w:val="1"/>
    </w:lvl>
    <w:lvl w:ilvl="1">
      <w:lvlJc w:val="left"/>
      <w:lvlText w:val="(%2)"/>
      <w:numFmt w:val="upperLetter"/>
      <w:start w:val="2"/>
    </w:lvl>
  </w:abstractNum>
  <w:abstractNum w:abstractNumId="521">
    <w:nsid w:val="4AC9F3E2"/>
    <w:multiLevelType w:val="hybridMultilevel"/>
    <w:lvl w:ilvl="0">
      <w:lvlJc w:val="left"/>
      <w:lvlText w:val="(%1)"/>
      <w:numFmt w:val="lowerLetter"/>
      <w:start w:val="2"/>
    </w:lvl>
    <w:lvl w:ilvl="1">
      <w:lvlJc w:val="left"/>
      <w:lvlText w:val="%2"/>
      <w:numFmt w:val="upperLetter"/>
      <w:start w:val="1"/>
    </w:lvl>
  </w:abstractNum>
  <w:abstractNum w:abstractNumId="522">
    <w:nsid w:val="CC0A782"/>
    <w:multiLevelType w:val="hybridMultilevel"/>
    <w:lvl w:ilvl="0">
      <w:lvlJc w:val="left"/>
      <w:lvlText w:val="(%1)"/>
      <w:numFmt w:val="lowerLetter"/>
      <w:start w:val="1"/>
    </w:lvl>
    <w:lvl w:ilvl="1">
      <w:lvlJc w:val="left"/>
      <w:lvlText w:val="(%2)"/>
      <w:numFmt w:val="lowerLetter"/>
      <w:start w:val="9"/>
    </w:lvl>
  </w:abstractNum>
  <w:abstractNum w:abstractNumId="523">
    <w:nsid w:val="79B69BC9"/>
    <w:multiLevelType w:val="hybridMultilevel"/>
    <w:lvl w:ilvl="0">
      <w:lvlJc w:val="left"/>
      <w:lvlText w:val="%1"/>
      <w:numFmt w:val="lowerLetter"/>
      <w:start w:val="1"/>
    </w:lvl>
    <w:lvl w:ilvl="1">
      <w:lvlJc w:val="left"/>
      <w:lvlText w:val="(%2)"/>
      <w:numFmt w:val="lowerLetter"/>
      <w:start w:val="35"/>
    </w:lvl>
  </w:abstractNum>
  <w:abstractNum w:abstractNumId="524">
    <w:nsid w:val="2970CC78"/>
    <w:multiLevelType w:val="hybridMultilevel"/>
    <w:lvl w:ilvl="0">
      <w:lvlJc w:val="left"/>
      <w:lvlText w:val="(%1)"/>
      <w:numFmt w:val="lowerLetter"/>
      <w:start w:val="4"/>
    </w:lvl>
    <w:lvl w:ilvl="1">
      <w:lvlJc w:val="left"/>
      <w:lvlText w:val="(%2)"/>
      <w:numFmt w:val="lowerLetter"/>
      <w:start w:val="9"/>
    </w:lvl>
  </w:abstractNum>
  <w:abstractNum w:abstractNumId="525">
    <w:nsid w:val="49CA1341"/>
    <w:multiLevelType w:val="hybridMultilevel"/>
    <w:lvl w:ilvl="0">
      <w:lvlJc w:val="left"/>
      <w:lvlText w:val="(%1)"/>
      <w:numFmt w:val="lowerRoman"/>
      <w:start w:val="2"/>
    </w:lvl>
  </w:abstractNum>
  <w:abstractNum w:abstractNumId="526">
    <w:nsid w:val="58D717E"/>
    <w:multiLevelType w:val="hybridMultilevel"/>
    <w:lvl w:ilvl="0">
      <w:lvlJc w:val="left"/>
      <w:lvlText w:val="(%1)"/>
      <w:numFmt w:val="upperLetter"/>
      <w:start w:val="1"/>
    </w:lvl>
  </w:abstractNum>
  <w:abstractNum w:abstractNumId="527">
    <w:nsid w:val="64C2DDD5"/>
    <w:multiLevelType w:val="hybridMultilevel"/>
    <w:lvl w:ilvl="0">
      <w:lvlJc w:val="left"/>
      <w:lvlText w:val="(%1)"/>
      <w:numFmt w:val="upperLetter"/>
      <w:start w:val="9"/>
    </w:lvl>
  </w:abstractNum>
  <w:abstractNum w:abstractNumId="528">
    <w:nsid w:val="4244B8DE"/>
    <w:multiLevelType w:val="hybridMultilevel"/>
    <w:lvl w:ilvl="0">
      <w:lvlJc w:val="left"/>
      <w:lvlText w:val="(%1)"/>
      <w:numFmt w:val="upperLetter"/>
      <w:start w:val="35"/>
    </w:lvl>
  </w:abstractNum>
  <w:abstractNum w:abstractNumId="529">
    <w:nsid w:val="76490B01"/>
    <w:multiLevelType w:val="hybridMultilevel"/>
    <w:lvl w:ilvl="0">
      <w:lvlJc w:val="left"/>
      <w:lvlText w:val="(%1)"/>
      <w:numFmt w:val="upperLetter"/>
      <w:start w:val="61"/>
    </w:lvl>
  </w:abstractNum>
  <w:abstractNum w:abstractNumId="530">
    <w:nsid w:val="36B19CBF"/>
    <w:multiLevelType w:val="hybridMultilevel"/>
    <w:lvl w:ilvl="0">
      <w:lvlJc w:val="left"/>
      <w:lvlText w:val="(%1)"/>
      <w:numFmt w:val="upperLetter"/>
      <w:start w:val="3"/>
    </w:lvl>
  </w:abstractNum>
  <w:abstractNum w:abstractNumId="531">
    <w:nsid w:val="645EC5AB"/>
    <w:multiLevelType w:val="hybridMultilevel"/>
    <w:lvl w:ilvl="0">
      <w:lvlJc w:val="left"/>
      <w:lvlText w:val="(%1)"/>
      <w:numFmt w:val="upperLetter"/>
      <w:start w:val="4"/>
    </w:lvl>
  </w:abstractNum>
  <w:abstractNum w:abstractNumId="532">
    <w:nsid w:val="11C5ABEF"/>
    <w:multiLevelType w:val="hybridMultilevel"/>
    <w:lvl w:ilvl="0">
      <w:lvlJc w:val="left"/>
      <w:lvlText w:val="%1"/>
      <w:numFmt w:val="lowerLetter"/>
      <w:start w:val="1"/>
    </w:lvl>
    <w:lvl w:ilvl="1">
      <w:lvlJc w:val="left"/>
      <w:lvlText w:val="(%2)"/>
      <w:numFmt w:val="lowerLetter"/>
      <w:start w:val="61"/>
    </w:lvl>
  </w:abstractNum>
  <w:abstractNum w:abstractNumId="533">
    <w:nsid w:val="5A4744BE"/>
    <w:multiLevelType w:val="hybridMultilevel"/>
    <w:lvl w:ilvl="0">
      <w:lvlJc w:val="left"/>
      <w:lvlText w:val="(%1)"/>
      <w:numFmt w:val="lowerLetter"/>
      <w:start w:val="6"/>
    </w:lvl>
    <w:lvl w:ilvl="1">
      <w:lvlJc w:val="left"/>
      <w:lvlText w:val="%2"/>
      <w:numFmt w:val="lowerLetter"/>
      <w:start w:val="1"/>
    </w:lvl>
  </w:abstractNum>
  <w:abstractNum w:abstractNumId="534">
    <w:nsid w:val="1DC4B111"/>
    <w:multiLevelType w:val="hybridMultilevel"/>
    <w:lvl w:ilvl="0">
      <w:lvlJc w:val="left"/>
      <w:lvlText w:val="(%1)"/>
      <w:numFmt w:val="lowerLetter"/>
      <w:start w:val="1"/>
    </w:lvl>
  </w:abstractNum>
  <w:abstractNum w:abstractNumId="535">
    <w:nsid w:val="4C6E372B"/>
    <w:multiLevelType w:val="hybridMultilevel"/>
    <w:lvl w:ilvl="0">
      <w:lvlJc w:val="left"/>
      <w:lvlText w:val="(%1)"/>
      <w:numFmt w:val="decimal"/>
      <w:start w:val="2"/>
    </w:lvl>
    <w:lvl w:ilvl="1">
      <w:lvlJc w:val="left"/>
      <w:lvlText w:val="(%2)"/>
      <w:numFmt w:val="lowerLetter"/>
      <w:start w:val="3"/>
    </w:lvl>
  </w:abstractNum>
  <w:abstractNum w:abstractNumId="536">
    <w:nsid w:val="10236EF"/>
    <w:multiLevelType w:val="hybridMultilevel"/>
    <w:lvl w:ilvl="0">
      <w:lvlJc w:val="left"/>
      <w:lvlText w:val="(%1)"/>
      <w:numFmt w:val="lowerLetter"/>
      <w:start w:val="1"/>
    </w:lvl>
    <w:lvl w:ilvl="1">
      <w:lvlJc w:val="left"/>
      <w:lvlText w:val="(%2)"/>
      <w:numFmt w:val="lowerRoman"/>
      <w:start w:val="1"/>
    </w:lvl>
  </w:abstractNum>
  <w:abstractNum w:abstractNumId="537">
    <w:nsid w:val="68D8526B"/>
    <w:multiLevelType w:val="hybridMultilevel"/>
    <w:lvl w:ilvl="0">
      <w:lvlJc w:val="left"/>
      <w:lvlText w:val="%1"/>
      <w:numFmt w:val="lowerLetter"/>
      <w:start w:val="1"/>
    </w:lvl>
    <w:lvl w:ilvl="1">
      <w:lvlJc w:val="left"/>
      <w:lvlText w:val="(%2)"/>
      <w:numFmt w:val="lowerLetter"/>
      <w:start w:val="61"/>
    </w:lvl>
  </w:abstractNum>
  <w:abstractNum w:abstractNumId="538">
    <w:nsid w:val="3C8CC138"/>
    <w:multiLevelType w:val="hybridMultilevel"/>
    <w:lvl w:ilvl="0">
      <w:lvlJc w:val="left"/>
      <w:lvlText w:val="(%1)"/>
      <w:numFmt w:val="lowerLetter"/>
      <w:start w:val="2"/>
    </w:lvl>
    <w:lvl w:ilvl="1">
      <w:lvlJc w:val="left"/>
      <w:lvlText w:val="%2"/>
      <w:numFmt w:val="lowerLetter"/>
      <w:start w:val="1"/>
    </w:lvl>
  </w:abstractNum>
  <w:abstractNum w:abstractNumId="539">
    <w:nsid w:val="42E8C7BE"/>
    <w:multiLevelType w:val="hybridMultilevel"/>
    <w:lvl w:ilvl="0">
      <w:lvlJc w:val="left"/>
      <w:lvlText w:val="(%1)"/>
      <w:numFmt w:val="lowerLetter"/>
      <w:start w:val="1"/>
    </w:lvl>
  </w:abstractNum>
  <w:abstractNum w:abstractNumId="540">
    <w:nsid w:val="653CDC22"/>
    <w:multiLevelType w:val="hybridMultilevel"/>
    <w:lvl w:ilvl="0">
      <w:lvlJc w:val="left"/>
      <w:lvlText w:val="(%1)"/>
      <w:numFmt w:val="lowerLetter"/>
      <w:start w:val="1"/>
    </w:lvl>
  </w:abstractNum>
  <w:abstractNum w:abstractNumId="541">
    <w:nsid w:val="103B2716"/>
    <w:multiLevelType w:val="hybridMultilevel"/>
    <w:lvl w:ilvl="0">
      <w:lvlJc w:val="left"/>
      <w:lvlText w:val="(%1)"/>
      <w:numFmt w:val="lowerLetter"/>
      <w:start w:val="1"/>
    </w:lvl>
    <w:lvl w:ilvl="1">
      <w:lvlJc w:val="left"/>
      <w:lvlText w:val="(%2)"/>
      <w:numFmt w:val="lowerRoman"/>
      <w:start w:val="1"/>
    </w:lvl>
  </w:abstractNum>
  <w:abstractNum w:abstractNumId="542">
    <w:nsid w:val="156827FB"/>
    <w:multiLevelType w:val="hybridMultilevel"/>
    <w:lvl w:ilvl="0">
      <w:lvlJc w:val="left"/>
      <w:lvlText w:val="%1"/>
      <w:numFmt w:val="lowerLetter"/>
      <w:start w:val="1"/>
    </w:lvl>
    <w:lvl w:ilvl="1">
      <w:lvlJc w:val="left"/>
      <w:lvlText w:val="(%2)"/>
      <w:numFmt w:val="lowerRoman"/>
      <w:start w:val="10"/>
    </w:lvl>
  </w:abstractNum>
  <w:abstractNum w:abstractNumId="543">
    <w:nsid w:val="6350AC35"/>
    <w:multiLevelType w:val="hybridMultilevel"/>
    <w:lvl w:ilvl="0">
      <w:lvlJc w:val="left"/>
      <w:lvlText w:val="(%1)"/>
      <w:numFmt w:val="lowerLetter"/>
      <w:start w:val="2"/>
    </w:lvl>
    <w:lvl w:ilvl="1">
      <w:lvlJc w:val="left"/>
      <w:lvlText w:val="%2"/>
      <w:numFmt w:val="lowerRoman"/>
      <w:start w:val="1"/>
    </w:lvl>
  </w:abstractNum>
  <w:abstractNum w:abstractNumId="544">
    <w:nsid w:val="767725AB"/>
    <w:multiLevelType w:val="hybridMultilevel"/>
    <w:lvl w:ilvl="0">
      <w:lvlJc w:val="left"/>
      <w:lvlText w:val="(%1)"/>
      <w:numFmt w:val="lowerLetter"/>
      <w:start w:val="1"/>
    </w:lvl>
  </w:abstractNum>
  <w:abstractNum w:abstractNumId="545">
    <w:nsid w:val="4748C06A"/>
    <w:multiLevelType w:val="hybridMultilevel"/>
    <w:lvl w:ilvl="0">
      <w:lvlJc w:val="left"/>
      <w:lvlText w:val="(%1)"/>
      <w:numFmt w:val="lowerLetter"/>
      <w:start w:val="2"/>
    </w:lvl>
  </w:abstractNum>
  <w:abstractNum w:abstractNumId="546">
    <w:nsid w:val="254D9EA9"/>
    <w:multiLevelType w:val="hybridMultilevel"/>
    <w:lvl w:ilvl="0">
      <w:lvlJc w:val="left"/>
      <w:lvlText w:val="(%1)"/>
      <w:numFmt w:val="lowerLetter"/>
      <w:start w:val="3"/>
    </w:lvl>
  </w:abstractNum>
  <w:abstractNum w:abstractNumId="547">
    <w:nsid w:val="1FBD3AA3"/>
    <w:multiLevelType w:val="hybridMultilevel"/>
    <w:lvl w:ilvl="0">
      <w:lvlJc w:val="left"/>
      <w:lvlText w:val="(%1)"/>
      <w:numFmt w:val="lowerLetter"/>
      <w:start w:val="1"/>
    </w:lvl>
  </w:abstractNum>
  <w:abstractNum w:abstractNumId="548">
    <w:nsid w:val="18C6B4F2"/>
    <w:multiLevelType w:val="hybridMultilevel"/>
    <w:lvl w:ilvl="0">
      <w:lvlJc w:val="left"/>
      <w:lvlText w:val="(%1)"/>
      <w:numFmt w:val="lowerLetter"/>
      <w:start w:val="1"/>
    </w:lvl>
  </w:abstractNum>
  <w:abstractNum w:abstractNumId="549">
    <w:nsid w:val="40BAD55"/>
    <w:multiLevelType w:val="hybridMultilevel"/>
    <w:lvl w:ilvl="0">
      <w:lvlJc w:val="left"/>
      <w:lvlText w:val="(%1)"/>
      <w:numFmt w:val="lowerLetter"/>
      <w:start w:val="1"/>
    </w:lvl>
  </w:abstractNum>
  <w:abstractNum w:abstractNumId="550">
    <w:nsid w:val="E5B2573"/>
    <w:multiLevelType w:val="hybridMultilevel"/>
    <w:lvl w:ilvl="0">
      <w:lvlJc w:val="left"/>
      <w:lvlText w:val="(%1)"/>
      <w:numFmt w:val="lowerLetter"/>
      <w:start w:val="4"/>
    </w:lvl>
  </w:abstractNum>
  <w:abstractNum w:abstractNumId="551">
    <w:nsid w:val="5D175EF2"/>
    <w:multiLevelType w:val="hybridMultilevel"/>
    <w:lvl w:ilvl="0">
      <w:lvlJc w:val="left"/>
      <w:lvlText w:val="(%1)"/>
      <w:numFmt w:val="lowerLetter"/>
      <w:start w:val="1"/>
    </w:lvl>
  </w:abstractNum>
  <w:abstractNum w:abstractNumId="552">
    <w:nsid w:val="4ED5A137"/>
    <w:multiLevelType w:val="hybridMultilevel"/>
    <w:lvl w:ilvl="0">
      <w:lvlJc w:val="left"/>
      <w:lvlText w:val="(%1)"/>
      <w:numFmt w:val="lowerLetter"/>
      <w:start w:val="1"/>
    </w:lvl>
  </w:abstractNum>
  <w:abstractNum w:abstractNumId="553">
    <w:nsid w:val="1B1BCCF5"/>
    <w:multiLevelType w:val="hybridMultilevel"/>
    <w:lvl w:ilvl="0">
      <w:lvlJc w:val="left"/>
      <w:lvlText w:val="(%1)"/>
      <w:numFmt w:val="lowerLetter"/>
      <w:start w:val="1"/>
    </w:lvl>
  </w:abstractNum>
  <w:abstractNum w:abstractNumId="554">
    <w:nsid w:val="56CDFABB"/>
    <w:multiLevelType w:val="hybridMultilevel"/>
    <w:lvl w:ilvl="0">
      <w:lvlJc w:val="left"/>
      <w:lvlText w:val="(%1)"/>
      <w:numFmt w:val="lowerLetter"/>
      <w:start w:val="1"/>
    </w:lvl>
  </w:abstractNum>
  <w:abstractNum w:abstractNumId="555">
    <w:nsid w:val="78466DAF"/>
    <w:multiLevelType w:val="hybridMultilevel"/>
    <w:lvl w:ilvl="0">
      <w:lvlJc w:val="left"/>
      <w:lvlText w:val="(%1)"/>
      <w:numFmt w:val="lowerLetter"/>
      <w:start w:val="1"/>
    </w:lvl>
  </w:abstractNum>
  <w:abstractNum w:abstractNumId="556">
    <w:nsid w:val="64E5E036"/>
    <w:multiLevelType w:val="hybridMultilevel"/>
    <w:lvl w:ilvl="0">
      <w:lvlJc w:val="left"/>
      <w:lvlText w:val="(%1)"/>
      <w:numFmt w:val="lowerLetter"/>
      <w:start w:val="3"/>
    </w:lvl>
  </w:abstractNum>
  <w:abstractNum w:abstractNumId="557">
    <w:nsid w:val="5C5B6C3A"/>
    <w:multiLevelType w:val="hybridMultilevel"/>
    <w:lvl w:ilvl="0">
      <w:lvlJc w:val="left"/>
      <w:lvlText w:val="(%1)"/>
      <w:numFmt w:val="lowerLetter"/>
      <w:start w:val="5"/>
    </w:lvl>
  </w:abstractNum>
  <w:abstractNum w:abstractNumId="558">
    <w:nsid w:val="5D094B84"/>
    <w:multiLevelType w:val="hybridMultilevel"/>
    <w:lvl w:ilvl="0">
      <w:lvlJc w:val="left"/>
      <w:lvlText w:val="(%1)"/>
      <w:numFmt w:val="decimal"/>
      <w:start w:val="1"/>
    </w:lvl>
  </w:abstractNum>
  <w:abstractNum w:abstractNumId="559">
    <w:nsid w:val="272A9914"/>
    <w:multiLevelType w:val="hybridMultilevel"/>
    <w:lvl w:ilvl="0">
      <w:lvlJc w:val="left"/>
      <w:lvlText w:val="(%1)"/>
      <w:numFmt w:val="lowerLetter"/>
      <w:start w:val="1"/>
    </w:lvl>
  </w:abstractNum>
  <w:abstractNum w:abstractNumId="560">
    <w:nsid w:val="52A4773B"/>
    <w:multiLevelType w:val="hybridMultilevel"/>
    <w:lvl w:ilvl="0">
      <w:lvlJc w:val="left"/>
      <w:lvlText w:val="(%1)"/>
      <w:numFmt w:val="lowerLetter"/>
      <w:start w:val="1"/>
    </w:lvl>
  </w:abstractNum>
  <w:abstractNum w:abstractNumId="561">
    <w:nsid w:val="13BAE843"/>
    <w:multiLevelType w:val="hybridMultilevel"/>
    <w:lvl w:ilvl="0">
      <w:lvlJc w:val="left"/>
      <w:lvlText w:val="(%1)"/>
      <w:numFmt w:val="lowerLetter"/>
      <w:start w:val="10"/>
    </w:lvl>
  </w:abstractNum>
  <w:abstractNum w:abstractNumId="562">
    <w:nsid w:val="B895EBF"/>
    <w:multiLevelType w:val="hybridMultilevel"/>
    <w:lvl w:ilvl="0">
      <w:lvlJc w:val="left"/>
      <w:lvlText w:val="%1"/>
      <w:numFmt w:val="upperLetter"/>
      <w:start w:val="1"/>
    </w:lvl>
    <w:lvl w:ilvl="1">
      <w:lvlJc w:val="left"/>
      <w:lvlText w:val="(%2)"/>
      <w:numFmt w:val="lowerLetter"/>
      <w:start w:val="1"/>
    </w:lvl>
  </w:abstractNum>
  <w:abstractNum w:abstractNumId="563">
    <w:nsid w:val="646A232A"/>
    <w:multiLevelType w:val="hybridMultilevel"/>
    <w:lvl w:ilvl="0">
      <w:lvlJc w:val="left"/>
      <w:lvlText w:val="(%1)"/>
      <w:numFmt w:val="upperLetter"/>
      <w:start w:val="1"/>
    </w:lvl>
    <w:lvl w:ilvl="1">
      <w:lvlJc w:val="left"/>
      <w:lvlText w:val="%2"/>
      <w:numFmt w:val="lowerLetter"/>
      <w:start w:val="1"/>
    </w:lvl>
  </w:abstractNum>
  <w:abstractNum w:abstractNumId="564">
    <w:nsid w:val="6E022D01"/>
    <w:multiLevelType w:val="hybridMultilevel"/>
    <w:lvl w:ilvl="0">
      <w:lvlJc w:val="left"/>
      <w:lvlText w:val="(%1)"/>
      <w:numFmt w:val="lowerLetter"/>
      <w:start w:val="3"/>
    </w:lvl>
  </w:abstractNum>
  <w:abstractNum w:abstractNumId="565">
    <w:nsid w:val="294E0FD0"/>
    <w:multiLevelType w:val="hybridMultilevel"/>
    <w:lvl w:ilvl="0">
      <w:lvlJc w:val="left"/>
      <w:lvlText w:val="(%1)"/>
      <w:numFmt w:val="lowerLetter"/>
      <w:start w:val="1"/>
    </w:lvl>
  </w:abstractNum>
  <w:abstractNum w:abstractNumId="566">
    <w:nsid w:val="30D85A55"/>
    <w:multiLevelType w:val="hybridMultilevel"/>
    <w:lvl w:ilvl="0">
      <w:lvlJc w:val="left"/>
      <w:lvlText w:val="(%1)"/>
      <w:numFmt w:val="lowerLetter"/>
      <w:start w:val="1"/>
    </w:lvl>
  </w:abstractNum>
  <w:abstractNum w:abstractNumId="567">
    <w:nsid w:val="6F0463F1"/>
    <w:multiLevelType w:val="hybridMultilevel"/>
    <w:lvl w:ilvl="0">
      <w:lvlJc w:val="left"/>
      <w:lvlText w:val="(%1)"/>
      <w:numFmt w:val="lowerLetter"/>
      <w:start w:val="2"/>
    </w:lvl>
  </w:abstractNum>
  <w:abstractNum w:abstractNumId="568">
    <w:nsid w:val="1226623C"/>
    <w:multiLevelType w:val="hybridMultilevel"/>
    <w:lvl w:ilvl="0">
      <w:lvlJc w:val="left"/>
      <w:lvlText w:val="(%1)"/>
      <w:numFmt w:val="lowerLetter"/>
      <w:start w:val="1"/>
    </w:lvl>
  </w:abstractNum>
  <w:abstractNum w:abstractNumId="569">
    <w:nsid w:val="6D651B8D"/>
    <w:multiLevelType w:val="hybridMultilevel"/>
    <w:lvl w:ilvl="0">
      <w:lvlJc w:val="left"/>
      <w:lvlText w:val="(%1)"/>
      <w:numFmt w:val="lowerLetter"/>
      <w:start w:val="1"/>
    </w:lvl>
  </w:abstractNum>
  <w:abstractNum w:abstractNumId="570">
    <w:nsid w:val="31ED2BAF"/>
    <w:multiLevelType w:val="hybridMultilevel"/>
    <w:lvl w:ilvl="0">
      <w:lvlJc w:val="left"/>
      <w:lvlText w:val="(%1)"/>
      <w:numFmt w:val="lowerLetter"/>
      <w:start w:val="5"/>
    </w:lvl>
  </w:abstractNum>
  <w:abstractNum w:abstractNumId="571">
    <w:nsid w:val="77633E5E"/>
    <w:multiLevelType w:val="hybridMultilevel"/>
    <w:lvl w:ilvl="0">
      <w:lvlJc w:val="left"/>
      <w:lvlText w:val="(%1)"/>
      <w:numFmt w:val="lowerLetter"/>
      <w:start w:val="10"/>
    </w:lvl>
  </w:abstractNum>
  <w:abstractNum w:abstractNumId="572">
    <w:nsid w:val="7DA042A3"/>
    <w:multiLevelType w:val="hybridMultilevel"/>
    <w:lvl w:ilvl="0">
      <w:lvlJc w:val="left"/>
      <w:lvlText w:val="(%1)"/>
      <w:numFmt w:val="lowerLetter"/>
      <w:start w:val="1"/>
    </w:lvl>
  </w:abstractNum>
  <w:abstractNum w:abstractNumId="573">
    <w:nsid w:val="475553AB"/>
    <w:multiLevelType w:val="hybridMultilevel"/>
    <w:lvl w:ilvl="0">
      <w:lvlJc w:val="left"/>
      <w:lvlText w:val="(%1)"/>
      <w:numFmt w:val="lowerLetter"/>
      <w:start w:val="1"/>
    </w:lvl>
  </w:abstractNum>
  <w:abstractNum w:abstractNumId="574">
    <w:nsid w:val="5AB3EA93"/>
    <w:multiLevelType w:val="hybridMultilevel"/>
    <w:lvl w:ilvl="0">
      <w:lvlJc w:val="left"/>
      <w:lvlText w:val="%1"/>
      <w:numFmt w:val="lowerLetter"/>
      <w:start w:val="1"/>
    </w:lvl>
    <w:lvl w:ilvl="1">
      <w:lvlJc w:val="left"/>
      <w:lvlText w:val="(%2)"/>
      <w:numFmt w:val="lowerLetter"/>
      <w:start w:val="3"/>
    </w:lvl>
  </w:abstractNum>
  <w:abstractNum w:abstractNumId="575">
    <w:nsid w:val="7417684F"/>
    <w:multiLevelType w:val="hybridMultilevel"/>
    <w:lvl w:ilvl="0">
      <w:lvlJc w:val="left"/>
      <w:lvlText w:val="(%1)"/>
      <w:numFmt w:val="lowerLetter"/>
      <w:start w:val="22"/>
    </w:lvl>
    <w:lvl w:ilvl="1">
      <w:lvlJc w:val="left"/>
      <w:lvlText w:val="%2"/>
      <w:numFmt w:val="lowerLetter"/>
      <w:start w:val="1"/>
    </w:lvl>
  </w:abstractNum>
  <w:abstractNum w:abstractNumId="576">
    <w:nsid w:val="E9E1415"/>
    <w:multiLevelType w:val="hybridMultilevel"/>
    <w:lvl w:ilvl="0">
      <w:lvlJc w:val="left"/>
      <w:lvlText w:val="%1"/>
      <w:numFmt w:val="decimal"/>
      <w:start w:val="1"/>
    </w:lvl>
    <w:lvl w:ilvl="1">
      <w:lvlJc w:val="left"/>
      <w:lvlText w:val="(%2)"/>
      <w:numFmt w:val="lowerLetter"/>
      <w:start w:val="1"/>
    </w:lvl>
  </w:abstractNum>
  <w:abstractNum w:abstractNumId="577">
    <w:nsid w:val="1893D"/>
    <w:multiLevelType w:val="hybridMultilevel"/>
    <w:lvl w:ilvl="0">
      <w:lvlJc w:val="left"/>
      <w:lvlText w:val="(%1)"/>
      <w:numFmt w:val="decimal"/>
      <w:start w:val="10"/>
    </w:lvl>
    <w:lvl w:ilvl="1">
      <w:lvlJc w:val="left"/>
      <w:lvlText w:val="(%2)"/>
      <w:numFmt w:val="lowerLetter"/>
      <w:start w:val="3"/>
    </w:lvl>
  </w:abstractNum>
  <w:abstractNum w:abstractNumId="578">
    <w:nsid w:val="13D4A2F2"/>
    <w:multiLevelType w:val="hybridMultilevel"/>
    <w:lvl w:ilvl="0">
      <w:lvlJc w:val="left"/>
      <w:lvlText w:val="(%1)"/>
      <w:numFmt w:val="lowerLetter"/>
      <w:start w:val="1"/>
    </w:lvl>
  </w:abstractNum>
  <w:abstractNum w:abstractNumId="579">
    <w:nsid w:val="2764C907"/>
    <w:multiLevelType w:val="hybridMultilevel"/>
    <w:lvl w:ilvl="0">
      <w:lvlJc w:val="left"/>
      <w:lvlText w:val="(%1)"/>
      <w:numFmt w:val="lowerRoman"/>
      <w:start w:val="1"/>
    </w:lvl>
  </w:abstractNum>
  <w:abstractNum w:abstractNumId="580">
    <w:nsid w:val="40D3692"/>
    <w:multiLevelType w:val="hybridMultilevel"/>
    <w:lvl w:ilvl="0">
      <w:lvlJc w:val="left"/>
      <w:lvlText w:val="(%1)"/>
      <w:numFmt w:val="lowerLetter"/>
      <w:start w:val="2"/>
    </w:lvl>
    <w:lvl w:ilvl="1">
      <w:lvlJc w:val="left"/>
      <w:lvlText w:val="(%2)"/>
      <w:numFmt w:val="lowerLetter"/>
      <w:start w:val="2"/>
    </w:lvl>
    <w:lvl w:ilvl="2">
      <w:lvlJc w:val="left"/>
      <w:lvlText w:val="(%3)"/>
      <w:numFmt w:val="lowerRoman"/>
      <w:start w:val="1"/>
    </w:lvl>
  </w:abstractNum>
  <w:abstractNum w:abstractNumId="581">
    <w:nsid w:val="222FC865"/>
    <w:multiLevelType w:val="hybridMultilevel"/>
    <w:lvl w:ilvl="0">
      <w:lvlJc w:val="left"/>
      <w:lvlText w:val="(%1)"/>
      <w:numFmt w:val="lowerLetter"/>
      <w:start w:val="1"/>
    </w:lvl>
  </w:abstractNum>
  <w:abstractNum w:abstractNumId="582">
    <w:nsid w:val="47C27FA"/>
    <w:multiLevelType w:val="hybridMultilevel"/>
    <w:lvl w:ilvl="0">
      <w:lvlJc w:val="left"/>
      <w:lvlText w:val="(%1)"/>
      <w:numFmt w:val="lowerLetter"/>
      <w:start w:val="8"/>
    </w:lvl>
  </w:abstractNum>
  <w:abstractNum w:abstractNumId="583">
    <w:nsid w:val="52E2D7C9"/>
    <w:multiLevelType w:val="hybridMultilevel"/>
    <w:lvl w:ilvl="0">
      <w:lvlJc w:val="left"/>
      <w:lvlText w:val="(%1)"/>
      <w:numFmt w:val="lowerLetter"/>
      <w:start w:val="1"/>
    </w:lvl>
    <w:lvl w:ilvl="1">
      <w:lvlJc w:val="left"/>
      <w:lvlText w:val="(%2)"/>
      <w:numFmt w:val="lowerLetter"/>
      <w:start w:val="9"/>
    </w:lvl>
  </w:abstractNum>
  <w:abstractNum w:abstractNumId="584">
    <w:nsid w:val="3D4B955A"/>
    <w:multiLevelType w:val="hybridMultilevel"/>
    <w:lvl w:ilvl="0">
      <w:lvlJc w:val="left"/>
      <w:lvlText w:val="(%1)"/>
      <w:numFmt w:val="lowerRoman"/>
      <w:start w:val="2"/>
    </w:lvl>
  </w:abstractNum>
  <w:abstractNum w:abstractNumId="585">
    <w:nsid w:val="5B4A22B5"/>
    <w:multiLevelType w:val="hybridMultilevel"/>
    <w:lvl w:ilvl="0">
      <w:lvlJc w:val="left"/>
      <w:lvlText w:val="(%1)"/>
      <w:numFmt w:val="lowerLetter"/>
      <w:start w:val="2"/>
    </w:lvl>
  </w:abstractNum>
  <w:abstractNum w:abstractNumId="586">
    <w:nsid w:val="4B294578"/>
    <w:multiLevelType w:val="hybridMultilevel"/>
    <w:lvl w:ilvl="0">
      <w:lvlJc w:val="left"/>
      <w:lvlText w:val="(%1)"/>
      <w:numFmt w:val="lowerLetter"/>
      <w:start w:val="3"/>
    </w:lvl>
  </w:abstractNum>
  <w:abstractNum w:abstractNumId="587">
    <w:nsid w:val="22317590"/>
    <w:multiLevelType w:val="hybridMultilevel"/>
    <w:lvl w:ilvl="0">
      <w:lvlJc w:val="left"/>
      <w:lvlText w:val="(%1)"/>
      <w:numFmt w:val="lowerLetter"/>
      <w:start w:val="4"/>
    </w:lvl>
  </w:abstractNum>
  <w:abstractNum w:abstractNumId="588">
    <w:nsid w:val="37A58EEF"/>
    <w:multiLevelType w:val="hybridMultilevel"/>
    <w:lvl w:ilvl="0">
      <w:lvlJc w:val="left"/>
      <w:lvlText w:val="(%1)"/>
      <w:numFmt w:val="lowerLetter"/>
      <w:start w:val="1"/>
    </w:lvl>
  </w:abstractNum>
  <w:abstractNum w:abstractNumId="589">
    <w:nsid w:val="283290FD"/>
    <w:multiLevelType w:val="hybridMultilevel"/>
    <w:lvl w:ilvl="0">
      <w:lvlJc w:val="left"/>
      <w:lvlText w:val="(%1)"/>
      <w:numFmt w:val="lowerLetter"/>
      <w:start w:val="3"/>
    </w:lvl>
  </w:abstractNum>
  <w:abstractNum w:abstractNumId="590">
    <w:nsid w:val="495C0EA5"/>
    <w:multiLevelType w:val="hybridMultilevel"/>
    <w:lvl w:ilvl="0">
      <w:lvlJc w:val="left"/>
      <w:lvlText w:val="(%1)"/>
      <w:numFmt w:val="lowerLetter"/>
      <w:start w:val="5"/>
    </w:lvl>
  </w:abstractNum>
  <w:abstractNum w:abstractNumId="591">
    <w:nsid w:val="A4A062B"/>
    <w:multiLevelType w:val="hybridMultilevel"/>
    <w:lvl w:ilvl="0">
      <w:lvlJc w:val="left"/>
      <w:lvlText w:val="(%1)"/>
      <w:numFmt w:val="lowerLetter"/>
      <w:start w:val="1"/>
    </w:lvl>
  </w:abstractNum>
  <w:abstractNum w:abstractNumId="592">
    <w:nsid w:val="3BED7940"/>
    <w:multiLevelType w:val="hybridMultilevel"/>
    <w:lvl w:ilvl="0">
      <w:lvlJc w:val="left"/>
      <w:lvlText w:val="(%1)"/>
      <w:numFmt w:val="lowerRoman"/>
      <w:start w:val="1"/>
    </w:lvl>
  </w:abstractNum>
  <w:abstractNum w:abstractNumId="593">
    <w:nsid w:val="54E56D64"/>
    <w:multiLevelType w:val="hybridMultilevel"/>
    <w:lvl w:ilvl="0">
      <w:lvlJc w:val="left"/>
      <w:lvlText w:val="(%1)"/>
      <w:numFmt w:val="upperLetter"/>
      <w:start w:val="1"/>
    </w:lvl>
  </w:abstractNum>
  <w:abstractNum w:abstractNumId="594">
    <w:nsid w:val="6EB42955"/>
    <w:multiLevelType w:val="hybridMultilevel"/>
    <w:lvl w:ilvl="0">
      <w:lvlJc w:val="left"/>
      <w:lvlText w:val="(%1)"/>
      <w:numFmt w:val="upperLetter"/>
      <w:start w:val="2"/>
    </w:lvl>
  </w:abstractNum>
  <w:abstractNum w:abstractNumId="595">
    <w:nsid w:val="29EFA642"/>
    <w:multiLevelType w:val="hybridMultilevel"/>
    <w:lvl w:ilvl="0">
      <w:lvlJc w:val="left"/>
      <w:lvlText w:val="(%1)"/>
      <w:numFmt w:val="lowerRoman"/>
      <w:start w:val="2"/>
    </w:lvl>
  </w:abstractNum>
  <w:abstractNum w:abstractNumId="596">
    <w:nsid w:val="7E337D35"/>
    <w:multiLevelType w:val="hybridMultilevel"/>
    <w:lvl w:ilvl="0">
      <w:lvlJc w:val="left"/>
      <w:lvlText w:val="(%1)"/>
      <w:numFmt w:val="upperLetter"/>
      <w:start w:val="1"/>
    </w:lvl>
  </w:abstractNum>
  <w:abstractNum w:abstractNumId="597">
    <w:nsid w:val="1F8C83AB"/>
    <w:multiLevelType w:val="hybridMultilevel"/>
    <w:lvl w:ilvl="0">
      <w:lvlJc w:val="left"/>
      <w:lvlText w:val="(%1)"/>
      <w:numFmt w:val="lowerRoman"/>
      <w:start w:val="4"/>
    </w:lvl>
  </w:abstractNum>
  <w:abstractNum w:abstractNumId="598">
    <w:nsid w:val="18F40A33"/>
    <w:multiLevelType w:val="hybridMultilevel"/>
    <w:lvl w:ilvl="0">
      <w:lvlJc w:val="left"/>
      <w:lvlText w:val="(%1)"/>
      <w:numFmt w:val="lowerLetter"/>
      <w:start w:val="3"/>
    </w:lvl>
  </w:abstractNum>
  <w:abstractNum w:abstractNumId="599">
    <w:nsid w:val="1059DF71"/>
    <w:multiLevelType w:val="hybridMultilevel"/>
    <w:lvl w:ilvl="0">
      <w:lvlJc w:val="left"/>
      <w:lvlText w:val="(%1)"/>
      <w:numFmt w:val="lowerLetter"/>
      <w:start w:val="5"/>
    </w:lvl>
  </w:abstractNum>
  <w:abstractNum w:abstractNumId="600">
    <w:nsid w:val="CF19F38"/>
    <w:multiLevelType w:val="hybridMultilevel"/>
    <w:lvl w:ilvl="0">
      <w:lvlJc w:val="left"/>
      <w:lvlText w:val="(%1)"/>
      <w:numFmt w:val="lowerLetter"/>
      <w:start w:val="1"/>
    </w:lvl>
  </w:abstractNum>
  <w:abstractNum w:abstractNumId="601">
    <w:nsid w:val="4AE135E2"/>
    <w:multiLevelType w:val="hybridMultilevel"/>
    <w:lvl w:ilvl="0">
      <w:lvlJc w:val="left"/>
      <w:lvlText w:val="(%1)"/>
      <w:numFmt w:val="lowerLetter"/>
      <w:start w:val="1"/>
    </w:lvl>
  </w:abstractNum>
  <w:abstractNum w:abstractNumId="602">
    <w:nsid w:val="7BD1DCF"/>
    <w:multiLevelType w:val="hybridMultilevel"/>
    <w:lvl w:ilvl="0">
      <w:lvlJc w:val="left"/>
      <w:lvlText w:val="(%1)"/>
      <w:numFmt w:val="lowerLetter"/>
      <w:start w:val="2"/>
    </w:lvl>
  </w:abstractNum>
  <w:abstractNum w:abstractNumId="603">
    <w:nsid w:val="A91E1DC"/>
    <w:multiLevelType w:val="hybridMultilevel"/>
    <w:lvl w:ilvl="0">
      <w:lvlJc w:val="left"/>
      <w:lvlText w:val="(%1)"/>
      <w:numFmt w:val="lowerLetter"/>
      <w:start w:val="1"/>
    </w:lvl>
    <w:lvl w:ilvl="1">
      <w:lvlJc w:val="left"/>
      <w:lvlText w:val="(%2)"/>
      <w:numFmt w:val="lowerRoman"/>
      <w:start w:val="1"/>
    </w:lvl>
  </w:abstractNum>
  <w:abstractNum w:abstractNumId="604">
    <w:nsid w:val="1236898D"/>
    <w:multiLevelType w:val="hybridMultilevel"/>
    <w:lvl w:ilvl="0">
      <w:lvlJc w:val="left"/>
      <w:lvlText w:val="(%1)"/>
      <w:numFmt w:val="upperLetter"/>
      <w:start w:val="1"/>
    </w:lvl>
  </w:abstractNum>
  <w:abstractNum w:abstractNumId="605">
    <w:nsid w:val="62710862"/>
    <w:multiLevelType w:val="hybridMultilevel"/>
    <w:lvl w:ilvl="0">
      <w:lvlJc w:val="left"/>
      <w:lvlText w:val="%1."/>
      <w:numFmt w:val="decimal"/>
      <w:start w:val="1"/>
    </w:lvl>
  </w:abstractNum>
  <w:abstractNum w:abstractNumId="606">
    <w:nsid w:val="7EA94A2B"/>
    <w:multiLevelType w:val="hybridMultilevel"/>
    <w:lvl w:ilvl="0">
      <w:lvlJc w:val="left"/>
      <w:lvlText w:val="%1."/>
      <w:numFmt w:val="decimal"/>
      <w:start w:val="11"/>
    </w:lvl>
  </w:abstractNum>
  <w:abstractNum w:abstractNumId="607">
    <w:nsid w:val="20D49DA3"/>
    <w:multiLevelType w:val="hybridMultilevel"/>
    <w:lvl w:ilvl="0">
      <w:lvlJc w:val="left"/>
      <w:lvlText w:val="%1."/>
      <w:numFmt w:val="decimal"/>
      <w:start w:val="1"/>
    </w:lvl>
  </w:abstractNum>
  <w:abstractNum w:abstractNumId="608">
    <w:nsid w:val="6272919F"/>
    <w:multiLevelType w:val="hybridMultilevel"/>
    <w:lvl w:ilvl="0">
      <w:lvlJc w:val="left"/>
      <w:lvlText w:val="%1."/>
      <w:numFmt w:val="decimal"/>
      <w:start w:val="1"/>
    </w:lvl>
  </w:abstractNum>
  <w:abstractNum w:abstractNumId="609">
    <w:nsid w:val="127DED1D"/>
    <w:multiLevelType w:val="hybridMultilevel"/>
    <w:lvl w:ilvl="0">
      <w:lvlJc w:val="left"/>
      <w:lvlText w:val="%1."/>
      <w:numFmt w:val="decimal"/>
      <w:start w:val="1"/>
    </w:lvl>
  </w:abstractNum>
  <w:abstractNum w:abstractNumId="610">
    <w:nsid w:val="483966AA"/>
    <w:multiLevelType w:val="hybridMultilevel"/>
    <w:lvl w:ilvl="0">
      <w:lvlJc w:val="left"/>
      <w:lvlText w:val="%1."/>
      <w:numFmt w:val="decimal"/>
      <w:start w:val="1"/>
    </w:lvl>
  </w:abstractNum>
  <w:abstractNum w:abstractNumId="611">
    <w:nsid w:val="667FC831"/>
    <w:multiLevelType w:val="hybridMultilevel"/>
    <w:lvl w:ilvl="0">
      <w:lvlJc w:val="left"/>
      <w:lvlText w:val="(%1)"/>
      <w:numFmt w:val="lowerLetter"/>
      <w:start w:val="1"/>
    </w:lvl>
  </w:abstractNum>
  <w:abstractNum w:abstractNumId="612">
    <w:nsid w:val="34ADB582"/>
    <w:multiLevelType w:val="hybridMultilevel"/>
    <w:lvl w:ilvl="0">
      <w:lvlJc w:val="left"/>
      <w:lvlText w:val="(%1)"/>
      <w:numFmt w:val="lowerLetter"/>
      <w:start w:val="2"/>
    </w:lvl>
  </w:abstractNum>
  <w:abstractNum w:abstractNumId="613">
    <w:nsid w:val="4CB58EA4"/>
    <w:multiLevelType w:val="hybridMultilevel"/>
    <w:lvl w:ilvl="0">
      <w:lvlJc w:val="left"/>
      <w:lvlText w:val="%1."/>
      <w:numFmt w:val="decimal"/>
      <w:start w:val="1"/>
    </w:lvl>
  </w:abstractNum>
  <w:abstractNum w:abstractNumId="614">
    <w:nsid w:val="39629FFA"/>
    <w:multiLevelType w:val="hybridMultilevel"/>
    <w:lvl w:ilvl="0">
      <w:lvlJc w:val="left"/>
      <w:lvlText w:val="1"/>
      <w:numFmt w:val="bullet"/>
      <w:start w:val="1"/>
    </w:lvl>
  </w:abstractNum>
  <w:abstractNum w:abstractNumId="615">
    <w:nsid w:val="71F94ADC"/>
    <w:multiLevelType w:val="hybridMultilevel"/>
    <w:lvl w:ilvl="0">
      <w:lvlJc w:val="left"/>
      <w:lvlText w:val="%1."/>
      <w:numFmt w:val="decimal"/>
      <w:start w:val="1"/>
    </w:lvl>
  </w:abstractNum>
  <w:abstractNum w:abstractNumId="616">
    <w:nsid w:val="27FFB15A"/>
    <w:multiLevelType w:val="hybridMultilevel"/>
    <w:lvl w:ilvl="0">
      <w:lvlJc w:val="left"/>
      <w:lvlText w:val="%1."/>
      <w:numFmt w:val="decimal"/>
      <w:start w:val="1"/>
    </w:lvl>
  </w:abstractNum>
  <w:abstractNum w:abstractNumId="617">
    <w:nsid w:val="48BE573"/>
    <w:multiLevelType w:val="hybridMultilevel"/>
    <w:lvl w:ilvl="0">
      <w:lvlJc w:val="left"/>
      <w:lvlText w:val="%1."/>
      <w:numFmt w:val="decimal"/>
      <w:start w:val="4"/>
    </w:lvl>
  </w:abstractNum>
  <w:abstractNum w:abstractNumId="618">
    <w:nsid w:val="142AC06C"/>
    <w:multiLevelType w:val="hybridMultilevel"/>
    <w:lvl w:ilvl="0">
      <w:lvlJc w:val="left"/>
      <w:lvlText w:val=","/>
      <w:numFmt w:val="bullet"/>
      <w:start w:val="1"/>
    </w:lvl>
  </w:abstractNum>
  <w:abstractNum w:abstractNumId="619">
    <w:nsid w:val="5FA54049"/>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620">
    <w:nsid w:val="2CBE7670"/>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621">
    <w:nsid w:val="5D86CF11"/>
    <w:multiLevelType w:val="hybridMultilevel"/>
    <w:lvl w:ilvl="0">
      <w:lvlJc w:val="left"/>
      <w:lvlText w:val="%1."/>
      <w:numFmt w:val="decimal"/>
      <w:start w:val="1"/>
    </w:lvl>
  </w:abstractNum>
  <w:abstractNum w:abstractNumId="622">
    <w:nsid w:val="69EF4674"/>
    <w:multiLevelType w:val="hybridMultilevel"/>
    <w:lvl w:ilvl="0">
      <w:lvlJc w:val="left"/>
      <w:lvlText w:val="1"/>
      <w:numFmt w:val="bullet"/>
      <w:start w:val="1"/>
    </w:lvl>
  </w:abstractNum>
  <w:abstractNum w:abstractNumId="623">
    <w:nsid w:val="68ABEFB0"/>
    <w:multiLevelType w:val="hybridMultilevel"/>
    <w:lvl w:ilvl="0">
      <w:lvlJc w:val="left"/>
      <w:lvlText w:val="%1."/>
      <w:numFmt w:val="decimal"/>
      <w:start w:val="3"/>
    </w:lvl>
  </w:abstractNum>
  <w:abstractNum w:abstractNumId="624">
    <w:nsid w:val="326C3C76"/>
    <w:multiLevelType w:val="hybridMultilevel"/>
    <w:lvl w:ilvl="0">
      <w:lvlJc w:val="left"/>
      <w:lvlText w:val="%1."/>
      <w:numFmt w:val="decimal"/>
      <w:start w:val="4"/>
    </w:lvl>
  </w:abstractNum>
  <w:abstractNum w:abstractNumId="625">
    <w:nsid w:val="58A36FCA"/>
    <w:multiLevelType w:val="hybridMultilevel"/>
    <w:lvl w:ilvl="0">
      <w:lvlJc w:val="left"/>
      <w:lvlText w:val="%1."/>
      <w:numFmt w:val="decimal"/>
      <w:start w:val="6"/>
    </w:lvl>
  </w:abstractNum>
  <w:abstractNum w:abstractNumId="626">
    <w:nsid w:val="129B95F2"/>
    <w:multiLevelType w:val="hybridMultilevel"/>
    <w:lvl w:ilvl="0">
      <w:lvlJc w:val="left"/>
      <w:lvlText w:val="%1."/>
      <w:numFmt w:val="decimal"/>
      <w:start w:val="7"/>
    </w:lvl>
  </w:abstractNum>
  <w:abstractNum w:abstractNumId="627">
    <w:nsid w:val="309FB9AB"/>
    <w:multiLevelType w:val="hybridMultilevel"/>
    <w:lvl w:ilvl="0">
      <w:lvlJc w:val="left"/>
      <w:lvlText w:val="%1."/>
      <w:numFmt w:val="decimal"/>
      <w:start w:val="8"/>
    </w:lvl>
  </w:abstractNum>
  <w:abstractNum w:abstractNumId="628">
    <w:nsid w:val="782FF375"/>
    <w:multiLevelType w:val="hybridMultilevel"/>
    <w:lvl w:ilvl="0">
      <w:lvlJc w:val="left"/>
      <w:lvlText w:val="%1."/>
      <w:numFmt w:val="decimal"/>
      <w:start w:val="9"/>
    </w:lvl>
  </w:abstractNum>
  <w:abstractNum w:abstractNumId="629">
    <w:nsid w:val="2B8FA025"/>
    <w:multiLevelType w:val="hybridMultilevel"/>
    <w:lvl w:ilvl="0">
      <w:lvlJc w:val="left"/>
      <w:lvlText w:val="%1."/>
      <w:numFmt w:val="decimal"/>
      <w:start w:val="10"/>
    </w:lvl>
  </w:abstractNum>
  <w:abstractNum w:abstractNumId="630">
    <w:nsid w:val="40F9991C"/>
    <w:multiLevelType w:val="hybridMultilevel"/>
    <w:lvl w:ilvl="0">
      <w:lvlJc w:val="left"/>
      <w:lvlText w:val="%1."/>
      <w:numFmt w:val="decimal"/>
      <w:start w:val="11"/>
    </w:lvl>
  </w:abstractNum>
  <w:abstractNum w:abstractNumId="631">
    <w:nsid w:val="52192AD"/>
    <w:multiLevelType w:val="hybridMultilevel"/>
    <w:lvl w:ilvl="0">
      <w:lvlJc w:val="left"/>
      <w:lvlText w:val="%1."/>
      <w:numFmt w:val="decimal"/>
      <w:start w:val="16"/>
    </w:lvl>
  </w:abstractNum>
  <w:abstractNum w:abstractNumId="632">
    <w:nsid w:val="7670D608"/>
    <w:multiLevelType w:val="hybridMultilevel"/>
    <w:lvl w:ilvl="0">
      <w:lvlJc w:val="left"/>
      <w:lvlText w:val="2"/>
      <w:numFmt w:val="bullet"/>
      <w:start w:val="1"/>
    </w:lvl>
  </w:abstractNum>
  <w:abstractNum w:abstractNumId="633">
    <w:nsid w:val="48B6B6EB"/>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abstractNum>
  <w:abstractNum w:abstractNumId="634">
    <w:nsid w:val="FB37489"/>
    <w:multiLevelType w:val="hybridMultilevel"/>
    <w:lvl w:ilvl="0">
      <w:lvlJc w:val="left"/>
      <w:lvlText w:val="1"/>
      <w:numFmt w:val="bullet"/>
      <w:start w:val="1"/>
    </w:lvl>
  </w:abstractNum>
  <w:abstractNum w:abstractNumId="635">
    <w:nsid w:val="8A75F95"/>
    <w:multiLevelType w:val="hybridMultilevel"/>
    <w:lvl w:ilvl="0">
      <w:lvlJc w:val="left"/>
      <w:lvlText w:val="%1"/>
      <w:numFmt w:val="upperLetter"/>
      <w:start w:val="1"/>
    </w:lvl>
    <w:lvl w:ilvl="1">
      <w:lvlJc w:val="left"/>
      <w:lvlText w:val="%2."/>
      <w:numFmt w:val="decimal"/>
      <w:start w:val="2"/>
    </w:lvl>
  </w:abstractNum>
  <w:abstractNum w:abstractNumId="636">
    <w:nsid w:val="2B27BF4D"/>
    <w:multiLevelType w:val="hybridMultilevel"/>
    <w:lvl w:ilvl="0">
      <w:lvlJc w:val="left"/>
      <w:lvlText w:val="%1."/>
      <w:numFmt w:val="upperLetter"/>
      <w:start w:val="3"/>
    </w:lvl>
    <w:lvl w:ilvl="1">
      <w:lvlJc w:val="left"/>
      <w:lvlText w:val="%2"/>
      <w:numFmt w:val="decimal"/>
      <w:start w:val="1"/>
    </w:lvl>
  </w:abstractNum>
  <w:abstractNum w:abstractNumId="637">
    <w:nsid w:val="E5CBEB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638">
    <w:nsid w:val="297BFD38"/>
    <w:multiLevelType w:val="hybridMultilevel"/>
    <w:lvl w:ilvl="0">
      <w:lvlJc w:val="left"/>
      <w:lvlText w:val="7"/>
      <w:numFmt w:val="bullet"/>
      <w:start w:val="1"/>
    </w:lvl>
  </w:abstractNum>
  <w:abstractNum w:abstractNumId="639">
    <w:nsid w:val="D9A50ED"/>
    <w:multiLevelType w:val="hybridMultilevel"/>
    <w:lvl w:ilvl="0">
      <w:lvlJc w:val="left"/>
      <w:lvlText w:val="%1."/>
      <w:numFmt w:val="decimal"/>
      <w:start w:val="2"/>
    </w:lvl>
  </w:abstractNum>
  <w:abstractNum w:abstractNumId="640">
    <w:nsid w:val="20DAABD1"/>
    <w:multiLevelType w:val="hybridMultilevel"/>
    <w:lvl w:ilvl="0">
      <w:lvlJc w:val="left"/>
      <w:lvlText w:val="%1"/>
      <w:numFmt w:val="upperLetter"/>
      <w:start w:val="1"/>
    </w:lvl>
    <w:lvl w:ilvl="1">
      <w:lvlJc w:val="left"/>
      <w:lvlText w:val="%2."/>
      <w:numFmt w:val="upperLetter"/>
      <w:start w:val="2"/>
    </w:lvl>
    <w:lvl w:ilvl="2">
      <w:lvlJc w:val="left"/>
      <w:lvlText w:val="%3."/>
      <w:numFmt w:val="decimal"/>
      <w:start w:val="1"/>
    </w:lvl>
  </w:abstractNum>
  <w:abstractNum w:abstractNumId="641">
    <w:nsid w:val="71B563E3"/>
    <w:multiLevelType w:val="hybridMultilevel"/>
    <w:lvl w:ilvl="0">
      <w:lvlJc w:val="left"/>
      <w:lvlText w:val="%1."/>
      <w:numFmt w:val="upperLetter"/>
      <w:start w:val="22"/>
    </w:lvl>
    <w:lvl w:ilvl="1">
      <w:lvlJc w:val="left"/>
      <w:lvlText w:val="%2."/>
      <w:numFmt w:val="upperLetter"/>
      <w:start w:val="1"/>
    </w:lvl>
    <w:lvl w:ilvl="2">
      <w:lvlJc w:val="left"/>
      <w:lvlText w:val="%3"/>
      <w:numFmt w:val="decimal"/>
      <w:start w:val="1"/>
    </w:lvl>
  </w:abstractNum>
  <w:abstractNum w:abstractNumId="642">
    <w:nsid w:val="741A191E"/>
    <w:multiLevelType w:val="hybridMultilevel"/>
    <w:lvl w:ilvl="0">
      <w:lvlJc w:val="left"/>
      <w:lvlText w:val="%1."/>
      <w:numFmt w:val="upperLetter"/>
      <w:start w:val="1"/>
    </w:lvl>
    <w:lvl w:ilvl="1">
      <w:lvlJc w:val="left"/>
      <w:lvlText w:val="%2."/>
      <w:numFmt w:val="decimal"/>
      <w:start w:val="1"/>
    </w:lvl>
  </w:abstractNum>
  <w:abstractNum w:abstractNumId="643">
    <w:nsid w:val="55886153"/>
    <w:multiLevelType w:val="hybridMultilevel"/>
    <w:lvl w:ilvl="0">
      <w:lvlJc w:val="left"/>
      <w:lvlText w:val="8"/>
      <w:numFmt w:val="bullet"/>
      <w:start w:val="1"/>
    </w:lvl>
  </w:abstractNum>
  <w:abstractNum w:abstractNumId="644">
    <w:nsid w:val="3E6AF287"/>
    <w:multiLevelType w:val="hybridMultilevel"/>
    <w:lvl w:ilvl="0">
      <w:lvlJc w:val="left"/>
      <w:lvlText w:val="9"/>
      <w:numFmt w:val="bullet"/>
      <w:start w:val="1"/>
    </w:lvl>
  </w:abstractNum>
  <w:abstractNum w:abstractNumId="645">
    <w:nsid w:val="2D7CB919"/>
    <w:multiLevelType w:val="hybridMultilevel"/>
    <w:lvl w:ilvl="0">
      <w:lvlJc w:val="left"/>
      <w:lvlText w:val="%1"/>
      <w:numFmt w:val="decimal"/>
      <w:start w:val="10"/>
    </w:lvl>
  </w:abstractNum>
  <w:abstractNum w:abstractNumId="646">
    <w:nsid w:val="4781AC2F"/>
    <w:multiLevelType w:val="hybridMultilevel"/>
    <w:lvl w:ilvl="0">
      <w:lvlJc w:val="left"/>
      <w:lvlText w:val="%1."/>
      <w:numFmt w:val="upperLetter"/>
      <w:start w:val="4"/>
    </w:lvl>
  </w:abstractNum>
  <w:abstractNum w:abstractNumId="647">
    <w:nsid w:val="666AA3E1"/>
    <w:multiLevelType w:val="hybridMultilevel"/>
    <w:lvl w:ilvl="0">
      <w:lvlJc w:val="left"/>
      <w:lvlText w:val="1"/>
      <w:numFmt w:val="bullet"/>
      <w:start w:val="1"/>
    </w:lvl>
  </w:abstractNum>
  <w:abstractNum w:abstractNumId="648">
    <w:nsid w:val="32089E8C"/>
    <w:multiLevelType w:val="hybridMultilevel"/>
    <w:lvl w:ilvl="0">
      <w:lvlJc w:val="left"/>
      <w:lvlText w:val="2"/>
      <w:numFmt w:val="bullet"/>
      <w:start w:val="1"/>
    </w:lvl>
  </w:abstractNum>
  <w:abstractNum w:abstractNumId="649">
    <w:nsid w:val="5BAC6C9C"/>
    <w:multiLevelType w:val="hybridMultilevel"/>
    <w:lvl w:ilvl="0">
      <w:lvlJc w:val="left"/>
      <w:lvlText w:val="%1."/>
      <w:numFmt w:val="decimal"/>
      <w:start w:val="2"/>
    </w:lvl>
  </w:abstractNum>
  <w:abstractNum w:abstractNumId="650">
    <w:nsid w:val="460FE42B"/>
    <w:multiLevelType w:val="hybridMultilevel"/>
    <w:lvl w:ilvl="0">
      <w:lvlJc w:val="left"/>
      <w:lvlText w:val="1"/>
      <w:numFmt w:val="bullet"/>
      <w:start w:val="1"/>
    </w:lvl>
  </w:abstractNum>
  <w:abstractNum w:abstractNumId="651">
    <w:nsid w:val="5EC714FC"/>
    <w:multiLevelType w:val="hybridMultilevel"/>
    <w:lvl w:ilvl="0">
      <w:lvlJc w:val="left"/>
      <w:lvlText w:val="2"/>
      <w:numFmt w:val="bullet"/>
      <w:start w:val="1"/>
    </w:lvl>
  </w:abstractNum>
  <w:abstractNum w:abstractNumId="652">
    <w:nsid w:val="39333BAD"/>
    <w:multiLevelType w:val="hybridMultilevel"/>
    <w:lvl w:ilvl="0">
      <w:lvlJc w:val="left"/>
      <w:lvlText w:val="3"/>
      <w:numFmt w:val="bullet"/>
      <w:start w:val="1"/>
    </w:lvl>
  </w:abstractNum>
  <w:abstractNum w:abstractNumId="653">
    <w:nsid w:val="2FFF2A9F"/>
    <w:multiLevelType w:val="hybridMultilevel"/>
    <w:lvl w:ilvl="0">
      <w:lvlJc w:val="left"/>
      <w:lvlText w:val="4"/>
      <w:numFmt w:val="bullet"/>
      <w:start w:val="1"/>
    </w:lvl>
  </w:abstractNum>
  <w:abstractNum w:abstractNumId="654">
    <w:nsid w:val="477304AC"/>
    <w:multiLevelType w:val="hybridMultilevel"/>
    <w:lvl w:ilvl="0">
      <w:lvlJc w:val="left"/>
      <w:lvlText w:val="%1."/>
      <w:numFmt w:val="decimal"/>
      <w:start w:val="4"/>
    </w:lvl>
  </w:abstractNum>
  <w:abstractNum w:abstractNumId="655">
    <w:nsid w:val="6B9F7823"/>
    <w:multiLevelType w:val="hybridMultilevel"/>
    <w:lvl w:ilvl="0">
      <w:lvlJc w:val="left"/>
      <w:lvlText w:val="5"/>
      <w:numFmt w:val="bullet"/>
      <w:start w:val="1"/>
    </w:lvl>
  </w:abstractNum>
  <w:abstractNum w:abstractNumId="656">
    <w:nsid w:val="8A29A69"/>
    <w:multiLevelType w:val="hybridMultilevel"/>
    <w:lvl w:ilvl="0">
      <w:lvlJc w:val="left"/>
      <w:lvlText w:val="6"/>
      <w:numFmt w:val="bullet"/>
      <w:start w:val="1"/>
    </w:lvl>
  </w:abstractNum>
  <w:abstractNum w:abstractNumId="657">
    <w:nsid w:val="5A0E9A9F"/>
    <w:multiLevelType w:val="hybridMultilevel"/>
    <w:lvl w:ilvl="0">
      <w:lvlJc w:val="left"/>
      <w:lvlText w:val="7"/>
      <w:numFmt w:val="bullet"/>
      <w:start w:val="1"/>
    </w:lvl>
  </w:abstractNum>
  <w:abstractNum w:abstractNumId="658">
    <w:nsid w:val="1C3F31CE"/>
    <w:multiLevelType w:val="hybridMultilevel"/>
    <w:lvl w:ilvl="0">
      <w:lvlJc w:val="left"/>
      <w:lvlText w:val="8"/>
      <w:numFmt w:val="bullet"/>
      <w:start w:val="1"/>
    </w:lvl>
  </w:abstractNum>
  <w:abstractNum w:abstractNumId="659">
    <w:nsid w:val="D28DDE"/>
    <w:multiLevelType w:val="hybridMultilevel"/>
    <w:lvl w:ilvl="0">
      <w:lvlJc w:val="left"/>
      <w:lvlText w:val="9"/>
      <w:numFmt w:val="bullet"/>
      <w:start w:val="1"/>
    </w:lvl>
  </w:abstractNum>
  <w:abstractNum w:abstractNumId="660">
    <w:nsid w:val="59E3AC4"/>
    <w:multiLevelType w:val="hybridMultilevel"/>
    <w:lvl w:ilvl="0">
      <w:lvlJc w:val="left"/>
      <w:lvlText w:val="%1"/>
      <w:numFmt w:val="decimal"/>
      <w:start w:val="10"/>
    </w:lvl>
  </w:abstractNum>
  <w:abstractNum w:abstractNumId="661">
    <w:nsid w:val="5D38CAEA"/>
    <w:multiLevelType w:val="hybridMultilevel"/>
    <w:lvl w:ilvl="0">
      <w:lvlJc w:val="left"/>
      <w:lvlText w:val="%1"/>
      <w:numFmt w:val="decimal"/>
      <w:start w:val="11"/>
    </w:lvl>
  </w:abstractNum>
  <w:abstractNum w:abstractNumId="662">
    <w:nsid w:val="5F4208C"/>
    <w:multiLevelType w:val="hybridMultilevel"/>
    <w:lvl w:ilvl="0">
      <w:lvlJc w:val="left"/>
      <w:lvlText w:val="(%1)"/>
      <w:numFmt w:val="lowerRoman"/>
      <w:start w:val="4"/>
    </w:lvl>
  </w:abstractNum>
  <w:abstractNum w:abstractNumId="663">
    <w:nsid w:val="7C0F10CC"/>
    <w:multiLevelType w:val="hybridMultilevel"/>
    <w:lvl w:ilvl="0">
      <w:lvlJc w:val="left"/>
      <w:lvlText w:val="%1."/>
      <w:numFmt w:val="decimal"/>
      <w:start w:val="2"/>
    </w:lvl>
  </w:abstractNum>
  <w:abstractNum w:abstractNumId="664">
    <w:nsid w:val="25EF81D5"/>
    <w:multiLevelType w:val="hybridMultilevel"/>
    <w:lvl w:ilvl="0">
      <w:lvlJc w:val="left"/>
      <w:lvlText w:val="%1."/>
      <w:numFmt w:val="decimal"/>
      <w:start w:val="1"/>
    </w:lvl>
  </w:abstractNum>
  <w:abstractNum w:abstractNumId="665">
    <w:nsid w:val="15A79515"/>
    <w:multiLevelType w:val="hybridMultilevel"/>
    <w:lvl w:ilvl="0">
      <w:lvlJc w:val="left"/>
      <w:lvlText w:val="%1."/>
      <w:numFmt w:val="decimal"/>
      <w:start w:val="1"/>
    </w:lvl>
  </w:abstractNum>
  <w:abstractNum w:abstractNumId="666">
    <w:nsid w:val="4B67062"/>
    <w:multiLevelType w:val="hybridMultilevel"/>
    <w:lvl w:ilvl="0">
      <w:lvlJc w:val="left"/>
      <w:lvlText w:val="%1"/>
      <w:numFmt w:val="lowerLetter"/>
      <w:start w:val="1"/>
    </w:lvl>
    <w:lvl w:ilvl="1">
      <w:lvlJc w:val="left"/>
      <w:lvlText w:val="%2."/>
      <w:numFmt w:val="decimal"/>
      <w:start w:val="2"/>
    </w:lvl>
  </w:abstractNum>
  <w:abstractNum w:abstractNumId="667">
    <w:nsid w:val="51174123"/>
    <w:multiLevelType w:val="hybridMultilevel"/>
    <w:lvl w:ilvl="0">
      <w:lvlJc w:val="left"/>
      <w:lvlText w:val="(%1)"/>
      <w:numFmt w:val="lowerLetter"/>
      <w:start w:val="2"/>
    </w:lvl>
    <w:lvl w:ilvl="1">
      <w:lvlJc w:val="left"/>
      <w:lvlText w:val="%2"/>
      <w:numFmt w:val="decimal"/>
      <w:start w:val="1"/>
    </w:lvl>
  </w:abstractNum>
  <w:abstractNum w:abstractNumId="668">
    <w:nsid w:val="240453CA"/>
    <w:multiLevelType w:val="hybridMultilevel"/>
    <w:lvl w:ilvl="0">
      <w:lvlJc w:val="left"/>
      <w:lvlText w:val="%1."/>
      <w:numFmt w:val="decimal"/>
      <w:start w:val="4"/>
    </w:lvl>
  </w:abstractNum>
  <w:abstractNum w:abstractNumId="669">
    <w:nsid w:val="2E326D9A"/>
    <w:multiLevelType w:val="hybridMultilevel"/>
    <w:lvl w:ilvl="0">
      <w:lvlJc w:val="left"/>
      <w:lvlText w:val="(%1)"/>
      <w:numFmt w:val="lowerLetter"/>
      <w:start w:val="2"/>
    </w:lvl>
  </w:abstractNum>
  <w:abstractNum w:abstractNumId="670">
    <w:nsid w:val="5EB19210"/>
    <w:multiLevelType w:val="hybridMultilevel"/>
    <w:lvl w:ilvl="0">
      <w:lvlJc w:val="left"/>
      <w:lvlText w:val="%1."/>
      <w:numFmt w:val="decimal"/>
      <w:start w:val="8"/>
    </w:lvl>
  </w:abstractNum>
  <w:abstractNum w:abstractNumId="671">
    <w:nsid w:val="44DEFF9B"/>
    <w:multiLevelType w:val="hybridMultilevel"/>
    <w:lvl w:ilvl="0">
      <w:lvlJc w:val="left"/>
      <w:lvlText w:val="(%1)"/>
      <w:numFmt w:val="lowerLetter"/>
      <w:start w:val="2"/>
    </w:lvl>
  </w:abstractNum>
  <w:abstractNum w:abstractNumId="672">
    <w:nsid w:val="1FE7D17D"/>
    <w:multiLevelType w:val="hybridMultilevel"/>
    <w:lvl w:ilvl="0">
      <w:lvlJc w:val="left"/>
      <w:lvlText w:val="%1."/>
      <w:numFmt w:val="decimal"/>
      <w:start w:val="9"/>
    </w:lvl>
  </w:abstractNum>
  <w:abstractNum w:abstractNumId="673">
    <w:nsid w:val="52CBAB2E"/>
    <w:multiLevelType w:val="hybridMultilevel"/>
    <w:lvl w:ilvl="0">
      <w:lvlJc w:val="left"/>
      <w:lvlText w:val="%1."/>
      <w:numFmt w:val="decimal"/>
      <w:start w:val="14"/>
    </w:lvl>
  </w:abstractNum>
  <w:abstractNum w:abstractNumId="674">
    <w:nsid w:val="1A6760EF"/>
    <w:multiLevelType w:val="hybridMultilevel"/>
    <w:lvl w:ilvl="0">
      <w:lvlJc w:val="left"/>
      <w:lvlText w:val="%1."/>
      <w:numFmt w:val="decimal"/>
      <w:start w:val="17"/>
    </w:lvl>
  </w:abstractNum>
  <w:abstractNum w:abstractNumId="675">
    <w:nsid w:val="5E52C405"/>
    <w:multiLevelType w:val="hybridMultilevel"/>
    <w:lvl w:ilvl="0">
      <w:lvlJc w:val="left"/>
      <w:lvlText w:val="%1."/>
      <w:numFmt w:val="decimal"/>
      <w:start w:val="21"/>
    </w:lvl>
  </w:abstractNum>
  <w:abstractNum w:abstractNumId="676">
    <w:nsid w:val="486447"/>
    <w:multiLevelType w:val="hybridMultilevel"/>
    <w:lvl w:ilvl="0">
      <w:lvlJc w:val="left"/>
      <w:lvlText w:val="%1."/>
      <w:numFmt w:val="decimal"/>
      <w:start w:val="24"/>
    </w:lvl>
  </w:abstractNum>
  <w:abstractNum w:abstractNumId="677">
    <w:nsid w:val="61E90D1E"/>
    <w:multiLevelType w:val="hybridMultilevel"/>
    <w:lvl w:ilvl="0">
      <w:lvlJc w:val="left"/>
      <w:lvlText w:val="%1."/>
      <w:numFmt w:val="upperLetter"/>
      <w:start w:val="1"/>
    </w:lvl>
  </w:abstractNum>
  <w:abstractNum w:abstractNumId="678">
    <w:nsid w:val="44BD67E6"/>
    <w:multiLevelType w:val="hybridMultilevel"/>
    <w:lvl w:ilvl="0">
      <w:lvlJc w:val="left"/>
      <w:lvlText w:val="["/>
      <w:numFmt w:val="bullet"/>
      <w:start w:val="1"/>
    </w:lvl>
  </w:abstractNum>
  <w:abstractNum w:abstractNumId="679">
    <w:nsid w:val="325102D3"/>
    <w:multiLevelType w:val="hybridMultilevel"/>
    <w:lvl w:ilvl="0">
      <w:lvlJc w:val="left"/>
      <w:lvlText w:val="%1."/>
      <w:numFmt w:val="decimal"/>
      <w:start w:val="1"/>
    </w:lvl>
  </w:abstractNum>
  <w:abstractNum w:abstractNumId="680">
    <w:nsid w:val="3D9579BA"/>
    <w:multiLevelType w:val="hybridMultilevel"/>
    <w:lvl w:ilvl="0">
      <w:lvlJc w:val="left"/>
      <w:lvlText w:val="%1"/>
      <w:numFmt w:val="lowerLetter"/>
      <w:start w:val="1"/>
    </w:lvl>
    <w:lvl w:ilvl="1">
      <w:lvlJc w:val="left"/>
      <w:lvlText w:val="%2."/>
      <w:numFmt w:val="decimal"/>
      <w:start w:val="2"/>
    </w:lvl>
  </w:abstractNum>
  <w:abstractNum w:abstractNumId="681">
    <w:nsid w:val="ACD4C11"/>
    <w:multiLevelType w:val="hybridMultilevel"/>
    <w:lvl w:ilvl="0">
      <w:lvlJc w:val="left"/>
      <w:lvlText w:val="(%1)"/>
      <w:numFmt w:val="lowerLetter"/>
      <w:start w:val="2"/>
    </w:lvl>
    <w:lvl w:ilvl="1">
      <w:lvlJc w:val="left"/>
      <w:lvlText w:val="%2"/>
      <w:numFmt w:val="decimal"/>
      <w:start w:val="1"/>
    </w:lvl>
  </w:abstractNum>
  <w:abstractNum w:abstractNumId="682">
    <w:nsid w:val="111817CF"/>
    <w:multiLevelType w:val="hybridMultilevel"/>
    <w:lvl w:ilvl="0">
      <w:lvlJc w:val="left"/>
      <w:lvlText w:val="%1."/>
      <w:numFmt w:val="decimal"/>
      <w:start w:val="4"/>
    </w:lvl>
  </w:abstractNum>
  <w:abstractNum w:abstractNumId="683">
    <w:nsid w:val="76C8B568"/>
    <w:multiLevelType w:val="hybridMultilevel"/>
    <w:lvl w:ilvl="0">
      <w:lvlJc w:val="left"/>
      <w:lvlText w:val="(%1)"/>
      <w:numFmt w:val="lowerLetter"/>
      <w:start w:val="2"/>
    </w:lvl>
  </w:abstractNum>
  <w:abstractNum w:abstractNumId="684">
    <w:nsid w:val="3ACC76B1"/>
    <w:multiLevelType w:val="hybridMultilevel"/>
    <w:lvl w:ilvl="0">
      <w:lvlJc w:val="left"/>
      <w:lvlText w:val="%1."/>
      <w:numFmt w:val="decimal"/>
      <w:start w:val="8"/>
    </w:lvl>
  </w:abstractNum>
  <w:abstractNum w:abstractNumId="685">
    <w:nsid w:val="588B1C7C"/>
    <w:multiLevelType w:val="hybridMultilevel"/>
    <w:lvl w:ilvl="0">
      <w:lvlJc w:val="left"/>
      <w:lvlText w:val="(%1)"/>
      <w:numFmt w:val="lowerLetter"/>
      <w:start w:val="2"/>
    </w:lvl>
  </w:abstractNum>
  <w:abstractNum w:abstractNumId="686">
    <w:nsid w:val="62682D8B"/>
    <w:multiLevelType w:val="hybridMultilevel"/>
    <w:lvl w:ilvl="0">
      <w:lvlJc w:val="left"/>
      <w:lvlText w:val="%1."/>
      <w:numFmt w:val="decimal"/>
      <w:start w:val="9"/>
    </w:lvl>
  </w:abstractNum>
  <w:abstractNum w:abstractNumId="687">
    <w:nsid w:val="436F111A"/>
    <w:multiLevelType w:val="hybridMultilevel"/>
    <w:lvl w:ilvl="0">
      <w:lvlJc w:val="left"/>
      <w:lvlText w:val="%1."/>
      <w:numFmt w:val="decimal"/>
      <w:start w:val="14"/>
    </w:lvl>
  </w:abstractNum>
  <w:abstractNum w:abstractNumId="688">
    <w:nsid w:val="3299B71B"/>
    <w:multiLevelType w:val="hybridMultilevel"/>
    <w:lvl w:ilvl="0">
      <w:lvlJc w:val="left"/>
      <w:lvlText w:val="%1."/>
      <w:numFmt w:val="decimal"/>
      <w:start w:val="19"/>
    </w:lvl>
  </w:abstractNum>
  <w:abstractNum w:abstractNumId="689">
    <w:nsid w:val="7EA75F5A"/>
    <w:multiLevelType w:val="hybridMultilevel"/>
    <w:lvl w:ilvl="0">
      <w:lvlJc w:val="left"/>
      <w:lvlText w:val="%1."/>
      <w:numFmt w:val="decimal"/>
      <w:start w:val="21"/>
    </w:lvl>
  </w:abstractNum>
  <w:abstractNum w:abstractNumId="690">
    <w:nsid w:val="44419EF9"/>
    <w:multiLevelType w:val="hybridMultilevel"/>
    <w:lvl w:ilvl="0">
      <w:lvlJc w:val="left"/>
      <w:lvlText w:val="%1."/>
      <w:numFmt w:val="decimal"/>
      <w:start w:val="24"/>
    </w:lvl>
  </w:abstractNum>
  <w:abstractNum w:abstractNumId="691">
    <w:nsid w:val="3837F1DF"/>
    <w:multiLevelType w:val="hybridMultilevel"/>
    <w:lvl w:ilvl="0">
      <w:lvlJc w:val="left"/>
      <w:lvlText w:val="%1."/>
      <w:numFmt w:val="upperLetter"/>
      <w:start w:val="1"/>
    </w:lvl>
  </w:abstractNum>
  <w:abstractNum w:abstractNumId="692">
    <w:nsid w:val="5BE02A4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2019-12-29T01:46:01Z</dcterms:created>
  <dcterms:modified xsi:type="dcterms:W3CDTF">2019-12-29T01:46:01Z</dcterms:modified>
</cp:coreProperties>
</file>